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01A" w:rsidRDefault="001A202F">
      <w:pPr>
        <w:rPr>
          <w:rFonts w:eastAsia="Times New Roman"/>
        </w:rPr>
        <w:sectPr w:rsidR="0002701A">
          <w:headerReference w:type="even" r:id="rId8"/>
          <w:headerReference w:type="default" r:id="rId9"/>
          <w:footerReference w:type="even" r:id="rId10"/>
          <w:footerReference w:type="default" r:id="rId11"/>
          <w:headerReference w:type="first" r:id="rId12"/>
          <w:footerReference w:type="first" r:id="rId13"/>
          <w:pgSz w:w="11906" w:h="16838"/>
          <w:pgMar w:top="0" w:right="0" w:bottom="0" w:left="0" w:header="851" w:footer="992" w:gutter="0"/>
          <w:cols w:space="425"/>
          <w:titlePg/>
          <w:docGrid w:type="lines" w:linePitch="312"/>
        </w:sectPr>
      </w:pPr>
      <w:r w:rsidRPr="001A202F">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51584"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i9lks2QAAAA4BAAAPAAAAAAAAAAEAIAAAACIAAABkcnMvZG93&#10;bnJldi54bWxQSwECFAAUAAAACACHTuJAN50mFcYBAACFAwAADgAAAAAAAAABACAAAAAoAQAAZHJz&#10;L2Uyb0RvYy54bWxQSwUGAAAAAAYABgBZAQAAYAUAAAAA&#10;" filled="f" stroked="f">
            <v:textbox style="mso-fit-shape-to-text:t">
              <w:txbxContent>
                <w:p w:rsidR="00F23D7F" w:rsidRDefault="00F23D7F">
                  <w:pPr>
                    <w:jc w:val="center"/>
                    <w:rPr>
                      <w:rFonts w:ascii="??_GB2312" w:hAnsi="??_GB2312" w:cs="??_GB2312"/>
                      <w:color w:val="000000"/>
                      <w:kern w:val="0"/>
                      <w:sz w:val="44"/>
                      <w:szCs w:val="44"/>
                    </w:rPr>
                  </w:pPr>
                </w:p>
              </w:txbxContent>
            </v:textbox>
          </v:shape>
        </w:pict>
      </w:r>
      <w:r w:rsidRPr="001A202F">
        <w:pict>
          <v:rect id="矩形 14" o:spid="_x0000_s1062" style="position:absolute;left:0;text-align:left;margin-left:33.6pt;margin-top:256.75pt;width:160.65pt;height:69.6pt;z-index:251653632"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pVqbnZAAAACgEAAA8AAAAAAAAAAQAgAAAAIgAAAGRycy9kb3du&#10;cmV2LnhtbFBLAQIUABQAAAAIAIdO4kBOsRLzxQEAAHgDAAAOAAAAAAAAAAEAIAAAACgBAABkcnMv&#10;ZTJvRG9jLnhtbFBLBQYAAAAABgAGAFkBAABfBQAAAAA=&#10;" filled="f" stroked="f">
            <v:textbox style="mso-fit-shape-to-text:t">
              <w:txbxContent>
                <w:p w:rsidR="00F23D7F" w:rsidRDefault="003A4B37">
                  <w:pPr>
                    <w:spacing w:line="360" w:lineRule="auto"/>
                    <w:jc w:val="center"/>
                    <w:rPr>
                      <w:kern w:val="0"/>
                      <w:sz w:val="28"/>
                      <w:szCs w:val="28"/>
                    </w:rPr>
                  </w:pPr>
                  <w:r>
                    <w:rPr>
                      <w:rFonts w:ascii="Yu Gothic UI Semibold" w:hAnsi="Yu Gothic UI Semibold"/>
                      <w:color w:val="FFFFFF"/>
                      <w:kern w:val="24"/>
                      <w:sz w:val="72"/>
                      <w:szCs w:val="72"/>
                    </w:rPr>
                    <w:t>201</w:t>
                  </w:r>
                </w:p>
              </w:txbxContent>
            </v:textbox>
          </v:rect>
        </w:pict>
      </w:r>
      <w:r w:rsidRPr="001A202F">
        <w:pict>
          <v:group id="组合 6" o:spid="_x0000_s1058" style="position:absolute;left:0;text-align:left;margin-left:1.25pt;margin-top:821.7pt;width:595.25pt;height:21.45pt;z-index:251655680"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01yfJdoAAAAMAQAADwAAAAAAAAABACAAAAAiAAAAZHJzL2Rvd25yZXYueG1sUEsBAhQAFAAA&#10;AAgAh07iQCXGu2CYAgAADQcAAA4AAAAAAAAAAQAgAAAAKQEAAGRycy9lMm9Eb2MueG1sUEsFBgAA&#10;AAAGAAYAWQEAADMGAAAAAA==&#10;">
            <v:rect id="矩形 6" o:spid="_x0000_s1060"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59"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rsidRPr="001A202F">
        <w:pict>
          <v:rect id="矩形 11" o:spid="_x0000_s1054" style="position:absolute;left:0;text-align:left;margin-left:184.75pt;margin-top:286.6pt;width:339.65pt;height:31.25pt;z-index:251656704;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kF9HbAAAADAEAAA8AAAAAAAAAAQAgAAAAIgAAAGRycy9kb3ducmV2LnhtbFBLAQIU&#10;ABQAAAAIAIdO4kBICsdgtwEAAGsDAAAOAAAAAAAAAAEAIAAAACoBAABkcnMvZTJvRG9jLnhtbFBL&#10;BQYAAAAABgAGAFkBAABTBQAAAAA=&#10;" filled="f" stroked="f">
            <v:textbox style="mso-fit-shape-to-text:t">
              <w:txbxContent>
                <w:p w:rsidR="00F23D7F" w:rsidRDefault="00F23D7F"/>
              </w:txbxContent>
            </v:textbox>
          </v:rect>
        </w:pict>
      </w:r>
    </w:p>
    <w:p w:rsidR="0002701A" w:rsidRDefault="0002701A"/>
    <w:p w:rsidR="003A4B37" w:rsidRDefault="003A4B37" w:rsidP="003A4B37">
      <w:pPr>
        <w:sectPr w:rsidR="003A4B37" w:rsidSect="003A4B3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0" w:right="0" w:bottom="0" w:left="0" w:header="851" w:footer="992" w:gutter="0"/>
          <w:cols w:space="425"/>
          <w:titlePg/>
          <w:docGrid w:type="lines" w:linePitch="312"/>
        </w:sectPr>
      </w:pPr>
      <w:r>
        <w:pict>
          <v:shape id="_x0000_s1085" type="#_x0000_t202" style="position:absolute;left:0;text-align:left;margin-left:106.25pt;margin-top:693.55pt;width:404.15pt;height:79.95pt;z-index:25167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" filled="f" stroked="f">
            <v:textbox style="mso-fit-shape-to-text:t">
              <w:txbxContent>
                <w:p w:rsidR="003A4B37" w:rsidRDefault="003A4B37" w:rsidP="003A4B37">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_x0000_s1080" style="position:absolute;left:0;text-align:left;margin-left:53.5pt;margin-top:232.45pt;width:121.95pt;height:121.95pt;z-index:2516730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" stroked="f" strokeweight="2pt"/>
        </w:pict>
      </w:r>
      <w:r>
        <w:pict>
          <v:rect id="_x0000_s1087" style="position:absolute;left:0;text-align:left;margin-left:33.6pt;margin-top:256.75pt;width:160.65pt;height:69.6pt;z-index:25167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" filled="f" stroked="f">
            <v:textbox style="mso-fit-shape-to-text:t">
              <w:txbxContent>
                <w:p w:rsidR="003A4B37" w:rsidRDefault="003A4B37" w:rsidP="003A4B37">
                  <w:pPr>
                    <w:spacing w:line="360" w:lineRule="auto"/>
                    <w:jc w:val="center"/>
                    <w:rPr>
                      <w:kern w:val="0"/>
                      <w:sz w:val="28"/>
                      <w:szCs w:val="28"/>
                    </w:rPr>
                  </w:pPr>
                  <w:r>
                    <w:rPr>
                      <w:rFonts w:ascii="Yu Gothic UI Semibold" w:hAnsi="Yu Gothic UI Semibold" w:hint="eastAsia"/>
                      <w:color w:val="FFFFFF"/>
                      <w:kern w:val="24"/>
                      <w:sz w:val="72"/>
                      <w:szCs w:val="72"/>
                    </w:rPr>
                    <w:t>2019</w:t>
                  </w:r>
                </w:p>
              </w:txbxContent>
            </v:textbox>
          </v:rect>
        </w:pict>
      </w:r>
      <w:r>
        <w:pict>
          <v:oval id="椭圆 9" o:spid="_x0000_s1086" style="position:absolute;left:0;text-align:left;margin-left:62.2pt;margin-top:242.75pt;width:103.45pt;height:103.45pt;z-index:25167718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" fillcolor="#1f2959" stroked="f" strokeweight="2pt"/>
        </w:pict>
      </w:r>
      <w:r>
        <w:pict>
          <v:group id="_x0000_s1081" style="position:absolute;left:0;text-align:left;margin-left:1.25pt;margin-top:821.7pt;width:595.25pt;height:21.45pt;z-index:251674112"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">
            <v:rect id="矩形 6" o:spid="_x0000_s1082" style="position:absolute;left:1483;top:16692;width:1125;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6qsUA&#10;AADaAAAADwAAAGRycy9kb3ducmV2LnhtbESP3WrCQBSE7wXfYTlC73TTQqykrlJTSi2C0FgE7w7Z&#10;kx/Mng3ZbRLfvisUejnMzDfMejuaRvTUudqygsdFBII4t7rmUsH36X2+AuE8ssbGMim4kYPtZjpZ&#10;Y6LtwF/UZ74UAcIuQQWV920ipcsrMugWtiUOXmE7gz7IrpS6wyHATSOfomgpDdYcFipsKa0ov2Y/&#10;RsHuvCw/zDkujvGuOHweqTVv6UWph9n4+gLC0+j/w3/tvVbwDPcr4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qqxQAAANoAAAAPAAAAAAAAAAAAAAAAAJgCAABkcnMv&#10;ZG93bnJldi54bWxQSwUGAAAAAAQABAD1AAAAigMAAAAA&#10;" fillcolor="#fdbc11" stroked="f" strokeweight="2pt"/>
            <v:rect id="矩形 7" o:spid="_x0000_s1083" style="position:absolute;left:2608;top:16693;width:10780;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crwA&#10;AADaAAAADwAAAGRycy9kb3ducmV2LnhtbERPuwrCMBTdBf8hXMFFNFVBtBpFBFFHH4Nul+baFpub&#10;0kTb/r0ZBMfDea82jSnEhyqXW1YwHkUgiBOrc04V3K774RyE88gaC8ukoCUHm3W3s8JY25rP9Ln4&#10;VIQQdjEqyLwvYyldkpFBN7IlceCetjLoA6xSqSusQ7gp5CSKZtJgzqEhw5J2GSWvy9soeBx5ej7Z&#10;rW7LejwfLG7t4f7Oler3mu0ShKfG/8U/91ErCFvDlX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D5lyvAAAANoAAAAPAAAAAAAAAAAAAAAAAJgCAABkcnMvZG93bnJldi54&#10;bWxQSwUGAAAAAAQABAD1AAAAgQMAAAAA&#10;" fillcolor="#1f2959" stroked="f" strokeweight="2pt"/>
          </v:group>
        </w:pict>
      </w:r>
      <w:r>
        <w:pict>
          <v:group id="组合 4" o:spid="_x0000_s1088" style="position:absolute;left:0;text-align:left;margin-left:-2.5pt;margin-top:0;width:600.25pt;height:308.5pt;z-index:-251637248"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">
            <v:rect id="矩形 5" o:spid="_x0000_s1089" style="position:absolute;left:13622;top:283;width:12005;height:6170;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fMcQA&#10;AADaAAAADwAAAGRycy9kb3ducmV2LnhtbESP3WrCQBSE7wu+w3KE3jUbhYSSuopGSisFoWkJeHfI&#10;nvxg9mzIbjV9e7dQ8HKYmW+Y1WYyvbjQ6DrLChZRDIK4srrjRsH31+vTMwjnkTX2lknBLznYrGcP&#10;K8y0vfInXQrfiABhl6GC1vshk9JVLRl0kR2Ig1fb0aAPcmykHvEa4KaXyzhOpcGOw0KLA+UtVefi&#10;xyjYlWnzZsqkPia7+uNwpMHs85NSj/Np+wLC0+Tv4f/2u1aQwt+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nzHEAAAA2gAAAA8AAAAAAAAAAAAAAAAAmAIAAGRycy9k&#10;b3ducmV2LnhtbFBLBQYAAAAABAAEAPUAAACJAwAAAAA=&#10;" fillcolor="#fdbc11" stroked="f" strokeweight="2pt"/>
            <v:shape id="_x0000_s1090" type="#_x0000_t202" style="position:absolute;left:17229;top:5021;width:8083;height: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3A4B37" w:rsidRDefault="003A4B37" w:rsidP="003A4B37">
                    <w:pPr>
                      <w:jc w:val="left"/>
                      <w:rPr>
                        <w:color w:val="000000"/>
                        <w:kern w:val="0"/>
                        <w:sz w:val="92"/>
                        <w:szCs w:val="92"/>
                      </w:rPr>
                    </w:pPr>
                    <w:r>
                      <w:rPr>
                        <w:rFonts w:ascii="思源黑体 HW Bold" w:eastAsia="思源黑体 HW Bold" w:hAnsi="思源黑体 HW Bold" w:hint="eastAsia"/>
                        <w:color w:val="000000"/>
                        <w:kern w:val="24"/>
                        <w:sz w:val="92"/>
                        <w:szCs w:val="92"/>
                      </w:rPr>
                      <w:t>部门决算公开文本</w:t>
                    </w:r>
                  </w:p>
                </w:txbxContent>
              </v:textbox>
            </v:shape>
          </v:group>
        </w:pict>
      </w:r>
      <w:r>
        <w:pict>
          <v:rect id="_x0000_s1084" style="position:absolute;left:0;text-align:left;margin-left:184.75pt;margin-top:286.6pt;width:339.65pt;height:31.25pt;z-index:251675136;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" filled="f" stroked="f">
            <v:textbox style="mso-fit-shape-to-text:t">
              <w:txbxContent>
                <w:p w:rsidR="003A4B37" w:rsidRDefault="003A4B37" w:rsidP="003A4B37"/>
              </w:txbxContent>
            </v:textbox>
          </v:rect>
        </w:pict>
      </w:r>
      <w:r>
        <w:pict>
          <v:shape id="_x0000_s1078" type="#_x0000_t202" style="position:absolute;left:0;text-align:left;margin-left:106.25pt;margin-top:693.55pt;width:404.15pt;height:38.4pt;z-index:25167104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3A4B37" w:rsidRDefault="003A4B37" w:rsidP="003A4B37">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椭圆 8" o:spid="_x0000_s1073" style="position:absolute;left:0;text-align:left;margin-left:53.5pt;margin-top:232.45pt;width:121.95pt;height:121.95pt;z-index:251667968;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stroked="f" strokeweight="1pt">
            <v:stroke joinstyle="miter"/>
          </v:oval>
        </w:pict>
      </w:r>
      <w:r>
        <w:pict>
          <v:rect id="_x0000_s1079" style="position:absolute;left:0;text-align:left;margin-left:33.6pt;margin-top:256.75pt;width:160.65pt;height:85.2pt;z-index:251672064"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3A4B37" w:rsidRDefault="003A4B37" w:rsidP="003A4B37">
                  <w:pPr>
                    <w:spacing w:line="360" w:lineRule="auto"/>
                    <w:jc w:val="center"/>
                    <w:rPr>
                      <w:kern w:val="0"/>
                      <w:sz w:val="28"/>
                      <w:szCs w:val="28"/>
                    </w:rPr>
                  </w:pPr>
                  <w:r>
                    <w:rPr>
                      <w:rFonts w:ascii="Yu Gothic UI Semibold" w:hAnsi="Yu Gothic UI Semibold"/>
                      <w:color w:val="FFFFFF"/>
                      <w:kern w:val="24"/>
                      <w:sz w:val="72"/>
                      <w:szCs w:val="72"/>
                    </w:rPr>
                    <w:t>2019</w:t>
                  </w:r>
                </w:p>
              </w:txbxContent>
            </v:textbox>
          </v:rect>
        </w:pict>
      </w:r>
      <w:r>
        <w:pict>
          <v:group id="_x0000_s1074" style="position:absolute;left:0;text-align:left;margin-left:1.25pt;margin-top:821.7pt;width:595.25pt;height:21.45pt;z-index:251668992"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75"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76"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_x0000_s1077" style="position:absolute;left:0;text-align:left;margin-left:184.75pt;margin-top:286.6pt;width:23.45pt;height:38.4pt;z-index:251670016;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3A4B37" w:rsidRDefault="003A4B37" w:rsidP="003A4B37"/>
              </w:txbxContent>
            </v:textbox>
          </v:rect>
        </w:pict>
      </w:r>
    </w:p>
    <w:p w:rsidR="003A4B37" w:rsidRDefault="003A4B37" w:rsidP="003A4B37"/>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F23D7F">
      <w:pPr>
        <w:rPr>
          <w:rFonts w:ascii="黑体" w:eastAsia="黑体" w:hAnsi="Times New Roman"/>
          <w:sz w:val="48"/>
          <w:szCs w:val="48"/>
        </w:rPr>
      </w:pPr>
      <w:r>
        <w:rPr>
          <w:rFonts w:ascii="黑体" w:eastAsia="黑体" w:hAnsi="Times New Roman"/>
          <w:sz w:val="48"/>
          <w:szCs w:val="48"/>
        </w:rPr>
        <w:br w:type="page"/>
      </w:r>
    </w:p>
    <w:p w:rsidR="003A4B37" w:rsidRDefault="003A4B37" w:rsidP="00F23D7F">
      <w:pPr>
        <w:rPr>
          <w:rFonts w:ascii="黑体" w:eastAsia="黑体" w:hAnsi="黑体" w:cs="黑体" w:hint="eastAsia"/>
          <w:b/>
          <w:bCs/>
          <w:sz w:val="72"/>
          <w:szCs w:val="96"/>
        </w:rPr>
      </w:pPr>
    </w:p>
    <w:p w:rsidR="00F23D7F" w:rsidRDefault="00F23D7F" w:rsidP="00F23D7F">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F23D7F" w:rsidRDefault="00F23D7F" w:rsidP="00F23D7F">
      <w:pPr>
        <w:spacing w:line="360" w:lineRule="auto"/>
        <w:jc w:val="center"/>
        <w:rPr>
          <w:rFonts w:ascii="黑体" w:eastAsia="黑体" w:hAnsi="黑体" w:cs="黑体"/>
          <w:sz w:val="56"/>
          <w:szCs w:val="72"/>
        </w:rPr>
      </w:pPr>
    </w:p>
    <w:p w:rsidR="00F23D7F" w:rsidRDefault="00F23D7F" w:rsidP="00F23D7F">
      <w:pPr>
        <w:spacing w:line="600" w:lineRule="auto"/>
        <w:jc w:val="center"/>
        <w:rPr>
          <w:rFonts w:ascii="黑体" w:eastAsia="黑体" w:hAnsi="黑体" w:cs="黑体"/>
          <w:sz w:val="56"/>
          <w:szCs w:val="72"/>
        </w:rPr>
      </w:pPr>
    </w:p>
    <w:p w:rsidR="00F23D7F" w:rsidRDefault="00F23D7F" w:rsidP="00F23D7F">
      <w:pPr>
        <w:spacing w:line="600" w:lineRule="auto"/>
        <w:jc w:val="center"/>
        <w:rPr>
          <w:rFonts w:ascii="黑体" w:eastAsia="黑体" w:hAnsi="黑体" w:cs="黑体"/>
          <w:sz w:val="56"/>
          <w:szCs w:val="72"/>
        </w:rPr>
      </w:pPr>
    </w:p>
    <w:p w:rsidR="00F23D7F" w:rsidRDefault="00F23D7F" w:rsidP="00F23D7F">
      <w:pPr>
        <w:spacing w:line="600" w:lineRule="auto"/>
        <w:jc w:val="center"/>
        <w:rPr>
          <w:rFonts w:ascii="黑体" w:eastAsia="黑体" w:hAnsi="黑体" w:cs="黑体"/>
          <w:sz w:val="56"/>
          <w:szCs w:val="72"/>
        </w:rPr>
      </w:pPr>
    </w:p>
    <w:p w:rsidR="00F23D7F" w:rsidRDefault="00F23D7F" w:rsidP="00F23D7F">
      <w:pPr>
        <w:spacing w:line="600" w:lineRule="auto"/>
        <w:jc w:val="center"/>
        <w:rPr>
          <w:rFonts w:ascii="黑体" w:eastAsia="黑体" w:hAnsi="黑体" w:cs="黑体"/>
          <w:sz w:val="56"/>
          <w:szCs w:val="72"/>
        </w:rPr>
      </w:pPr>
    </w:p>
    <w:p w:rsidR="00F23D7F" w:rsidRDefault="00F23D7F" w:rsidP="00F23D7F">
      <w:pPr>
        <w:spacing w:line="480" w:lineRule="auto"/>
        <w:jc w:val="center"/>
        <w:rPr>
          <w:rFonts w:ascii="黑体" w:eastAsia="黑体" w:hAnsi="黑体" w:cs="黑体"/>
          <w:sz w:val="56"/>
          <w:szCs w:val="72"/>
        </w:rPr>
      </w:pPr>
    </w:p>
    <w:p w:rsidR="00F23D7F" w:rsidRDefault="00F23D7F" w:rsidP="00F23D7F">
      <w:pPr>
        <w:spacing w:line="480" w:lineRule="auto"/>
        <w:jc w:val="center"/>
        <w:rPr>
          <w:rFonts w:ascii="黑体" w:eastAsia="黑体" w:hAnsi="黑体" w:cs="黑体"/>
          <w:sz w:val="56"/>
          <w:szCs w:val="72"/>
        </w:rPr>
      </w:pPr>
    </w:p>
    <w:p w:rsidR="00F23D7F" w:rsidRDefault="00F23D7F" w:rsidP="00F23D7F">
      <w:pPr>
        <w:spacing w:line="480" w:lineRule="auto"/>
        <w:jc w:val="center"/>
        <w:rPr>
          <w:rFonts w:ascii="黑体" w:eastAsia="黑体" w:hAnsi="黑体" w:cs="黑体"/>
          <w:sz w:val="56"/>
          <w:szCs w:val="72"/>
        </w:rPr>
      </w:pPr>
    </w:p>
    <w:p w:rsidR="00F23D7F" w:rsidRDefault="00F23D7F" w:rsidP="00F23D7F">
      <w:pPr>
        <w:snapToGrid w:val="0"/>
        <w:spacing w:line="480" w:lineRule="auto"/>
        <w:jc w:val="center"/>
        <w:rPr>
          <w:rFonts w:ascii="黑体" w:eastAsia="黑体" w:hAnsi="黑体" w:cs="黑体"/>
          <w:sz w:val="56"/>
          <w:szCs w:val="72"/>
        </w:rPr>
      </w:pPr>
    </w:p>
    <w:p w:rsidR="00F23D7F" w:rsidRPr="00F23D7F" w:rsidRDefault="00F23D7F" w:rsidP="00F23D7F">
      <w:pPr>
        <w:snapToGrid w:val="0"/>
        <w:jc w:val="center"/>
        <w:rPr>
          <w:rFonts w:ascii="楷体_GB2312" w:eastAsia="楷体_GB2312" w:hAnsi="楷体_GB2312" w:cs="楷体_GB2312"/>
          <w:color w:val="000000" w:themeColor="text1"/>
          <w:kern w:val="0"/>
          <w:sz w:val="44"/>
          <w:szCs w:val="44"/>
        </w:rPr>
      </w:pPr>
      <w:r w:rsidRPr="00F23D7F">
        <w:rPr>
          <w:rFonts w:ascii="楷体_GB2312" w:eastAsia="楷体_GB2312" w:hAnsi="楷体_GB2312" w:cs="楷体_GB2312" w:hint="eastAsia"/>
          <w:color w:val="000000" w:themeColor="text1"/>
          <w:kern w:val="0"/>
          <w:sz w:val="44"/>
          <w:szCs w:val="44"/>
        </w:rPr>
        <w:t>唐山高新技术产业开发区街道办事处</w:t>
      </w:r>
    </w:p>
    <w:p w:rsidR="00F23D7F" w:rsidRDefault="00F23D7F" w:rsidP="00F23D7F">
      <w:pPr>
        <w:snapToGrid w:val="0"/>
        <w:jc w:val="center"/>
        <w:rPr>
          <w:rFonts w:ascii="楷体_GB2312" w:eastAsia="楷体_GB2312" w:hAnsi="楷体_GB2312" w:cs="楷体_GB2312"/>
          <w:color w:val="000000" w:themeColor="text1"/>
          <w:kern w:val="0"/>
          <w:sz w:val="44"/>
          <w:szCs w:val="44"/>
        </w:rPr>
        <w:sectPr w:rsidR="00F23D7F">
          <w:headerReference w:type="default" r:id="rId20"/>
          <w:headerReference w:type="first" r:id="rId21"/>
          <w:footerReference w:type="first" r:id="rId22"/>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02701A" w:rsidRDefault="0002701A">
      <w:pPr>
        <w:rPr>
          <w:rFonts w:ascii="黑体" w:eastAsia="黑体" w:hAnsi="黑体" w:cs="黑体"/>
          <w:sz w:val="56"/>
          <w:szCs w:val="72"/>
        </w:rPr>
      </w:pPr>
    </w:p>
    <w:p w:rsidR="0002701A" w:rsidRDefault="0002701A">
      <w:pPr>
        <w:tabs>
          <w:tab w:val="left" w:pos="2728"/>
        </w:tabs>
        <w:jc w:val="center"/>
        <w:rPr>
          <w:rFonts w:ascii="黑体" w:eastAsia="黑体" w:hAnsi="Times New Roman"/>
          <w:sz w:val="48"/>
          <w:szCs w:val="48"/>
        </w:rPr>
      </w:pPr>
    </w:p>
    <w:p w:rsidR="0002701A" w:rsidRDefault="00F23D7F">
      <w:pPr>
        <w:tabs>
          <w:tab w:val="left" w:pos="2728"/>
        </w:tabs>
        <w:jc w:val="center"/>
        <w:rPr>
          <w:rFonts w:ascii="黑体" w:eastAsia="黑体" w:hAnsi="Times New Roman"/>
          <w:sz w:val="48"/>
          <w:szCs w:val="48"/>
        </w:rPr>
      </w:pPr>
      <w:r>
        <w:rPr>
          <w:rFonts w:ascii="黑体" w:eastAsia="黑体" w:hAnsi="Times New Roman" w:hint="eastAsia"/>
          <w:sz w:val="48"/>
          <w:szCs w:val="48"/>
        </w:rPr>
        <w:t>目录</w:t>
      </w:r>
    </w:p>
    <w:p w:rsidR="0002701A" w:rsidRDefault="0002701A">
      <w:pPr>
        <w:widowControl/>
        <w:spacing w:after="160" w:line="580" w:lineRule="exact"/>
        <w:ind w:firstLineChars="200" w:firstLine="640"/>
        <w:rPr>
          <w:rFonts w:ascii="Times New Roman" w:eastAsia="黑体" w:hAnsi="Times New Roman"/>
          <w:sz w:val="32"/>
          <w:szCs w:val="32"/>
        </w:rPr>
      </w:pPr>
    </w:p>
    <w:p w:rsidR="0002701A" w:rsidRDefault="00F23D7F">
      <w:pPr>
        <w:widowControl/>
        <w:spacing w:after="160" w:line="580" w:lineRule="exact"/>
        <w:ind w:firstLineChars="200" w:firstLine="640"/>
        <w:rPr>
          <w:rFonts w:ascii="Times New Roman" w:eastAsia="仿宋_GB2312" w:hAnsi="Times New Roman"/>
          <w:sz w:val="24"/>
          <w:szCs w:val="32"/>
        </w:rPr>
      </w:pPr>
      <w:r>
        <w:rPr>
          <w:rFonts w:ascii="Times New Roman" w:eastAsia="黑体" w:hAnsi="Times New Roman" w:hint="eastAsia"/>
          <w:sz w:val="32"/>
          <w:szCs w:val="32"/>
        </w:rPr>
        <w:t>第一部分部门概况</w:t>
      </w:r>
    </w:p>
    <w:p w:rsidR="0002701A" w:rsidRDefault="00F23D7F" w:rsidP="00F23D7F">
      <w:pPr>
        <w:widowControl/>
        <w:spacing w:after="160" w:line="580" w:lineRule="exact"/>
        <w:ind w:firstLineChars="398" w:firstLine="1274"/>
        <w:rPr>
          <w:rFonts w:ascii="Times New Roman" w:eastAsia="仿宋_GB2312" w:hAnsi="Times New Roman"/>
          <w:sz w:val="32"/>
          <w:szCs w:val="32"/>
        </w:rPr>
      </w:pPr>
      <w:r>
        <w:rPr>
          <w:rFonts w:ascii="Times New Roman" w:eastAsia="仿宋_GB2312" w:hAnsi="Times New Roman" w:hint="eastAsia"/>
          <w:sz w:val="32"/>
          <w:szCs w:val="32"/>
        </w:rPr>
        <w:t>一、部门职责</w:t>
      </w:r>
    </w:p>
    <w:p w:rsidR="0002701A" w:rsidRDefault="00F23D7F" w:rsidP="00F23D7F">
      <w:pPr>
        <w:widowControl/>
        <w:spacing w:after="160" w:line="580" w:lineRule="exact"/>
        <w:ind w:firstLineChars="398" w:firstLine="1274"/>
        <w:rPr>
          <w:rFonts w:ascii="Times New Roman" w:eastAsia="仿宋_GB2312" w:hAnsi="Times New Roman"/>
          <w:sz w:val="32"/>
          <w:szCs w:val="32"/>
        </w:rPr>
      </w:pPr>
      <w:r>
        <w:rPr>
          <w:rFonts w:ascii="Times New Roman" w:eastAsia="仿宋_GB2312" w:hAnsi="Times New Roman" w:hint="eastAsia"/>
          <w:sz w:val="32"/>
          <w:szCs w:val="32"/>
        </w:rPr>
        <w:t>二、机构设置</w:t>
      </w:r>
    </w:p>
    <w:p w:rsidR="0002701A" w:rsidRDefault="00F23D7F">
      <w:pPr>
        <w:widowControl/>
        <w:spacing w:after="16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第二部分</w:t>
      </w:r>
      <w:r>
        <w:rPr>
          <w:rFonts w:ascii="Times New Roman" w:eastAsia="黑体" w:hAnsi="Times New Roman"/>
          <w:sz w:val="32"/>
          <w:szCs w:val="32"/>
        </w:rPr>
        <w:t xml:space="preserve">   2019</w:t>
      </w:r>
      <w:r>
        <w:rPr>
          <w:rFonts w:ascii="Times New Roman" w:eastAsia="黑体" w:hAnsi="Times New Roman" w:hint="eastAsia"/>
          <w:sz w:val="32"/>
          <w:szCs w:val="32"/>
        </w:rPr>
        <w:t>年部门决算情况说明</w:t>
      </w:r>
    </w:p>
    <w:p w:rsidR="0002701A" w:rsidRDefault="00F23D7F">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一、收入支出决算总体情况说明</w:t>
      </w:r>
    </w:p>
    <w:p w:rsidR="0002701A" w:rsidRDefault="00F23D7F">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二、收入决算情况说明</w:t>
      </w:r>
    </w:p>
    <w:p w:rsidR="0002701A" w:rsidRDefault="00F23D7F">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三、支出决算情况说明</w:t>
      </w:r>
    </w:p>
    <w:p w:rsidR="0002701A" w:rsidRDefault="00F23D7F">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四、财政拨款收入支出决算总体情况说明</w:t>
      </w:r>
    </w:p>
    <w:p w:rsidR="0002701A" w:rsidRDefault="00F23D7F">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五、一般公共预算</w:t>
      </w:r>
      <w:r>
        <w:rPr>
          <w:rFonts w:ascii="Times New Roman" w:eastAsia="仿宋_GB2312" w:hAnsi="Times New Roman"/>
          <w:sz w:val="32"/>
          <w:szCs w:val="32"/>
        </w:rPr>
        <w:t>“</w:t>
      </w:r>
      <w:r>
        <w:rPr>
          <w:rFonts w:ascii="Times New Roman" w:eastAsia="仿宋_GB2312" w:hAnsi="Times New Roman" w:hint="eastAsia"/>
          <w:sz w:val="32"/>
          <w:szCs w:val="32"/>
        </w:rPr>
        <w:t>三公</w:t>
      </w:r>
      <w:r>
        <w:rPr>
          <w:rFonts w:ascii="Times New Roman" w:eastAsia="仿宋_GB2312" w:hAnsi="Times New Roman"/>
          <w:sz w:val="32"/>
          <w:szCs w:val="32"/>
        </w:rPr>
        <w:t>”</w:t>
      </w:r>
      <w:r>
        <w:rPr>
          <w:rFonts w:ascii="Times New Roman" w:eastAsia="仿宋_GB2312" w:hAnsi="Times New Roman" w:hint="eastAsia"/>
          <w:sz w:val="32"/>
          <w:szCs w:val="32"/>
        </w:rPr>
        <w:t>经费支出决算情况说明</w:t>
      </w:r>
    </w:p>
    <w:p w:rsidR="0002701A" w:rsidRDefault="00F23D7F">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六、预算绩效情况说明</w:t>
      </w:r>
    </w:p>
    <w:p w:rsidR="0002701A" w:rsidRDefault="00F23D7F">
      <w:pPr>
        <w:widowControl/>
        <w:spacing w:after="160" w:line="580" w:lineRule="exact"/>
        <w:ind w:left="640"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七、其他重要事项的说明</w:t>
      </w:r>
    </w:p>
    <w:p w:rsidR="0002701A" w:rsidRDefault="00F23D7F">
      <w:pPr>
        <w:widowControl/>
        <w:spacing w:after="160"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第三部分名词解释</w:t>
      </w:r>
    </w:p>
    <w:p w:rsidR="0002701A" w:rsidRDefault="00F23D7F">
      <w:pPr>
        <w:widowControl/>
        <w:spacing w:after="160" w:line="580" w:lineRule="exact"/>
        <w:ind w:firstLineChars="200" w:firstLine="640"/>
        <w:rPr>
          <w:rFonts w:ascii="Times New Roman" w:eastAsia="仿宋_GB2312" w:hAnsi="Times New Roman"/>
          <w:sz w:val="20"/>
          <w:szCs w:val="32"/>
        </w:rPr>
      </w:pPr>
      <w:r>
        <w:rPr>
          <w:rFonts w:ascii="Times New Roman" w:eastAsia="黑体" w:hAnsi="Times New Roman" w:hint="eastAsia"/>
          <w:sz w:val="32"/>
          <w:szCs w:val="32"/>
        </w:rPr>
        <w:t>第四部分</w:t>
      </w:r>
      <w:r>
        <w:rPr>
          <w:rFonts w:ascii="Times New Roman" w:eastAsia="黑体" w:hAnsi="Times New Roman"/>
          <w:sz w:val="32"/>
          <w:szCs w:val="32"/>
        </w:rPr>
        <w:t xml:space="preserve">  2019</w:t>
      </w:r>
      <w:r>
        <w:rPr>
          <w:rFonts w:ascii="Times New Roman" w:eastAsia="黑体" w:hAnsi="Times New Roman" w:hint="eastAsia"/>
          <w:sz w:val="32"/>
          <w:szCs w:val="32"/>
        </w:rPr>
        <w:t>年度部门决算报表</w:t>
      </w:r>
    </w:p>
    <w:p w:rsidR="0002701A" w:rsidRDefault="0002701A">
      <w:pPr>
        <w:widowControl/>
        <w:spacing w:after="160" w:line="580" w:lineRule="exact"/>
        <w:rPr>
          <w:rFonts w:ascii="Times New Roman" w:eastAsia="黑体" w:hAnsi="Times New Roman"/>
          <w:sz w:val="32"/>
          <w:szCs w:val="32"/>
        </w:rPr>
        <w:sectPr w:rsidR="0002701A">
          <w:headerReference w:type="default" r:id="rId23"/>
          <w:footerReference w:type="default" r:id="rId24"/>
          <w:headerReference w:type="first" r:id="rId25"/>
          <w:footerReference w:type="first" r:id="rId26"/>
          <w:type w:val="continuous"/>
          <w:pgSz w:w="11906" w:h="16838"/>
          <w:pgMar w:top="2041" w:right="1531" w:bottom="2041" w:left="1531" w:header="851" w:footer="992" w:gutter="0"/>
          <w:cols w:space="0"/>
          <w:titlePg/>
          <w:docGrid w:type="lines" w:linePitch="312"/>
        </w:sectPr>
      </w:pPr>
    </w:p>
    <w:p w:rsidR="0002701A" w:rsidRDefault="0002701A">
      <w:pPr>
        <w:widowControl/>
        <w:spacing w:line="580" w:lineRule="exact"/>
        <w:ind w:firstLineChars="200" w:firstLine="640"/>
        <w:rPr>
          <w:rFonts w:eastAsia="黑体"/>
          <w:sz w:val="32"/>
          <w:szCs w:val="32"/>
        </w:rPr>
      </w:pPr>
    </w:p>
    <w:p w:rsidR="0002701A" w:rsidRDefault="0002701A">
      <w:pPr>
        <w:widowControl/>
        <w:spacing w:line="580" w:lineRule="exact"/>
        <w:ind w:firstLineChars="200" w:firstLine="640"/>
        <w:rPr>
          <w:rFonts w:eastAsia="黑体"/>
          <w:sz w:val="32"/>
          <w:szCs w:val="32"/>
        </w:rPr>
      </w:pPr>
    </w:p>
    <w:p w:rsidR="0002701A" w:rsidRDefault="0002701A">
      <w:pPr>
        <w:widowControl/>
        <w:spacing w:line="580" w:lineRule="exact"/>
        <w:ind w:firstLineChars="200" w:firstLine="640"/>
        <w:rPr>
          <w:rFonts w:eastAsia="黑体"/>
          <w:sz w:val="32"/>
          <w:szCs w:val="32"/>
        </w:rPr>
      </w:pPr>
    </w:p>
    <w:p w:rsidR="0002701A" w:rsidRDefault="001A202F">
      <w:r>
        <w:pict>
          <v:shape id="文本框 13" o:spid="_x0000_s1053" type="#_x0000_t202" style="position:absolute;left:0;text-align:left;margin-left:-85.7pt;margin-top:55.05pt;width:613.65pt;height:146pt;z-index:251657728;v-text-anchor:middle" o:gfxdata="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VCNftgAAAANAQAADwAAAAAAAAABACAAAAAiAAAAZHJzL2Rvd25y&#10;ZXYueG1sUEsBAhQAFAAAAAgAh07iQAkSYxs3AgAAjwQAAA4AAAAAAAAAAQAgAAAAJwEAAGRycy9l&#10;Mm9Eb2MueG1sUEsFBgAAAAAGAAYAWQEAANAFAAAAAA==&#10;" fillcolor="#ffd966" strokecolor="#ffd966" strokeweight="1pt">
            <v:fill r:id="rId27" o:title="image2" color2="#cce8cf" type="pattern"/>
            <v:stroke joinstyle="round"/>
            <v:textbox>
              <w:txbxContent>
                <w:p w:rsidR="00F23D7F" w:rsidRDefault="00F23D7F">
                  <w:pPr>
                    <w:widowControl/>
                    <w:jc w:val="center"/>
                    <w:rPr>
                      <w:rFonts w:ascii="黑体" w:eastAsia="黑体" w:hAnsi="黑体" w:cs="黑体"/>
                      <w:color w:val="000000"/>
                      <w:sz w:val="96"/>
                      <w:szCs w:val="96"/>
                    </w:rPr>
                  </w:pPr>
                  <w:r>
                    <w:rPr>
                      <w:rFonts w:ascii="黑体" w:eastAsia="黑体" w:hAnsi="黑体" w:cs="黑体" w:hint="eastAsia"/>
                      <w:color w:val="000000"/>
                      <w:sz w:val="96"/>
                      <w:szCs w:val="96"/>
                    </w:rPr>
                    <w:t>第一部分部门概况</w:t>
                  </w:r>
                </w:p>
              </w:txbxContent>
            </v:textbox>
          </v:shape>
        </w:pict>
      </w:r>
      <w:r w:rsidR="00F23D7F">
        <w:br w:type="page"/>
      </w:r>
    </w:p>
    <w:p w:rsidR="0002701A" w:rsidRDefault="00F23D7F">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一</w:t>
      </w:r>
      <w:r>
        <w:rPr>
          <w:rFonts w:ascii="仿宋_GB2312" w:eastAsia="仿宋_GB2312" w:cs="ArialUnicodeMS"/>
          <w:kern w:val="0"/>
          <w:sz w:val="32"/>
          <w:szCs w:val="32"/>
        </w:rPr>
        <w:t>)</w:t>
      </w:r>
      <w:r>
        <w:rPr>
          <w:rFonts w:ascii="仿宋_GB2312" w:eastAsia="仿宋_GB2312" w:cs="ArialUnicodeMS" w:hint="eastAsia"/>
          <w:kern w:val="0"/>
          <w:sz w:val="32"/>
          <w:szCs w:val="32"/>
        </w:rPr>
        <w:t>宣传贯彻执行党的路线方针政策和党中央、上级党组织的决议。贯彻执行法律、法规、规章和上级人民代表大会及其常务委员会决议及上级政府的决定、命令</w:t>
      </w:r>
      <w:r>
        <w:rPr>
          <w:rFonts w:ascii="仿宋_GB2312" w:eastAsia="仿宋_GB2312" w:cs="ArialUnicodeMS"/>
          <w:kern w:val="0"/>
          <w:sz w:val="32"/>
          <w:szCs w:val="32"/>
        </w:rPr>
        <w:t>,</w:t>
      </w:r>
      <w:r>
        <w:rPr>
          <w:rFonts w:ascii="仿宋_GB2312" w:eastAsia="仿宋_GB2312" w:cs="ArialUnicodeMS" w:hint="eastAsia"/>
          <w:kern w:val="0"/>
          <w:sz w:val="32"/>
          <w:szCs w:val="32"/>
        </w:rPr>
        <w:t>依法管理辖区公共事务；</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二</w:t>
      </w:r>
      <w:r>
        <w:rPr>
          <w:rFonts w:ascii="仿宋_GB2312" w:eastAsia="仿宋_GB2312" w:cs="ArialUnicodeMS"/>
          <w:kern w:val="0"/>
          <w:sz w:val="32"/>
          <w:szCs w:val="32"/>
        </w:rPr>
        <w:t>)</w:t>
      </w:r>
      <w:r>
        <w:rPr>
          <w:rFonts w:ascii="仿宋_GB2312" w:eastAsia="仿宋_GB2312" w:cs="ArialUnicodeMS" w:hint="eastAsia"/>
          <w:kern w:val="0"/>
          <w:sz w:val="32"/>
          <w:szCs w:val="32"/>
        </w:rPr>
        <w:t>讨论并决定本街道重大问题</w:t>
      </w:r>
      <w:r>
        <w:rPr>
          <w:rFonts w:ascii="仿宋_GB2312" w:eastAsia="仿宋_GB2312" w:cs="ArialUnicodeMS"/>
          <w:kern w:val="0"/>
          <w:sz w:val="32"/>
          <w:szCs w:val="32"/>
        </w:rPr>
        <w:t>,</w:t>
      </w:r>
      <w:r>
        <w:rPr>
          <w:rFonts w:ascii="仿宋_GB2312" w:eastAsia="仿宋_GB2312" w:cs="ArialUnicodeMS" w:hint="eastAsia"/>
          <w:kern w:val="0"/>
          <w:sz w:val="32"/>
          <w:szCs w:val="32"/>
        </w:rPr>
        <w:t>统筹、协调辖区单位和组织</w:t>
      </w:r>
      <w:r>
        <w:rPr>
          <w:rFonts w:ascii="仿宋_GB2312" w:eastAsia="仿宋_GB2312" w:cs="ArialUnicodeMS"/>
          <w:kern w:val="0"/>
          <w:sz w:val="32"/>
          <w:szCs w:val="32"/>
        </w:rPr>
        <w:t>,</w:t>
      </w:r>
      <w:r>
        <w:rPr>
          <w:rFonts w:ascii="仿宋_GB2312" w:eastAsia="仿宋_GB2312" w:cs="ArialUnicodeMS" w:hint="eastAsia"/>
          <w:kern w:val="0"/>
          <w:sz w:val="32"/>
          <w:szCs w:val="32"/>
        </w:rPr>
        <w:t>团结、组织党内外干部和群众</w:t>
      </w:r>
      <w:r>
        <w:rPr>
          <w:rFonts w:ascii="仿宋_GB2312" w:eastAsia="仿宋_GB2312" w:cs="ArialUnicodeMS"/>
          <w:kern w:val="0"/>
          <w:sz w:val="32"/>
          <w:szCs w:val="32"/>
        </w:rPr>
        <w:t>,</w:t>
      </w:r>
      <w:r>
        <w:rPr>
          <w:rFonts w:ascii="仿宋_GB2312" w:eastAsia="仿宋_GB2312" w:cs="ArialUnicodeMS" w:hint="eastAsia"/>
          <w:kern w:val="0"/>
          <w:sz w:val="32"/>
          <w:szCs w:val="32"/>
        </w:rPr>
        <w:t>抓好决策部署的组织实施和督促落实。组织实施与居民生活密切相关的公共服务</w:t>
      </w:r>
      <w:r>
        <w:rPr>
          <w:rFonts w:ascii="仿宋_GB2312" w:eastAsia="仿宋_GB2312" w:cs="ArialUnicodeMS"/>
          <w:kern w:val="0"/>
          <w:sz w:val="32"/>
          <w:szCs w:val="32"/>
        </w:rPr>
        <w:t>,</w:t>
      </w:r>
      <w:r>
        <w:rPr>
          <w:rFonts w:ascii="仿宋_GB2312" w:eastAsia="仿宋_GB2312" w:cs="ArialUnicodeMS" w:hint="eastAsia"/>
          <w:kern w:val="0"/>
          <w:sz w:val="32"/>
          <w:szCs w:val="32"/>
        </w:rPr>
        <w:t>落实民政民生、卫生健康、住房保障、就业创业、社会保障、文化教育和体育事业等政策；</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三</w:t>
      </w:r>
      <w:r>
        <w:rPr>
          <w:rFonts w:ascii="仿宋_GB2312" w:eastAsia="仿宋_GB2312" w:cs="ArialUnicodeMS"/>
          <w:kern w:val="0"/>
          <w:sz w:val="32"/>
          <w:szCs w:val="32"/>
        </w:rPr>
        <w:t>)</w:t>
      </w:r>
      <w:r>
        <w:rPr>
          <w:rFonts w:ascii="仿宋_GB2312" w:eastAsia="仿宋_GB2312" w:cs="ArialUnicodeMS" w:hint="eastAsia"/>
          <w:kern w:val="0"/>
          <w:sz w:val="32"/>
          <w:szCs w:val="32"/>
        </w:rPr>
        <w:t>加强街道党工委自身建设和基层党组织建设</w:t>
      </w:r>
      <w:r>
        <w:rPr>
          <w:rFonts w:ascii="仿宋_GB2312" w:eastAsia="仿宋_GB2312" w:cs="ArialUnicodeMS"/>
          <w:kern w:val="0"/>
          <w:sz w:val="32"/>
          <w:szCs w:val="32"/>
        </w:rPr>
        <w:t>,</w:t>
      </w:r>
      <w:r>
        <w:rPr>
          <w:rFonts w:ascii="仿宋_GB2312" w:eastAsia="仿宋_GB2312" w:cs="ArialUnicodeMS" w:hint="eastAsia"/>
          <w:kern w:val="0"/>
          <w:sz w:val="32"/>
          <w:szCs w:val="32"/>
        </w:rPr>
        <w:t>履行全面从严治党主体责任</w:t>
      </w:r>
      <w:r>
        <w:rPr>
          <w:rFonts w:ascii="仿宋_GB2312" w:eastAsia="仿宋_GB2312" w:cs="ArialUnicodeMS"/>
          <w:kern w:val="0"/>
          <w:sz w:val="32"/>
          <w:szCs w:val="32"/>
        </w:rPr>
        <w:t>,</w:t>
      </w:r>
      <w:r>
        <w:rPr>
          <w:rFonts w:ascii="仿宋_GB2312" w:eastAsia="仿宋_GB2312" w:cs="ArialUnicodeMS" w:hint="eastAsia"/>
          <w:kern w:val="0"/>
          <w:sz w:val="32"/>
          <w:szCs w:val="32"/>
        </w:rPr>
        <w:t>建立健全党建联席会议制度</w:t>
      </w:r>
      <w:r>
        <w:rPr>
          <w:rFonts w:ascii="仿宋_GB2312" w:eastAsia="仿宋_GB2312" w:cs="ArialUnicodeMS"/>
          <w:kern w:val="0"/>
          <w:sz w:val="32"/>
          <w:szCs w:val="32"/>
        </w:rPr>
        <w:t>,</w:t>
      </w:r>
      <w:r>
        <w:rPr>
          <w:rFonts w:ascii="仿宋_GB2312" w:eastAsia="仿宋_GB2312" w:cs="ArialUnicodeMS" w:hint="eastAsia"/>
          <w:kern w:val="0"/>
          <w:sz w:val="32"/>
          <w:szCs w:val="32"/>
        </w:rPr>
        <w:t>全面推进辖区党的政治建设、思想建设、组织建设、作风建设、纪律建设</w:t>
      </w:r>
      <w:r>
        <w:rPr>
          <w:rFonts w:ascii="仿宋_GB2312" w:eastAsia="仿宋_GB2312" w:cs="ArialUnicodeMS"/>
          <w:kern w:val="0"/>
          <w:sz w:val="32"/>
          <w:szCs w:val="32"/>
        </w:rPr>
        <w:t>,</w:t>
      </w:r>
      <w:r>
        <w:rPr>
          <w:rFonts w:ascii="仿宋_GB2312" w:eastAsia="仿宋_GB2312" w:cs="ArialUnicodeMS" w:hint="eastAsia"/>
          <w:kern w:val="0"/>
          <w:sz w:val="32"/>
          <w:szCs w:val="32"/>
        </w:rPr>
        <w:t>把制度建设贯穿其中</w:t>
      </w:r>
      <w:r>
        <w:rPr>
          <w:rFonts w:ascii="仿宋_GB2312" w:eastAsia="仿宋_GB2312" w:cs="ArialUnicodeMS"/>
          <w:kern w:val="0"/>
          <w:sz w:val="32"/>
          <w:szCs w:val="32"/>
        </w:rPr>
        <w:t>,</w:t>
      </w:r>
      <w:r>
        <w:rPr>
          <w:rFonts w:ascii="仿宋_GB2312" w:eastAsia="仿宋_GB2312" w:cs="ArialUnicodeMS" w:hint="eastAsia"/>
          <w:kern w:val="0"/>
          <w:sz w:val="32"/>
          <w:szCs w:val="32"/>
        </w:rPr>
        <w:t>组织开展党风廉政建设和反腐败工作；</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四</w:t>
      </w:r>
      <w:r>
        <w:rPr>
          <w:rFonts w:ascii="仿宋_GB2312" w:eastAsia="仿宋_GB2312" w:cs="ArialUnicodeMS"/>
          <w:kern w:val="0"/>
          <w:sz w:val="32"/>
          <w:szCs w:val="32"/>
        </w:rPr>
        <w:t>)</w:t>
      </w:r>
      <w:r>
        <w:rPr>
          <w:rFonts w:ascii="仿宋_GB2312" w:eastAsia="仿宋_GB2312" w:cs="ArialUnicodeMS" w:hint="eastAsia"/>
          <w:kern w:val="0"/>
          <w:sz w:val="32"/>
          <w:szCs w:val="32"/>
        </w:rPr>
        <w:t>街道党工委领导群团组织并加强指导和规范</w:t>
      </w:r>
      <w:r>
        <w:rPr>
          <w:rFonts w:ascii="仿宋_GB2312" w:eastAsia="仿宋_GB2312" w:cs="ArialUnicodeMS"/>
          <w:kern w:val="0"/>
          <w:sz w:val="32"/>
          <w:szCs w:val="32"/>
        </w:rPr>
        <w:t>,</w:t>
      </w:r>
      <w:r>
        <w:rPr>
          <w:rFonts w:ascii="仿宋_GB2312" w:eastAsia="仿宋_GB2312" w:cs="ArialUnicodeMS" w:hint="eastAsia"/>
          <w:kern w:val="0"/>
          <w:sz w:val="32"/>
          <w:szCs w:val="32"/>
        </w:rPr>
        <w:t>支持和保证群团组织依照国家法律法规以及各自章程履行职责。坚持党管武装的根本原则和制度</w:t>
      </w:r>
      <w:r>
        <w:rPr>
          <w:rFonts w:ascii="仿宋_GB2312" w:eastAsia="仿宋_GB2312" w:cs="ArialUnicodeMS"/>
          <w:kern w:val="0"/>
          <w:sz w:val="32"/>
          <w:szCs w:val="32"/>
        </w:rPr>
        <w:t>,</w:t>
      </w:r>
      <w:r>
        <w:rPr>
          <w:rFonts w:ascii="仿宋_GB2312" w:eastAsia="仿宋_GB2312" w:cs="ArialUnicodeMS" w:hint="eastAsia"/>
          <w:kern w:val="0"/>
          <w:sz w:val="32"/>
          <w:szCs w:val="32"/>
        </w:rPr>
        <w:t>协调各方力量</w:t>
      </w:r>
      <w:r>
        <w:rPr>
          <w:rFonts w:ascii="仿宋_GB2312" w:eastAsia="仿宋_GB2312" w:cs="ArialUnicodeMS"/>
          <w:kern w:val="0"/>
          <w:sz w:val="32"/>
          <w:szCs w:val="32"/>
        </w:rPr>
        <w:t>,</w:t>
      </w:r>
      <w:r>
        <w:rPr>
          <w:rFonts w:ascii="仿宋_GB2312" w:eastAsia="仿宋_GB2312" w:cs="ArialUnicodeMS" w:hint="eastAsia"/>
          <w:kern w:val="0"/>
          <w:sz w:val="32"/>
          <w:szCs w:val="32"/>
        </w:rPr>
        <w:t>对街道人民武装工作实行统一领导；</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五</w:t>
      </w:r>
      <w:r>
        <w:rPr>
          <w:rFonts w:ascii="仿宋_GB2312" w:eastAsia="仿宋_GB2312" w:cs="ArialUnicodeMS"/>
          <w:kern w:val="0"/>
          <w:sz w:val="32"/>
          <w:szCs w:val="32"/>
        </w:rPr>
        <w:t>)</w:t>
      </w:r>
      <w:r>
        <w:rPr>
          <w:rFonts w:ascii="仿宋_GB2312" w:eastAsia="仿宋_GB2312" w:cs="ArialUnicodeMS" w:hint="eastAsia"/>
          <w:kern w:val="0"/>
          <w:sz w:val="32"/>
          <w:szCs w:val="32"/>
        </w:rPr>
        <w:t>指导居民委员会等基层群众性自治组织建设</w:t>
      </w:r>
      <w:r>
        <w:rPr>
          <w:rFonts w:ascii="仿宋_GB2312" w:eastAsia="仿宋_GB2312" w:cs="ArialUnicodeMS"/>
          <w:kern w:val="0"/>
          <w:sz w:val="32"/>
          <w:szCs w:val="32"/>
        </w:rPr>
        <w:t>,</w:t>
      </w:r>
      <w:r>
        <w:rPr>
          <w:rFonts w:ascii="仿宋_GB2312" w:eastAsia="仿宋_GB2312" w:cs="ArialUnicodeMS" w:hint="eastAsia"/>
          <w:kern w:val="0"/>
          <w:sz w:val="32"/>
          <w:szCs w:val="32"/>
        </w:rPr>
        <w:t>健全自治平台。组织动员社区居民、单位和社会力量参与社区治理</w:t>
      </w:r>
      <w:r>
        <w:rPr>
          <w:rFonts w:ascii="仿宋_GB2312" w:eastAsia="仿宋_GB2312" w:cs="ArialUnicodeMS"/>
          <w:kern w:val="0"/>
          <w:sz w:val="32"/>
          <w:szCs w:val="32"/>
        </w:rPr>
        <w:t>,</w:t>
      </w:r>
      <w:r>
        <w:rPr>
          <w:rFonts w:ascii="仿宋_GB2312" w:eastAsia="仿宋_GB2312" w:cs="ArialUnicodeMS" w:hint="eastAsia"/>
          <w:kern w:val="0"/>
          <w:sz w:val="32"/>
          <w:szCs w:val="32"/>
        </w:rPr>
        <w:t>整合辖区内社会力量</w:t>
      </w:r>
      <w:r>
        <w:rPr>
          <w:rFonts w:ascii="仿宋_GB2312" w:eastAsia="仿宋_GB2312" w:cs="ArialUnicodeMS"/>
          <w:kern w:val="0"/>
          <w:sz w:val="32"/>
          <w:szCs w:val="32"/>
        </w:rPr>
        <w:t>,</w:t>
      </w:r>
      <w:r>
        <w:rPr>
          <w:rFonts w:ascii="仿宋_GB2312" w:eastAsia="仿宋_GB2312" w:cs="ArialUnicodeMS" w:hint="eastAsia"/>
          <w:kern w:val="0"/>
          <w:sz w:val="32"/>
          <w:szCs w:val="32"/>
        </w:rPr>
        <w:t>形成社区共治合力</w:t>
      </w:r>
      <w:r>
        <w:rPr>
          <w:rFonts w:ascii="仿宋_GB2312" w:eastAsia="仿宋_GB2312" w:cs="ArialUnicodeMS"/>
          <w:kern w:val="0"/>
          <w:sz w:val="32"/>
          <w:szCs w:val="32"/>
        </w:rPr>
        <w:t>,</w:t>
      </w:r>
      <w:r>
        <w:rPr>
          <w:rFonts w:ascii="仿宋_GB2312" w:eastAsia="仿宋_GB2312" w:cs="ArialUnicodeMS" w:hint="eastAsia"/>
          <w:kern w:val="0"/>
          <w:sz w:val="32"/>
          <w:szCs w:val="32"/>
        </w:rPr>
        <w:t>为社区发展服务。对社区工作者队伍进行教育管理；</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lastRenderedPageBreak/>
        <w:t>(</w:t>
      </w:r>
      <w:r>
        <w:rPr>
          <w:rFonts w:ascii="仿宋_GB2312" w:eastAsia="仿宋_GB2312" w:cs="ArialUnicodeMS" w:hint="eastAsia"/>
          <w:kern w:val="0"/>
          <w:sz w:val="32"/>
          <w:szCs w:val="32"/>
        </w:rPr>
        <w:t>六</w:t>
      </w:r>
      <w:r>
        <w:rPr>
          <w:rFonts w:ascii="仿宋_GB2312" w:eastAsia="仿宋_GB2312" w:cs="ArialUnicodeMS"/>
          <w:kern w:val="0"/>
          <w:sz w:val="32"/>
          <w:szCs w:val="32"/>
        </w:rPr>
        <w:t>)</w:t>
      </w:r>
      <w:r>
        <w:rPr>
          <w:rFonts w:ascii="仿宋_GB2312" w:eastAsia="仿宋_GB2312" w:cs="ArialUnicodeMS" w:hint="eastAsia"/>
          <w:kern w:val="0"/>
          <w:sz w:val="32"/>
          <w:szCs w:val="32"/>
        </w:rPr>
        <w:t>按照管理权限</w:t>
      </w:r>
      <w:r>
        <w:rPr>
          <w:rFonts w:ascii="仿宋_GB2312" w:eastAsia="仿宋_GB2312" w:cs="ArialUnicodeMS"/>
          <w:kern w:val="0"/>
          <w:sz w:val="32"/>
          <w:szCs w:val="32"/>
        </w:rPr>
        <w:t>,</w:t>
      </w:r>
      <w:r>
        <w:rPr>
          <w:rFonts w:ascii="仿宋_GB2312" w:eastAsia="仿宋_GB2312" w:cs="ArialUnicodeMS" w:hint="eastAsia"/>
          <w:kern w:val="0"/>
          <w:sz w:val="32"/>
          <w:szCs w:val="32"/>
        </w:rPr>
        <w:t>对街道机关及所属单位干部进行教育、培训、选拔、考核和监督</w:t>
      </w:r>
      <w:r>
        <w:rPr>
          <w:rFonts w:ascii="仿宋_GB2312" w:eastAsia="仿宋_GB2312" w:cs="ArialUnicodeMS"/>
          <w:kern w:val="0"/>
          <w:sz w:val="32"/>
          <w:szCs w:val="32"/>
        </w:rPr>
        <w:t>,</w:t>
      </w:r>
      <w:r>
        <w:rPr>
          <w:rFonts w:ascii="仿宋_GB2312" w:eastAsia="仿宋_GB2312" w:cs="ArialUnicodeMS" w:hint="eastAsia"/>
          <w:kern w:val="0"/>
          <w:sz w:val="32"/>
          <w:szCs w:val="32"/>
        </w:rPr>
        <w:t>对上级政府职能部门派出机构的工作考核和主要负责同志任免提出意见；</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七</w:t>
      </w:r>
      <w:r>
        <w:rPr>
          <w:rFonts w:ascii="仿宋_GB2312" w:eastAsia="仿宋_GB2312" w:cs="ArialUnicodeMS"/>
          <w:kern w:val="0"/>
          <w:sz w:val="32"/>
          <w:szCs w:val="32"/>
        </w:rPr>
        <w:t>)</w:t>
      </w:r>
      <w:r>
        <w:rPr>
          <w:rFonts w:ascii="仿宋_GB2312" w:eastAsia="仿宋_GB2312" w:cs="ArialUnicodeMS" w:hint="eastAsia"/>
          <w:kern w:val="0"/>
          <w:sz w:val="32"/>
          <w:szCs w:val="32"/>
        </w:rPr>
        <w:t>组织维护辖区安全稳定</w:t>
      </w:r>
      <w:r>
        <w:rPr>
          <w:rFonts w:ascii="仿宋_GB2312" w:eastAsia="仿宋_GB2312" w:cs="ArialUnicodeMS"/>
          <w:kern w:val="0"/>
          <w:sz w:val="32"/>
          <w:szCs w:val="32"/>
        </w:rPr>
        <w:t>,</w:t>
      </w:r>
      <w:r>
        <w:rPr>
          <w:rFonts w:ascii="仿宋_GB2312" w:eastAsia="仿宋_GB2312" w:cs="ArialUnicodeMS" w:hint="eastAsia"/>
          <w:kern w:val="0"/>
          <w:sz w:val="32"/>
          <w:szCs w:val="32"/>
        </w:rPr>
        <w:t>协调推动社会治安综合治理</w:t>
      </w:r>
      <w:r>
        <w:rPr>
          <w:rFonts w:ascii="仿宋_GB2312" w:eastAsia="仿宋_GB2312" w:cs="ArialUnicodeMS"/>
          <w:kern w:val="0"/>
          <w:sz w:val="32"/>
          <w:szCs w:val="32"/>
        </w:rPr>
        <w:t>,</w:t>
      </w:r>
      <w:r>
        <w:rPr>
          <w:rFonts w:ascii="仿宋_GB2312" w:eastAsia="仿宋_GB2312" w:cs="ArialUnicodeMS" w:hint="eastAsia"/>
          <w:kern w:val="0"/>
          <w:sz w:val="32"/>
          <w:szCs w:val="32"/>
        </w:rPr>
        <w:t>做好应急管理、民族宗教工作</w:t>
      </w:r>
      <w:r>
        <w:rPr>
          <w:rFonts w:ascii="仿宋_GB2312" w:eastAsia="仿宋_GB2312" w:cs="ArialUnicodeMS"/>
          <w:kern w:val="0"/>
          <w:sz w:val="32"/>
          <w:szCs w:val="32"/>
        </w:rPr>
        <w:t>,</w:t>
      </w:r>
      <w:r>
        <w:rPr>
          <w:rFonts w:ascii="仿宋_GB2312" w:eastAsia="仿宋_GB2312" w:cs="ArialUnicodeMS" w:hint="eastAsia"/>
          <w:kern w:val="0"/>
          <w:sz w:val="32"/>
          <w:szCs w:val="32"/>
        </w:rPr>
        <w:t>承担民兵预备役、征兵、退役军人服务、拥军优属、防范邪教等工作；</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八</w:t>
      </w:r>
      <w:r>
        <w:rPr>
          <w:rFonts w:ascii="仿宋_GB2312" w:eastAsia="仿宋_GB2312" w:cs="ArialUnicodeMS"/>
          <w:kern w:val="0"/>
          <w:sz w:val="32"/>
          <w:szCs w:val="32"/>
        </w:rPr>
        <w:t>)</w:t>
      </w:r>
      <w:r>
        <w:rPr>
          <w:rFonts w:ascii="仿宋_GB2312" w:eastAsia="仿宋_GB2312" w:cs="ArialUnicodeMS" w:hint="eastAsia"/>
          <w:kern w:val="0"/>
          <w:sz w:val="32"/>
          <w:szCs w:val="32"/>
        </w:rPr>
        <w:t>组织开展群众性文化、体育、科普活动</w:t>
      </w:r>
      <w:r>
        <w:rPr>
          <w:rFonts w:ascii="仿宋_GB2312" w:eastAsia="仿宋_GB2312" w:cs="ArialUnicodeMS"/>
          <w:kern w:val="0"/>
          <w:sz w:val="32"/>
          <w:szCs w:val="32"/>
        </w:rPr>
        <w:t>,</w:t>
      </w:r>
      <w:r>
        <w:rPr>
          <w:rFonts w:ascii="仿宋_GB2312" w:eastAsia="仿宋_GB2312" w:cs="ArialUnicodeMS" w:hint="eastAsia"/>
          <w:kern w:val="0"/>
          <w:sz w:val="32"/>
          <w:szCs w:val="32"/>
        </w:rPr>
        <w:t>开展法治宣传和社会公德教育</w:t>
      </w:r>
      <w:r>
        <w:rPr>
          <w:rFonts w:ascii="仿宋_GB2312" w:eastAsia="仿宋_GB2312" w:cs="ArialUnicodeMS"/>
          <w:kern w:val="0"/>
          <w:sz w:val="32"/>
          <w:szCs w:val="32"/>
        </w:rPr>
        <w:t>,</w:t>
      </w:r>
      <w:r>
        <w:rPr>
          <w:rFonts w:ascii="仿宋_GB2312" w:eastAsia="仿宋_GB2312" w:cs="ArialUnicodeMS" w:hint="eastAsia"/>
          <w:kern w:val="0"/>
          <w:sz w:val="32"/>
          <w:szCs w:val="32"/>
        </w:rPr>
        <w:t>推动社区公益事业发展。维护老年人、妇女、未成年人、残疾人等合法权益；</w:t>
      </w:r>
    </w:p>
    <w:p w:rsidR="0002701A" w:rsidRDefault="00F23D7F">
      <w:pPr>
        <w:widowControl/>
        <w:spacing w:line="580" w:lineRule="exact"/>
        <w:ind w:firstLineChars="200" w:firstLine="640"/>
        <w:rPr>
          <w:rFonts w:ascii="仿宋_GB2312" w:eastAsia="仿宋_GB2312"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九</w:t>
      </w:r>
      <w:r>
        <w:rPr>
          <w:rFonts w:ascii="仿宋_GB2312" w:eastAsia="仿宋_GB2312" w:cs="ArialUnicodeMS"/>
          <w:kern w:val="0"/>
          <w:sz w:val="32"/>
          <w:szCs w:val="32"/>
        </w:rPr>
        <w:t>)</w:t>
      </w:r>
      <w:r>
        <w:rPr>
          <w:rFonts w:ascii="仿宋_GB2312" w:eastAsia="仿宋_GB2312" w:cs="ArialUnicodeMS" w:hint="eastAsia"/>
          <w:kern w:val="0"/>
          <w:sz w:val="32"/>
          <w:szCs w:val="32"/>
        </w:rPr>
        <w:t>参与辖区设施规划、建设和验收</w:t>
      </w:r>
      <w:r>
        <w:rPr>
          <w:rFonts w:ascii="仿宋_GB2312" w:eastAsia="仿宋_GB2312" w:cs="ArialUnicodeMS"/>
          <w:kern w:val="0"/>
          <w:sz w:val="32"/>
          <w:szCs w:val="32"/>
        </w:rPr>
        <w:t>,</w:t>
      </w:r>
      <w:r>
        <w:rPr>
          <w:rFonts w:ascii="仿宋_GB2312" w:eastAsia="仿宋_GB2312" w:cs="ArialUnicodeMS" w:hint="eastAsia"/>
          <w:kern w:val="0"/>
          <w:sz w:val="32"/>
          <w:szCs w:val="32"/>
        </w:rPr>
        <w:t>综合管理、统筹调度和考核督办涉及辖区的公共事务</w:t>
      </w:r>
      <w:r>
        <w:rPr>
          <w:rFonts w:ascii="仿宋_GB2312" w:eastAsia="仿宋_GB2312" w:cs="ArialUnicodeMS"/>
          <w:kern w:val="0"/>
          <w:sz w:val="32"/>
          <w:szCs w:val="32"/>
        </w:rPr>
        <w:t>,</w:t>
      </w:r>
      <w:r>
        <w:rPr>
          <w:rFonts w:ascii="仿宋_GB2312" w:eastAsia="仿宋_GB2312" w:cs="ArialUnicodeMS" w:hint="eastAsia"/>
          <w:kern w:val="0"/>
          <w:sz w:val="32"/>
          <w:szCs w:val="32"/>
        </w:rPr>
        <w:t>按照有关规定统筹使用下沉到街道社区的人财物等资源；</w:t>
      </w:r>
    </w:p>
    <w:p w:rsidR="0002701A" w:rsidRDefault="00F23D7F">
      <w:pPr>
        <w:widowControl/>
        <w:spacing w:line="580" w:lineRule="exact"/>
        <w:ind w:firstLineChars="200" w:firstLine="640"/>
        <w:rPr>
          <w:rFonts w:ascii="仿宋_GB2312" w:eastAsia="仿宋_GB2312" w:hAnsi="Calibri" w:cs="ArialUnicodeMS"/>
          <w:kern w:val="0"/>
          <w:sz w:val="32"/>
          <w:szCs w:val="32"/>
        </w:rPr>
      </w:pPr>
      <w:r>
        <w:rPr>
          <w:rFonts w:ascii="仿宋_GB2312" w:eastAsia="仿宋_GB2312" w:cs="ArialUnicodeMS"/>
          <w:kern w:val="0"/>
          <w:sz w:val="32"/>
          <w:szCs w:val="32"/>
        </w:rPr>
        <w:t>(</w:t>
      </w:r>
      <w:r>
        <w:rPr>
          <w:rFonts w:ascii="仿宋_GB2312" w:eastAsia="仿宋_GB2312" w:cs="ArialUnicodeMS" w:hint="eastAsia"/>
          <w:kern w:val="0"/>
          <w:sz w:val="32"/>
          <w:szCs w:val="32"/>
        </w:rPr>
        <w:t>十</w:t>
      </w:r>
      <w:r>
        <w:rPr>
          <w:rFonts w:ascii="仿宋_GB2312" w:eastAsia="仿宋_GB2312" w:cs="ArialUnicodeMS"/>
          <w:kern w:val="0"/>
          <w:sz w:val="32"/>
          <w:szCs w:val="32"/>
        </w:rPr>
        <w:t>)</w:t>
      </w:r>
      <w:r>
        <w:rPr>
          <w:rFonts w:ascii="仿宋_GB2312" w:eastAsia="仿宋_GB2312" w:cs="ArialUnicodeMS" w:hint="eastAsia"/>
          <w:kern w:val="0"/>
          <w:sz w:val="32"/>
          <w:szCs w:val="32"/>
        </w:rPr>
        <w:t>承办上级交办的其他事项。</w:t>
      </w:r>
    </w:p>
    <w:p w:rsidR="0002701A" w:rsidRDefault="00F23D7F">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02701A" w:rsidRDefault="00F23D7F">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w:t>
      </w:r>
      <w:r>
        <w:rPr>
          <w:rFonts w:ascii="仿宋_GB2312" w:eastAsia="仿宋_GB2312" w:hAnsi="Calibri" w:cs="ArialUnicodeMS"/>
          <w:kern w:val="0"/>
          <w:sz w:val="32"/>
          <w:szCs w:val="32"/>
        </w:rPr>
        <w:t xml:space="preserve">2019 </w:t>
      </w:r>
      <w:r>
        <w:rPr>
          <w:rFonts w:ascii="仿宋_GB2312" w:eastAsia="仿宋_GB2312" w:hAnsi="Calibri" w:cs="ArialUnicodeMS" w:hint="eastAsia"/>
          <w:kern w:val="0"/>
          <w:sz w:val="32"/>
          <w:szCs w:val="32"/>
        </w:rPr>
        <w:t>年度本部门决算汇编范围的独立核算单位（以下简称“单位”）共1个，具体情况如下：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4795"/>
        <w:gridCol w:w="2073"/>
        <w:gridCol w:w="1727"/>
      </w:tblGrid>
      <w:tr w:rsidR="0002701A">
        <w:trPr>
          <w:trHeight w:val="568"/>
          <w:jc w:val="center"/>
        </w:trPr>
        <w:tc>
          <w:tcPr>
            <w:tcW w:w="985" w:type="dxa"/>
            <w:vAlign w:val="center"/>
          </w:tcPr>
          <w:p w:rsidR="0002701A" w:rsidRDefault="00F23D7F">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4795" w:type="dxa"/>
            <w:vAlign w:val="center"/>
          </w:tcPr>
          <w:p w:rsidR="0002701A" w:rsidRDefault="00F23D7F">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073" w:type="dxa"/>
            <w:vAlign w:val="center"/>
          </w:tcPr>
          <w:p w:rsidR="0002701A" w:rsidRDefault="00F23D7F">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1727" w:type="dxa"/>
            <w:vAlign w:val="center"/>
          </w:tcPr>
          <w:p w:rsidR="0002701A" w:rsidRDefault="00F23D7F">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02701A">
        <w:trPr>
          <w:trHeight w:val="677"/>
          <w:jc w:val="center"/>
        </w:trPr>
        <w:tc>
          <w:tcPr>
            <w:tcW w:w="985" w:type="dxa"/>
          </w:tcPr>
          <w:p w:rsidR="0002701A" w:rsidRDefault="00F23D7F">
            <w:pPr>
              <w:spacing w:line="560" w:lineRule="exact"/>
              <w:jc w:val="center"/>
              <w:rPr>
                <w:rFonts w:ascii="仿宋_GB2312" w:eastAsia="仿宋_GB2312" w:hAnsi="Cambria" w:cs="ArialUnicodeMS"/>
                <w:kern w:val="0"/>
                <w:sz w:val="28"/>
                <w:szCs w:val="28"/>
              </w:rPr>
            </w:pPr>
            <w:r>
              <w:rPr>
                <w:rFonts w:ascii="仿宋_GB2312" w:eastAsia="仿宋_GB2312" w:hAnsi="Cambria" w:cs="ArialUnicodeMS"/>
                <w:kern w:val="0"/>
                <w:sz w:val="28"/>
                <w:szCs w:val="28"/>
              </w:rPr>
              <w:t>1</w:t>
            </w:r>
          </w:p>
        </w:tc>
        <w:tc>
          <w:tcPr>
            <w:tcW w:w="4795" w:type="dxa"/>
          </w:tcPr>
          <w:p w:rsidR="0002701A" w:rsidRDefault="00F23D7F">
            <w:pPr>
              <w:spacing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唐山高新技术产业开发区街道办事处</w:t>
            </w:r>
          </w:p>
        </w:tc>
        <w:tc>
          <w:tcPr>
            <w:tcW w:w="2073" w:type="dxa"/>
            <w:shd w:val="clear" w:color="auto" w:fill="auto"/>
          </w:tcPr>
          <w:p w:rsidR="0002701A" w:rsidRDefault="00F23D7F">
            <w:pPr>
              <w:spacing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行政单位</w:t>
            </w:r>
          </w:p>
        </w:tc>
        <w:tc>
          <w:tcPr>
            <w:tcW w:w="1727" w:type="dxa"/>
            <w:shd w:val="clear" w:color="auto" w:fill="auto"/>
          </w:tcPr>
          <w:p w:rsidR="0002701A" w:rsidRDefault="00F23D7F">
            <w:pPr>
              <w:spacing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02701A">
        <w:trPr>
          <w:trHeight w:val="686"/>
          <w:jc w:val="center"/>
        </w:trPr>
        <w:tc>
          <w:tcPr>
            <w:tcW w:w="9580" w:type="dxa"/>
            <w:gridSpan w:val="4"/>
            <w:tcBorders>
              <w:left w:val="nil"/>
              <w:bottom w:val="nil"/>
              <w:right w:val="nil"/>
            </w:tcBorders>
          </w:tcPr>
          <w:p w:rsidR="0002701A" w:rsidRDefault="0002701A">
            <w:pPr>
              <w:spacing w:line="560" w:lineRule="exact"/>
              <w:jc w:val="left"/>
              <w:rPr>
                <w:rFonts w:ascii="仿宋_GB2312" w:eastAsia="仿宋_GB2312" w:hAnsi="Calibri" w:cs="ArialUnicodeMS"/>
                <w:kern w:val="0"/>
                <w:sz w:val="28"/>
                <w:szCs w:val="28"/>
              </w:rPr>
            </w:pPr>
          </w:p>
        </w:tc>
      </w:tr>
    </w:tbl>
    <w:p w:rsidR="0002701A" w:rsidRDefault="0002701A">
      <w:pPr>
        <w:widowControl/>
        <w:spacing w:after="160" w:line="580" w:lineRule="exact"/>
        <w:rPr>
          <w:rFonts w:ascii="Times New Roman" w:eastAsia="黑体" w:hAnsi="Times New Roman"/>
          <w:sz w:val="32"/>
          <w:szCs w:val="32"/>
        </w:rPr>
        <w:sectPr w:rsidR="0002701A">
          <w:pgSz w:w="11906" w:h="16838"/>
          <w:pgMar w:top="2041" w:right="1531" w:bottom="2041" w:left="1531" w:header="851" w:footer="992" w:gutter="0"/>
          <w:pgNumType w:fmt="numberInDash" w:start="1"/>
          <w:cols w:space="0"/>
          <w:titlePg/>
          <w:docGrid w:type="lines" w:linePitch="312"/>
        </w:sectPr>
      </w:pPr>
    </w:p>
    <w:p w:rsidR="0002701A" w:rsidRDefault="0002701A">
      <w:pPr>
        <w:widowControl/>
        <w:spacing w:after="160" w:line="580" w:lineRule="exact"/>
        <w:rPr>
          <w:rFonts w:ascii="Times New Roman" w:eastAsia="黑体" w:hAnsi="Times New Roman"/>
          <w:sz w:val="32"/>
          <w:szCs w:val="32"/>
        </w:rPr>
        <w:sectPr w:rsidR="0002701A">
          <w:type w:val="continuous"/>
          <w:pgSz w:w="11906" w:h="16838"/>
          <w:pgMar w:top="2041" w:right="1531" w:bottom="2041" w:left="1531" w:header="851" w:footer="992" w:gutter="0"/>
          <w:pgNumType w:fmt="numberInDash"/>
          <w:cols w:space="0"/>
          <w:titlePg/>
          <w:docGrid w:type="lines" w:linePitch="312"/>
        </w:sectPr>
      </w:pPr>
    </w:p>
    <w:p w:rsidR="0002701A" w:rsidRDefault="001A202F">
      <w:pPr>
        <w:widowControl/>
        <w:spacing w:after="160" w:line="580" w:lineRule="exact"/>
        <w:ind w:firstLineChars="200" w:firstLine="420"/>
        <w:rPr>
          <w:rFonts w:ascii="Times New Roman" w:eastAsia="黑体" w:hAnsi="Times New Roman"/>
          <w:sz w:val="32"/>
          <w:szCs w:val="32"/>
        </w:rPr>
        <w:sectPr w:rsidR="0002701A">
          <w:pgSz w:w="11906" w:h="16838"/>
          <w:pgMar w:top="2041" w:right="1531" w:bottom="2041" w:left="1531" w:header="851" w:footer="992" w:gutter="0"/>
          <w:pgNumType w:fmt="numberInDash"/>
          <w:cols w:space="0"/>
          <w:titlePg/>
          <w:docGrid w:type="lines" w:linePitch="312"/>
        </w:sectPr>
      </w:pPr>
      <w:r w:rsidRPr="001A202F">
        <w:lastRenderedPageBreak/>
        <w:pict>
          <v:shape id="_x0000_s1052" type="#_x0000_t202" style="position:absolute;left:0;text-align:left;margin-left:-85.7pt;margin-top:238.15pt;width:613.65pt;height:173.25pt;z-index:251658752"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uuj5PeAAAADQEAAA8AAAAAAAAA&#10;AQAgAAAAIgAAAGRycy9kb3ducmV2LnhtbFBLAQIUABQAAAAIAIdO4kCR71RIRAIAAHkEAAAOAAAA&#10;AAAAAAEAIAAAAC0BAABkcnMvZTJvRG9jLnhtbFBLBQYAAAAABgAGAFkBAADjBQAAAAA=&#10;" filled="f" stroked="f" strokeweight=".5pt">
            <v:textbox>
              <w:txbxContent>
                <w:p w:rsidR="00F23D7F" w:rsidRDefault="00F23D7F">
                  <w:pPr>
                    <w:widowControl/>
                    <w:jc w:val="center"/>
                    <w:rPr>
                      <w:rFonts w:ascii="黑体" w:eastAsia="黑体" w:hAnsi="黑体" w:cs="黑体"/>
                      <w:color w:val="000000"/>
                      <w:sz w:val="96"/>
                      <w:szCs w:val="96"/>
                    </w:rPr>
                  </w:pPr>
                </w:p>
                <w:p w:rsidR="00F23D7F" w:rsidRDefault="00F23D7F">
                  <w:pPr>
                    <w:widowControl/>
                    <w:jc w:val="center"/>
                    <w:rPr>
                      <w:rFonts w:ascii="黑体" w:eastAsia="黑体" w:hAnsi="黑体" w:cs="黑体"/>
                      <w:color w:val="000000"/>
                      <w:sz w:val="96"/>
                      <w:szCs w:val="96"/>
                    </w:rPr>
                  </w:pPr>
                </w:p>
              </w:txbxContent>
            </v:textbox>
          </v:shape>
        </w:pict>
      </w:r>
    </w:p>
    <w:p w:rsidR="0002701A" w:rsidRDefault="0002701A">
      <w:pPr>
        <w:widowControl/>
        <w:spacing w:line="580" w:lineRule="exact"/>
        <w:ind w:firstLineChars="200" w:firstLine="640"/>
        <w:rPr>
          <w:rFonts w:eastAsia="黑体"/>
          <w:sz w:val="32"/>
          <w:szCs w:val="3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1A202F">
      <w:pPr>
        <w:jc w:val="center"/>
        <w:rPr>
          <w:rFonts w:ascii="黑体" w:eastAsia="黑体" w:hAnsi="黑体" w:cs="黑体"/>
          <w:sz w:val="56"/>
          <w:szCs w:val="72"/>
        </w:rPr>
      </w:pPr>
      <w:r w:rsidRPr="001A202F">
        <w:pict>
          <v:shape id="文本框 15" o:spid="_x0000_s1051" type="#_x0000_t202" style="position:absolute;left:0;text-align:left;margin-left:-90.8pt;margin-top:4.35pt;width:613.65pt;height:263.1pt;z-index:251659776;v-text-anchor:middle" o:gfxdata="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55gnv2gAAAAsBAAAPAAAAAAAAAAEAIAAAACIAAABkcnMv&#10;ZG93bnJldi54bWxQSwECFAAUAAAACACHTuJAMn1+YDoCAACOBAAADgAAAAAAAAABACAAAAApAQAA&#10;ZHJzL2Uyb0RvYy54bWxQSwUGAAAAAAYABgBZAQAA1QUAAAAA&#10;" fillcolor="#ffd966" strokecolor="#ffd966" strokeweight=".5pt">
            <v:fill r:id="rId27" o:title="image2" color2="#cce8cf" type="pattern"/>
            <v:stroke joinstyle="round"/>
            <v:textbox>
              <w:txbxContent>
                <w:p w:rsidR="00F23D7F" w:rsidRDefault="00F23D7F">
                  <w:pPr>
                    <w:widowControl/>
                    <w:jc w:val="center"/>
                    <w:rPr>
                      <w:rFonts w:ascii="黑体" w:eastAsia="黑体" w:hAnsi="黑体" w:cs="黑体"/>
                      <w:color w:val="000000"/>
                      <w:sz w:val="90"/>
                      <w:szCs w:val="90"/>
                    </w:rPr>
                  </w:pPr>
                  <w:r>
                    <w:rPr>
                      <w:rFonts w:ascii="黑体" w:eastAsia="黑体" w:hAnsi="黑体" w:cs="黑体" w:hint="eastAsia"/>
                      <w:color w:val="000000"/>
                      <w:sz w:val="90"/>
                      <w:szCs w:val="90"/>
                    </w:rPr>
                    <w:t>第二部分</w:t>
                  </w:r>
                </w:p>
                <w:p w:rsidR="00F23D7F" w:rsidRDefault="00F23D7F">
                  <w:pPr>
                    <w:widowControl/>
                    <w:jc w:val="center"/>
                    <w:rPr>
                      <w:rFonts w:ascii="黑体" w:eastAsia="黑体" w:hAnsi="黑体" w:cs="黑体"/>
                      <w:color w:val="000000"/>
                      <w:sz w:val="90"/>
                      <w:szCs w:val="90"/>
                    </w:rPr>
                  </w:pPr>
                  <w:r>
                    <w:rPr>
                      <w:rFonts w:ascii="黑体" w:eastAsia="黑体" w:hAnsi="黑体" w:cs="黑体"/>
                      <w:color w:val="000000"/>
                      <w:sz w:val="90"/>
                      <w:szCs w:val="90"/>
                    </w:rPr>
                    <w:t>2019</w:t>
                  </w:r>
                  <w:r>
                    <w:rPr>
                      <w:rFonts w:ascii="黑体" w:eastAsia="黑体" w:hAnsi="黑体" w:cs="黑体" w:hint="eastAsia"/>
                      <w:color w:val="000000"/>
                      <w:sz w:val="90"/>
                      <w:szCs w:val="90"/>
                    </w:rPr>
                    <w:t>年部门决算情况说明</w:t>
                  </w:r>
                </w:p>
                <w:p w:rsidR="00F23D7F" w:rsidRDefault="00F23D7F"/>
              </w:txbxContent>
            </v:textbox>
          </v:shape>
        </w:pict>
      </w: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F23D7F">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hint="eastAsia"/>
          <w:sz w:val="32"/>
          <w:szCs w:val="32"/>
        </w:rPr>
        <w:t>决算总体情况说明</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年度收支总计（含结转和结余）</w:t>
      </w:r>
      <w:r>
        <w:rPr>
          <w:rFonts w:ascii="仿宋_GB2312" w:eastAsia="仿宋_GB2312" w:hAnsi="Times New Roman" w:cs="DengXian-Regular"/>
          <w:sz w:val="32"/>
          <w:szCs w:val="32"/>
        </w:rPr>
        <w:t>3509.53</w:t>
      </w:r>
      <w:r>
        <w:rPr>
          <w:rFonts w:ascii="仿宋_GB2312" w:eastAsia="仿宋_GB2312" w:hAnsi="Times New Roman" w:cs="DengXian-Regular" w:hint="eastAsia"/>
          <w:sz w:val="32"/>
          <w:szCs w:val="32"/>
        </w:rPr>
        <w:t>万元。与</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年度决算相比，收支各减少2299.49万元，下降39.58%，主要原因是一般行政管理事务、基层政权和社区建设、机关服务、农村基础设施建设支出以及征地拆迁相关工作减少。</w:t>
      </w:r>
    </w:p>
    <w:p w:rsidR="0002701A" w:rsidRDefault="00F23D7F">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二、收入决算情况说明</w:t>
      </w:r>
    </w:p>
    <w:p w:rsidR="0002701A" w:rsidRDefault="00F23D7F">
      <w:pPr>
        <w:adjustRightInd w:val="0"/>
        <w:snapToGrid w:val="0"/>
        <w:spacing w:line="580" w:lineRule="exact"/>
        <w:ind w:firstLineChars="200" w:firstLine="640"/>
        <w:rPr>
          <w:rFonts w:ascii="黑体" w:eastAsia="黑体" w:hAnsi="Calibri"/>
          <w:b/>
          <w:bCs/>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年度本年收入合计</w:t>
      </w:r>
      <w:r>
        <w:rPr>
          <w:rFonts w:ascii="仿宋_GB2312" w:eastAsia="仿宋_GB2312" w:hAnsi="Times New Roman" w:cs="DengXian-Regular"/>
          <w:sz w:val="32"/>
          <w:szCs w:val="32"/>
        </w:rPr>
        <w:t>3473.04</w:t>
      </w:r>
      <w:r>
        <w:rPr>
          <w:rFonts w:ascii="仿宋_GB2312" w:eastAsia="仿宋_GB2312" w:hAnsi="Times New Roman" w:cs="DengXian-Regular" w:hint="eastAsia"/>
          <w:sz w:val="32"/>
          <w:szCs w:val="32"/>
        </w:rPr>
        <w:t>万元，其中：财政拨款收入</w:t>
      </w:r>
      <w:r>
        <w:rPr>
          <w:rFonts w:ascii="仿宋_GB2312" w:eastAsia="仿宋_GB2312" w:hAnsi="Times New Roman" w:cs="DengXian-Regular"/>
          <w:sz w:val="32"/>
          <w:szCs w:val="32"/>
        </w:rPr>
        <w:t>3473.04</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100%</w:t>
      </w:r>
      <w:r>
        <w:rPr>
          <w:rFonts w:ascii="仿宋_GB2312" w:eastAsia="仿宋_GB2312" w:hAnsi="Times New Roman" w:cs="DengXian-Regular" w:hint="eastAsia"/>
          <w:sz w:val="32"/>
          <w:szCs w:val="32"/>
        </w:rPr>
        <w:t>；</w:t>
      </w:r>
    </w:p>
    <w:p w:rsidR="0002701A" w:rsidRDefault="00F23D7F">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三、支出决算情况说明</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年度本年支出合计</w:t>
      </w:r>
      <w:r>
        <w:rPr>
          <w:rFonts w:ascii="仿宋_GB2312" w:eastAsia="仿宋_GB2312" w:hAnsi="Times New Roman" w:cs="DengXian-Regular"/>
          <w:sz w:val="32"/>
          <w:szCs w:val="32"/>
        </w:rPr>
        <w:t>3214.03</w:t>
      </w:r>
      <w:r>
        <w:rPr>
          <w:rFonts w:ascii="仿宋_GB2312" w:eastAsia="仿宋_GB2312" w:hAnsi="Times New Roman" w:cs="DengXian-Regular" w:hint="eastAsia"/>
          <w:sz w:val="32"/>
          <w:szCs w:val="32"/>
        </w:rPr>
        <w:t>万元，其中：基本支出</w:t>
      </w:r>
      <w:r>
        <w:rPr>
          <w:rFonts w:ascii="仿宋_GB2312" w:eastAsia="仿宋_GB2312" w:hAnsi="Times New Roman" w:cs="DengXian-Regular"/>
          <w:sz w:val="32"/>
          <w:szCs w:val="32"/>
        </w:rPr>
        <w:t>1044.38</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32.49%</w:t>
      </w:r>
      <w:r>
        <w:rPr>
          <w:rFonts w:ascii="仿宋_GB2312" w:eastAsia="仿宋_GB2312" w:hAnsi="Times New Roman" w:cs="DengXian-Regular" w:hint="eastAsia"/>
          <w:sz w:val="32"/>
          <w:szCs w:val="32"/>
        </w:rPr>
        <w:t>；项目支出</w:t>
      </w:r>
      <w:r>
        <w:rPr>
          <w:rFonts w:ascii="仿宋_GB2312" w:eastAsia="仿宋_GB2312" w:hAnsi="Times New Roman" w:cs="DengXian-Regular"/>
          <w:sz w:val="32"/>
          <w:szCs w:val="32"/>
        </w:rPr>
        <w:t>2169.65</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67.51%</w:t>
      </w:r>
      <w:r>
        <w:rPr>
          <w:rFonts w:ascii="仿宋_GB2312" w:eastAsia="仿宋_GB2312" w:hAnsi="Times New Roman" w:cs="DengXian-Regular" w:hint="eastAsia"/>
          <w:sz w:val="32"/>
          <w:szCs w:val="32"/>
        </w:rPr>
        <w:t>如图所示：</w:t>
      </w:r>
    </w:p>
    <w:p w:rsidR="00F23D7F" w:rsidRDefault="001A202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72.65pt;margin-top:13.5pt;width:284.1pt;height:247.25pt;z-index:251649536">
            <v:imagedata r:id="rId28" o:title=""/>
            <w10:wrap type="square"/>
          </v:shape>
          <o:OLEObject Type="Embed" ProgID="Excel.Sheet.8" ShapeID="_x0000_s1047" DrawAspect="Content" ObjectID="_1682881884" r:id="rId29"/>
        </w:pict>
      </w:r>
    </w:p>
    <w:p w:rsidR="00F23D7F" w:rsidRDefault="00F23D7F">
      <w:pPr>
        <w:adjustRightInd w:val="0"/>
        <w:snapToGrid w:val="0"/>
        <w:spacing w:line="580" w:lineRule="exact"/>
        <w:ind w:firstLineChars="200" w:firstLine="640"/>
        <w:rPr>
          <w:rFonts w:ascii="仿宋_GB2312" w:eastAsia="仿宋_GB2312" w:hAnsi="Times New Roman" w:cs="DengXian-Regular"/>
          <w:sz w:val="32"/>
          <w:szCs w:val="32"/>
        </w:rPr>
      </w:pPr>
    </w:p>
    <w:p w:rsidR="00F23D7F" w:rsidRDefault="00F23D7F">
      <w:pPr>
        <w:adjustRightInd w:val="0"/>
        <w:snapToGrid w:val="0"/>
        <w:spacing w:line="580" w:lineRule="exact"/>
        <w:ind w:firstLineChars="200" w:firstLine="640"/>
        <w:rPr>
          <w:rFonts w:ascii="仿宋_GB2312" w:eastAsia="仿宋_GB2312" w:hAnsi="Times New Roman" w:cs="DengXian-Regular"/>
          <w:sz w:val="32"/>
          <w:szCs w:val="32"/>
        </w:rPr>
      </w:pPr>
    </w:p>
    <w:p w:rsidR="0002701A" w:rsidRDefault="0002701A">
      <w:pPr>
        <w:adjustRightInd w:val="0"/>
        <w:snapToGrid w:val="0"/>
        <w:spacing w:line="580" w:lineRule="exact"/>
        <w:ind w:firstLineChars="200" w:firstLine="640"/>
        <w:rPr>
          <w:rFonts w:ascii="仿宋_GB2312" w:eastAsia="仿宋_GB2312" w:hAnsi="Times New Roman" w:cs="DengXian-Regular"/>
          <w:sz w:val="32"/>
          <w:szCs w:val="32"/>
        </w:rPr>
      </w:pPr>
    </w:p>
    <w:p w:rsidR="0002701A" w:rsidRDefault="0002701A">
      <w:pPr>
        <w:adjustRightInd w:val="0"/>
        <w:snapToGrid w:val="0"/>
        <w:spacing w:line="580" w:lineRule="exact"/>
        <w:ind w:firstLineChars="600" w:firstLine="1920"/>
        <w:rPr>
          <w:rFonts w:ascii="仿宋_GB2312" w:eastAsia="仿宋_GB2312" w:hAnsi="Times New Roman" w:cs="DengXian-Regular"/>
          <w:sz w:val="32"/>
          <w:szCs w:val="32"/>
        </w:rPr>
      </w:pPr>
    </w:p>
    <w:p w:rsidR="0002701A" w:rsidRDefault="0002701A">
      <w:pPr>
        <w:adjustRightInd w:val="0"/>
        <w:snapToGrid w:val="0"/>
        <w:spacing w:line="580" w:lineRule="exact"/>
        <w:ind w:firstLineChars="600" w:firstLine="1920"/>
        <w:rPr>
          <w:rFonts w:ascii="仿宋_GB2312" w:eastAsia="仿宋_GB2312" w:hAnsi="Times New Roman" w:cs="DengXian-Regular"/>
          <w:sz w:val="32"/>
          <w:szCs w:val="32"/>
        </w:rPr>
      </w:pPr>
    </w:p>
    <w:p w:rsidR="0002701A" w:rsidRDefault="0002701A">
      <w:pPr>
        <w:adjustRightInd w:val="0"/>
        <w:snapToGrid w:val="0"/>
        <w:spacing w:line="580" w:lineRule="exact"/>
        <w:ind w:firstLineChars="600" w:firstLine="1920"/>
        <w:rPr>
          <w:rFonts w:ascii="仿宋_GB2312" w:eastAsia="仿宋_GB2312" w:hAnsi="Times New Roman" w:cs="DengXian-Regular"/>
          <w:sz w:val="32"/>
          <w:szCs w:val="32"/>
        </w:rPr>
      </w:pPr>
    </w:p>
    <w:p w:rsidR="0002701A" w:rsidRDefault="00F23D7F">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lastRenderedPageBreak/>
        <w:t>四、</w:t>
      </w:r>
      <w:r>
        <w:rPr>
          <w:rFonts w:ascii="黑体" w:eastAsia="黑体" w:hAnsi="Cambria" w:cs="黑体" w:hint="eastAsia"/>
          <w:kern w:val="0"/>
          <w:sz w:val="32"/>
          <w:szCs w:val="32"/>
        </w:rPr>
        <w:t>财政</w:t>
      </w:r>
      <w:r>
        <w:rPr>
          <w:rFonts w:ascii="黑体" w:eastAsia="黑体" w:hAnsi="Calibri" w:hint="eastAsia"/>
          <w:sz w:val="32"/>
          <w:szCs w:val="32"/>
        </w:rPr>
        <w:t>拨款收入支出决算总体情况说明</w:t>
      </w:r>
    </w:p>
    <w:p w:rsidR="0002701A" w:rsidRDefault="00F23D7F" w:rsidP="00F23D7F">
      <w:pPr>
        <w:snapToGrid w:val="0"/>
        <w:spacing w:line="580" w:lineRule="exact"/>
        <w:ind w:firstLineChars="200" w:firstLine="643"/>
        <w:rPr>
          <w:rFonts w:ascii="仿宋_GB2312" w:eastAsia="仿宋_GB2312" w:hAnsi="Times New Roman" w:cs="DengXian-Regular"/>
          <w:sz w:val="32"/>
          <w:szCs w:val="32"/>
          <w:highlight w:val="yellow"/>
        </w:rPr>
      </w:pPr>
      <w:r>
        <w:rPr>
          <w:rFonts w:ascii="??_GB2312" w:eastAsia="Times New Roman" w:hAnsi="Times New Roman" w:cs="DengXian-Bold"/>
          <w:b/>
          <w:bCs/>
          <w:sz w:val="32"/>
          <w:szCs w:val="32"/>
        </w:rPr>
        <w:t>（一）财政拨款收支与</w:t>
      </w:r>
      <w:r>
        <w:rPr>
          <w:rFonts w:ascii="??_GB2312" w:eastAsia="Times New Roman" w:hAnsi="Times New Roman" w:cs="DengXian-Bold"/>
          <w:b/>
          <w:bCs/>
          <w:sz w:val="32"/>
          <w:szCs w:val="32"/>
        </w:rPr>
        <w:t xml:space="preserve">2018 </w:t>
      </w:r>
      <w:r>
        <w:rPr>
          <w:rFonts w:ascii="??_GB2312" w:eastAsia="Times New Roman" w:hAnsi="Times New Roman" w:cs="DengXian-Bold"/>
          <w:b/>
          <w:bCs/>
          <w:sz w:val="32"/>
          <w:szCs w:val="32"/>
        </w:rPr>
        <w:t>年度决算对比情况</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年度财政拨款本年收入</w:t>
      </w:r>
      <w:r>
        <w:rPr>
          <w:rFonts w:ascii="仿宋_GB2312" w:eastAsia="仿宋_GB2312" w:hAnsi="Times New Roman" w:cs="DengXian-Regular"/>
          <w:sz w:val="32"/>
          <w:szCs w:val="32"/>
        </w:rPr>
        <w:t>3473.04</w:t>
      </w:r>
      <w:r>
        <w:rPr>
          <w:rFonts w:ascii="仿宋_GB2312" w:eastAsia="仿宋_GB2312" w:hAnsi="Times New Roman" w:cs="DengXian-Regular" w:hint="eastAsia"/>
          <w:sz w:val="32"/>
          <w:szCs w:val="32"/>
        </w:rPr>
        <w:t>万元</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比</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年度减少</w:t>
      </w:r>
      <w:r>
        <w:rPr>
          <w:rFonts w:ascii="仿宋_GB2312" w:eastAsia="仿宋_GB2312" w:hAnsi="Times New Roman" w:cs="DengXian-Regular"/>
          <w:sz w:val="32"/>
          <w:szCs w:val="32"/>
        </w:rPr>
        <w:t>2186.08</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62.94%</w:t>
      </w:r>
      <w:r>
        <w:rPr>
          <w:rFonts w:ascii="仿宋_GB2312" w:eastAsia="仿宋_GB2312" w:hAnsi="Times New Roman" w:cs="DengXian-Regular" w:hint="eastAsia"/>
          <w:sz w:val="32"/>
          <w:szCs w:val="32"/>
        </w:rPr>
        <w:t>，主要是一般行政管理事务相关工作减少以及缩减开支；本年支出</w:t>
      </w:r>
      <w:r>
        <w:rPr>
          <w:rFonts w:ascii="仿宋_GB2312" w:eastAsia="仿宋_GB2312" w:hAnsi="Times New Roman" w:cs="DengXian-Regular"/>
          <w:sz w:val="32"/>
          <w:szCs w:val="32"/>
        </w:rPr>
        <w:t>3214.03</w:t>
      </w:r>
      <w:r>
        <w:rPr>
          <w:rFonts w:ascii="仿宋_GB2312" w:eastAsia="仿宋_GB2312" w:hAnsi="Times New Roman" w:cs="DengXian-Regular" w:hint="eastAsia"/>
          <w:sz w:val="32"/>
          <w:szCs w:val="32"/>
        </w:rPr>
        <w:t>万元，减少</w:t>
      </w:r>
      <w:r>
        <w:rPr>
          <w:rFonts w:ascii="仿宋_GB2312" w:eastAsia="仿宋_GB2312" w:hAnsi="Times New Roman" w:cs="DengXian-Regular"/>
          <w:sz w:val="32"/>
          <w:szCs w:val="32"/>
        </w:rPr>
        <w:t>2558.5</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79.6%</w:t>
      </w:r>
      <w:r>
        <w:rPr>
          <w:rFonts w:ascii="仿宋_GB2312" w:eastAsia="仿宋_GB2312" w:hAnsi="Times New Roman" w:cs="DengXian-Regular" w:hint="eastAsia"/>
          <w:sz w:val="32"/>
          <w:szCs w:val="32"/>
        </w:rPr>
        <w:t>，主要是征地拆迁相关工作减少。具体情况如下：</w:t>
      </w:r>
    </w:p>
    <w:p w:rsidR="0002701A" w:rsidRDefault="00F23D7F">
      <w:pPr>
        <w:numPr>
          <w:ilvl w:val="0"/>
          <w:numId w:val="1"/>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w:t>
      </w:r>
      <w:r>
        <w:rPr>
          <w:rFonts w:ascii="仿宋_GB2312" w:eastAsia="仿宋_GB2312" w:hAnsi="Times New Roman" w:cs="DengXian-Regular"/>
          <w:sz w:val="32"/>
          <w:szCs w:val="32"/>
        </w:rPr>
        <w:t>1769.89</w:t>
      </w:r>
      <w:r>
        <w:rPr>
          <w:rFonts w:ascii="仿宋_GB2312" w:eastAsia="仿宋_GB2312" w:hAnsi="Times New Roman" w:cs="DengXian-Regular" w:hint="eastAsia"/>
          <w:sz w:val="32"/>
          <w:szCs w:val="32"/>
        </w:rPr>
        <w:t>万元，比上年减少</w:t>
      </w:r>
      <w:r>
        <w:rPr>
          <w:rFonts w:ascii="仿宋_GB2312" w:eastAsia="仿宋_GB2312" w:hAnsi="Times New Roman" w:cs="DengXian-Regular"/>
          <w:sz w:val="32"/>
          <w:szCs w:val="32"/>
        </w:rPr>
        <w:t>68.61</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3.73%</w:t>
      </w:r>
      <w:r>
        <w:rPr>
          <w:rFonts w:ascii="仿宋_GB2312" w:eastAsia="仿宋_GB2312" w:hAnsi="Times New Roman" w:cs="DengXian-Regular" w:hint="eastAsia"/>
          <w:sz w:val="32"/>
          <w:szCs w:val="32"/>
        </w:rPr>
        <w:t>，主要是厉行节约，压减一般性支出；本年支出</w:t>
      </w:r>
      <w:r>
        <w:rPr>
          <w:rFonts w:ascii="仿宋_GB2312" w:eastAsia="仿宋_GB2312" w:hAnsi="Times New Roman" w:cs="DengXian-Regular"/>
          <w:sz w:val="32"/>
          <w:szCs w:val="32"/>
        </w:rPr>
        <w:t>1484.74</w:t>
      </w:r>
      <w:r>
        <w:rPr>
          <w:rFonts w:ascii="仿宋_GB2312" w:eastAsia="仿宋_GB2312" w:hAnsi="Times New Roman" w:cs="DengXian-Regular" w:hint="eastAsia"/>
          <w:sz w:val="32"/>
          <w:szCs w:val="32"/>
        </w:rPr>
        <w:t>万元，比上年减少</w:t>
      </w:r>
      <w:r>
        <w:rPr>
          <w:rFonts w:ascii="仿宋_GB2312" w:eastAsia="仿宋_GB2312" w:hAnsi="Times New Roman" w:cs="DengXian-Regular"/>
          <w:sz w:val="32"/>
          <w:szCs w:val="32"/>
        </w:rPr>
        <w:t>431.97</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22.54%</w:t>
      </w:r>
      <w:r>
        <w:rPr>
          <w:rFonts w:ascii="仿宋_GB2312" w:eastAsia="仿宋_GB2312" w:hAnsi="Times New Roman" w:cs="DengXian-Regular" w:hint="eastAsia"/>
          <w:sz w:val="32"/>
          <w:szCs w:val="32"/>
        </w:rPr>
        <w:t>，主要是合理安排工作缩减开支。</w:t>
      </w:r>
    </w:p>
    <w:p w:rsidR="0002701A" w:rsidRDefault="00F23D7F">
      <w:pPr>
        <w:numPr>
          <w:ilvl w:val="0"/>
          <w:numId w:val="1"/>
        </w:numPr>
        <w:adjustRightInd w:val="0"/>
        <w:snapToGrid w:val="0"/>
        <w:spacing w:line="580" w:lineRule="exact"/>
        <w:ind w:firstLineChars="200" w:firstLine="640"/>
        <w:rPr>
          <w:rFonts w:ascii="??_GB2312" w:hAnsi="Times New Roman" w:cs="DengXian-Bold"/>
          <w:b/>
          <w:bCs/>
          <w:sz w:val="32"/>
          <w:szCs w:val="32"/>
        </w:rPr>
      </w:pPr>
      <w:r>
        <w:rPr>
          <w:rFonts w:ascii="仿宋_GB2312" w:eastAsia="仿宋_GB2312" w:hAnsi="Times New Roman" w:cs="DengXian-Regular" w:hint="eastAsia"/>
          <w:sz w:val="32"/>
          <w:szCs w:val="32"/>
        </w:rPr>
        <w:t>政府性基金预算财政拨款本年收入</w:t>
      </w:r>
      <w:r>
        <w:rPr>
          <w:rFonts w:ascii="仿宋_GB2312" w:eastAsia="仿宋_GB2312" w:hAnsi="Times New Roman" w:cs="DengXian-Regular"/>
          <w:sz w:val="32"/>
          <w:szCs w:val="32"/>
        </w:rPr>
        <w:t>1703.15</w:t>
      </w:r>
      <w:r>
        <w:rPr>
          <w:rFonts w:ascii="仿宋_GB2312" w:eastAsia="仿宋_GB2312" w:hAnsi="Times New Roman" w:cs="DengXian-Regular" w:hint="eastAsia"/>
          <w:sz w:val="32"/>
          <w:szCs w:val="32"/>
        </w:rPr>
        <w:t>万元，比上年减少</w:t>
      </w:r>
      <w:r>
        <w:rPr>
          <w:rFonts w:ascii="仿宋_GB2312" w:eastAsia="仿宋_GB2312" w:hAnsi="Times New Roman" w:cs="DengXian-Regular"/>
          <w:sz w:val="32"/>
          <w:szCs w:val="32"/>
        </w:rPr>
        <w:t>2117.47</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55.42%</w:t>
      </w:r>
      <w:r>
        <w:rPr>
          <w:rFonts w:ascii="仿宋_GB2312" w:eastAsia="仿宋_GB2312" w:hAnsi="Times New Roman" w:cs="DengXian-Regular" w:hint="eastAsia"/>
          <w:sz w:val="32"/>
          <w:szCs w:val="32"/>
        </w:rPr>
        <w:t>，主要原因是征地拆迁相关工作减少；本年支出</w:t>
      </w:r>
      <w:r>
        <w:rPr>
          <w:rFonts w:ascii="仿宋_GB2312" w:eastAsia="仿宋_GB2312" w:hAnsi="Times New Roman" w:cs="DengXian-Regular"/>
          <w:sz w:val="32"/>
          <w:szCs w:val="32"/>
        </w:rPr>
        <w:t>1729.29</w:t>
      </w:r>
      <w:r>
        <w:rPr>
          <w:rFonts w:ascii="仿宋_GB2312" w:eastAsia="仿宋_GB2312" w:hAnsi="Times New Roman" w:cs="DengXian-Regular" w:hint="eastAsia"/>
          <w:sz w:val="32"/>
          <w:szCs w:val="32"/>
        </w:rPr>
        <w:t>万元，比上年减少</w:t>
      </w:r>
      <w:r>
        <w:rPr>
          <w:rFonts w:ascii="仿宋_GB2312" w:eastAsia="仿宋_GB2312" w:hAnsi="Times New Roman" w:cs="DengXian-Regular"/>
          <w:sz w:val="32"/>
          <w:szCs w:val="32"/>
        </w:rPr>
        <w:t>2125.56</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55.14%</w:t>
      </w:r>
      <w:r>
        <w:rPr>
          <w:rFonts w:ascii="仿宋_GB2312" w:eastAsia="仿宋_GB2312" w:hAnsi="Times New Roman" w:cs="DengXian-Regular" w:hint="eastAsia"/>
          <w:sz w:val="32"/>
          <w:szCs w:val="32"/>
        </w:rPr>
        <w:t>，主要是征地拆迁相关工作减少。</w:t>
      </w:r>
    </w:p>
    <w:p w:rsidR="0002701A" w:rsidRDefault="00F23D7F" w:rsidP="00F23D7F">
      <w:pPr>
        <w:snapToGrid w:val="0"/>
        <w:spacing w:line="580" w:lineRule="exact"/>
        <w:ind w:firstLineChars="200" w:firstLine="643"/>
        <w:rPr>
          <w:rFonts w:ascii="仿宋_GB2312" w:eastAsia="仿宋_GB2312" w:hAnsi="Times New Roman" w:cs="DengXian-Regular"/>
          <w:sz w:val="32"/>
          <w:szCs w:val="32"/>
          <w:highlight w:val="yellow"/>
        </w:rPr>
      </w:pPr>
      <w:r>
        <w:rPr>
          <w:rFonts w:ascii="??_GB2312" w:eastAsia="Times New Roman" w:hAnsi="Times New Roman" w:cs="DengXian-Bold"/>
          <w:b/>
          <w:bCs/>
          <w:sz w:val="32"/>
          <w:szCs w:val="32"/>
        </w:rPr>
        <w:t>（二）财政拨款收支与年初预算数对比情况</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年度财政拨款本年收入</w:t>
      </w:r>
      <w:r>
        <w:rPr>
          <w:rFonts w:ascii="仿宋_GB2312" w:eastAsia="仿宋_GB2312" w:hAnsi="Times New Roman" w:cs="DengXian-Regular"/>
          <w:sz w:val="32"/>
          <w:szCs w:val="32"/>
        </w:rPr>
        <w:t>3473.04</w:t>
      </w:r>
      <w:r>
        <w:rPr>
          <w:rFonts w:ascii="仿宋_GB2312" w:eastAsia="仿宋_GB2312" w:hAnsi="Times New Roman" w:cs="DengXian-Regular" w:hint="eastAsia"/>
          <w:sz w:val="32"/>
          <w:szCs w:val="32"/>
        </w:rPr>
        <w:t>万元，完成年初预算的98.83</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比年初预算减少41.19万元，决算数小于预算数主要原因是厉行节约，压缩一般性支出；本年支出</w:t>
      </w:r>
      <w:r>
        <w:rPr>
          <w:rFonts w:ascii="仿宋_GB2312" w:eastAsia="仿宋_GB2312" w:hAnsi="Times New Roman" w:cs="DengXian-Regular"/>
          <w:sz w:val="32"/>
          <w:szCs w:val="32"/>
        </w:rPr>
        <w:t>3214.03</w:t>
      </w:r>
      <w:r>
        <w:rPr>
          <w:rFonts w:ascii="仿宋_GB2312" w:eastAsia="仿宋_GB2312" w:hAnsi="Times New Roman" w:cs="DengXian-Regular" w:hint="eastAsia"/>
          <w:sz w:val="32"/>
          <w:szCs w:val="32"/>
        </w:rPr>
        <w:t>万元，完成年初预算的91.46</w:t>
      </w:r>
      <w:r>
        <w:rPr>
          <w:rFonts w:ascii="仿宋_GB2312" w:eastAsia="仿宋_GB2312" w:hAnsi="Times New Roman" w:cs="DengXian-Regular"/>
          <w:sz w:val="32"/>
          <w:szCs w:val="32"/>
        </w:rPr>
        <w:t>%,</w:t>
      </w:r>
      <w:r>
        <w:rPr>
          <w:rFonts w:ascii="仿宋_GB2312" w:eastAsia="仿宋_GB2312" w:hAnsi="Times New Roman" w:cs="DengXian-Regular" w:hint="eastAsia"/>
          <w:sz w:val="32"/>
          <w:szCs w:val="32"/>
        </w:rPr>
        <w:t>比年初预算减少300.2万元，决算数小于预算数主要原因是人员经费以及日常运行经费的合理缩</w:t>
      </w:r>
      <w:r>
        <w:rPr>
          <w:rFonts w:ascii="仿宋_GB2312" w:eastAsia="仿宋_GB2312" w:hAnsi="Times New Roman" w:cs="DengXian-Regular" w:hint="eastAsia"/>
          <w:sz w:val="32"/>
          <w:szCs w:val="32"/>
        </w:rPr>
        <w:lastRenderedPageBreak/>
        <w:t>减支出以及城乡社区支出的总体费用减少。具体情况如下：</w:t>
      </w:r>
    </w:p>
    <w:p w:rsidR="0002701A" w:rsidRDefault="00F23D7F">
      <w:pPr>
        <w:numPr>
          <w:ilvl w:val="0"/>
          <w:numId w:val="2"/>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一般公共预算财政拨款本年收入完成年初预算</w:t>
      </w:r>
      <w:r>
        <w:rPr>
          <w:rFonts w:ascii="仿宋_GB2312" w:eastAsia="仿宋_GB2312" w:hAnsi="Times New Roman" w:cs="DengXian-Regular"/>
          <w:sz w:val="32"/>
          <w:szCs w:val="32"/>
        </w:rPr>
        <w:t>122.17%</w:t>
      </w:r>
      <w:r>
        <w:rPr>
          <w:rFonts w:ascii="仿宋_GB2312" w:eastAsia="仿宋_GB2312" w:hAnsi="Times New Roman" w:cs="DengXian-Regular" w:hint="eastAsia"/>
          <w:sz w:val="32"/>
          <w:szCs w:val="32"/>
        </w:rPr>
        <w:t>，比年初预算增加</w:t>
      </w:r>
      <w:r>
        <w:rPr>
          <w:rFonts w:ascii="仿宋_GB2312" w:eastAsia="仿宋_GB2312" w:hAnsi="Times New Roman" w:cs="DengXian-Regular"/>
          <w:sz w:val="32"/>
          <w:szCs w:val="32"/>
        </w:rPr>
        <w:t>321.16</w:t>
      </w:r>
      <w:r>
        <w:rPr>
          <w:rFonts w:ascii="仿宋_GB2312" w:eastAsia="仿宋_GB2312" w:hAnsi="Times New Roman" w:cs="DengXian-Regular" w:hint="eastAsia"/>
          <w:sz w:val="32"/>
          <w:szCs w:val="32"/>
        </w:rPr>
        <w:t>万元，主要是增加城乡社区环境卫生以及其他林业和草原支出等项目；支出完成年初预算</w:t>
      </w:r>
      <w:r>
        <w:rPr>
          <w:rFonts w:ascii="仿宋_GB2312" w:eastAsia="仿宋_GB2312" w:hAnsi="Times New Roman" w:cs="DengXian-Regular"/>
          <w:sz w:val="32"/>
          <w:szCs w:val="32"/>
        </w:rPr>
        <w:t>102.49%</w:t>
      </w:r>
      <w:r>
        <w:rPr>
          <w:rFonts w:ascii="仿宋_GB2312" w:eastAsia="仿宋_GB2312" w:hAnsi="Times New Roman" w:cs="DengXian-Regular" w:hint="eastAsia"/>
          <w:sz w:val="32"/>
          <w:szCs w:val="32"/>
        </w:rPr>
        <w:t>，比年初预算增加</w:t>
      </w:r>
      <w:r>
        <w:rPr>
          <w:rFonts w:ascii="仿宋_GB2312" w:eastAsia="仿宋_GB2312" w:hAnsi="Times New Roman" w:cs="DengXian-Regular"/>
          <w:sz w:val="32"/>
          <w:szCs w:val="32"/>
        </w:rPr>
        <w:t>36.01</w:t>
      </w:r>
      <w:r>
        <w:rPr>
          <w:rFonts w:ascii="仿宋_GB2312" w:eastAsia="仿宋_GB2312" w:hAnsi="Times New Roman" w:cs="DengXian-Regular" w:hint="eastAsia"/>
          <w:sz w:val="32"/>
          <w:szCs w:val="32"/>
        </w:rPr>
        <w:t>万元，主要是增加城乡社区环境卫生等项目资金，并已纳入调整预算经市人大会批准。</w:t>
      </w:r>
    </w:p>
    <w:p w:rsidR="0002701A" w:rsidRDefault="00F23D7F">
      <w:pPr>
        <w:numPr>
          <w:ilvl w:val="0"/>
          <w:numId w:val="2"/>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政府性基金预算财政拨款本年收入完成年初预算</w:t>
      </w:r>
      <w:r>
        <w:rPr>
          <w:rFonts w:ascii="仿宋_GB2312" w:eastAsia="仿宋_GB2312" w:hAnsi="Times New Roman" w:cs="DengXian-Regular"/>
          <w:sz w:val="32"/>
          <w:szCs w:val="32"/>
        </w:rPr>
        <w:t>82.46%</w:t>
      </w:r>
      <w:r>
        <w:rPr>
          <w:rFonts w:ascii="仿宋_GB2312" w:eastAsia="仿宋_GB2312" w:hAnsi="Times New Roman" w:cs="DengXian-Regular" w:hint="eastAsia"/>
          <w:sz w:val="32"/>
          <w:szCs w:val="32"/>
        </w:rPr>
        <w:t>，比年初预算减少</w:t>
      </w:r>
      <w:r>
        <w:rPr>
          <w:rFonts w:ascii="仿宋_GB2312" w:eastAsia="仿宋_GB2312" w:hAnsi="Times New Roman" w:cs="DengXian-Regular"/>
          <w:sz w:val="32"/>
          <w:szCs w:val="32"/>
        </w:rPr>
        <w:t>362.35</w:t>
      </w:r>
      <w:r>
        <w:rPr>
          <w:rFonts w:ascii="仿宋_GB2312" w:eastAsia="仿宋_GB2312" w:hAnsi="Times New Roman" w:cs="DengXian-Regular" w:hint="eastAsia"/>
          <w:sz w:val="32"/>
          <w:szCs w:val="32"/>
        </w:rPr>
        <w:t>万元，主要是征地拆迁相关工作减少；支出完成年初预算</w:t>
      </w:r>
      <w:r>
        <w:rPr>
          <w:rFonts w:ascii="仿宋_GB2312" w:eastAsia="仿宋_GB2312" w:hAnsi="Times New Roman" w:cs="DengXian-Regular"/>
          <w:sz w:val="32"/>
          <w:szCs w:val="32"/>
        </w:rPr>
        <w:t>83.72%</w:t>
      </w:r>
      <w:r>
        <w:rPr>
          <w:rFonts w:ascii="仿宋_GB2312" w:eastAsia="仿宋_GB2312" w:hAnsi="Times New Roman" w:cs="DengXian-Regular" w:hint="eastAsia"/>
          <w:sz w:val="32"/>
          <w:szCs w:val="32"/>
        </w:rPr>
        <w:t>，比年初预算减少</w:t>
      </w:r>
      <w:r>
        <w:rPr>
          <w:rFonts w:ascii="仿宋_GB2312" w:eastAsia="仿宋_GB2312" w:hAnsi="Times New Roman" w:cs="DengXian-Regular"/>
          <w:sz w:val="32"/>
          <w:szCs w:val="32"/>
        </w:rPr>
        <w:t>336.21</w:t>
      </w:r>
      <w:r>
        <w:rPr>
          <w:rFonts w:ascii="仿宋_GB2312" w:eastAsia="仿宋_GB2312" w:hAnsi="Times New Roman" w:cs="DengXian-Regular" w:hint="eastAsia"/>
          <w:sz w:val="32"/>
          <w:szCs w:val="32"/>
        </w:rPr>
        <w:t>万元，主要是征地拆迁相关工作减少。</w:t>
      </w:r>
    </w:p>
    <w:p w:rsidR="0002701A" w:rsidRDefault="00F23D7F">
      <w:pPr>
        <w:numPr>
          <w:ilvl w:val="0"/>
          <w:numId w:val="3"/>
        </w:numPr>
        <w:adjustRightInd w:val="0"/>
        <w:snapToGrid w:val="0"/>
        <w:spacing w:line="580" w:lineRule="exact"/>
        <w:ind w:leftChars="200" w:left="420"/>
        <w:rPr>
          <w:rFonts w:ascii="??_GB2312" w:hAnsi="Times New Roman" w:cs="DengXian-Bold"/>
          <w:b/>
          <w:bCs/>
          <w:sz w:val="32"/>
          <w:szCs w:val="32"/>
        </w:rPr>
      </w:pPr>
      <w:r>
        <w:rPr>
          <w:rFonts w:ascii="??_GB2312" w:eastAsia="Times New Roman" w:hAnsi="Times New Roman" w:cs="DengXian-Bold"/>
          <w:b/>
          <w:bCs/>
          <w:sz w:val="32"/>
          <w:szCs w:val="32"/>
        </w:rPr>
        <w:t>财政拨款支出决算结构情况。</w:t>
      </w:r>
    </w:p>
    <w:p w:rsidR="0002701A" w:rsidRDefault="00F23D7F" w:rsidP="00893176">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2019 </w:t>
      </w:r>
      <w:r>
        <w:rPr>
          <w:rFonts w:ascii="仿宋_GB2312" w:eastAsia="仿宋_GB2312" w:hAnsi="Times New Roman" w:cs="DengXian-Regular" w:hint="eastAsia"/>
          <w:sz w:val="32"/>
          <w:szCs w:val="32"/>
        </w:rPr>
        <w:t>年度财政拨款支出</w:t>
      </w:r>
      <w:r>
        <w:rPr>
          <w:rFonts w:ascii="仿宋_GB2312" w:eastAsia="仿宋_GB2312" w:hAnsi="Times New Roman" w:cs="DengXian-Regular"/>
          <w:sz w:val="32"/>
          <w:szCs w:val="32"/>
        </w:rPr>
        <w:t>3214.03</w:t>
      </w:r>
      <w:r>
        <w:rPr>
          <w:rFonts w:ascii="仿宋_GB2312" w:eastAsia="仿宋_GB2312" w:hAnsi="Times New Roman" w:cs="DengXian-Regular" w:hint="eastAsia"/>
          <w:sz w:val="32"/>
          <w:szCs w:val="32"/>
        </w:rPr>
        <w:t>万元，主要用于以下方面：一般公共服务（类）支出</w:t>
      </w:r>
      <w:r>
        <w:rPr>
          <w:rFonts w:ascii="仿宋_GB2312" w:eastAsia="仿宋_GB2312" w:hAnsi="Times New Roman" w:cs="DengXian-Regular"/>
          <w:sz w:val="32"/>
          <w:szCs w:val="32"/>
        </w:rPr>
        <w:t>594.61</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18%</w:t>
      </w:r>
      <w:r>
        <w:rPr>
          <w:rFonts w:ascii="仿宋_GB2312" w:eastAsia="仿宋_GB2312" w:hAnsi="Times New Roman" w:cs="DengXian-Regular" w:hint="eastAsia"/>
          <w:sz w:val="32"/>
          <w:szCs w:val="32"/>
        </w:rPr>
        <w:t>；社会保障和就业（类）支出</w:t>
      </w:r>
      <w:r>
        <w:rPr>
          <w:rFonts w:ascii="仿宋_GB2312" w:eastAsia="仿宋_GB2312" w:hAnsi="Times New Roman" w:cs="DengXian-Regular"/>
          <w:sz w:val="32"/>
          <w:szCs w:val="32"/>
        </w:rPr>
        <w:t>503.99</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16%</w:t>
      </w:r>
      <w:r>
        <w:rPr>
          <w:rFonts w:ascii="仿宋_GB2312" w:eastAsia="仿宋_GB2312" w:hAnsi="Times New Roman" w:cs="DengXian-Regular" w:hint="eastAsia"/>
          <w:sz w:val="32"/>
          <w:szCs w:val="32"/>
        </w:rPr>
        <w:t>；卫生健康（类）支出</w:t>
      </w:r>
      <w:r>
        <w:rPr>
          <w:rFonts w:ascii="仿宋_GB2312" w:eastAsia="仿宋_GB2312" w:hAnsi="Times New Roman" w:cs="DengXian-Regular"/>
          <w:sz w:val="32"/>
          <w:szCs w:val="32"/>
        </w:rPr>
        <w:t>35.04</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1%</w:t>
      </w:r>
      <w:r>
        <w:rPr>
          <w:rFonts w:ascii="仿宋_GB2312" w:eastAsia="仿宋_GB2312" w:hAnsi="Times New Roman" w:cs="DengXian-Regular" w:hint="eastAsia"/>
          <w:sz w:val="32"/>
          <w:szCs w:val="32"/>
        </w:rPr>
        <w:t>；城乡社区（类）支出</w:t>
      </w:r>
      <w:r>
        <w:rPr>
          <w:rFonts w:ascii="仿宋_GB2312" w:eastAsia="仿宋_GB2312" w:hAnsi="Times New Roman" w:cs="DengXian-Regular"/>
          <w:sz w:val="32"/>
          <w:szCs w:val="32"/>
        </w:rPr>
        <w:t>1884.18</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59%</w:t>
      </w:r>
      <w:r>
        <w:rPr>
          <w:rFonts w:ascii="仿宋_GB2312" w:eastAsia="仿宋_GB2312" w:hAnsi="Times New Roman" w:cs="DengXian-Regular" w:hint="eastAsia"/>
          <w:sz w:val="32"/>
          <w:szCs w:val="32"/>
        </w:rPr>
        <w:t>；农林水（类）支出</w:t>
      </w:r>
      <w:r>
        <w:rPr>
          <w:rFonts w:ascii="仿宋_GB2312" w:eastAsia="仿宋_GB2312" w:hAnsi="Times New Roman" w:cs="DengXian-Regular"/>
          <w:sz w:val="32"/>
          <w:szCs w:val="32"/>
        </w:rPr>
        <w:t>168.11</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5%</w:t>
      </w:r>
      <w:r>
        <w:rPr>
          <w:rFonts w:ascii="仿宋_GB2312" w:eastAsia="仿宋_GB2312" w:hAnsi="Times New Roman" w:cs="DengXian-Regular" w:hint="eastAsia"/>
          <w:sz w:val="32"/>
          <w:szCs w:val="32"/>
        </w:rPr>
        <w:t>；住房保障（类）支出</w:t>
      </w:r>
      <w:r>
        <w:rPr>
          <w:rFonts w:ascii="仿宋_GB2312" w:eastAsia="仿宋_GB2312" w:hAnsi="Times New Roman" w:cs="DengXian-Regular"/>
          <w:sz w:val="32"/>
          <w:szCs w:val="32"/>
        </w:rPr>
        <w:t>28.1</w:t>
      </w:r>
      <w:r>
        <w:rPr>
          <w:rFonts w:ascii="仿宋_GB2312" w:eastAsia="仿宋_GB2312" w:hAnsi="Times New Roman" w:cs="DengXian-Regular" w:hint="eastAsia"/>
          <w:sz w:val="32"/>
          <w:szCs w:val="32"/>
        </w:rPr>
        <w:t>万元，占</w:t>
      </w:r>
      <w:r>
        <w:rPr>
          <w:rFonts w:ascii="仿宋_GB2312" w:eastAsia="仿宋_GB2312" w:hAnsi="Times New Roman" w:cs="DengXian-Regular"/>
          <w:sz w:val="32"/>
          <w:szCs w:val="32"/>
        </w:rPr>
        <w:t>1%</w:t>
      </w:r>
      <w:r>
        <w:rPr>
          <w:rFonts w:ascii="仿宋_GB2312" w:eastAsia="仿宋_GB2312" w:hAnsi="Times New Roman" w:cs="DengXian-Regular" w:hint="eastAsia"/>
          <w:sz w:val="32"/>
          <w:szCs w:val="32"/>
        </w:rPr>
        <w:t>。</w:t>
      </w:r>
    </w:p>
    <w:p w:rsidR="0002701A" w:rsidRDefault="001A202F">
      <w:pPr>
        <w:adjustRightInd w:val="0"/>
        <w:snapToGrid w:val="0"/>
        <w:spacing w:line="580" w:lineRule="exact"/>
        <w:rPr>
          <w:rFonts w:ascii="??_GB2312" w:hAnsi="Times New Roman" w:cs="DengXian-Bold"/>
          <w:b/>
          <w:bCs/>
          <w:sz w:val="32"/>
          <w:szCs w:val="32"/>
        </w:rPr>
      </w:pPr>
      <w:r w:rsidRPr="001A202F">
        <w:lastRenderedPageBreak/>
        <w:pict>
          <v:shape id="_x0000_s1043" type="#_x0000_t75" style="position:absolute;left:0;text-align:left;margin-left:8.05pt;margin-top:2pt;width:401.3pt;height:300.5pt;z-index:-251652608" wrapcoords="121 269 121 21277 21439 21277 21439 269 121 269">
            <v:imagedata r:id="rId30" o:title=""/>
            <w10:wrap type="tight"/>
          </v:shape>
          <o:OLEObject Type="Embed" ProgID="Excel.Chart.8" ShapeID="_x0000_s1043" DrawAspect="Content" ObjectID="_1682881885" r:id="rId31"/>
        </w:pict>
      </w:r>
    </w:p>
    <w:p w:rsidR="0002701A" w:rsidRDefault="0002701A">
      <w:pPr>
        <w:adjustRightInd w:val="0"/>
        <w:snapToGrid w:val="0"/>
        <w:spacing w:line="580" w:lineRule="exact"/>
        <w:rPr>
          <w:rFonts w:ascii="??_GB2312" w:hAnsi="Times New Roman" w:cs="DengXian-Bold"/>
          <w:b/>
          <w:bCs/>
          <w:sz w:val="32"/>
          <w:szCs w:val="32"/>
        </w:rPr>
      </w:pPr>
    </w:p>
    <w:p w:rsidR="0002701A" w:rsidRDefault="0002701A">
      <w:pPr>
        <w:adjustRightInd w:val="0"/>
        <w:snapToGrid w:val="0"/>
        <w:spacing w:line="580" w:lineRule="exact"/>
        <w:rPr>
          <w:rFonts w:ascii="??_GB2312" w:hAnsi="Times New Roman" w:cs="DengXian-Bold"/>
          <w:b/>
          <w:bCs/>
          <w:sz w:val="32"/>
          <w:szCs w:val="32"/>
        </w:rPr>
      </w:pPr>
    </w:p>
    <w:p w:rsidR="0002701A" w:rsidRDefault="0002701A">
      <w:pPr>
        <w:adjustRightInd w:val="0"/>
        <w:snapToGrid w:val="0"/>
        <w:spacing w:line="580" w:lineRule="exact"/>
        <w:rPr>
          <w:rFonts w:ascii="??_GB2312" w:hAnsi="Times New Roman" w:cs="DengXian-Bold"/>
          <w:b/>
          <w:bCs/>
          <w:sz w:val="32"/>
          <w:szCs w:val="32"/>
        </w:rPr>
      </w:pPr>
    </w:p>
    <w:p w:rsidR="0002701A" w:rsidRDefault="0002701A">
      <w:pPr>
        <w:adjustRightInd w:val="0"/>
        <w:snapToGrid w:val="0"/>
        <w:spacing w:line="580" w:lineRule="exact"/>
        <w:rPr>
          <w:rFonts w:ascii="??_GB2312" w:hAnsi="Times New Roman" w:cs="DengXian-Bold"/>
          <w:b/>
          <w:bCs/>
          <w:sz w:val="32"/>
          <w:szCs w:val="32"/>
        </w:rPr>
      </w:pPr>
    </w:p>
    <w:p w:rsidR="0002701A" w:rsidRDefault="0002701A">
      <w:pPr>
        <w:adjustRightInd w:val="0"/>
        <w:snapToGrid w:val="0"/>
        <w:spacing w:line="580" w:lineRule="exact"/>
        <w:rPr>
          <w:rFonts w:ascii="??_GB2312" w:hAnsi="Times New Roman" w:cs="DengXian-Bold"/>
          <w:b/>
          <w:bCs/>
          <w:sz w:val="32"/>
          <w:szCs w:val="32"/>
        </w:rPr>
      </w:pPr>
    </w:p>
    <w:p w:rsidR="0002701A" w:rsidRDefault="0002701A">
      <w:pPr>
        <w:adjustRightInd w:val="0"/>
        <w:snapToGrid w:val="0"/>
        <w:spacing w:line="580" w:lineRule="exact"/>
        <w:ind w:leftChars="200" w:left="420"/>
        <w:rPr>
          <w:rFonts w:ascii="??_GB2312" w:hAnsi="Times New Roman" w:cs="DengXian-Bold"/>
          <w:b/>
          <w:bCs/>
          <w:sz w:val="32"/>
          <w:szCs w:val="32"/>
        </w:rPr>
      </w:pPr>
    </w:p>
    <w:p w:rsidR="0002701A" w:rsidRDefault="00F23D7F">
      <w:pPr>
        <w:adjustRightInd w:val="0"/>
        <w:snapToGrid w:val="0"/>
        <w:spacing w:line="580" w:lineRule="exact"/>
        <w:ind w:leftChars="200" w:left="420"/>
        <w:rPr>
          <w:rFonts w:ascii="??_GB2312" w:hAnsi="Times New Roman" w:cs="DengXian-Bold"/>
          <w:b/>
          <w:bCs/>
          <w:sz w:val="32"/>
          <w:szCs w:val="32"/>
        </w:rPr>
      </w:pPr>
      <w:r>
        <w:rPr>
          <w:rFonts w:ascii="??_GB2312" w:eastAsia="Times New Roman" w:hAnsi="Times New Roman" w:cs="DengXian-Bold"/>
          <w:b/>
          <w:bCs/>
          <w:sz w:val="32"/>
          <w:szCs w:val="32"/>
        </w:rPr>
        <w:t>（四）一般公共预算基本支出决算情况说明</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2019 </w:t>
      </w:r>
      <w:r>
        <w:rPr>
          <w:rFonts w:ascii="仿宋_GB2312" w:eastAsia="仿宋_GB2312" w:hAnsi="Times New Roman" w:cs="DengXian-Regular" w:hint="eastAsia"/>
          <w:sz w:val="32"/>
          <w:szCs w:val="32"/>
        </w:rPr>
        <w:t>年度财政拨款基本支出</w:t>
      </w:r>
      <w:r>
        <w:rPr>
          <w:rFonts w:ascii="仿宋_GB2312" w:eastAsia="仿宋_GB2312" w:hAnsi="Times New Roman" w:cs="DengXian-Regular"/>
          <w:sz w:val="32"/>
          <w:szCs w:val="32"/>
        </w:rPr>
        <w:t>1044.38</w:t>
      </w:r>
      <w:r>
        <w:rPr>
          <w:rFonts w:ascii="仿宋_GB2312" w:eastAsia="仿宋_GB2312" w:hAnsi="Times New Roman" w:cs="DengXian-Regular" w:hint="eastAsia"/>
          <w:sz w:val="32"/>
          <w:szCs w:val="32"/>
        </w:rPr>
        <w:t>万元，其中：人员经费</w:t>
      </w:r>
      <w:r>
        <w:rPr>
          <w:rFonts w:ascii="仿宋_GB2312" w:eastAsia="仿宋_GB2312" w:hAnsi="Times New Roman" w:cs="DengXian-Regular"/>
          <w:sz w:val="32"/>
          <w:szCs w:val="32"/>
        </w:rPr>
        <w:t>990.18</w:t>
      </w:r>
      <w:r>
        <w:rPr>
          <w:rFonts w:ascii="仿宋_GB2312" w:eastAsia="仿宋_GB2312" w:hAnsi="Times New Roman" w:cs="DengXian-Regular" w:hint="eastAsia"/>
          <w:sz w:val="32"/>
          <w:szCs w:val="32"/>
        </w:rPr>
        <w:t>万元，主要包括基本工资、津贴补贴、奖金、绩效工资、机关事业单位基本养老保险缴费、职工基本医疗保险缴费、其他社会保障缴费、住房公积金、其他工资福利支出、生活补助、奖励金、其他对个人和家庭的补助支出；公用经费</w:t>
      </w:r>
      <w:r>
        <w:rPr>
          <w:rFonts w:ascii="仿宋_GB2312" w:eastAsia="仿宋_GB2312" w:hAnsi="Times New Roman" w:cs="DengXian-Regular"/>
          <w:sz w:val="32"/>
          <w:szCs w:val="32"/>
        </w:rPr>
        <w:t>54.2</w:t>
      </w:r>
      <w:r>
        <w:rPr>
          <w:rFonts w:ascii="仿宋_GB2312" w:eastAsia="仿宋_GB2312" w:hAnsi="Times New Roman" w:cs="DengXian-Regular" w:hint="eastAsia"/>
          <w:sz w:val="32"/>
          <w:szCs w:val="32"/>
        </w:rPr>
        <w:t>万元，主要包括办公费、水费、电费、邮电费、取暖费、差旅费、维修（护）费、租赁费、会议费、工会经费、公务用车运行维护费、其他商品和服务支出。</w:t>
      </w:r>
    </w:p>
    <w:p w:rsidR="0002701A" w:rsidRDefault="00F23D7F">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lastRenderedPageBreak/>
        <w:t>五、一般公共预算“三公”经费支出决算情况说明</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年度“三公”经费支出共计</w:t>
      </w:r>
      <w:r>
        <w:rPr>
          <w:rFonts w:ascii="仿宋_GB2312" w:eastAsia="仿宋_GB2312" w:hAnsi="Times New Roman" w:cs="DengXian-Regular"/>
          <w:sz w:val="32"/>
          <w:szCs w:val="32"/>
        </w:rPr>
        <w:t>9.55</w:t>
      </w:r>
      <w:r>
        <w:rPr>
          <w:rFonts w:ascii="仿宋_GB2312" w:eastAsia="仿宋_GB2312" w:hAnsi="Times New Roman" w:cs="DengXian-Regular" w:hint="eastAsia"/>
          <w:sz w:val="32"/>
          <w:szCs w:val="32"/>
        </w:rPr>
        <w:t>万元，完成预算的</w:t>
      </w:r>
      <w:r>
        <w:rPr>
          <w:rFonts w:ascii="仿宋_GB2312" w:eastAsia="仿宋_GB2312" w:hAnsi="Times New Roman" w:cs="DengXian-Regular"/>
          <w:sz w:val="32"/>
          <w:szCs w:val="32"/>
        </w:rPr>
        <w:t>61.61%,</w:t>
      </w:r>
      <w:r>
        <w:rPr>
          <w:rFonts w:ascii="仿宋_GB2312" w:eastAsia="仿宋_GB2312" w:hAnsi="Times New Roman" w:cs="DengXian-Regular" w:hint="eastAsia"/>
          <w:sz w:val="32"/>
          <w:szCs w:val="32"/>
        </w:rPr>
        <w:t>较预算减少</w:t>
      </w:r>
      <w:r>
        <w:rPr>
          <w:rFonts w:ascii="仿宋_GB2312" w:eastAsia="仿宋_GB2312" w:hAnsi="Times New Roman" w:cs="DengXian-Regular"/>
          <w:sz w:val="32"/>
          <w:szCs w:val="32"/>
        </w:rPr>
        <w:t>5.95</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38.39%</w:t>
      </w:r>
      <w:r>
        <w:rPr>
          <w:rFonts w:ascii="仿宋_GB2312" w:eastAsia="仿宋_GB2312" w:hAnsi="Times New Roman" w:cs="DengXian-Regular" w:hint="eastAsia"/>
          <w:sz w:val="32"/>
          <w:szCs w:val="32"/>
        </w:rPr>
        <w:t>，主要是公务用车维护费减少；较</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年度增加</w:t>
      </w:r>
      <w:r>
        <w:rPr>
          <w:rFonts w:ascii="仿宋_GB2312" w:eastAsia="仿宋_GB2312" w:hAnsi="Times New Roman" w:cs="DengXian-Regular"/>
          <w:sz w:val="32"/>
          <w:szCs w:val="32"/>
        </w:rPr>
        <w:t>1.16</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13.83%</w:t>
      </w:r>
      <w:r>
        <w:rPr>
          <w:rFonts w:ascii="仿宋_GB2312" w:eastAsia="仿宋_GB2312" w:hAnsi="Times New Roman" w:cs="DengXian-Regular" w:hint="eastAsia"/>
          <w:sz w:val="32"/>
          <w:szCs w:val="32"/>
        </w:rPr>
        <w:t>，主要是公车老化造成相关的费用增加。具体情况如下：</w:t>
      </w:r>
    </w:p>
    <w:p w:rsidR="0002701A" w:rsidRDefault="00F23D7F" w:rsidP="00F23D7F">
      <w:pPr>
        <w:adjustRightInd w:val="0"/>
        <w:snapToGrid w:val="0"/>
        <w:spacing w:line="580" w:lineRule="exact"/>
        <w:ind w:firstLineChars="200" w:firstLine="643"/>
        <w:rPr>
          <w:rFonts w:ascii="仿宋_GB2312" w:eastAsia="仿宋_GB2312" w:hAnsi="Times New Roman" w:cs="DengXian-Regular"/>
          <w:sz w:val="32"/>
          <w:szCs w:val="32"/>
        </w:rPr>
      </w:pPr>
      <w:r>
        <w:rPr>
          <w:rFonts w:ascii="??_GB2312" w:eastAsia="Times New Roman" w:hAnsi="Times New Roman" w:cs="DengXian-Bold"/>
          <w:b/>
          <w:bCs/>
          <w:sz w:val="32"/>
          <w:szCs w:val="32"/>
        </w:rPr>
        <w:t>（一）未发生因公出国（境）费支出。</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年度无因公出国（境）团组、无人参加其他单位组织的因公出国（境）团组、无人无本单位组织的出国（境）团组。因公出国（境）费支出较预算无变化；较上年无变化。</w:t>
      </w:r>
    </w:p>
    <w:p w:rsidR="0002701A" w:rsidRDefault="00F23D7F" w:rsidP="00F23D7F">
      <w:pPr>
        <w:adjustRightInd w:val="0"/>
        <w:snapToGrid w:val="0"/>
        <w:spacing w:line="580" w:lineRule="exact"/>
        <w:ind w:firstLineChars="200" w:firstLine="643"/>
        <w:rPr>
          <w:rFonts w:ascii="仿宋_GB2312" w:eastAsia="仿宋_GB2312" w:hAnsi="Times New Roman" w:cs="DengXian-Bold"/>
          <w:b/>
          <w:bCs/>
          <w:sz w:val="32"/>
          <w:szCs w:val="32"/>
        </w:rPr>
      </w:pPr>
      <w:r>
        <w:rPr>
          <w:rFonts w:ascii="??_GB2312" w:eastAsia="Times New Roman" w:hAnsi="Times New Roman" w:cs="DengXian-Bold"/>
          <w:b/>
          <w:bCs/>
          <w:sz w:val="32"/>
          <w:szCs w:val="32"/>
        </w:rPr>
        <w:t>（二）公务用车购置及运行维护费支出</w:t>
      </w:r>
      <w:r>
        <w:rPr>
          <w:rFonts w:ascii="??_GB2312" w:eastAsia="Times New Roman" w:hAnsi="Times New Roman" w:cs="DengXian-Bold"/>
          <w:b/>
          <w:bCs/>
          <w:sz w:val="32"/>
          <w:szCs w:val="32"/>
        </w:rPr>
        <w:t>9.55</w:t>
      </w:r>
      <w:r>
        <w:rPr>
          <w:rFonts w:ascii="??_GB2312" w:eastAsia="Times New Roman" w:hAnsi="Times New Roman" w:cs="DengXian-Bold"/>
          <w:b/>
          <w:bCs/>
          <w:sz w:val="32"/>
          <w:szCs w:val="32"/>
        </w:rPr>
        <w:t>万元。</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年度公务用车购置及运行维护费较预算减少</w:t>
      </w:r>
      <w:r>
        <w:rPr>
          <w:rFonts w:ascii="仿宋_GB2312" w:eastAsia="仿宋_GB2312" w:hAnsi="Times New Roman" w:cs="DengXian-Regular"/>
          <w:sz w:val="32"/>
          <w:szCs w:val="32"/>
        </w:rPr>
        <w:t>5.95</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38.39%,</w:t>
      </w:r>
      <w:r>
        <w:rPr>
          <w:rFonts w:ascii="仿宋_GB2312" w:eastAsia="仿宋_GB2312" w:hAnsi="Times New Roman" w:cs="DengXian-Regular" w:hint="eastAsia"/>
          <w:sz w:val="32"/>
          <w:szCs w:val="32"/>
        </w:rPr>
        <w:t>主要是严格控制公务用车维护费用支出；较上年增加</w:t>
      </w:r>
      <w:r>
        <w:rPr>
          <w:rFonts w:ascii="仿宋_GB2312" w:eastAsia="仿宋_GB2312" w:hAnsi="Times New Roman" w:cs="DengXian-Regular"/>
          <w:sz w:val="32"/>
          <w:szCs w:val="32"/>
        </w:rPr>
        <w:t>1.16</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13.83%,</w:t>
      </w:r>
      <w:r>
        <w:rPr>
          <w:rFonts w:ascii="仿宋_GB2312" w:eastAsia="仿宋_GB2312" w:hAnsi="Times New Roman" w:cs="DengXian-Regular" w:hint="eastAsia"/>
          <w:sz w:val="32"/>
          <w:szCs w:val="32"/>
        </w:rPr>
        <w:t>主要是公车老化造成相关的费用增加。</w:t>
      </w:r>
      <w:r>
        <w:rPr>
          <w:rFonts w:ascii="仿宋_GB2312" w:eastAsia="仿宋_GB2312" w:hAnsi="Times New Roman" w:cs="DengXian-Bold" w:hint="eastAsia"/>
          <w:b/>
          <w:bCs/>
          <w:sz w:val="32"/>
          <w:szCs w:val="32"/>
        </w:rPr>
        <w:t>其中：</w:t>
      </w:r>
    </w:p>
    <w:p w:rsidR="0002701A" w:rsidRDefault="00F23D7F">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sidR="0033192C">
        <w:rPr>
          <w:rFonts w:ascii="仿宋_GB2312" w:eastAsia="仿宋_GB2312" w:hAnsi="Times New Roman" w:cs="DengXian-Regular" w:hint="eastAsia"/>
          <w:sz w:val="32"/>
          <w:szCs w:val="32"/>
        </w:rPr>
        <w:t>本部门2019年度公务用车购置量0辆，发生“公务用车购置”经费支出0万元。</w:t>
      </w:r>
      <w:r>
        <w:rPr>
          <w:rFonts w:ascii="仿宋_GB2312" w:eastAsia="仿宋_GB2312" w:hAnsi="Times New Roman" w:cs="DengXian-Regular" w:hint="eastAsia"/>
          <w:sz w:val="32"/>
          <w:szCs w:val="32"/>
        </w:rPr>
        <w:t>公务用车购置费支出与年初预算持平；与</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年度决算支出持平。</w:t>
      </w:r>
    </w:p>
    <w:p w:rsidR="0002701A" w:rsidRDefault="00F23D7F">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年度单位公务用车保有量</w:t>
      </w:r>
      <w:r>
        <w:rPr>
          <w:rFonts w:ascii="仿宋_GB2312" w:eastAsia="仿宋_GB2312" w:hAnsi="Times New Roman" w:cs="DengXian-Regular"/>
          <w:sz w:val="32"/>
          <w:szCs w:val="32"/>
        </w:rPr>
        <w:t>3</w:t>
      </w:r>
      <w:r>
        <w:rPr>
          <w:rFonts w:ascii="仿宋_GB2312" w:eastAsia="仿宋_GB2312" w:hAnsi="Times New Roman" w:cs="DengXian-Regular" w:hint="eastAsia"/>
          <w:sz w:val="32"/>
          <w:szCs w:val="32"/>
        </w:rPr>
        <w:t>辆。公车运行维护费支出较预算减少</w:t>
      </w:r>
      <w:r>
        <w:rPr>
          <w:rFonts w:ascii="仿宋_GB2312" w:eastAsia="仿宋_GB2312" w:hAnsi="Times New Roman" w:cs="DengXian-Regular"/>
          <w:sz w:val="32"/>
          <w:szCs w:val="32"/>
        </w:rPr>
        <w:t>5.95</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38.39%,</w:t>
      </w:r>
      <w:r>
        <w:rPr>
          <w:rFonts w:ascii="仿宋_GB2312" w:eastAsia="仿宋_GB2312" w:hAnsi="Times New Roman" w:cs="DengXian-Regular" w:hint="eastAsia"/>
          <w:sz w:val="32"/>
          <w:szCs w:val="32"/>
        </w:rPr>
        <w:t>主要是严格控制公务用车维护费用支出；较上年增加</w:t>
      </w:r>
      <w:r>
        <w:rPr>
          <w:rFonts w:ascii="仿宋_GB2312" w:eastAsia="仿宋_GB2312" w:hAnsi="Times New Roman" w:cs="DengXian-Regular"/>
          <w:sz w:val="32"/>
          <w:szCs w:val="32"/>
        </w:rPr>
        <w:t>1.16</w:t>
      </w:r>
      <w:r>
        <w:rPr>
          <w:rFonts w:ascii="仿宋_GB2312" w:eastAsia="仿宋_GB2312" w:hAnsi="Times New Roman" w:cs="DengXian-Regular" w:hint="eastAsia"/>
          <w:sz w:val="32"/>
          <w:szCs w:val="32"/>
        </w:rPr>
        <w:t>万元，增长</w:t>
      </w:r>
      <w:r>
        <w:rPr>
          <w:rFonts w:ascii="仿宋_GB2312" w:eastAsia="仿宋_GB2312" w:hAnsi="Times New Roman" w:cs="DengXian-Regular"/>
          <w:sz w:val="32"/>
          <w:szCs w:val="32"/>
        </w:rPr>
        <w:t>13.83%,</w:t>
      </w:r>
      <w:r>
        <w:rPr>
          <w:rFonts w:ascii="仿宋_GB2312" w:eastAsia="仿宋_GB2312" w:hAnsi="Times New Roman" w:cs="DengXian-Regular" w:hint="eastAsia"/>
          <w:sz w:val="32"/>
          <w:szCs w:val="32"/>
        </w:rPr>
        <w:t>主要是公车老化造成相关的费用增加。</w:t>
      </w:r>
    </w:p>
    <w:p w:rsidR="0002701A" w:rsidRDefault="00F23D7F" w:rsidP="00F23D7F">
      <w:pPr>
        <w:adjustRightInd w:val="0"/>
        <w:snapToGrid w:val="0"/>
        <w:spacing w:line="580" w:lineRule="exact"/>
        <w:ind w:firstLineChars="200" w:firstLine="643"/>
        <w:rPr>
          <w:rFonts w:ascii="仿宋_GB2312" w:eastAsia="仿宋_GB2312" w:hAnsi="Times New Roman" w:cs="DengXian-Regular"/>
          <w:sz w:val="32"/>
          <w:szCs w:val="32"/>
        </w:rPr>
      </w:pPr>
      <w:r>
        <w:rPr>
          <w:rFonts w:ascii="??_GB2312" w:eastAsia="Times New Roman" w:hAnsi="Times New Roman" w:cs="DengXian-Bold"/>
          <w:b/>
          <w:bCs/>
          <w:sz w:val="32"/>
          <w:szCs w:val="32"/>
        </w:rPr>
        <w:lastRenderedPageBreak/>
        <w:t>（三）公务接待费支出</w:t>
      </w:r>
      <w:r w:rsidR="000E2D9A">
        <w:rPr>
          <w:rFonts w:ascii="??_GB2312" w:eastAsiaTheme="minorEastAsia" w:hAnsi="Times New Roman" w:cs="DengXian-Bold" w:hint="eastAsia"/>
          <w:b/>
          <w:bCs/>
          <w:sz w:val="32"/>
          <w:szCs w:val="32"/>
        </w:rPr>
        <w:t>0</w:t>
      </w:r>
      <w:r w:rsidR="000E2D9A">
        <w:rPr>
          <w:rFonts w:ascii="??_GB2312" w:eastAsiaTheme="minorEastAsia" w:hAnsi="Times New Roman" w:cs="DengXian-Bold" w:hint="eastAsia"/>
          <w:b/>
          <w:bCs/>
          <w:sz w:val="32"/>
          <w:szCs w:val="32"/>
        </w:rPr>
        <w:t>万元</w:t>
      </w:r>
      <w:r>
        <w:rPr>
          <w:rFonts w:ascii="??_GB2312" w:eastAsia="Times New Roman" w:hAnsi="Times New Roman" w:cs="DengXian-Bold"/>
          <w:b/>
          <w:bCs/>
          <w:sz w:val="32"/>
          <w:szCs w:val="32"/>
        </w:rPr>
        <w:t>。</w:t>
      </w:r>
      <w:r w:rsidR="000E2D9A">
        <w:rPr>
          <w:rFonts w:ascii="仿宋_GB2312" w:eastAsia="仿宋_GB2312" w:hAnsi="Times New Roman" w:cs="DengXian-Regular" w:hint="eastAsia"/>
          <w:sz w:val="32"/>
          <w:szCs w:val="32"/>
        </w:rPr>
        <w:t>本部门2019年度公务接待共0批次、0人次。</w:t>
      </w:r>
      <w:r>
        <w:rPr>
          <w:rFonts w:ascii="仿宋_GB2312" w:eastAsia="仿宋_GB2312" w:hAnsi="Times New Roman" w:cs="DengXian-Regular" w:hint="eastAsia"/>
          <w:sz w:val="32"/>
          <w:szCs w:val="32"/>
        </w:rPr>
        <w:t>公务接待费支</w:t>
      </w:r>
      <w:r>
        <w:rPr>
          <w:rFonts w:ascii="仿宋_GB2312" w:eastAsia="仿宋_GB2312" w:hAnsi="Times New Roman" w:cs="DengXian-Regular" w:hint="eastAsia"/>
          <w:color w:val="000000"/>
          <w:sz w:val="32"/>
          <w:szCs w:val="32"/>
        </w:rPr>
        <w:t>与年初预算持平</w:t>
      </w:r>
      <w:r>
        <w:rPr>
          <w:rFonts w:ascii="仿宋_GB2312" w:eastAsia="仿宋_GB2312" w:hAnsi="Times New Roman" w:cs="DengXian-Regular" w:hint="eastAsia"/>
          <w:sz w:val="32"/>
          <w:szCs w:val="32"/>
        </w:rPr>
        <w:t>；</w:t>
      </w:r>
      <w:r>
        <w:rPr>
          <w:rFonts w:ascii="仿宋_GB2312" w:eastAsia="仿宋_GB2312" w:hAnsi="Times New Roman" w:cs="DengXian-Regular" w:hint="eastAsia"/>
          <w:color w:val="000000"/>
          <w:sz w:val="32"/>
          <w:szCs w:val="32"/>
        </w:rPr>
        <w:t>与</w:t>
      </w:r>
      <w:r>
        <w:rPr>
          <w:rFonts w:ascii="仿宋_GB2312" w:eastAsia="仿宋_GB2312" w:hAnsi="Times New Roman" w:cs="DengXian-Regular"/>
          <w:color w:val="000000"/>
          <w:sz w:val="32"/>
          <w:szCs w:val="32"/>
        </w:rPr>
        <w:t>2018</w:t>
      </w:r>
      <w:r>
        <w:rPr>
          <w:rFonts w:ascii="仿宋_GB2312" w:eastAsia="仿宋_GB2312" w:hAnsi="Times New Roman" w:cs="DengXian-Regular" w:hint="eastAsia"/>
          <w:color w:val="000000"/>
          <w:sz w:val="32"/>
          <w:szCs w:val="32"/>
        </w:rPr>
        <w:t>年度决算支出持平</w:t>
      </w:r>
      <w:r>
        <w:rPr>
          <w:rFonts w:ascii="仿宋_GB2312" w:eastAsia="仿宋_GB2312" w:hAnsi="Times New Roman" w:cs="DengXian-Regular" w:hint="eastAsia"/>
          <w:sz w:val="32"/>
          <w:szCs w:val="32"/>
        </w:rPr>
        <w:t>。</w:t>
      </w:r>
    </w:p>
    <w:p w:rsidR="0002701A" w:rsidRDefault="00F23D7F">
      <w:pPr>
        <w:adjustRightInd w:val="0"/>
        <w:snapToGrid w:val="0"/>
        <w:spacing w:line="580" w:lineRule="exact"/>
        <w:ind w:firstLineChars="200" w:firstLine="640"/>
        <w:rPr>
          <w:rFonts w:ascii="黑体" w:eastAsia="黑体" w:hAnsi="Times New Roman"/>
          <w:sz w:val="32"/>
          <w:szCs w:val="40"/>
        </w:rPr>
      </w:pPr>
      <w:r>
        <w:rPr>
          <w:rFonts w:ascii="黑体" w:eastAsia="黑体" w:hAnsi="Times New Roman" w:hint="eastAsia"/>
          <w:sz w:val="32"/>
          <w:szCs w:val="40"/>
        </w:rPr>
        <w:t>六、预算绩效情况说明</w:t>
      </w:r>
    </w:p>
    <w:p w:rsidR="0002701A" w:rsidRDefault="00F23D7F">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 xml:space="preserve">1. </w:t>
      </w:r>
      <w:r>
        <w:rPr>
          <w:rFonts w:ascii="仿宋_GB2312" w:eastAsia="仿宋_GB2312" w:hAnsi="仿宋_GB2312" w:cs="仿宋_GB2312" w:hint="eastAsia"/>
          <w:b/>
          <w:bCs/>
          <w:sz w:val="32"/>
          <w:szCs w:val="32"/>
        </w:rPr>
        <w:t>预算绩效管理工作开展情况。</w:t>
      </w:r>
    </w:p>
    <w:p w:rsidR="0002701A" w:rsidRDefault="00F23D7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根据预算绩效管理要求，本部门组织对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年度一般公共预算项目支出全面开展绩效自评，其中，一共</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个项目，共涉及资金</w:t>
      </w:r>
      <w:r>
        <w:rPr>
          <w:rFonts w:ascii="仿宋_GB2312" w:eastAsia="仿宋_GB2312" w:hAnsi="仿宋_GB2312" w:cs="仿宋_GB2312"/>
          <w:sz w:val="32"/>
          <w:szCs w:val="32"/>
        </w:rPr>
        <w:t>1769.89</w:t>
      </w:r>
      <w:r>
        <w:rPr>
          <w:rFonts w:ascii="仿宋_GB2312" w:eastAsia="仿宋_GB2312" w:hAnsi="仿宋_GB2312" w:cs="仿宋_GB2312" w:hint="eastAsia"/>
          <w:sz w:val="32"/>
          <w:szCs w:val="32"/>
        </w:rPr>
        <w:t>万元，占一般公共预算项目支出总额的全部。组织对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年度征地和拆迁补偿支出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个政府性基金预算项目支出开展绩效自评，共涉及资金</w:t>
      </w:r>
      <w:r>
        <w:rPr>
          <w:rFonts w:ascii="仿宋_GB2312" w:eastAsia="仿宋_GB2312" w:hAnsi="仿宋_GB2312" w:cs="仿宋_GB2312"/>
          <w:sz w:val="32"/>
          <w:szCs w:val="32"/>
        </w:rPr>
        <w:t>1729.29</w:t>
      </w:r>
      <w:r>
        <w:rPr>
          <w:rFonts w:ascii="仿宋_GB2312" w:eastAsia="仿宋_GB2312" w:hAnsi="仿宋_GB2312" w:cs="仿宋_GB2312" w:hint="eastAsia"/>
          <w:sz w:val="32"/>
          <w:szCs w:val="32"/>
        </w:rPr>
        <w:t>万元，占政府性基金预算项目支出总额的全部。从评价情况来看，我单位高度重视项目绩效，适时对绩效自评结果进行抽查，并加强抽查结果应用；绩效测评结果将作为以后年度项目立项和经费支持的参考，对绩效测评结果与实际情况出入较大或绩效较差的项目，及时进行深入分析、究其原因，下一年度项目预算将慎重、从紧、从严。年度终了，严格按照财政局的统一要求，对绩效评价情况予以公开，广泛接受社会监督。</w:t>
      </w:r>
    </w:p>
    <w:p w:rsidR="0002701A" w:rsidRDefault="00F23D7F">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b/>
          <w:bCs/>
          <w:sz w:val="32"/>
          <w:szCs w:val="32"/>
        </w:rPr>
        <w:t xml:space="preserve">2. </w:t>
      </w:r>
      <w:r>
        <w:rPr>
          <w:rFonts w:ascii="仿宋_GB2312" w:eastAsia="仿宋_GB2312" w:hAnsi="仿宋_GB2312" w:cs="仿宋_GB2312" w:hint="eastAsia"/>
          <w:b/>
          <w:bCs/>
          <w:sz w:val="32"/>
          <w:szCs w:val="32"/>
        </w:rPr>
        <w:t>部门决算中项目绩效自评结果。</w:t>
      </w:r>
    </w:p>
    <w:p w:rsidR="0002701A" w:rsidRDefault="00F23D7F">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本部门在今年部门决算公开中反映庆北道外墙喷涂经费项目及信访维稳经费项目等</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个项目绩效自评结果。</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庆北道外墙喷涂经费项目自评综述：根据年初设定的</w:t>
      </w:r>
      <w:r>
        <w:rPr>
          <w:rFonts w:ascii="仿宋_GB2312" w:eastAsia="仿宋_GB2312" w:hAnsi="仿宋_GB2312" w:cs="仿宋_GB2312" w:hint="eastAsia"/>
          <w:sz w:val="32"/>
          <w:szCs w:val="32"/>
        </w:rPr>
        <w:lastRenderedPageBreak/>
        <w:t>绩效目标，庆北道外墙喷涂经费项目绩效自评得分为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2.57</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2.57</w:t>
      </w:r>
      <w:r>
        <w:rPr>
          <w:rFonts w:ascii="仿宋_GB2312" w:eastAsia="仿宋_GB2312" w:hAnsi="仿宋_GB2312" w:cs="仿宋_GB2312" w:hint="eastAsia"/>
          <w:sz w:val="32"/>
          <w:szCs w:val="32"/>
        </w:rPr>
        <w:t>万元，完成预算的全部。项目绩效目标完成情况：为进一步改善辖区景观，提升城区整体形象，按照管委会主任庞秋原指示，管委会办公室统一安排部署，我单位申请区财政资金</w:t>
      </w:r>
      <w:r>
        <w:rPr>
          <w:rFonts w:ascii="仿宋_GB2312" w:eastAsia="仿宋_GB2312" w:hAnsi="仿宋_GB2312" w:cs="仿宋_GB2312"/>
          <w:sz w:val="32"/>
          <w:szCs w:val="32"/>
        </w:rPr>
        <w:t>2.57</w:t>
      </w:r>
      <w:r>
        <w:rPr>
          <w:rFonts w:ascii="仿宋_GB2312" w:eastAsia="仿宋_GB2312" w:hAnsi="仿宋_GB2312" w:cs="仿宋_GB2312" w:hint="eastAsia"/>
          <w:sz w:val="32"/>
          <w:szCs w:val="32"/>
        </w:rPr>
        <w:t>万元，抓紧时间对庆北道北侧、火炬路至建设路段进行外墙喷涂，完成上级交办的工作任务。发现的主要问题及原因：该项目为一次性项目，已经按期全部执行完成。下一步改进措施：无。</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信访维稳经费项目自评综述：根据年初设定的绩效目标，信访维稳经费项目绩效自评得分为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万元，完成预算的全部。项目绩效目标完成情况：确保</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不发生进京赴省访，确保高新区稳定和谐更好更快的发展。该项目为经常性项目，已经按期全部执行完成。存在问题：由于年初预算时对该项目支出经济分类估计不足，导致实际支出中存在经济分类调整的情况。下一步改进措施：在下一年度年初项目预算时，认真规划该项经费的经济分类，保证每笔资金的支出用途与预算经济分类相符。</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中标物业公司一次性资金支持及中标费用项目自评综述：根据年初设定的绩效目标，中标物业公司一次性资金支持及中标费用项目绩效自评得分为</w:t>
      </w:r>
      <w:r>
        <w:rPr>
          <w:rFonts w:ascii="仿宋_GB2312" w:eastAsia="仿宋_GB2312" w:hAnsi="仿宋_GB2312" w:cs="仿宋_GB2312"/>
          <w:sz w:val="32"/>
          <w:szCs w:val="32"/>
        </w:rPr>
        <w:t>88</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31.5</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15.55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49%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项目绩效目标完成情况：依据高新区党工委会议纪要（【</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号）会议精神，申请中标物业公司一次性支持资金</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万元，专项用于接管老旧小区的基础设施建设、修缮、绿化苗木补植等。同时申请招标代理公司费用</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万元。两项合计</w:t>
      </w:r>
      <w:r>
        <w:rPr>
          <w:rFonts w:ascii="仿宋_GB2312" w:eastAsia="仿宋_GB2312" w:hAnsi="仿宋_GB2312" w:cs="仿宋_GB2312"/>
          <w:sz w:val="32"/>
          <w:szCs w:val="32"/>
        </w:rPr>
        <w:t>31.5</w:t>
      </w:r>
      <w:r>
        <w:rPr>
          <w:rFonts w:ascii="仿宋_GB2312" w:eastAsia="仿宋_GB2312" w:hAnsi="仿宋_GB2312" w:cs="仿宋_GB2312" w:hint="eastAsia"/>
          <w:sz w:val="32"/>
          <w:szCs w:val="32"/>
        </w:rPr>
        <w:t>万元。该项目为一次性项目，</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月底执行完成</w:t>
      </w:r>
      <w:r>
        <w:rPr>
          <w:rFonts w:ascii="仿宋_GB2312" w:eastAsia="仿宋_GB2312" w:hAnsi="仿宋_GB2312" w:cs="仿宋_GB2312"/>
          <w:sz w:val="32"/>
          <w:szCs w:val="32"/>
        </w:rPr>
        <w:t>49%</w:t>
      </w:r>
      <w:r>
        <w:rPr>
          <w:rFonts w:ascii="仿宋_GB2312" w:eastAsia="仿宋_GB2312" w:hAnsi="仿宋_GB2312" w:cs="仿宋_GB2312" w:hint="eastAsia"/>
          <w:sz w:val="32"/>
          <w:szCs w:val="32"/>
        </w:rPr>
        <w:t>。存在问题：该项目执行年度为</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月，与结账自然年度不一致，导致该项目资金到</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月只支出了全部资金的</w:t>
      </w:r>
      <w:r>
        <w:rPr>
          <w:rFonts w:ascii="仿宋_GB2312" w:eastAsia="仿宋_GB2312" w:hAnsi="仿宋_GB2312" w:cs="仿宋_GB2312"/>
          <w:sz w:val="32"/>
          <w:szCs w:val="32"/>
        </w:rPr>
        <w:t>49%</w:t>
      </w:r>
      <w:r>
        <w:rPr>
          <w:rFonts w:ascii="仿宋_GB2312" w:eastAsia="仿宋_GB2312" w:hAnsi="仿宋_GB2312" w:cs="仿宋_GB2312" w:hint="eastAsia"/>
          <w:sz w:val="32"/>
          <w:szCs w:val="32"/>
        </w:rPr>
        <w:t>，对于招标代理公司的代理费也未能及时进行结算。下一步改进措施：在</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年度保证该项资金全部及时执行完成，下年度再有类似项目资金在年初预算时合理进行规划，只申请当年能够执行完成的资金份额。</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社区工作者年终考核奖及社区运行经费项目自评综述：根据年初设定的绩效目标，社区工作者年终考核奖及社区运行经费项目绩效自评得分为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93.56</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93.56</w:t>
      </w:r>
      <w:r>
        <w:rPr>
          <w:rFonts w:ascii="仿宋_GB2312" w:eastAsia="仿宋_GB2312" w:hAnsi="仿宋_GB2312" w:cs="仿宋_GB2312" w:hint="eastAsia"/>
          <w:sz w:val="32"/>
          <w:szCs w:val="32"/>
        </w:rPr>
        <w:t>万元，完成预算的全部。项目绩效目标完成情况：及时足量下发社区工作者年终考核奖及社区运行经费，保证人员考核奖以及社区日常运转经费的发放，确保社区顺利完成日常工作。该项目为经常性项目，已经按期全部执行完成。下一步改进措施：无。</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马家屯遮荫款项目自评综述：根据年初设定的绩效目标，马家屯遮荫款项目绩效自评得分为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w:t>
      </w:r>
      <w:r>
        <w:rPr>
          <w:rFonts w:ascii="仿宋_GB2312" w:eastAsia="仿宋_GB2312" w:hAnsi="仿宋_GB2312" w:cs="仿宋_GB2312" w:hint="eastAsia"/>
          <w:sz w:val="32"/>
          <w:szCs w:val="32"/>
        </w:rPr>
        <w:lastRenderedPageBreak/>
        <w:t>全年预算数为</w:t>
      </w:r>
      <w:r>
        <w:rPr>
          <w:rFonts w:ascii="仿宋_GB2312" w:eastAsia="仿宋_GB2312" w:hAnsi="仿宋_GB2312" w:cs="仿宋_GB2312"/>
          <w:sz w:val="32"/>
          <w:szCs w:val="32"/>
        </w:rPr>
        <w:t>5.19</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5.19</w:t>
      </w:r>
      <w:r>
        <w:rPr>
          <w:rFonts w:ascii="仿宋_GB2312" w:eastAsia="仿宋_GB2312" w:hAnsi="仿宋_GB2312" w:cs="仿宋_GB2312" w:hint="eastAsia"/>
          <w:sz w:val="32"/>
          <w:szCs w:val="32"/>
        </w:rPr>
        <w:t>万元，完成预算的全部。项目绩效目标完成情况主要用于马家屯相关村民户的遮荫补偿款，保证该项目资金发放及时且足额。该项目为经常性项目，已经按期全部执行完成。下一步改进措施：无。</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富兴花苑</w:t>
      </w:r>
      <w:r>
        <w:rPr>
          <w:rFonts w:ascii="仿宋_GB2312" w:eastAsia="仿宋_GB2312" w:hAnsi="仿宋_GB2312" w:cs="仿宋_GB2312"/>
          <w:sz w:val="32"/>
          <w:szCs w:val="32"/>
        </w:rPr>
        <w:t>H</w:t>
      </w:r>
      <w:r>
        <w:rPr>
          <w:rFonts w:ascii="仿宋_GB2312" w:eastAsia="仿宋_GB2312" w:hAnsi="仿宋_GB2312" w:cs="仿宋_GB2312" w:hint="eastAsia"/>
          <w:sz w:val="32"/>
          <w:szCs w:val="32"/>
        </w:rPr>
        <w:t>座环境改造经费项目自评综述：根据年初设定的绩效目标，富兴花苑</w:t>
      </w:r>
      <w:r>
        <w:rPr>
          <w:rFonts w:ascii="仿宋_GB2312" w:eastAsia="仿宋_GB2312" w:hAnsi="仿宋_GB2312" w:cs="仿宋_GB2312"/>
          <w:sz w:val="32"/>
          <w:szCs w:val="32"/>
        </w:rPr>
        <w:t>H</w:t>
      </w:r>
      <w:r>
        <w:rPr>
          <w:rFonts w:ascii="仿宋_GB2312" w:eastAsia="仿宋_GB2312" w:hAnsi="仿宋_GB2312" w:cs="仿宋_GB2312" w:hint="eastAsia"/>
          <w:sz w:val="32"/>
          <w:szCs w:val="32"/>
        </w:rPr>
        <w:t>座环境改造经费项目绩效自评得分为</w:t>
      </w:r>
      <w:r>
        <w:rPr>
          <w:rFonts w:ascii="仿宋_GB2312" w:eastAsia="仿宋_GB2312" w:hAnsi="仿宋_GB2312" w:cs="仿宋_GB2312"/>
          <w:sz w:val="32"/>
          <w:szCs w:val="32"/>
        </w:rPr>
        <w:t>93</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16.8</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2.16</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。项目绩效目标完成情况：完成富兴花苑</w:t>
      </w:r>
      <w:r>
        <w:rPr>
          <w:rFonts w:ascii="仿宋_GB2312" w:eastAsia="仿宋_GB2312" w:hAnsi="仿宋_GB2312" w:cs="仿宋_GB2312"/>
          <w:sz w:val="32"/>
          <w:szCs w:val="32"/>
        </w:rPr>
        <w:t>H</w:t>
      </w:r>
      <w:r>
        <w:rPr>
          <w:rFonts w:ascii="仿宋_GB2312" w:eastAsia="仿宋_GB2312" w:hAnsi="仿宋_GB2312" w:cs="仿宋_GB2312" w:hint="eastAsia"/>
          <w:sz w:val="32"/>
          <w:szCs w:val="32"/>
        </w:rPr>
        <w:t>座包括围墙换新、违建车库拆除和地面硬化等方面的环境改造。该项目为一次性项目，由于涉及到拆除和恢复工程，需要进行审计，因此项目资金支出</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。存在原因：涉及工程类项目需要进行工程审计，但是审计周期过长，影响项目资金正常结算。下一步改进措施：建议相关部门简化工程审计的流程，加快审计速度。</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文明城创建尾款项目自评综述：根据年初设定的绩效目标，文明城创建尾款项目绩效自评得分为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137.19</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137.19</w:t>
      </w:r>
      <w:r>
        <w:rPr>
          <w:rFonts w:ascii="仿宋_GB2312" w:eastAsia="仿宋_GB2312" w:hAnsi="仿宋_GB2312" w:cs="仿宋_GB2312" w:hint="eastAsia"/>
          <w:sz w:val="32"/>
          <w:szCs w:val="32"/>
        </w:rPr>
        <w:t>万元，完成预算的全部。项目绩效目标完成情况：及时足额支付</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年度文明城创建过程中产生的小区绿化硬化工程、文明城公益广告宣传制作和建筑垃圾清运等项目的尾款。该项目为一次性项目，已经按期全部执行完成。下一步改进措施：无。</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征地拆迁补偿款项目自评综述：根据年初设定的绩效目标，征地拆迁补偿款项目绩效自评得分为</w:t>
      </w:r>
      <w:r>
        <w:rPr>
          <w:rFonts w:ascii="仿宋_GB2312" w:eastAsia="仿宋_GB2312" w:hAnsi="仿宋_GB2312" w:cs="仿宋_GB2312"/>
          <w:sz w:val="32"/>
          <w:szCs w:val="32"/>
        </w:rPr>
        <w:t>98</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41.82</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41.82</w:t>
      </w:r>
      <w:r>
        <w:rPr>
          <w:rFonts w:ascii="仿宋_GB2312" w:eastAsia="仿宋_GB2312" w:hAnsi="仿宋_GB2312" w:cs="仿宋_GB2312" w:hint="eastAsia"/>
          <w:sz w:val="32"/>
          <w:szCs w:val="32"/>
        </w:rPr>
        <w:t>万元，完成预算的全部。项目绩效目标完成情况：及时下发对村民的征地拆迁补偿款，用于边角地等征地拆迁补偿支出，保证基层政府的稳定。该项目为经常性项目，已经按期全部执行完成。存在问题：由于对资金预算计划可控性不强，导致年初预算资金过高，虽经调整预算后全部执行完成，但依然存在预算资金与实际执行资金相差太大的问题。下一步改进措施：在计划下年度预算时，认真规划项目用地等征地情况，尽量做到资金足额但不浪费。</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补偿安置费项目自评综述：根据年初设定的绩效目标，补偿安置费项目绩效自评得分为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1661.32</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1661.32</w:t>
      </w:r>
      <w:r>
        <w:rPr>
          <w:rFonts w:ascii="仿宋_GB2312" w:eastAsia="仿宋_GB2312" w:hAnsi="仿宋_GB2312" w:cs="仿宋_GB2312" w:hint="eastAsia"/>
          <w:sz w:val="32"/>
          <w:szCs w:val="32"/>
        </w:rPr>
        <w:t>万元，完成预算的全部。项目绩效目标完成情况：根据相关协议，及时足量发放新城子、许鄄子等村过渡费。保证村级正常运转，确保基层政府稳定。该项目为经常性项目，已经按期全部执行完成。存在问题：由于该项目资金涉及民生问题，导致年初预算资金偏高，虽经调整预算后全部执行完成，但依然存在预算资金与实际执行资金存在差距的问题。下一步改进措施：在计划下年度预算时，认真核算下年度需发放过渡费的人口情况，尽量做到资金足额但不浪费。</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村委会办公场所租赁费项目自评综述：根据年初设定</w:t>
      </w:r>
      <w:r>
        <w:rPr>
          <w:rFonts w:ascii="仿宋_GB2312" w:eastAsia="仿宋_GB2312" w:hAnsi="仿宋_GB2312" w:cs="仿宋_GB2312" w:hint="eastAsia"/>
          <w:sz w:val="32"/>
          <w:szCs w:val="32"/>
        </w:rPr>
        <w:lastRenderedPageBreak/>
        <w:t>的绩效目标，村委会办公场所租赁费项目绩效自评得分为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完成预算的全部。项目绩效目标完成情况：根据相关协议，及时足量下发村委会办公场所租赁费，保证新城子村以及许鄄子村日常正常运转。该项目为经常性项目，已经按期全部执行完成。下一步改进措施：无。</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村干部工资、保险和聘用人员工资项目自评综述：根据年初设定的绩效目标，村干部工资、保险和聘用人员工资项目绩效自评得分为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62.48</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62.48</w:t>
      </w:r>
      <w:r>
        <w:rPr>
          <w:rFonts w:ascii="仿宋_GB2312" w:eastAsia="仿宋_GB2312" w:hAnsi="仿宋_GB2312" w:cs="仿宋_GB2312" w:hint="eastAsia"/>
          <w:sz w:val="32"/>
          <w:szCs w:val="32"/>
        </w:rPr>
        <w:t>万元，完成预算的全部。项目绩效目标完成情况：及时下发村干部工资、保险和聘用人员工资等。保证人员工资不拖欠，保险及时缴纳，村办公经费足量发放。提高相关人员积极性，保证各村日常正常运转。该项目为经常性项目，已经按期全部执行完成。下一步改进措施：无。</w:t>
      </w:r>
    </w:p>
    <w:p w:rsidR="0002701A" w:rsidRDefault="00F23D7F">
      <w:pPr>
        <w:numPr>
          <w:ilvl w:val="0"/>
          <w:numId w:val="4"/>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村干部及村官考核奖和离任村干部补贴项目自评综述：根据年初设定的绩效目标，村干部及村官考核奖和离任村干部补贴项目绩效自评得分为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sz w:val="32"/>
          <w:szCs w:val="32"/>
        </w:rPr>
        <w:t>31.31</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31.31</w:t>
      </w:r>
      <w:r>
        <w:rPr>
          <w:rFonts w:ascii="仿宋_GB2312" w:eastAsia="仿宋_GB2312" w:hAnsi="仿宋_GB2312" w:cs="仿宋_GB2312" w:hint="eastAsia"/>
          <w:sz w:val="32"/>
          <w:szCs w:val="32"/>
        </w:rPr>
        <w:t>万元，完成预算的全部。项目绩效目标完成情况：及时足量下发村干部及村官考核奖和离任村干部补贴，保证村干部村官以及离任村干部人员考核奖和补贴的发放，提高积极性，确保日常工作的正常开展。该项目为经常</w:t>
      </w:r>
      <w:r>
        <w:rPr>
          <w:rFonts w:ascii="仿宋_GB2312" w:eastAsia="仿宋_GB2312" w:hAnsi="仿宋_GB2312" w:cs="仿宋_GB2312" w:hint="eastAsia"/>
          <w:sz w:val="32"/>
          <w:szCs w:val="32"/>
        </w:rPr>
        <w:lastRenderedPageBreak/>
        <w:t>性项目，已经按期全部执行完成。下一步改进措施：无。</w:t>
      </w:r>
    </w:p>
    <w:p w:rsidR="0002701A" w:rsidRDefault="0002701A">
      <w:pPr>
        <w:jc w:val="left"/>
        <w:outlineLvl w:val="1"/>
      </w:pPr>
    </w:p>
    <w:p w:rsidR="0002701A" w:rsidRDefault="00F23D7F">
      <w:pPr>
        <w:ind w:firstLineChars="200" w:firstLine="420"/>
        <w:jc w:val="left"/>
        <w:outlineLvl w:val="1"/>
      </w:pPr>
      <w:r>
        <w:rPr>
          <w:noProof/>
        </w:rPr>
        <w:drawing>
          <wp:inline distT="0" distB="0" distL="114300" distR="114300">
            <wp:extent cx="4810125" cy="7362825"/>
            <wp:effectExtent l="0" t="0" r="9525" b="952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32"/>
                    <a:stretch>
                      <a:fillRect/>
                    </a:stretch>
                  </pic:blipFill>
                  <pic:spPr>
                    <a:xfrm>
                      <a:off x="0" y="0"/>
                      <a:ext cx="4810125" cy="7362825"/>
                    </a:xfrm>
                    <a:prstGeom prst="rect">
                      <a:avLst/>
                    </a:prstGeom>
                    <a:noFill/>
                    <a:ln>
                      <a:noFill/>
                    </a:ln>
                  </pic:spPr>
                </pic:pic>
              </a:graphicData>
            </a:graphic>
          </wp:inline>
        </w:drawing>
      </w:r>
    </w:p>
    <w:p w:rsidR="0002701A" w:rsidRDefault="0002701A">
      <w:pPr>
        <w:ind w:firstLineChars="200" w:firstLine="420"/>
        <w:jc w:val="left"/>
        <w:outlineLvl w:val="1"/>
      </w:pPr>
    </w:p>
    <w:p w:rsidR="0002701A" w:rsidRDefault="0002701A">
      <w:pPr>
        <w:ind w:firstLineChars="200" w:firstLine="420"/>
        <w:jc w:val="left"/>
        <w:outlineLvl w:val="1"/>
      </w:pPr>
    </w:p>
    <w:p w:rsidR="0002701A" w:rsidRDefault="00F23D7F">
      <w:pPr>
        <w:ind w:firstLineChars="200" w:firstLine="420"/>
        <w:jc w:val="left"/>
        <w:outlineLvl w:val="1"/>
      </w:pPr>
      <w:r>
        <w:rPr>
          <w:noProof/>
        </w:rPr>
        <w:drawing>
          <wp:inline distT="0" distB="0" distL="114300" distR="114300">
            <wp:extent cx="4810125" cy="7629525"/>
            <wp:effectExtent l="0" t="0" r="9525" b="952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33"/>
                    <a:stretch>
                      <a:fillRect/>
                    </a:stretch>
                  </pic:blipFill>
                  <pic:spPr>
                    <a:xfrm>
                      <a:off x="0" y="0"/>
                      <a:ext cx="4810125" cy="7629525"/>
                    </a:xfrm>
                    <a:prstGeom prst="rect">
                      <a:avLst/>
                    </a:prstGeom>
                    <a:noFill/>
                    <a:ln>
                      <a:noFill/>
                    </a:ln>
                  </pic:spPr>
                </pic:pic>
              </a:graphicData>
            </a:graphic>
          </wp:inline>
        </w:drawing>
      </w:r>
    </w:p>
    <w:p w:rsidR="0002701A" w:rsidRDefault="00F23D7F">
      <w:pPr>
        <w:ind w:firstLineChars="200" w:firstLine="420"/>
        <w:jc w:val="left"/>
        <w:outlineLvl w:val="1"/>
      </w:pPr>
      <w:r>
        <w:rPr>
          <w:noProof/>
        </w:rPr>
        <w:lastRenderedPageBreak/>
        <w:drawing>
          <wp:inline distT="0" distB="0" distL="114300" distR="114300">
            <wp:extent cx="4810125" cy="8267700"/>
            <wp:effectExtent l="0" t="0" r="9525"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34"/>
                    <a:stretch>
                      <a:fillRect/>
                    </a:stretch>
                  </pic:blipFill>
                  <pic:spPr>
                    <a:xfrm>
                      <a:off x="0" y="0"/>
                      <a:ext cx="4810125" cy="8267700"/>
                    </a:xfrm>
                    <a:prstGeom prst="rect">
                      <a:avLst/>
                    </a:prstGeom>
                    <a:noFill/>
                    <a:ln>
                      <a:noFill/>
                    </a:ln>
                  </pic:spPr>
                </pic:pic>
              </a:graphicData>
            </a:graphic>
          </wp:inline>
        </w:drawing>
      </w:r>
    </w:p>
    <w:p w:rsidR="0002701A" w:rsidRDefault="00F23D7F">
      <w:pPr>
        <w:jc w:val="left"/>
        <w:outlineLvl w:val="1"/>
      </w:pPr>
      <w:r>
        <w:rPr>
          <w:noProof/>
        </w:rPr>
        <w:lastRenderedPageBreak/>
        <w:drawing>
          <wp:inline distT="0" distB="0" distL="114300" distR="114300">
            <wp:extent cx="4810125" cy="7410450"/>
            <wp:effectExtent l="0" t="0" r="9525" b="0"/>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35"/>
                    <a:stretch>
                      <a:fillRect/>
                    </a:stretch>
                  </pic:blipFill>
                  <pic:spPr>
                    <a:xfrm>
                      <a:off x="0" y="0"/>
                      <a:ext cx="4810125" cy="7410450"/>
                    </a:xfrm>
                    <a:prstGeom prst="rect">
                      <a:avLst/>
                    </a:prstGeom>
                    <a:noFill/>
                    <a:ln>
                      <a:noFill/>
                    </a:ln>
                  </pic:spPr>
                </pic:pic>
              </a:graphicData>
            </a:graphic>
          </wp:inline>
        </w:drawing>
      </w:r>
    </w:p>
    <w:p w:rsidR="0002701A" w:rsidRDefault="0002701A">
      <w:pPr>
        <w:jc w:val="left"/>
        <w:outlineLvl w:val="1"/>
      </w:pPr>
    </w:p>
    <w:p w:rsidR="0002701A" w:rsidRDefault="00F23D7F">
      <w:pPr>
        <w:jc w:val="left"/>
        <w:outlineLvl w:val="1"/>
      </w:pPr>
      <w:r>
        <w:rPr>
          <w:noProof/>
        </w:rPr>
        <w:lastRenderedPageBreak/>
        <w:drawing>
          <wp:inline distT="0" distB="0" distL="114300" distR="114300">
            <wp:extent cx="4810125" cy="7410450"/>
            <wp:effectExtent l="0" t="0" r="9525" b="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36"/>
                    <a:stretch>
                      <a:fillRect/>
                    </a:stretch>
                  </pic:blipFill>
                  <pic:spPr>
                    <a:xfrm>
                      <a:off x="0" y="0"/>
                      <a:ext cx="4810125" cy="7410450"/>
                    </a:xfrm>
                    <a:prstGeom prst="rect">
                      <a:avLst/>
                    </a:prstGeom>
                    <a:noFill/>
                    <a:ln>
                      <a:noFill/>
                    </a:ln>
                  </pic:spPr>
                </pic:pic>
              </a:graphicData>
            </a:graphic>
          </wp:inline>
        </w:drawing>
      </w:r>
    </w:p>
    <w:p w:rsidR="0002701A" w:rsidRDefault="0002701A">
      <w:pPr>
        <w:jc w:val="left"/>
        <w:outlineLvl w:val="1"/>
      </w:pPr>
    </w:p>
    <w:p w:rsidR="0002701A" w:rsidRDefault="00F23D7F">
      <w:pPr>
        <w:jc w:val="left"/>
        <w:outlineLvl w:val="1"/>
      </w:pPr>
      <w:r>
        <w:rPr>
          <w:noProof/>
        </w:rPr>
        <w:lastRenderedPageBreak/>
        <w:drawing>
          <wp:inline distT="0" distB="0" distL="114300" distR="114300">
            <wp:extent cx="4810125" cy="7429500"/>
            <wp:effectExtent l="0" t="0" r="9525" b="0"/>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37"/>
                    <a:stretch>
                      <a:fillRect/>
                    </a:stretch>
                  </pic:blipFill>
                  <pic:spPr>
                    <a:xfrm>
                      <a:off x="0" y="0"/>
                      <a:ext cx="4810125" cy="7429500"/>
                    </a:xfrm>
                    <a:prstGeom prst="rect">
                      <a:avLst/>
                    </a:prstGeom>
                    <a:noFill/>
                    <a:ln>
                      <a:noFill/>
                    </a:ln>
                  </pic:spPr>
                </pic:pic>
              </a:graphicData>
            </a:graphic>
          </wp:inline>
        </w:drawing>
      </w:r>
    </w:p>
    <w:p w:rsidR="0002701A" w:rsidRDefault="0002701A">
      <w:pPr>
        <w:jc w:val="left"/>
        <w:outlineLvl w:val="1"/>
      </w:pPr>
    </w:p>
    <w:p w:rsidR="0002701A" w:rsidRDefault="00F23D7F">
      <w:pPr>
        <w:jc w:val="left"/>
        <w:outlineLvl w:val="1"/>
      </w:pPr>
      <w:r>
        <w:rPr>
          <w:noProof/>
        </w:rPr>
        <w:lastRenderedPageBreak/>
        <w:drawing>
          <wp:inline distT="0" distB="0" distL="114300" distR="114300">
            <wp:extent cx="4810125" cy="7019925"/>
            <wp:effectExtent l="0" t="0" r="9525" b="9525"/>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pic:cNvPicPr>
                  </pic:nvPicPr>
                  <pic:blipFill>
                    <a:blip r:embed="rId38"/>
                    <a:stretch>
                      <a:fillRect/>
                    </a:stretch>
                  </pic:blipFill>
                  <pic:spPr>
                    <a:xfrm>
                      <a:off x="0" y="0"/>
                      <a:ext cx="4810125" cy="7019925"/>
                    </a:xfrm>
                    <a:prstGeom prst="rect">
                      <a:avLst/>
                    </a:prstGeom>
                    <a:noFill/>
                    <a:ln>
                      <a:noFill/>
                    </a:ln>
                  </pic:spPr>
                </pic:pic>
              </a:graphicData>
            </a:graphic>
          </wp:inline>
        </w:drawing>
      </w:r>
    </w:p>
    <w:p w:rsidR="0002701A" w:rsidRDefault="0002701A">
      <w:pPr>
        <w:jc w:val="left"/>
        <w:outlineLvl w:val="1"/>
      </w:pPr>
    </w:p>
    <w:p w:rsidR="0002701A" w:rsidRDefault="0002701A">
      <w:pPr>
        <w:jc w:val="left"/>
        <w:outlineLvl w:val="1"/>
      </w:pPr>
    </w:p>
    <w:p w:rsidR="0002701A" w:rsidRDefault="00F23D7F">
      <w:pPr>
        <w:jc w:val="left"/>
        <w:outlineLvl w:val="1"/>
      </w:pPr>
      <w:r>
        <w:rPr>
          <w:noProof/>
        </w:rPr>
        <w:lastRenderedPageBreak/>
        <w:drawing>
          <wp:inline distT="0" distB="0" distL="114300" distR="114300">
            <wp:extent cx="4667250" cy="8077200"/>
            <wp:effectExtent l="0" t="0" r="0" b="0"/>
            <wp:docPr id="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pic:cNvPicPr>
                      <a:picLocks noChangeAspect="1"/>
                    </pic:cNvPicPr>
                  </pic:nvPicPr>
                  <pic:blipFill>
                    <a:blip r:embed="rId39"/>
                    <a:stretch>
                      <a:fillRect/>
                    </a:stretch>
                  </pic:blipFill>
                  <pic:spPr>
                    <a:xfrm>
                      <a:off x="0" y="0"/>
                      <a:ext cx="4667250" cy="8077200"/>
                    </a:xfrm>
                    <a:prstGeom prst="rect">
                      <a:avLst/>
                    </a:prstGeom>
                    <a:noFill/>
                    <a:ln>
                      <a:noFill/>
                    </a:ln>
                  </pic:spPr>
                </pic:pic>
              </a:graphicData>
            </a:graphic>
          </wp:inline>
        </w:drawing>
      </w:r>
    </w:p>
    <w:p w:rsidR="0002701A" w:rsidRDefault="00F23D7F">
      <w:pPr>
        <w:jc w:val="left"/>
        <w:outlineLvl w:val="1"/>
      </w:pPr>
      <w:r>
        <w:rPr>
          <w:noProof/>
        </w:rPr>
        <w:lastRenderedPageBreak/>
        <w:drawing>
          <wp:inline distT="0" distB="0" distL="114300" distR="114300">
            <wp:extent cx="4886325" cy="7296150"/>
            <wp:effectExtent l="0" t="0" r="9525" b="0"/>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40"/>
                    <a:stretch>
                      <a:fillRect/>
                    </a:stretch>
                  </pic:blipFill>
                  <pic:spPr>
                    <a:xfrm>
                      <a:off x="0" y="0"/>
                      <a:ext cx="4886325" cy="7296150"/>
                    </a:xfrm>
                    <a:prstGeom prst="rect">
                      <a:avLst/>
                    </a:prstGeom>
                    <a:noFill/>
                    <a:ln>
                      <a:noFill/>
                    </a:ln>
                  </pic:spPr>
                </pic:pic>
              </a:graphicData>
            </a:graphic>
          </wp:inline>
        </w:drawing>
      </w:r>
    </w:p>
    <w:p w:rsidR="0002701A" w:rsidRDefault="0002701A">
      <w:pPr>
        <w:jc w:val="left"/>
        <w:outlineLvl w:val="1"/>
      </w:pPr>
    </w:p>
    <w:p w:rsidR="0002701A" w:rsidRDefault="0002701A">
      <w:pPr>
        <w:jc w:val="left"/>
        <w:outlineLvl w:val="1"/>
      </w:pPr>
    </w:p>
    <w:p w:rsidR="0002701A" w:rsidRDefault="00F23D7F">
      <w:pPr>
        <w:jc w:val="left"/>
        <w:outlineLvl w:val="1"/>
      </w:pPr>
      <w:r>
        <w:rPr>
          <w:noProof/>
        </w:rPr>
        <w:lastRenderedPageBreak/>
        <w:drawing>
          <wp:inline distT="0" distB="0" distL="114300" distR="114300">
            <wp:extent cx="4591050" cy="7962900"/>
            <wp:effectExtent l="0" t="0" r="0" b="0"/>
            <wp:docPr id="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pic:cNvPicPr>
                      <a:picLocks noChangeAspect="1"/>
                    </pic:cNvPicPr>
                  </pic:nvPicPr>
                  <pic:blipFill>
                    <a:blip r:embed="rId41"/>
                    <a:stretch>
                      <a:fillRect/>
                    </a:stretch>
                  </pic:blipFill>
                  <pic:spPr>
                    <a:xfrm>
                      <a:off x="0" y="0"/>
                      <a:ext cx="4591050" cy="7962900"/>
                    </a:xfrm>
                    <a:prstGeom prst="rect">
                      <a:avLst/>
                    </a:prstGeom>
                    <a:noFill/>
                    <a:ln>
                      <a:noFill/>
                    </a:ln>
                  </pic:spPr>
                </pic:pic>
              </a:graphicData>
            </a:graphic>
          </wp:inline>
        </w:drawing>
      </w:r>
    </w:p>
    <w:p w:rsidR="0002701A" w:rsidRDefault="00F23D7F">
      <w:pPr>
        <w:jc w:val="left"/>
        <w:outlineLvl w:val="1"/>
      </w:pPr>
      <w:r>
        <w:rPr>
          <w:noProof/>
        </w:rPr>
        <w:lastRenderedPageBreak/>
        <w:drawing>
          <wp:inline distT="0" distB="0" distL="114300" distR="114300">
            <wp:extent cx="4886325" cy="8010525"/>
            <wp:effectExtent l="0" t="0" r="9525" b="9525"/>
            <wp:docPr id="2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pic:cNvPicPr>
                      <a:picLocks noChangeAspect="1"/>
                    </pic:cNvPicPr>
                  </pic:nvPicPr>
                  <pic:blipFill>
                    <a:blip r:embed="rId42"/>
                    <a:stretch>
                      <a:fillRect/>
                    </a:stretch>
                  </pic:blipFill>
                  <pic:spPr>
                    <a:xfrm>
                      <a:off x="0" y="0"/>
                      <a:ext cx="4886325" cy="8010525"/>
                    </a:xfrm>
                    <a:prstGeom prst="rect">
                      <a:avLst/>
                    </a:prstGeom>
                    <a:noFill/>
                    <a:ln>
                      <a:noFill/>
                    </a:ln>
                  </pic:spPr>
                </pic:pic>
              </a:graphicData>
            </a:graphic>
          </wp:inline>
        </w:drawing>
      </w:r>
    </w:p>
    <w:p w:rsidR="0002701A" w:rsidRDefault="00F23D7F">
      <w:pPr>
        <w:jc w:val="left"/>
        <w:outlineLvl w:val="1"/>
      </w:pPr>
      <w:r>
        <w:rPr>
          <w:noProof/>
        </w:rPr>
        <w:lastRenderedPageBreak/>
        <w:drawing>
          <wp:inline distT="0" distB="0" distL="114300" distR="114300">
            <wp:extent cx="4591050" cy="7829550"/>
            <wp:effectExtent l="0" t="0" r="0" b="0"/>
            <wp:docPr id="2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pic:cNvPicPr>
                      <a:picLocks noChangeAspect="1"/>
                    </pic:cNvPicPr>
                  </pic:nvPicPr>
                  <pic:blipFill>
                    <a:blip r:embed="rId43"/>
                    <a:stretch>
                      <a:fillRect/>
                    </a:stretch>
                  </pic:blipFill>
                  <pic:spPr>
                    <a:xfrm>
                      <a:off x="0" y="0"/>
                      <a:ext cx="4591050" cy="7829550"/>
                    </a:xfrm>
                    <a:prstGeom prst="rect">
                      <a:avLst/>
                    </a:prstGeom>
                    <a:noFill/>
                    <a:ln>
                      <a:noFill/>
                    </a:ln>
                  </pic:spPr>
                </pic:pic>
              </a:graphicData>
            </a:graphic>
          </wp:inline>
        </w:drawing>
      </w:r>
    </w:p>
    <w:p w:rsidR="0002701A" w:rsidRDefault="0002701A">
      <w:pPr>
        <w:jc w:val="left"/>
        <w:outlineLvl w:val="1"/>
      </w:pPr>
    </w:p>
    <w:p w:rsidR="0002701A" w:rsidRDefault="00F23D7F">
      <w:pPr>
        <w:keepNext/>
        <w:keepLines/>
        <w:snapToGrid w:val="0"/>
        <w:spacing w:line="580" w:lineRule="exact"/>
        <w:ind w:firstLineChars="200" w:firstLine="640"/>
        <w:outlineLvl w:val="1"/>
        <w:rPr>
          <w:rFonts w:ascii="黑体" w:eastAsia="黑体" w:hAnsi="Calibri"/>
          <w:sz w:val="32"/>
          <w:szCs w:val="32"/>
        </w:rPr>
      </w:pPr>
      <w:r>
        <w:rPr>
          <w:rFonts w:ascii="黑体" w:eastAsia="黑体" w:hAnsi="Calibri" w:hint="eastAsia"/>
          <w:sz w:val="32"/>
          <w:szCs w:val="32"/>
        </w:rPr>
        <w:t>七、其他重要事项的说明</w:t>
      </w:r>
    </w:p>
    <w:p w:rsidR="0002701A" w:rsidRDefault="00F23D7F" w:rsidP="00F23D7F">
      <w:pPr>
        <w:keepNext/>
        <w:keepLines/>
        <w:snapToGrid w:val="0"/>
        <w:spacing w:line="580" w:lineRule="exact"/>
        <w:ind w:firstLineChars="200" w:firstLine="643"/>
        <w:outlineLvl w:val="2"/>
        <w:rPr>
          <w:rFonts w:ascii="??_GB2312" w:hAnsi="Times New Roman" w:cs="DengXian-Bold"/>
          <w:b/>
          <w:bCs/>
          <w:sz w:val="32"/>
          <w:szCs w:val="32"/>
        </w:rPr>
      </w:pPr>
      <w:r>
        <w:rPr>
          <w:rFonts w:ascii="??_GB2312" w:eastAsia="Times New Roman" w:hAnsi="Times New Roman" w:cs="DengXian-Bold"/>
          <w:b/>
          <w:bCs/>
          <w:sz w:val="32"/>
          <w:szCs w:val="32"/>
        </w:rPr>
        <w:t>（一）机关运行经费情况</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年度机关运行经费支出</w:t>
      </w:r>
      <w:r>
        <w:rPr>
          <w:rFonts w:ascii="仿宋_GB2312" w:eastAsia="仿宋_GB2312" w:hAnsi="Times New Roman" w:cs="DengXian-Regular"/>
          <w:sz w:val="32"/>
          <w:szCs w:val="32"/>
        </w:rPr>
        <w:t>54.2</w:t>
      </w:r>
      <w:r>
        <w:rPr>
          <w:rFonts w:ascii="仿宋_GB2312" w:eastAsia="仿宋_GB2312" w:hAnsi="Times New Roman" w:cs="DengXian-Regular" w:hint="eastAsia"/>
          <w:sz w:val="32"/>
          <w:szCs w:val="32"/>
        </w:rPr>
        <w:t>万元，比年初预算减少27.15万元，降低33.37%，主要原因是水费、电费、邮电费以及公务用车运行维护费的严格管控，缩减开支。</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年度机关运行经费支出比</w:t>
      </w:r>
      <w:r>
        <w:rPr>
          <w:rFonts w:ascii="仿宋_GB2312" w:eastAsia="仿宋_GB2312" w:hAnsi="Times New Roman" w:cs="DengXian-Regular"/>
          <w:sz w:val="32"/>
          <w:szCs w:val="32"/>
        </w:rPr>
        <w:t>2018</w:t>
      </w:r>
      <w:r>
        <w:rPr>
          <w:rFonts w:ascii="仿宋_GB2312" w:eastAsia="仿宋_GB2312" w:hAnsi="Times New Roman" w:cs="DengXian-Regular" w:hint="eastAsia"/>
          <w:sz w:val="32"/>
          <w:szCs w:val="32"/>
        </w:rPr>
        <w:t>年度减少</w:t>
      </w:r>
      <w:r>
        <w:rPr>
          <w:rFonts w:ascii="仿宋_GB2312" w:eastAsia="仿宋_GB2312" w:hAnsi="Times New Roman" w:cs="DengXian-Regular"/>
          <w:sz w:val="32"/>
          <w:szCs w:val="32"/>
        </w:rPr>
        <w:t>4.37</w:t>
      </w:r>
      <w:r>
        <w:rPr>
          <w:rFonts w:ascii="仿宋_GB2312" w:eastAsia="仿宋_GB2312" w:hAnsi="Times New Roman" w:cs="DengXian-Regular" w:hint="eastAsia"/>
          <w:sz w:val="32"/>
          <w:szCs w:val="32"/>
        </w:rPr>
        <w:t>万元，降低</w:t>
      </w:r>
      <w:r>
        <w:rPr>
          <w:rFonts w:ascii="仿宋_GB2312" w:eastAsia="仿宋_GB2312" w:hAnsi="Times New Roman" w:cs="DengXian-Regular"/>
          <w:sz w:val="32"/>
          <w:szCs w:val="32"/>
        </w:rPr>
        <w:t>7.46%</w:t>
      </w:r>
      <w:r>
        <w:rPr>
          <w:rFonts w:ascii="仿宋_GB2312" w:eastAsia="仿宋_GB2312" w:hAnsi="Times New Roman" w:cs="DengXian-Regular" w:hint="eastAsia"/>
          <w:sz w:val="32"/>
          <w:szCs w:val="32"/>
        </w:rPr>
        <w:t>。主要原因是严格缩减</w:t>
      </w:r>
      <w:bookmarkStart w:id="0" w:name="_GoBack"/>
      <w:bookmarkEnd w:id="0"/>
      <w:r>
        <w:rPr>
          <w:rFonts w:ascii="仿宋_GB2312" w:eastAsia="仿宋_GB2312" w:hAnsi="Times New Roman" w:cs="DengXian-Regular" w:hint="eastAsia"/>
          <w:sz w:val="32"/>
          <w:szCs w:val="32"/>
        </w:rPr>
        <w:t>开支。</w:t>
      </w:r>
    </w:p>
    <w:p w:rsidR="0002701A" w:rsidRDefault="00F23D7F" w:rsidP="00F23D7F">
      <w:pPr>
        <w:keepNext/>
        <w:keepLines/>
        <w:snapToGrid w:val="0"/>
        <w:spacing w:line="580" w:lineRule="exact"/>
        <w:ind w:firstLineChars="200" w:firstLine="643"/>
        <w:outlineLvl w:val="2"/>
        <w:rPr>
          <w:rFonts w:ascii="??_GB2312" w:hAnsi="Times New Roman" w:cs="DengXian-Bold"/>
          <w:b/>
          <w:bCs/>
          <w:sz w:val="32"/>
          <w:szCs w:val="32"/>
        </w:rPr>
      </w:pPr>
      <w:r>
        <w:rPr>
          <w:rFonts w:ascii="??_GB2312" w:eastAsia="Times New Roman" w:hAnsi="Times New Roman" w:cs="DengXian-Bold"/>
          <w:b/>
          <w:bCs/>
          <w:sz w:val="32"/>
          <w:szCs w:val="32"/>
        </w:rPr>
        <w:t>（二）政府采购情况</w:t>
      </w:r>
    </w:p>
    <w:p w:rsidR="0002701A" w:rsidRDefault="00F23D7F">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年度政府采购支出总额</w:t>
      </w:r>
      <w:r>
        <w:rPr>
          <w:rFonts w:ascii="仿宋_GB2312" w:eastAsia="仿宋_GB2312" w:hAnsi="Times New Roman" w:cs="DengXian-Regular"/>
          <w:sz w:val="32"/>
          <w:szCs w:val="32"/>
        </w:rPr>
        <w:t>330</w:t>
      </w:r>
      <w:r>
        <w:rPr>
          <w:rFonts w:ascii="仿宋_GB2312" w:eastAsia="仿宋_GB2312" w:hAnsi="Times New Roman" w:cs="DengXian-Regular" w:hint="eastAsia"/>
          <w:sz w:val="32"/>
          <w:szCs w:val="32"/>
        </w:rPr>
        <w:t>万元，从采购类型来看，未发生</w:t>
      </w:r>
      <w:r>
        <w:rPr>
          <w:rFonts w:ascii="仿宋_GB2312" w:eastAsia="仿宋_GB2312" w:hAnsi="仿宋_GB2312" w:cs="仿宋_GB2312" w:hint="eastAsia"/>
          <w:color w:val="000000"/>
          <w:kern w:val="0"/>
          <w:sz w:val="32"/>
          <w:szCs w:val="32"/>
        </w:rPr>
        <w:t>政府采购货物支出、政府采购工程支出</w:t>
      </w:r>
      <w:r>
        <w:rPr>
          <w:rFonts w:ascii="仿宋_GB2312" w:eastAsia="仿宋_GB2312" w:hAnsi="仿宋_GB2312" w:cs="仿宋_GB2312"/>
          <w:color w:val="000000"/>
          <w:kern w:val="0"/>
          <w:sz w:val="32"/>
          <w:szCs w:val="32"/>
        </w:rPr>
        <w:t>330</w:t>
      </w:r>
      <w:r>
        <w:rPr>
          <w:rFonts w:ascii="仿宋_GB2312" w:eastAsia="仿宋_GB2312" w:hAnsi="仿宋_GB2312" w:cs="仿宋_GB2312" w:hint="eastAsia"/>
          <w:color w:val="000000"/>
          <w:kern w:val="0"/>
          <w:sz w:val="32"/>
          <w:szCs w:val="32"/>
        </w:rPr>
        <w:t>万元、未发生政府采购服务支出。授予中小企业合同金</w:t>
      </w:r>
      <w:r>
        <w:rPr>
          <w:rFonts w:ascii="仿宋_GB2312" w:eastAsia="仿宋_GB2312" w:hAnsi="仿宋_GB2312" w:cs="仿宋_GB2312"/>
          <w:color w:val="000000"/>
          <w:kern w:val="0"/>
          <w:sz w:val="32"/>
          <w:szCs w:val="32"/>
        </w:rPr>
        <w:t>330</w:t>
      </w:r>
      <w:r>
        <w:rPr>
          <w:rFonts w:ascii="仿宋_GB2312" w:eastAsia="仿宋_GB2312" w:hAnsi="仿宋_GB2312" w:cs="仿宋_GB2312" w:hint="eastAsia"/>
          <w:color w:val="000000"/>
          <w:kern w:val="0"/>
          <w:sz w:val="32"/>
          <w:szCs w:val="32"/>
        </w:rPr>
        <w:t>万元，占政府采购支出总额的</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，其中授予小微企业合同</w:t>
      </w:r>
      <w:r w:rsidR="00C46CA5">
        <w:rPr>
          <w:rFonts w:ascii="仿宋_GB2312" w:eastAsia="仿宋_GB2312" w:hAnsi="仿宋_GB2312" w:cs="仿宋_GB2312" w:hint="eastAsia"/>
          <w:color w:val="000000"/>
          <w:kern w:val="0"/>
          <w:sz w:val="32"/>
          <w:szCs w:val="32"/>
        </w:rPr>
        <w:t>金额0万元，占政府采购支出总额的0</w:t>
      </w:r>
      <w:r w:rsidR="00C46CA5">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w:t>
      </w:r>
    </w:p>
    <w:p w:rsidR="0002701A" w:rsidRDefault="00F23D7F" w:rsidP="00F23D7F">
      <w:pPr>
        <w:keepNext/>
        <w:keepLines/>
        <w:snapToGrid w:val="0"/>
        <w:spacing w:line="580" w:lineRule="exact"/>
        <w:ind w:firstLineChars="200" w:firstLine="643"/>
        <w:outlineLvl w:val="2"/>
        <w:rPr>
          <w:rFonts w:ascii="??_GB2312" w:hAnsi="Times New Roman" w:cs="DengXian-Bold"/>
          <w:b/>
          <w:bCs/>
          <w:sz w:val="32"/>
          <w:szCs w:val="32"/>
        </w:rPr>
      </w:pPr>
      <w:r>
        <w:rPr>
          <w:rFonts w:ascii="??_GB2312" w:eastAsia="Times New Roman" w:hAnsi="Times New Roman" w:cs="DengXian-Bold"/>
          <w:b/>
          <w:bCs/>
          <w:sz w:val="32"/>
          <w:szCs w:val="32"/>
        </w:rPr>
        <w:t>（三）国有资产占用情况</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w:t>
      </w:r>
      <w:r>
        <w:rPr>
          <w:rFonts w:ascii="仿宋_GB2312" w:eastAsia="仿宋_GB2312" w:hAnsi="Times New Roman" w:cs="DengXian-Regular"/>
          <w:sz w:val="32"/>
          <w:szCs w:val="32"/>
        </w:rPr>
        <w:t>12</w:t>
      </w:r>
      <w:r>
        <w:rPr>
          <w:rFonts w:ascii="仿宋_GB2312" w:eastAsia="仿宋_GB2312" w:hAnsi="Times New Roman" w:cs="DengXian-Regular" w:hint="eastAsia"/>
          <w:sz w:val="32"/>
          <w:szCs w:val="32"/>
        </w:rPr>
        <w:t>月</w:t>
      </w:r>
      <w:r>
        <w:rPr>
          <w:rFonts w:ascii="仿宋_GB2312" w:eastAsia="仿宋_GB2312" w:hAnsi="Times New Roman" w:cs="DengXian-Regular"/>
          <w:sz w:val="32"/>
          <w:szCs w:val="32"/>
        </w:rPr>
        <w:t>31</w:t>
      </w:r>
      <w:r>
        <w:rPr>
          <w:rFonts w:ascii="仿宋_GB2312" w:eastAsia="仿宋_GB2312" w:hAnsi="Times New Roman" w:cs="DengXian-Regular" w:hint="eastAsia"/>
          <w:sz w:val="32"/>
          <w:szCs w:val="32"/>
        </w:rPr>
        <w:t>日，本部门共有车辆</w:t>
      </w:r>
      <w:r>
        <w:rPr>
          <w:rFonts w:ascii="仿宋_GB2312" w:eastAsia="仿宋_GB2312" w:hAnsi="Times New Roman" w:cs="DengXian-Regular"/>
          <w:sz w:val="32"/>
          <w:szCs w:val="32"/>
        </w:rPr>
        <w:t>3</w:t>
      </w:r>
      <w:r>
        <w:rPr>
          <w:rFonts w:ascii="仿宋_GB2312" w:eastAsia="仿宋_GB2312" w:hAnsi="Times New Roman" w:cs="DengXian-Regular" w:hint="eastAsia"/>
          <w:sz w:val="32"/>
          <w:szCs w:val="32"/>
        </w:rPr>
        <w:t>辆，与上年持平。其中，执法执勤用车</w:t>
      </w:r>
      <w:r>
        <w:rPr>
          <w:rFonts w:ascii="仿宋_GB2312" w:eastAsia="仿宋_GB2312" w:hAnsi="Times New Roman" w:cs="DengXian-Regular"/>
          <w:sz w:val="32"/>
          <w:szCs w:val="32"/>
        </w:rPr>
        <w:t>1</w:t>
      </w:r>
      <w:r>
        <w:rPr>
          <w:rFonts w:ascii="仿宋_GB2312" w:eastAsia="仿宋_GB2312" w:hAnsi="Times New Roman" w:cs="DengXian-Regular" w:hint="eastAsia"/>
          <w:sz w:val="32"/>
          <w:szCs w:val="32"/>
        </w:rPr>
        <w:t>辆，其他用车</w:t>
      </w:r>
      <w:r>
        <w:rPr>
          <w:rFonts w:ascii="仿宋_GB2312" w:eastAsia="仿宋_GB2312" w:hAnsi="Times New Roman" w:cs="DengXian-Regular"/>
          <w:sz w:val="32"/>
          <w:szCs w:val="32"/>
        </w:rPr>
        <w:t>2</w:t>
      </w:r>
      <w:r>
        <w:rPr>
          <w:rFonts w:ascii="仿宋_GB2312" w:eastAsia="仿宋_GB2312" w:hAnsi="Times New Roman" w:cs="DengXian-Regular" w:hint="eastAsia"/>
          <w:sz w:val="32"/>
          <w:szCs w:val="32"/>
        </w:rPr>
        <w:t>辆，其他用车主要是公务用车</w:t>
      </w:r>
      <w:r w:rsidR="00C46CA5">
        <w:rPr>
          <w:rFonts w:ascii="仿宋_GB2312" w:eastAsia="仿宋_GB2312" w:hAnsi="Times New Roman" w:cs="DengXian-Regular" w:hint="eastAsia"/>
          <w:sz w:val="32"/>
          <w:szCs w:val="32"/>
        </w:rPr>
        <w:t>.</w:t>
      </w:r>
    </w:p>
    <w:p w:rsidR="0002701A" w:rsidRDefault="00F23D7F">
      <w:pPr>
        <w:adjustRightInd w:val="0"/>
        <w:snapToGrid w:val="0"/>
        <w:spacing w:line="580" w:lineRule="exact"/>
        <w:ind w:firstLineChars="200" w:firstLine="640"/>
        <w:rPr>
          <w:rFonts w:ascii="??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sz w:val="32"/>
          <w:szCs w:val="32"/>
        </w:rPr>
        <w:t>50</w:t>
      </w:r>
      <w:r>
        <w:rPr>
          <w:rFonts w:ascii="仿宋_GB2312" w:eastAsia="仿宋_GB2312" w:hAnsi="Times New Roman" w:cs="DengXian-Regular" w:hint="eastAsia"/>
          <w:sz w:val="32"/>
          <w:szCs w:val="32"/>
        </w:rPr>
        <w:t>万元以上通用设备</w:t>
      </w:r>
      <w:r w:rsidR="00C46CA5">
        <w:rPr>
          <w:rFonts w:ascii="仿宋_GB2312" w:eastAsia="仿宋_GB2312" w:hAnsi="Times New Roman" w:cs="DengXian-Regular" w:hint="eastAsia"/>
          <w:sz w:val="32"/>
          <w:szCs w:val="32"/>
        </w:rPr>
        <w:t>0台</w:t>
      </w:r>
      <w:r>
        <w:rPr>
          <w:rFonts w:ascii="仿宋_GB2312" w:eastAsia="仿宋_GB2312" w:hAnsi="Times New Roman" w:cs="DengXian-Regular" w:hint="eastAsia"/>
          <w:sz w:val="32"/>
          <w:szCs w:val="32"/>
        </w:rPr>
        <w:t>，与上年持平，单位价值</w:t>
      </w:r>
      <w:r>
        <w:rPr>
          <w:rFonts w:ascii="仿宋_GB2312" w:eastAsia="仿宋_GB2312" w:hAnsi="TimesNewRomanPSMT" w:cs="TimesNewRomanPSMT"/>
          <w:sz w:val="32"/>
          <w:szCs w:val="32"/>
        </w:rPr>
        <w:t>100</w:t>
      </w:r>
      <w:r>
        <w:rPr>
          <w:rFonts w:ascii="仿宋_GB2312" w:eastAsia="仿宋_GB2312" w:hAnsi="Times New Roman" w:cs="DengXian-Regular" w:hint="eastAsia"/>
          <w:sz w:val="32"/>
          <w:szCs w:val="32"/>
        </w:rPr>
        <w:t>万元以上专用设备</w:t>
      </w:r>
      <w:r w:rsidR="00C46CA5">
        <w:rPr>
          <w:rFonts w:ascii="仿宋_GB2312" w:eastAsia="仿宋_GB2312" w:hAnsi="Times New Roman" w:cs="DengXian-Regular" w:hint="eastAsia"/>
          <w:sz w:val="32"/>
          <w:szCs w:val="32"/>
        </w:rPr>
        <w:t>0台</w:t>
      </w:r>
      <w:r>
        <w:rPr>
          <w:rFonts w:ascii="仿宋_GB2312" w:eastAsia="仿宋_GB2312" w:hAnsi="Times New Roman" w:cs="DengXian-Regular" w:hint="eastAsia"/>
          <w:sz w:val="32"/>
          <w:szCs w:val="32"/>
        </w:rPr>
        <w:t>，与上年持平。</w:t>
      </w:r>
    </w:p>
    <w:p w:rsidR="0002701A" w:rsidRDefault="00F23D7F" w:rsidP="00F23D7F">
      <w:pPr>
        <w:keepNext/>
        <w:keepLines/>
        <w:snapToGrid w:val="0"/>
        <w:spacing w:line="580" w:lineRule="exact"/>
        <w:ind w:firstLineChars="200" w:firstLine="643"/>
        <w:outlineLvl w:val="2"/>
        <w:rPr>
          <w:rFonts w:ascii="??_GB2312" w:hAnsi="Times New Roman" w:cs="DengXian-Bold"/>
          <w:b/>
          <w:bCs/>
          <w:sz w:val="32"/>
          <w:szCs w:val="32"/>
        </w:rPr>
      </w:pPr>
      <w:r>
        <w:rPr>
          <w:rFonts w:ascii="??_GB2312" w:eastAsia="Times New Roman" w:hAnsi="Times New Roman" w:cs="DengXian-Bold"/>
          <w:b/>
          <w:bCs/>
          <w:sz w:val="32"/>
          <w:szCs w:val="32"/>
        </w:rPr>
        <w:t>（四）其他需要说明的情况</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1. </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w:t>
      </w:r>
      <w:r>
        <w:rPr>
          <w:rFonts w:ascii="仿宋_GB2312" w:eastAsia="仿宋_GB2312" w:cs="DengXian-Regular" w:hint="eastAsia"/>
          <w:sz w:val="32"/>
          <w:szCs w:val="32"/>
        </w:rPr>
        <w:t>国有资本经营预算财政拨款支出决算</w:t>
      </w:r>
      <w:r>
        <w:rPr>
          <w:rFonts w:ascii="仿宋_GB2312" w:eastAsia="仿宋_GB2312" w:cs="DengXian-Regular" w:hint="eastAsia"/>
          <w:sz w:val="32"/>
          <w:szCs w:val="32"/>
        </w:rPr>
        <w:lastRenderedPageBreak/>
        <w:t>表无收支及结转结余情况，故国有资本经营预算财政拨款支出决算表以空表列示</w:t>
      </w:r>
      <w:r>
        <w:rPr>
          <w:rFonts w:ascii="仿宋_GB2312" w:eastAsia="仿宋_GB2312" w:hAnsi="Times New Roman" w:cs="DengXian-Regular" w:hint="eastAsia"/>
          <w:sz w:val="32"/>
          <w:szCs w:val="32"/>
        </w:rPr>
        <w:t>。</w:t>
      </w:r>
    </w:p>
    <w:p w:rsidR="0002701A" w:rsidRDefault="00F23D7F">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sz w:val="32"/>
          <w:szCs w:val="32"/>
        </w:rPr>
        <w:t xml:space="preserve">2. </w:t>
      </w:r>
      <w:r>
        <w:rPr>
          <w:rFonts w:ascii="仿宋_GB2312" w:eastAsia="仿宋_GB2312" w:hAnsi="Times New Roman" w:cs="DengXian-Regular" w:hint="eastAsia"/>
          <w:sz w:val="32"/>
          <w:szCs w:val="32"/>
        </w:rPr>
        <w:t>由于决算公开表格中金额数值应当保留两位小数，公开数据为四舍五入计算结果，个别数据合计项与分项之和存在小数点后差额，特此说明。</w:t>
      </w:r>
    </w:p>
    <w:p w:rsidR="0002701A" w:rsidRDefault="0002701A">
      <w:pPr>
        <w:widowControl/>
        <w:spacing w:line="580" w:lineRule="exact"/>
        <w:ind w:firstLineChars="200" w:firstLine="883"/>
        <w:jc w:val="left"/>
        <w:rPr>
          <w:rFonts w:ascii="宋体" w:cs="MS-UIGothic,Bold"/>
          <w:b/>
          <w:bCs/>
          <w:kern w:val="0"/>
          <w:sz w:val="44"/>
          <w:szCs w:val="44"/>
        </w:rPr>
        <w:sectPr w:rsidR="0002701A">
          <w:type w:val="continuous"/>
          <w:pgSz w:w="11906" w:h="16838"/>
          <w:pgMar w:top="2098" w:right="1474" w:bottom="1984" w:left="1588" w:header="851" w:footer="992" w:gutter="0"/>
          <w:pgNumType w:fmt="numberInDash"/>
          <w:cols w:space="0"/>
          <w:docGrid w:type="lines" w:linePitch="312"/>
        </w:sect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sectPr w:rsidR="0002701A">
          <w:type w:val="continuous"/>
          <w:pgSz w:w="11906" w:h="16838"/>
          <w:pgMar w:top="2041" w:right="1531" w:bottom="2041" w:left="1531" w:header="851" w:footer="992" w:gutter="0"/>
          <w:pgNumType w:fmt="numberInDash"/>
          <w:cols w:space="0"/>
          <w:titlePg/>
          <w:docGrid w:type="lines" w:linePitch="312"/>
        </w:sectPr>
      </w:pPr>
    </w:p>
    <w:p w:rsidR="0002701A" w:rsidRDefault="00F23D7F">
      <w:pPr>
        <w:rPr>
          <w:rFonts w:ascii="黑体" w:eastAsia="黑体" w:hAnsi="黑体" w:cs="黑体"/>
          <w:sz w:val="56"/>
          <w:szCs w:val="72"/>
        </w:rPr>
        <w:sectPr w:rsidR="0002701A">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02701A" w:rsidRDefault="0002701A">
      <w:pP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02701A">
      <w:pPr>
        <w:jc w:val="center"/>
        <w:rPr>
          <w:rFonts w:ascii="黑体" w:eastAsia="黑体" w:hAnsi="黑体" w:cs="黑体"/>
          <w:sz w:val="56"/>
          <w:szCs w:val="72"/>
        </w:rPr>
      </w:pPr>
    </w:p>
    <w:p w:rsidR="0002701A" w:rsidRDefault="001A202F">
      <w:pPr>
        <w:jc w:val="center"/>
        <w:rPr>
          <w:sz w:val="72"/>
        </w:rPr>
      </w:pPr>
      <w:r w:rsidRPr="001A202F">
        <w:pict>
          <v:shape id="文本框 20" o:spid="_x0000_s1050" type="#_x0000_t202" style="position:absolute;left:0;text-align:left;margin-left:-80.45pt;margin-top:34.8pt;width:613.65pt;height:263.1pt;z-index:251660800;v-text-anchor:middle" o:gfxdata="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FsjzdoAAAAMAQAADwAAAAAAAAABACAAAAAiAAAAZHJzL2Rv&#10;d25yZXYueG1sUEsBAhQAFAAAAAgAh07iQGqR4gI4AgAAjgQAAA4AAAAAAAAAAQAgAAAAKQEAAGRy&#10;cy9lMm9Eb2MueG1sUEsFBgAAAAAGAAYAWQEAANMFAAAAAA==&#10;" fillcolor="#ffd966" strokecolor="#ffd966" strokeweight=".5pt">
            <v:fill r:id="rId27" o:title="image2" color2="#cce8cf" type="pattern"/>
            <v:stroke joinstyle="round"/>
            <v:textbox>
              <w:txbxContent>
                <w:p w:rsidR="00F23D7F" w:rsidRDefault="00F23D7F">
                  <w:pPr>
                    <w:widowControl/>
                    <w:jc w:val="center"/>
                  </w:pPr>
                  <w:r>
                    <w:rPr>
                      <w:rFonts w:ascii="黑体" w:eastAsia="黑体" w:hAnsi="黑体" w:cs="黑体" w:hint="eastAsia"/>
                      <w:color w:val="000000"/>
                      <w:sz w:val="90"/>
                      <w:szCs w:val="90"/>
                    </w:rPr>
                    <w:t>第三部分相关名词解释</w:t>
                  </w:r>
                </w:p>
              </w:txbxContent>
            </v:textbox>
          </v:shape>
        </w:pict>
      </w:r>
    </w:p>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Pr>
        <w:tabs>
          <w:tab w:val="left" w:pos="886"/>
        </w:tabs>
        <w:jc w:val="left"/>
        <w:sectPr w:rsidR="0002701A">
          <w:headerReference w:type="first" r:id="rId44"/>
          <w:pgSz w:w="11906" w:h="16838"/>
          <w:pgMar w:top="2041" w:right="1531" w:bottom="2041" w:left="1531" w:header="851" w:footer="992" w:gutter="0"/>
          <w:pgNumType w:fmt="numberInDash"/>
          <w:cols w:space="0"/>
          <w:titlePg/>
          <w:docGrid w:type="lines" w:linePitch="312"/>
        </w:sectPr>
      </w:pPr>
    </w:p>
    <w:p w:rsidR="0002701A" w:rsidRDefault="00F23D7F">
      <w:pPr>
        <w:rPr>
          <w:rFonts w:ascii="仿宋_GB2312" w:eastAsia="仿宋_GB2312" w:hAnsi="宋体" w:cs="ArialUnicodeMS"/>
          <w:sz w:val="32"/>
          <w:szCs w:val="32"/>
          <w:highlight w:val="yellow"/>
        </w:rPr>
      </w:pPr>
      <w:r>
        <w:rPr>
          <w:rFonts w:ascii="仿宋_GB2312" w:eastAsia="仿宋_GB2312" w:hAnsi="宋体" w:cs="ArialUnicodeMS"/>
          <w:sz w:val="32"/>
          <w:szCs w:val="32"/>
          <w:highlight w:val="yellow"/>
        </w:rPr>
        <w:lastRenderedPageBreak/>
        <w:br w:type="page"/>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02701A" w:rsidRDefault="00F23D7F">
      <w:pPr>
        <w:snapToGrid w:val="0"/>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02701A" w:rsidRDefault="00F23D7F">
      <w:pPr>
        <w:snapToGrid w:val="0"/>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（十三）其他交通费用：</w:t>
      </w:r>
      <w:r>
        <w:rPr>
          <w:rFonts w:ascii="仿宋_GB2312" w:eastAsia="仿宋_GB2312" w:hAnsi="宋体" w:hint="eastAsia"/>
          <w:color w:val="000000"/>
          <w:kern w:val="0"/>
          <w:sz w:val="32"/>
          <w:szCs w:val="32"/>
        </w:rPr>
        <w:t>填列单位除公务用车运行维护费以外的其他交通费用。如公务交通补贴、租车费用、出租车费用，飞机、船舶等燃料费、维修费、保险费等。</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（十四）公务用车购置：</w:t>
      </w:r>
      <w:r>
        <w:rPr>
          <w:rFonts w:ascii="仿宋_GB2312" w:eastAsia="仿宋_GB2312" w:hAnsi="宋体" w:hint="eastAsia"/>
          <w:color w:val="000000"/>
          <w:kern w:val="0"/>
          <w:sz w:val="32"/>
          <w:szCs w:val="32"/>
        </w:rPr>
        <w:t>填列单位公务用车车辆购置支出（含车辆购置税、牌照费）。</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（十五）其他交通工具购置：</w:t>
      </w:r>
      <w:r>
        <w:rPr>
          <w:rFonts w:ascii="仿宋_GB2312" w:eastAsia="仿宋_GB2312" w:hAnsi="宋体" w:hint="eastAsia"/>
          <w:color w:val="000000"/>
          <w:kern w:val="0"/>
          <w:sz w:val="32"/>
          <w:szCs w:val="32"/>
        </w:rPr>
        <w:t>填列单位除公务用车外的其他各类交通工具（如船舶、飞机等）购置支出（含车辆购置税、牌照费）。</w:t>
      </w:r>
    </w:p>
    <w:p w:rsidR="0002701A" w:rsidRDefault="00F23D7F">
      <w:pPr>
        <w:widowControl/>
        <w:spacing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02701A" w:rsidRDefault="00F23D7F">
      <w:pPr>
        <w:tabs>
          <w:tab w:val="left" w:pos="235"/>
        </w:tabs>
        <w:jc w:val="left"/>
        <w:rPr>
          <w:rFonts w:ascii="仿宋_GB2312" w:eastAsia="仿宋_GB2312" w:hAnsi="Cambria" w:cs="ArialUnicodeMS"/>
          <w:kern w:val="0"/>
          <w:sz w:val="32"/>
          <w:szCs w:val="32"/>
        </w:rPr>
      </w:pPr>
      <w:r>
        <w:rPr>
          <w:rFonts w:ascii="仿宋_GB2312" w:eastAsia="仿宋_GB2312" w:hAnsi="宋体" w:hint="eastAsia"/>
          <w:b/>
          <w:bCs/>
          <w:color w:val="000000"/>
          <w:kern w:val="0"/>
          <w:sz w:val="32"/>
          <w:szCs w:val="32"/>
        </w:rPr>
        <w:t>（十七）经费形式</w:t>
      </w:r>
      <w:r>
        <w:rPr>
          <w:rFonts w:ascii="仿宋_GB2312" w:eastAsia="仿宋_GB2312" w:hAnsi="宋体"/>
          <w:b/>
          <w:bCs/>
          <w:color w:val="000000"/>
          <w:kern w:val="0"/>
          <w:sz w:val="32"/>
          <w:szCs w:val="32"/>
        </w:rPr>
        <w:t>:</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 w:rsidR="0002701A" w:rsidRDefault="0002701A">
      <w:pPr>
        <w:jc w:val="left"/>
        <w:sectPr w:rsidR="0002701A">
          <w:headerReference w:type="default" r:id="rId45"/>
          <w:type w:val="continuous"/>
          <w:pgSz w:w="11906" w:h="16838"/>
          <w:pgMar w:top="2098" w:right="1474" w:bottom="1985" w:left="1588" w:header="851" w:footer="992" w:gutter="0"/>
          <w:pgNumType w:fmt="numberInDash"/>
          <w:cols w:space="425"/>
          <w:docGrid w:type="lines" w:linePitch="312"/>
        </w:sectPr>
      </w:pPr>
    </w:p>
    <w:p w:rsidR="0002701A" w:rsidRDefault="001A202F">
      <w:pPr>
        <w:tabs>
          <w:tab w:val="left" w:pos="235"/>
        </w:tabs>
        <w:jc w:val="left"/>
        <w:sectPr w:rsidR="0002701A">
          <w:pgSz w:w="11906" w:h="16838"/>
          <w:pgMar w:top="2098" w:right="1474" w:bottom="1985" w:left="1588" w:header="851" w:footer="992" w:gutter="0"/>
          <w:pgNumType w:fmt="numberInDash"/>
          <w:cols w:space="425"/>
          <w:docGrid w:type="lines" w:linePitch="312"/>
        </w:sectPr>
      </w:pPr>
      <w:r>
        <w:lastRenderedPageBreak/>
        <w:pict>
          <v:shape id="文本框 21" o:spid="_x0000_s1049" type="#_x0000_t202" style="position:absolute;margin-left:-82.05pt;margin-top:135.85pt;width:613.65pt;height:263.1pt;z-index:-251650560;v-text-anchor:middle" o:gfxdata="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&#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4fN6d3AAAAA0BAAAPAAAAAAAAAAEAIAAAACIAAABk&#10;cnMvZG93bnJldi54bWxQSwECFAAUAAAACACHTuJAjl3APDsCAACPBAAADgAAAAAAAAABACAAAAAr&#10;AQAAZHJzL2Uyb0RvYy54bWxQSwUGAAAAAAYABgBZAQAA2AUAAAAA&#10;" fillcolor="#ffd966" strokecolor="#ffd966" strokeweight=".5pt">
            <v:fill r:id="rId27" o:title="image2" color2="#cce8cf" type="pattern"/>
            <v:stroke joinstyle="round"/>
            <v:textbox>
              <w:txbxContent>
                <w:p w:rsidR="00F23D7F" w:rsidRDefault="00F23D7F">
                  <w:pPr>
                    <w:widowControl/>
                    <w:jc w:val="center"/>
                    <w:rPr>
                      <w:rFonts w:ascii="黑体" w:eastAsia="黑体" w:hAnsi="黑体" w:cs="黑体"/>
                      <w:color w:val="000000"/>
                      <w:sz w:val="90"/>
                      <w:szCs w:val="90"/>
                    </w:rPr>
                  </w:pPr>
                  <w:r>
                    <w:rPr>
                      <w:rFonts w:ascii="黑体" w:eastAsia="黑体" w:hAnsi="黑体" w:cs="黑体" w:hint="eastAsia"/>
                      <w:color w:val="000000"/>
                      <w:sz w:val="90"/>
                      <w:szCs w:val="90"/>
                    </w:rPr>
                    <w:t>第四部分</w:t>
                  </w:r>
                </w:p>
                <w:p w:rsidR="00F23D7F" w:rsidRDefault="00F23D7F">
                  <w:pPr>
                    <w:widowControl/>
                    <w:jc w:val="center"/>
                  </w:pPr>
                  <w:r>
                    <w:rPr>
                      <w:rFonts w:ascii="黑体" w:eastAsia="黑体" w:hAnsi="黑体" w:cs="黑体"/>
                      <w:color w:val="000000"/>
                      <w:sz w:val="90"/>
                      <w:szCs w:val="90"/>
                    </w:rPr>
                    <w:t>2019</w:t>
                  </w:r>
                  <w:r>
                    <w:rPr>
                      <w:rFonts w:ascii="黑体" w:eastAsia="黑体" w:hAnsi="黑体" w:cs="黑体" w:hint="eastAsia"/>
                      <w:color w:val="000000"/>
                      <w:sz w:val="90"/>
                      <w:szCs w:val="90"/>
                    </w:rPr>
                    <w:t>年度部门决算报表</w:t>
                  </w:r>
                </w:p>
              </w:txbxContent>
            </v:textbox>
          </v:shape>
        </w:pict>
      </w:r>
    </w:p>
    <w:p w:rsidR="0002701A" w:rsidRDefault="0002701A">
      <w:pPr>
        <w:tabs>
          <w:tab w:val="left" w:pos="886"/>
        </w:tabs>
        <w:jc w:val="left"/>
      </w:pPr>
    </w:p>
    <w:p w:rsidR="0002701A" w:rsidRDefault="0002701A">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550"/>
        <w:gridCol w:w="1091"/>
        <w:gridCol w:w="3092"/>
        <w:gridCol w:w="518"/>
        <w:gridCol w:w="1030"/>
      </w:tblGrid>
      <w:tr w:rsidR="0002701A">
        <w:trPr>
          <w:trHeight w:val="489"/>
          <w:jc w:val="center"/>
        </w:trPr>
        <w:tc>
          <w:tcPr>
            <w:tcW w:w="9517" w:type="dxa"/>
            <w:gridSpan w:val="6"/>
            <w:tcBorders>
              <w:top w:val="nil"/>
              <w:left w:val="nil"/>
              <w:bottom w:val="nil"/>
              <w:right w:val="nil"/>
            </w:tcBorders>
            <w:noWrap/>
            <w:tcMar>
              <w:top w:w="15" w:type="dxa"/>
              <w:left w:w="15" w:type="dxa"/>
              <w:right w:w="15" w:type="dxa"/>
            </w:tcMar>
            <w:vAlign w:val="bottom"/>
          </w:tcPr>
          <w:p w:rsidR="0002701A" w:rsidRDefault="00F23D7F">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02701A">
        <w:trPr>
          <w:trHeight w:val="205"/>
          <w:jc w:val="center"/>
        </w:trPr>
        <w:tc>
          <w:tcPr>
            <w:tcW w:w="3236"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550"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091"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4640" w:type="dxa"/>
            <w:gridSpan w:val="3"/>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02701A">
        <w:trPr>
          <w:trHeight w:val="421"/>
          <w:jc w:val="center"/>
        </w:trPr>
        <w:tc>
          <w:tcPr>
            <w:tcW w:w="4877" w:type="dxa"/>
            <w:gridSpan w:val="3"/>
            <w:tcBorders>
              <w:top w:val="nil"/>
              <w:left w:val="nil"/>
              <w:bottom w:val="nil"/>
              <w:right w:val="nil"/>
            </w:tcBorders>
            <w:noWrap/>
            <w:tcMar>
              <w:top w:w="15" w:type="dxa"/>
              <w:left w:w="15" w:type="dxa"/>
              <w:right w:w="15" w:type="dxa"/>
            </w:tcMar>
            <w:vAlign w:val="bottom"/>
          </w:tcPr>
          <w:p w:rsidR="0002701A" w:rsidRDefault="00F23D7F">
            <w:pPr>
              <w:rPr>
                <w:rFonts w:ascii="Arial" w:hAnsi="Arial" w:cs="Arial"/>
                <w:color w:val="000000"/>
                <w:sz w:val="20"/>
                <w:szCs w:val="20"/>
              </w:rPr>
            </w:pPr>
            <w:r>
              <w:rPr>
                <w:rFonts w:ascii="宋体" w:hAnsi="宋体" w:cs="宋体" w:hint="eastAsia"/>
                <w:color w:val="000000"/>
                <w:kern w:val="0"/>
                <w:sz w:val="20"/>
                <w:szCs w:val="20"/>
              </w:rPr>
              <w:t>部门：唐山高新技术产业开发区街道办事处</w:t>
            </w:r>
          </w:p>
        </w:tc>
        <w:tc>
          <w:tcPr>
            <w:tcW w:w="4640" w:type="dxa"/>
            <w:gridSpan w:val="3"/>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2701A">
        <w:trPr>
          <w:trHeight w:val="303"/>
          <w:jc w:val="center"/>
        </w:trPr>
        <w:tc>
          <w:tcPr>
            <w:tcW w:w="4877"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收入</w:t>
            </w:r>
          </w:p>
        </w:tc>
        <w:tc>
          <w:tcPr>
            <w:tcW w:w="4640"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支出</w:t>
            </w:r>
          </w:p>
        </w:tc>
      </w:tr>
      <w:tr w:rsidR="0002701A">
        <w:trPr>
          <w:trHeight w:val="502"/>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 xml:space="preserve">　</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 xml:space="preserve">　</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w:t>
            </w:r>
          </w:p>
        </w:tc>
      </w:tr>
      <w:tr w:rsidR="0002701A">
        <w:trPr>
          <w:trHeight w:val="314"/>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一、一般公共预算财政拨款收入</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1,769.89</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29</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594.61</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二、政府性基金预算财政拨款收入</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1,703.15</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30</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182"/>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三、上级补助收入</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31</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四、事业收入</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32</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五、经营收入</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33</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六、附属单位上缴收入</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6</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34</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七、其他收入</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7</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七、文化旅游体育与传媒支出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35</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8</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36</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503.99</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9</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九、卫生健康支出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37</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35.04</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10</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38</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11</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39</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1,884.18</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12</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40</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168.11</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13</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41</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14</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42</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15</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43</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16</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44</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17</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45</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18</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十八、自然资源海洋气象等支出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46</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19</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47</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28.10</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20</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48</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21</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二十一、灾害防治及应急管理支出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49</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22</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二十二、其他支出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50</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23</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二十四、债务付息支出</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51</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24</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3,473.04</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52</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3,214.03</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用事业基金弥补收支差额</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25</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结余分配</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53</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年初结转和结余</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26</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36.49</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年末结转和结余</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54</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295.50</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27</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hint="eastAsia"/>
                <w:color w:val="000000"/>
                <w:kern w:val="0"/>
                <w:sz w:val="22"/>
              </w:rPr>
              <w:t xml:space="preserve">　</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55</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 xml:space="preserve">　</w:t>
            </w:r>
          </w:p>
        </w:tc>
      </w:tr>
      <w:tr w:rsidR="0002701A">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28</w:t>
            </w:r>
          </w:p>
        </w:tc>
        <w:tc>
          <w:tcPr>
            <w:tcW w:w="109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3,509.53</w:t>
            </w:r>
          </w:p>
        </w:tc>
        <w:tc>
          <w:tcPr>
            <w:tcW w:w="309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51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56</w:t>
            </w:r>
          </w:p>
        </w:tc>
        <w:tc>
          <w:tcPr>
            <w:tcW w:w="103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3,509.53</w:t>
            </w:r>
          </w:p>
        </w:tc>
      </w:tr>
      <w:tr w:rsidR="0002701A">
        <w:trPr>
          <w:trHeight w:val="213"/>
          <w:jc w:val="center"/>
        </w:trPr>
        <w:tc>
          <w:tcPr>
            <w:tcW w:w="9517" w:type="dxa"/>
            <w:gridSpan w:val="6"/>
            <w:tcBorders>
              <w:top w:val="nil"/>
              <w:left w:val="nil"/>
              <w:bottom w:val="nil"/>
              <w:right w:val="nil"/>
            </w:tcBorders>
            <w:noWrap/>
            <w:tcMar>
              <w:top w:w="15" w:type="dxa"/>
              <w:left w:w="15" w:type="dxa"/>
              <w:right w:w="15" w:type="dxa"/>
            </w:tcMar>
            <w:vAlign w:val="center"/>
          </w:tcPr>
          <w:p w:rsidR="0002701A" w:rsidRDefault="00F23D7F">
            <w:pPr>
              <w:widowControl/>
              <w:jc w:val="left"/>
              <w:textAlignment w:val="center"/>
              <w:rPr>
                <w:rFonts w:ascii="宋体" w:cs="宋体"/>
                <w:color w:val="000000"/>
                <w:kern w:val="0"/>
                <w:sz w:val="22"/>
              </w:rPr>
            </w:pPr>
            <w:r>
              <w:rPr>
                <w:rFonts w:ascii="宋体" w:hAnsi="宋体" w:cs="宋体" w:hint="eastAsia"/>
                <w:color w:val="000000"/>
                <w:kern w:val="0"/>
                <w:sz w:val="22"/>
              </w:rPr>
              <w:t>注：本表反映部门本年度的总收支和年末结转结余情况。</w:t>
            </w:r>
          </w:p>
          <w:p w:rsidR="0002701A" w:rsidRDefault="0002701A">
            <w:pPr>
              <w:widowControl/>
              <w:jc w:val="left"/>
              <w:textAlignment w:val="center"/>
              <w:rPr>
                <w:rFonts w:ascii="宋体" w:cs="宋体"/>
                <w:color w:val="000000"/>
                <w:kern w:val="0"/>
                <w:sz w:val="22"/>
              </w:rPr>
            </w:pPr>
          </w:p>
          <w:p w:rsidR="0002701A" w:rsidRDefault="0002701A">
            <w:pPr>
              <w:widowControl/>
              <w:jc w:val="left"/>
              <w:textAlignment w:val="center"/>
              <w:rPr>
                <w:rFonts w:ascii="宋体" w:cs="宋体"/>
                <w:color w:val="000000"/>
                <w:kern w:val="0"/>
                <w:sz w:val="22"/>
              </w:rPr>
            </w:pPr>
          </w:p>
        </w:tc>
      </w:tr>
    </w:tbl>
    <w:p w:rsidR="0002701A" w:rsidRDefault="0002701A">
      <w:pPr>
        <w:rPr>
          <w:vanish/>
        </w:rPr>
      </w:pPr>
    </w:p>
    <w:tbl>
      <w:tblPr>
        <w:tblW w:w="10105" w:type="dxa"/>
        <w:jc w:val="center"/>
        <w:tblLayout w:type="fixed"/>
        <w:tblCellMar>
          <w:left w:w="0" w:type="dxa"/>
          <w:right w:w="0" w:type="dxa"/>
        </w:tblCellMar>
        <w:tblLook w:val="04A0"/>
      </w:tblPr>
      <w:tblGrid>
        <w:gridCol w:w="1009"/>
        <w:gridCol w:w="58"/>
        <w:gridCol w:w="57"/>
        <w:gridCol w:w="2066"/>
        <w:gridCol w:w="1309"/>
        <w:gridCol w:w="1470"/>
        <w:gridCol w:w="778"/>
        <w:gridCol w:w="778"/>
        <w:gridCol w:w="778"/>
        <w:gridCol w:w="778"/>
        <w:gridCol w:w="1024"/>
      </w:tblGrid>
      <w:tr w:rsidR="0002701A">
        <w:trPr>
          <w:trHeight w:val="670"/>
          <w:jc w:val="center"/>
        </w:trPr>
        <w:tc>
          <w:tcPr>
            <w:tcW w:w="10105" w:type="dxa"/>
            <w:gridSpan w:val="11"/>
            <w:tcBorders>
              <w:top w:val="nil"/>
              <w:left w:val="nil"/>
              <w:bottom w:val="nil"/>
              <w:right w:val="nil"/>
            </w:tcBorders>
            <w:noWrap/>
            <w:tcMar>
              <w:top w:w="15" w:type="dxa"/>
              <w:left w:w="15" w:type="dxa"/>
              <w:right w:w="15" w:type="dxa"/>
            </w:tcMar>
            <w:vAlign w:val="bottom"/>
          </w:tcPr>
          <w:p w:rsidR="0002701A" w:rsidRDefault="0002701A">
            <w:pPr>
              <w:widowControl/>
              <w:jc w:val="center"/>
              <w:textAlignment w:val="bottom"/>
              <w:rPr>
                <w:rFonts w:ascii="黑体" w:eastAsia="黑体" w:hAnsi="宋体" w:cs="黑体"/>
                <w:color w:val="000000"/>
                <w:kern w:val="0"/>
                <w:sz w:val="32"/>
                <w:szCs w:val="32"/>
              </w:rPr>
            </w:pPr>
          </w:p>
          <w:p w:rsidR="0002701A" w:rsidRDefault="00F23D7F">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02701A">
        <w:trPr>
          <w:trHeight w:val="357"/>
          <w:jc w:val="center"/>
        </w:trPr>
        <w:tc>
          <w:tcPr>
            <w:tcW w:w="1009"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5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57"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309"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470"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77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77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77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802" w:type="dxa"/>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02701A">
        <w:trPr>
          <w:trHeight w:val="357"/>
          <w:jc w:val="center"/>
        </w:trPr>
        <w:tc>
          <w:tcPr>
            <w:tcW w:w="4499" w:type="dxa"/>
            <w:gridSpan w:val="5"/>
            <w:tcBorders>
              <w:top w:val="nil"/>
              <w:left w:val="nil"/>
              <w:bottom w:val="nil"/>
              <w:right w:val="nil"/>
            </w:tcBorders>
            <w:noWrap/>
            <w:tcMar>
              <w:top w:w="15" w:type="dxa"/>
              <w:left w:w="15" w:type="dxa"/>
              <w:right w:w="15" w:type="dxa"/>
            </w:tcMar>
            <w:vAlign w:val="bottom"/>
          </w:tcPr>
          <w:p w:rsidR="0002701A" w:rsidRDefault="00F23D7F">
            <w:pPr>
              <w:rPr>
                <w:rFonts w:ascii="Arial" w:hAnsi="Arial" w:cs="Arial"/>
                <w:color w:val="000000"/>
                <w:sz w:val="20"/>
                <w:szCs w:val="20"/>
              </w:rPr>
            </w:pPr>
            <w:r>
              <w:rPr>
                <w:rFonts w:ascii="宋体" w:hAnsi="宋体" w:cs="宋体" w:hint="eastAsia"/>
                <w:color w:val="000000"/>
                <w:kern w:val="0"/>
                <w:sz w:val="20"/>
                <w:szCs w:val="20"/>
              </w:rPr>
              <w:t>部门：唐山高新技术产业开发区街道办事处</w:t>
            </w:r>
          </w:p>
        </w:tc>
        <w:tc>
          <w:tcPr>
            <w:tcW w:w="1470"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77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77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580" w:type="dxa"/>
            <w:gridSpan w:val="3"/>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2701A">
        <w:trPr>
          <w:trHeight w:val="385"/>
          <w:jc w:val="center"/>
        </w:trPr>
        <w:tc>
          <w:tcPr>
            <w:tcW w:w="3190"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1309"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本年收入合计</w:t>
            </w:r>
          </w:p>
        </w:tc>
        <w:tc>
          <w:tcPr>
            <w:tcW w:w="147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财政拨款收入</w:t>
            </w:r>
          </w:p>
        </w:tc>
        <w:tc>
          <w:tcPr>
            <w:tcW w:w="778"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上级补助收入</w:t>
            </w:r>
          </w:p>
        </w:tc>
        <w:tc>
          <w:tcPr>
            <w:tcW w:w="778"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事业收入</w:t>
            </w:r>
          </w:p>
        </w:tc>
        <w:tc>
          <w:tcPr>
            <w:tcW w:w="778"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经营收入</w:t>
            </w:r>
          </w:p>
        </w:tc>
        <w:tc>
          <w:tcPr>
            <w:tcW w:w="778"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附属单位上缴收入</w:t>
            </w:r>
          </w:p>
        </w:tc>
        <w:tc>
          <w:tcPr>
            <w:tcW w:w="102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其他收入</w:t>
            </w:r>
          </w:p>
        </w:tc>
      </w:tr>
      <w:tr w:rsidR="0002701A">
        <w:trPr>
          <w:trHeight w:val="380"/>
          <w:jc w:val="center"/>
        </w:trPr>
        <w:tc>
          <w:tcPr>
            <w:tcW w:w="1124"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功能分类科目编码</w:t>
            </w:r>
          </w:p>
        </w:tc>
        <w:tc>
          <w:tcPr>
            <w:tcW w:w="2066"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30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47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2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80"/>
          <w:jc w:val="center"/>
        </w:trPr>
        <w:tc>
          <w:tcPr>
            <w:tcW w:w="112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2066" w:type="dxa"/>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22"/>
              </w:rPr>
            </w:pPr>
          </w:p>
        </w:tc>
        <w:tc>
          <w:tcPr>
            <w:tcW w:w="130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47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2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80"/>
          <w:jc w:val="center"/>
        </w:trPr>
        <w:tc>
          <w:tcPr>
            <w:tcW w:w="112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2066" w:type="dxa"/>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22"/>
              </w:rPr>
            </w:pPr>
          </w:p>
        </w:tc>
        <w:tc>
          <w:tcPr>
            <w:tcW w:w="130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47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7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2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85"/>
          <w:jc w:val="center"/>
        </w:trPr>
        <w:tc>
          <w:tcPr>
            <w:tcW w:w="3190"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30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w:t>
            </w:r>
          </w:p>
        </w:tc>
        <w:tc>
          <w:tcPr>
            <w:tcW w:w="1470"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w:t>
            </w:r>
          </w:p>
        </w:tc>
        <w:tc>
          <w:tcPr>
            <w:tcW w:w="778"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w:t>
            </w:r>
          </w:p>
        </w:tc>
        <w:tc>
          <w:tcPr>
            <w:tcW w:w="778"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w:t>
            </w:r>
          </w:p>
        </w:tc>
        <w:tc>
          <w:tcPr>
            <w:tcW w:w="778"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w:t>
            </w:r>
          </w:p>
        </w:tc>
        <w:tc>
          <w:tcPr>
            <w:tcW w:w="778"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6</w:t>
            </w:r>
          </w:p>
        </w:tc>
        <w:tc>
          <w:tcPr>
            <w:tcW w:w="1024"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7</w:t>
            </w:r>
          </w:p>
        </w:tc>
      </w:tr>
      <w:tr w:rsidR="0002701A">
        <w:trPr>
          <w:trHeight w:val="385"/>
          <w:jc w:val="center"/>
        </w:trPr>
        <w:tc>
          <w:tcPr>
            <w:tcW w:w="3190"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3,473.04</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3,473.04</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2010301</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行政运行</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532.03</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532.03</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2010302</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一般行政管理事务</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2.57</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2.57</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2010308</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信访事务</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60.00</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60.00</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2070109</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群众文化</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90.00</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90.00</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2080208</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基层政权和社区建设</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481.33</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481.33</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2080505</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机关事业单位基本养老保险缴费支出</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38.61</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38.61</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2101101</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行政单位医疗</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4.44</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4.44</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2101102</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事业单位医疗</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30.61</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30.61</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2120399</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其他城乡社区公共设施支出</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12.69</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12.69</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2120501</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城乡社区环境卫生</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174.61</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174.61</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2120801</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征地和拆迁补偿支出</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1,703.15</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1,703.15</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2130152</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对高校毕业生到基层任职补助</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2.55</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2.55</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2130299</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其他林业和草原支出</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70.00</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70.00</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2130705</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对村民委员会和村党支部的补助</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242.35</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242.35</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12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2210201</w:t>
            </w:r>
          </w:p>
        </w:tc>
        <w:tc>
          <w:tcPr>
            <w:tcW w:w="206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住房公积金</w:t>
            </w:r>
          </w:p>
        </w:tc>
        <w:tc>
          <w:tcPr>
            <w:tcW w:w="13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28.10</w:t>
            </w:r>
          </w:p>
        </w:tc>
        <w:tc>
          <w:tcPr>
            <w:tcW w:w="14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28.10</w:t>
            </w: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77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02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85"/>
          <w:jc w:val="center"/>
        </w:trPr>
        <w:tc>
          <w:tcPr>
            <w:tcW w:w="10105" w:type="dxa"/>
            <w:gridSpan w:val="11"/>
            <w:tcBorders>
              <w:top w:val="nil"/>
              <w:left w:val="nil"/>
              <w:bottom w:val="nil"/>
              <w:right w:val="nil"/>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注：本表反映部门本年度取得的各项收入情况。</w:t>
            </w:r>
          </w:p>
        </w:tc>
      </w:tr>
      <w:tr w:rsidR="0002701A">
        <w:trPr>
          <w:trHeight w:val="385"/>
          <w:jc w:val="center"/>
        </w:trPr>
        <w:tc>
          <w:tcPr>
            <w:tcW w:w="10105" w:type="dxa"/>
            <w:gridSpan w:val="11"/>
            <w:tcBorders>
              <w:top w:val="nil"/>
              <w:left w:val="nil"/>
              <w:bottom w:val="nil"/>
              <w:right w:val="nil"/>
            </w:tcBorders>
            <w:noWrap/>
            <w:tcMar>
              <w:top w:w="15" w:type="dxa"/>
              <w:left w:w="15" w:type="dxa"/>
              <w:right w:w="15" w:type="dxa"/>
            </w:tcMar>
            <w:vAlign w:val="center"/>
          </w:tcPr>
          <w:p w:rsidR="0002701A" w:rsidRDefault="0002701A">
            <w:pPr>
              <w:widowControl/>
              <w:jc w:val="left"/>
              <w:textAlignment w:val="center"/>
              <w:rPr>
                <w:rFonts w:ascii="宋体" w:cs="宋体"/>
                <w:color w:val="000000"/>
                <w:kern w:val="0"/>
                <w:sz w:val="22"/>
              </w:rPr>
            </w:pPr>
          </w:p>
        </w:tc>
      </w:tr>
    </w:tbl>
    <w:p w:rsidR="0002701A" w:rsidRDefault="0002701A"/>
    <w:tbl>
      <w:tblPr>
        <w:tblW w:w="9680" w:type="dxa"/>
        <w:jc w:val="center"/>
        <w:tblLayout w:type="fixed"/>
        <w:tblCellMar>
          <w:left w:w="0" w:type="dxa"/>
          <w:right w:w="0" w:type="dxa"/>
        </w:tblCellMar>
        <w:tblLook w:val="04A0"/>
      </w:tblPr>
      <w:tblGrid>
        <w:gridCol w:w="941"/>
        <w:gridCol w:w="53"/>
        <w:gridCol w:w="240"/>
        <w:gridCol w:w="1770"/>
        <w:gridCol w:w="941"/>
        <w:gridCol w:w="1036"/>
        <w:gridCol w:w="1064"/>
        <w:gridCol w:w="1063"/>
        <w:gridCol w:w="1161"/>
        <w:gridCol w:w="1411"/>
      </w:tblGrid>
      <w:tr w:rsidR="0002701A">
        <w:trPr>
          <w:trHeight w:val="612"/>
          <w:jc w:val="center"/>
        </w:trPr>
        <w:tc>
          <w:tcPr>
            <w:tcW w:w="9680" w:type="dxa"/>
            <w:gridSpan w:val="10"/>
            <w:tcBorders>
              <w:top w:val="nil"/>
              <w:left w:val="nil"/>
              <w:bottom w:val="nil"/>
              <w:right w:val="nil"/>
            </w:tcBorders>
            <w:noWrap/>
            <w:tcMar>
              <w:top w:w="15" w:type="dxa"/>
              <w:left w:w="15" w:type="dxa"/>
              <w:right w:w="15" w:type="dxa"/>
            </w:tcMar>
            <w:vAlign w:val="center"/>
          </w:tcPr>
          <w:p w:rsidR="0055095E" w:rsidRDefault="0055095E">
            <w:pPr>
              <w:widowControl/>
              <w:jc w:val="center"/>
              <w:textAlignment w:val="center"/>
              <w:rPr>
                <w:rFonts w:ascii="黑体" w:eastAsia="黑体" w:hAnsi="宋体" w:cs="黑体"/>
                <w:color w:val="000000"/>
                <w:kern w:val="0"/>
                <w:sz w:val="32"/>
                <w:szCs w:val="32"/>
              </w:rPr>
            </w:pPr>
          </w:p>
          <w:p w:rsidR="0055095E" w:rsidRDefault="0055095E">
            <w:pPr>
              <w:widowControl/>
              <w:jc w:val="center"/>
              <w:textAlignment w:val="center"/>
              <w:rPr>
                <w:rFonts w:ascii="黑体" w:eastAsia="黑体" w:hAnsi="宋体" w:cs="黑体"/>
                <w:color w:val="000000"/>
                <w:kern w:val="0"/>
                <w:sz w:val="32"/>
                <w:szCs w:val="32"/>
              </w:rPr>
            </w:pPr>
          </w:p>
          <w:p w:rsidR="0002701A" w:rsidRDefault="00F23D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02701A">
        <w:trPr>
          <w:trHeight w:val="313"/>
          <w:jc w:val="center"/>
        </w:trPr>
        <w:tc>
          <w:tcPr>
            <w:tcW w:w="941"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53"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770"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941"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036"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064"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063"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161"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411" w:type="dxa"/>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02701A">
        <w:trPr>
          <w:trHeight w:val="313"/>
          <w:jc w:val="center"/>
        </w:trPr>
        <w:tc>
          <w:tcPr>
            <w:tcW w:w="3945" w:type="dxa"/>
            <w:gridSpan w:val="5"/>
            <w:tcBorders>
              <w:top w:val="nil"/>
              <w:left w:val="nil"/>
              <w:bottom w:val="nil"/>
              <w:right w:val="nil"/>
            </w:tcBorders>
            <w:noWrap/>
            <w:tcMar>
              <w:top w:w="15" w:type="dxa"/>
              <w:left w:w="15" w:type="dxa"/>
              <w:right w:w="15" w:type="dxa"/>
            </w:tcMar>
            <w:vAlign w:val="bottom"/>
          </w:tcPr>
          <w:p w:rsidR="0002701A" w:rsidRDefault="00F23D7F">
            <w:pPr>
              <w:rPr>
                <w:rFonts w:ascii="Arial" w:hAnsi="Arial" w:cs="Arial"/>
                <w:color w:val="000000"/>
                <w:sz w:val="20"/>
                <w:szCs w:val="20"/>
              </w:rPr>
            </w:pPr>
            <w:r>
              <w:rPr>
                <w:rFonts w:ascii="宋体" w:hAnsi="宋体" w:cs="宋体" w:hint="eastAsia"/>
                <w:color w:val="000000"/>
                <w:kern w:val="0"/>
                <w:sz w:val="20"/>
                <w:szCs w:val="20"/>
              </w:rPr>
              <w:t>部门：唐山高新技术产业开发区街道办事处</w:t>
            </w:r>
          </w:p>
        </w:tc>
        <w:tc>
          <w:tcPr>
            <w:tcW w:w="1036"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064"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063"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572" w:type="dxa"/>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2701A">
        <w:trPr>
          <w:trHeight w:val="323"/>
          <w:jc w:val="center"/>
        </w:trPr>
        <w:tc>
          <w:tcPr>
            <w:tcW w:w="300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94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本年支出合计</w:t>
            </w:r>
          </w:p>
        </w:tc>
        <w:tc>
          <w:tcPr>
            <w:tcW w:w="1036"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064"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1063"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对附属单位补助支出</w:t>
            </w:r>
          </w:p>
        </w:tc>
      </w:tr>
      <w:tr w:rsidR="0002701A">
        <w:trPr>
          <w:trHeight w:val="319"/>
          <w:jc w:val="center"/>
        </w:trPr>
        <w:tc>
          <w:tcPr>
            <w:tcW w:w="1234"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功能分类科目编码</w:t>
            </w:r>
          </w:p>
        </w:tc>
        <w:tc>
          <w:tcPr>
            <w:tcW w:w="1770"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94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3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6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6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16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41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19"/>
          <w:jc w:val="center"/>
        </w:trPr>
        <w:tc>
          <w:tcPr>
            <w:tcW w:w="123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770" w:type="dxa"/>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22"/>
              </w:rPr>
            </w:pPr>
          </w:p>
        </w:tc>
        <w:tc>
          <w:tcPr>
            <w:tcW w:w="94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3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6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6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16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41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19"/>
          <w:jc w:val="center"/>
        </w:trPr>
        <w:tc>
          <w:tcPr>
            <w:tcW w:w="123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770" w:type="dxa"/>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22"/>
              </w:rPr>
            </w:pPr>
          </w:p>
        </w:tc>
        <w:tc>
          <w:tcPr>
            <w:tcW w:w="94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3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64"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06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16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41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23"/>
          <w:jc w:val="center"/>
        </w:trPr>
        <w:tc>
          <w:tcPr>
            <w:tcW w:w="3004"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94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w:t>
            </w:r>
          </w:p>
        </w:tc>
        <w:tc>
          <w:tcPr>
            <w:tcW w:w="1036"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w:t>
            </w:r>
          </w:p>
        </w:tc>
        <w:tc>
          <w:tcPr>
            <w:tcW w:w="1064"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w:t>
            </w:r>
          </w:p>
        </w:tc>
        <w:tc>
          <w:tcPr>
            <w:tcW w:w="1063"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w:t>
            </w:r>
          </w:p>
        </w:tc>
        <w:tc>
          <w:tcPr>
            <w:tcW w:w="116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w:t>
            </w:r>
          </w:p>
        </w:tc>
        <w:tc>
          <w:tcPr>
            <w:tcW w:w="141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6</w:t>
            </w:r>
          </w:p>
        </w:tc>
      </w:tr>
      <w:tr w:rsidR="0002701A">
        <w:trPr>
          <w:trHeight w:val="323"/>
          <w:jc w:val="center"/>
        </w:trPr>
        <w:tc>
          <w:tcPr>
            <w:tcW w:w="3004"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3,214.03</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1,044.38</w:t>
            </w: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2,169.65</w:t>
            </w: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2010301</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行政运行</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532.03</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532.03</w:t>
            </w: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2010302</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一般行政管理事务</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2.57</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2.57</w:t>
            </w: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2010308</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信访事务</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60.00</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60.00</w:t>
            </w: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2080208</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基层政权和社区建设</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465.38</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356.27</w:t>
            </w: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109.11</w:t>
            </w: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2080505</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机关事业单位基本养老保险缴费支出</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38.61</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38.61</w:t>
            </w: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2101101</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行政单位医疗</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4.44</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4.44</w:t>
            </w: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2101102</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事业单位医疗</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30.61</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30.61</w:t>
            </w: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2120399</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其他城乡社区公共设施支出</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5.19</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5.19</w:t>
            </w: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2120501</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城乡社区环境卫生</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149.70</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149.70</w:t>
            </w: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2120801</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征地和拆迁补偿支出</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1,729.29</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1,729.29</w:t>
            </w: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2130705</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对村民委员会和村党支部的补助</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168.11</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54.33</w:t>
            </w: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113.79</w:t>
            </w: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2210201</w:t>
            </w:r>
          </w:p>
        </w:tc>
        <w:tc>
          <w:tcPr>
            <w:tcW w:w="1770"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住房公积金</w:t>
            </w:r>
          </w:p>
        </w:tc>
        <w:tc>
          <w:tcPr>
            <w:tcW w:w="94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28.10</w:t>
            </w:r>
          </w:p>
        </w:tc>
        <w:tc>
          <w:tcPr>
            <w:tcW w:w="103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28.10</w:t>
            </w:r>
          </w:p>
        </w:tc>
        <w:tc>
          <w:tcPr>
            <w:tcW w:w="106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06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16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1411"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23"/>
          <w:jc w:val="center"/>
        </w:trPr>
        <w:tc>
          <w:tcPr>
            <w:tcW w:w="9680" w:type="dxa"/>
            <w:gridSpan w:val="10"/>
            <w:tcBorders>
              <w:top w:val="nil"/>
              <w:left w:val="nil"/>
              <w:bottom w:val="nil"/>
              <w:right w:val="nil"/>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注：本表反映部门本年度各项支出情况。</w:t>
            </w:r>
          </w:p>
        </w:tc>
      </w:tr>
    </w:tbl>
    <w:p w:rsidR="0002701A" w:rsidRDefault="00F23D7F">
      <w:r>
        <w:br w:type="page"/>
      </w:r>
    </w:p>
    <w:tbl>
      <w:tblPr>
        <w:tblW w:w="9919" w:type="dxa"/>
        <w:jc w:val="center"/>
        <w:tblLayout w:type="fixed"/>
        <w:tblCellMar>
          <w:left w:w="0" w:type="dxa"/>
          <w:right w:w="0" w:type="dxa"/>
        </w:tblCellMar>
        <w:tblLook w:val="04A0"/>
      </w:tblPr>
      <w:tblGrid>
        <w:gridCol w:w="2338"/>
        <w:gridCol w:w="409"/>
        <w:gridCol w:w="341"/>
        <w:gridCol w:w="641"/>
        <w:gridCol w:w="504"/>
        <w:gridCol w:w="2250"/>
        <w:gridCol w:w="273"/>
        <w:gridCol w:w="240"/>
        <w:gridCol w:w="974"/>
        <w:gridCol w:w="954"/>
        <w:gridCol w:w="995"/>
      </w:tblGrid>
      <w:tr w:rsidR="0002701A">
        <w:trPr>
          <w:trHeight w:val="406"/>
          <w:jc w:val="center"/>
        </w:trPr>
        <w:tc>
          <w:tcPr>
            <w:tcW w:w="9919" w:type="dxa"/>
            <w:gridSpan w:val="11"/>
            <w:tcBorders>
              <w:top w:val="nil"/>
              <w:left w:val="nil"/>
              <w:bottom w:val="nil"/>
              <w:right w:val="nil"/>
            </w:tcBorders>
            <w:noWrap/>
            <w:tcMar>
              <w:top w:w="15" w:type="dxa"/>
              <w:left w:w="15" w:type="dxa"/>
              <w:right w:w="15" w:type="dxa"/>
            </w:tcMar>
            <w:vAlign w:val="bottom"/>
          </w:tcPr>
          <w:p w:rsidR="0002701A" w:rsidRDefault="00F23D7F">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02701A">
        <w:trPr>
          <w:trHeight w:val="90"/>
          <w:jc w:val="center"/>
        </w:trPr>
        <w:tc>
          <w:tcPr>
            <w:tcW w:w="2747" w:type="dxa"/>
            <w:gridSpan w:val="2"/>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341"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145" w:type="dxa"/>
            <w:gridSpan w:val="2"/>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523" w:type="dxa"/>
            <w:gridSpan w:val="2"/>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923" w:type="dxa"/>
            <w:gridSpan w:val="3"/>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02701A">
        <w:trPr>
          <w:trHeight w:val="90"/>
          <w:jc w:val="center"/>
        </w:trPr>
        <w:tc>
          <w:tcPr>
            <w:tcW w:w="4233" w:type="dxa"/>
            <w:gridSpan w:val="5"/>
            <w:tcBorders>
              <w:top w:val="nil"/>
              <w:left w:val="nil"/>
              <w:bottom w:val="nil"/>
              <w:right w:val="nil"/>
            </w:tcBorders>
            <w:noWrap/>
            <w:tcMar>
              <w:top w:w="15" w:type="dxa"/>
              <w:left w:w="15" w:type="dxa"/>
              <w:right w:w="15" w:type="dxa"/>
            </w:tcMar>
            <w:vAlign w:val="bottom"/>
          </w:tcPr>
          <w:p w:rsidR="0002701A" w:rsidRDefault="00F23D7F">
            <w:pPr>
              <w:rPr>
                <w:rFonts w:ascii="Arial" w:hAnsi="Arial" w:cs="Arial"/>
                <w:color w:val="000000"/>
                <w:sz w:val="20"/>
                <w:szCs w:val="20"/>
              </w:rPr>
            </w:pPr>
            <w:r>
              <w:rPr>
                <w:rFonts w:ascii="宋体" w:hAnsi="宋体" w:cs="宋体" w:hint="eastAsia"/>
                <w:color w:val="000000"/>
                <w:kern w:val="0"/>
                <w:sz w:val="20"/>
                <w:szCs w:val="20"/>
              </w:rPr>
              <w:t>部门：唐山高新技术产业开发区街道办事处</w:t>
            </w:r>
          </w:p>
        </w:tc>
        <w:tc>
          <w:tcPr>
            <w:tcW w:w="2523" w:type="dxa"/>
            <w:gridSpan w:val="2"/>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923" w:type="dxa"/>
            <w:gridSpan w:val="3"/>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2701A">
        <w:trPr>
          <w:trHeight w:val="248"/>
          <w:jc w:val="center"/>
        </w:trPr>
        <w:tc>
          <w:tcPr>
            <w:tcW w:w="3729"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收入</w:t>
            </w:r>
          </w:p>
        </w:tc>
        <w:tc>
          <w:tcPr>
            <w:tcW w:w="6190" w:type="dxa"/>
            <w:gridSpan w:val="7"/>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支出</w:t>
            </w:r>
          </w:p>
        </w:tc>
      </w:tr>
      <w:tr w:rsidR="0002701A">
        <w:trPr>
          <w:trHeight w:val="312"/>
          <w:jc w:val="center"/>
        </w:trPr>
        <w:tc>
          <w:tcPr>
            <w:tcW w:w="2338"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409"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982"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金额</w:t>
            </w:r>
          </w:p>
        </w:tc>
        <w:tc>
          <w:tcPr>
            <w:tcW w:w="2754"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项目</w:t>
            </w:r>
          </w:p>
        </w:tc>
        <w:tc>
          <w:tcPr>
            <w:tcW w:w="513"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行次</w:t>
            </w:r>
          </w:p>
        </w:tc>
        <w:tc>
          <w:tcPr>
            <w:tcW w:w="974"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合计</w:t>
            </w:r>
          </w:p>
        </w:tc>
        <w:tc>
          <w:tcPr>
            <w:tcW w:w="954"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一般公共预算财政拨款</w:t>
            </w:r>
          </w:p>
        </w:tc>
        <w:tc>
          <w:tcPr>
            <w:tcW w:w="995"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政府性基金预算财政拨款</w:t>
            </w:r>
          </w:p>
        </w:tc>
      </w:tr>
      <w:tr w:rsidR="0002701A">
        <w:trPr>
          <w:trHeight w:val="327"/>
          <w:jc w:val="center"/>
        </w:trPr>
        <w:tc>
          <w:tcPr>
            <w:tcW w:w="233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409"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982"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2754"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513"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974" w:type="dxa"/>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18"/>
                <w:szCs w:val="18"/>
              </w:rPr>
            </w:pPr>
          </w:p>
        </w:tc>
        <w:tc>
          <w:tcPr>
            <w:tcW w:w="954"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995"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18"/>
                <w:szCs w:val="18"/>
              </w:rPr>
            </w:pP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栏次</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18"/>
                <w:szCs w:val="18"/>
              </w:rPr>
            </w:pP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w:t>
            </w: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一、一般公共预算财政拨款</w:t>
            </w: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1,769.89</w:t>
            </w: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一、一般公共服务支出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30</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594.61</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594.61</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二、政府性基金预算财政拨款</w:t>
            </w: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1,703.15</w:t>
            </w: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二、外交支出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31</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三、国防支出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四、公共安全支出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33</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五、教育支出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六、科学技术支出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35</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七、文化旅游体育与传媒支出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36</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八、社会保障和就业支出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37</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503.99</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503.99</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九、卫生健康支出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38</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35.04</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35.04</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十、节能环保支出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39</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十一、城乡社区支出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40</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1,884.18</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154.89</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1,729.29</w:t>
            </w: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十二、农林水支出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41</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168.11</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168.11</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十三、交通运输支出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42</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十四、资源勘探信息等支出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43</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十五、商业服务业等支出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44</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十六、金融支出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45</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十七、援助其他地区支出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46</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十八、自然资源海洋气象等支出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47</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十九、住房保障支出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48</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28.10</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28.10</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二十、粮油物资储备支出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49</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二十一、灾害防治及应急管理支出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50</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二十二、其他支出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51</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二十四、债务付息支出</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52</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本年收入合计</w:t>
            </w: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3,473.04</w:t>
            </w: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本年支出合计</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53</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3,214.03</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1,484.74</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1,729.29</w:t>
            </w: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年初财政拨款结转和结余</w:t>
            </w: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36.49</w:t>
            </w: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年末财政拨款结转和结余</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54</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295.50</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295.50</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一、一般公共预算财政拨款</w:t>
            </w: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10.35</w:t>
            </w: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55</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二、政府性基金预算财政拨款</w:t>
            </w: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26.14</w:t>
            </w: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56</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18"/>
                <w:szCs w:val="18"/>
              </w:rPr>
            </w:pP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57</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r>
      <w:tr w:rsidR="0002701A">
        <w:trPr>
          <w:trHeight w:val="90"/>
          <w:jc w:val="center"/>
        </w:trPr>
        <w:tc>
          <w:tcPr>
            <w:tcW w:w="233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总计</w:t>
            </w:r>
          </w:p>
        </w:tc>
        <w:tc>
          <w:tcPr>
            <w:tcW w:w="40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29</w:t>
            </w:r>
          </w:p>
        </w:tc>
        <w:tc>
          <w:tcPr>
            <w:tcW w:w="98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3,509.53</w:t>
            </w:r>
          </w:p>
        </w:tc>
        <w:tc>
          <w:tcPr>
            <w:tcW w:w="2754"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总计</w:t>
            </w:r>
          </w:p>
        </w:tc>
        <w:tc>
          <w:tcPr>
            <w:tcW w:w="51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color w:val="000000"/>
                <w:kern w:val="0"/>
                <w:sz w:val="18"/>
                <w:szCs w:val="18"/>
              </w:rPr>
              <w:t>58</w:t>
            </w:r>
          </w:p>
        </w:tc>
        <w:tc>
          <w:tcPr>
            <w:tcW w:w="97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3,509.53</w:t>
            </w:r>
          </w:p>
        </w:tc>
        <w:tc>
          <w:tcPr>
            <w:tcW w:w="95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1,780.24</w:t>
            </w:r>
          </w:p>
        </w:tc>
        <w:tc>
          <w:tcPr>
            <w:tcW w:w="99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1,729.29</w:t>
            </w:r>
          </w:p>
        </w:tc>
      </w:tr>
      <w:tr w:rsidR="0002701A">
        <w:trPr>
          <w:trHeight w:val="90"/>
          <w:jc w:val="center"/>
        </w:trPr>
        <w:tc>
          <w:tcPr>
            <w:tcW w:w="9919" w:type="dxa"/>
            <w:gridSpan w:val="11"/>
            <w:tcBorders>
              <w:top w:val="nil"/>
              <w:left w:val="nil"/>
              <w:bottom w:val="nil"/>
              <w:right w:val="nil"/>
            </w:tcBorders>
            <w:noWrap/>
            <w:tcMar>
              <w:top w:w="15" w:type="dxa"/>
              <w:left w:w="15" w:type="dxa"/>
              <w:right w:w="15" w:type="dxa"/>
            </w:tcMar>
            <w:vAlign w:val="center"/>
          </w:tcPr>
          <w:p w:rsidR="0002701A" w:rsidRDefault="00F23D7F">
            <w:pPr>
              <w:widowControl/>
              <w:jc w:val="left"/>
              <w:textAlignment w:val="center"/>
              <w:rPr>
                <w:rFonts w:asci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02701A" w:rsidRDefault="00F23D7F">
      <w:r>
        <w:br w:type="page"/>
      </w:r>
    </w:p>
    <w:tbl>
      <w:tblPr>
        <w:tblW w:w="10270" w:type="dxa"/>
        <w:jc w:val="center"/>
        <w:tblLayout w:type="fixed"/>
        <w:tblCellMar>
          <w:left w:w="0" w:type="dxa"/>
          <w:right w:w="0" w:type="dxa"/>
        </w:tblCellMar>
        <w:tblLook w:val="04A0"/>
      </w:tblPr>
      <w:tblGrid>
        <w:gridCol w:w="1007"/>
        <w:gridCol w:w="68"/>
        <w:gridCol w:w="66"/>
        <w:gridCol w:w="1804"/>
        <w:gridCol w:w="286"/>
        <w:gridCol w:w="2113"/>
        <w:gridCol w:w="2559"/>
        <w:gridCol w:w="2367"/>
      </w:tblGrid>
      <w:tr w:rsidR="0002701A">
        <w:trPr>
          <w:trHeight w:val="600"/>
          <w:jc w:val="center"/>
        </w:trPr>
        <w:tc>
          <w:tcPr>
            <w:tcW w:w="10270" w:type="dxa"/>
            <w:gridSpan w:val="8"/>
            <w:tcBorders>
              <w:top w:val="nil"/>
              <w:left w:val="nil"/>
              <w:bottom w:val="nil"/>
              <w:right w:val="nil"/>
            </w:tcBorders>
            <w:noWrap/>
            <w:tcMar>
              <w:top w:w="15" w:type="dxa"/>
              <w:left w:w="15" w:type="dxa"/>
              <w:right w:w="15" w:type="dxa"/>
            </w:tcMar>
            <w:vAlign w:val="center"/>
          </w:tcPr>
          <w:p w:rsidR="0002701A" w:rsidRDefault="00F23D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一般公共预算财政拨款支出决算表</w:t>
            </w:r>
          </w:p>
        </w:tc>
      </w:tr>
      <w:tr w:rsidR="0002701A">
        <w:trPr>
          <w:trHeight w:val="255"/>
          <w:jc w:val="center"/>
        </w:trPr>
        <w:tc>
          <w:tcPr>
            <w:tcW w:w="1007"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6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66"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804"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399" w:type="dxa"/>
            <w:gridSpan w:val="2"/>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4926" w:type="dxa"/>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02701A">
        <w:trPr>
          <w:trHeight w:val="255"/>
          <w:jc w:val="center"/>
        </w:trPr>
        <w:tc>
          <w:tcPr>
            <w:tcW w:w="5344" w:type="dxa"/>
            <w:gridSpan w:val="6"/>
            <w:tcBorders>
              <w:top w:val="nil"/>
              <w:left w:val="nil"/>
              <w:bottom w:val="nil"/>
              <w:right w:val="nil"/>
            </w:tcBorders>
            <w:noWrap/>
            <w:tcMar>
              <w:top w:w="15" w:type="dxa"/>
              <w:left w:w="15" w:type="dxa"/>
              <w:right w:w="15" w:type="dxa"/>
            </w:tcMar>
            <w:vAlign w:val="bottom"/>
          </w:tcPr>
          <w:p w:rsidR="0002701A" w:rsidRDefault="00F23D7F">
            <w:pPr>
              <w:rPr>
                <w:rFonts w:ascii="Arial" w:hAnsi="Arial" w:cs="Arial"/>
                <w:color w:val="000000"/>
                <w:sz w:val="20"/>
                <w:szCs w:val="20"/>
              </w:rPr>
            </w:pPr>
            <w:r>
              <w:rPr>
                <w:rFonts w:ascii="宋体" w:hAnsi="宋体" w:cs="宋体" w:hint="eastAsia"/>
                <w:color w:val="000000"/>
                <w:kern w:val="0"/>
                <w:sz w:val="20"/>
                <w:szCs w:val="20"/>
              </w:rPr>
              <w:t>部门：唐山高新技术产业开发区街道办事处</w:t>
            </w:r>
          </w:p>
        </w:tc>
        <w:tc>
          <w:tcPr>
            <w:tcW w:w="4926" w:type="dxa"/>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2701A">
        <w:trPr>
          <w:trHeight w:val="308"/>
          <w:jc w:val="center"/>
        </w:trPr>
        <w:tc>
          <w:tcPr>
            <w:tcW w:w="3231"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项目</w:t>
            </w:r>
          </w:p>
        </w:tc>
        <w:tc>
          <w:tcPr>
            <w:tcW w:w="7039"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本年支出</w:t>
            </w:r>
          </w:p>
        </w:tc>
      </w:tr>
      <w:tr w:rsidR="0002701A">
        <w:trPr>
          <w:trHeight w:val="312"/>
          <w:jc w:val="center"/>
        </w:trPr>
        <w:tc>
          <w:tcPr>
            <w:tcW w:w="1141"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功能分类科目编码</w:t>
            </w:r>
          </w:p>
        </w:tc>
        <w:tc>
          <w:tcPr>
            <w:tcW w:w="2090" w:type="dxa"/>
            <w:gridSpan w:val="2"/>
            <w:vMerge w:val="restart"/>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科目名称</w:t>
            </w:r>
          </w:p>
        </w:tc>
        <w:tc>
          <w:tcPr>
            <w:tcW w:w="2113"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小计</w:t>
            </w:r>
          </w:p>
        </w:tc>
        <w:tc>
          <w:tcPr>
            <w:tcW w:w="2559"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基本支出</w:t>
            </w:r>
          </w:p>
        </w:tc>
        <w:tc>
          <w:tcPr>
            <w:tcW w:w="2367"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项目支出</w:t>
            </w:r>
          </w:p>
        </w:tc>
      </w:tr>
      <w:tr w:rsidR="0002701A">
        <w:trPr>
          <w:trHeight w:val="312"/>
          <w:jc w:val="center"/>
        </w:trPr>
        <w:tc>
          <w:tcPr>
            <w:tcW w:w="1141"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Cs w:val="21"/>
              </w:rPr>
            </w:pPr>
          </w:p>
        </w:tc>
        <w:tc>
          <w:tcPr>
            <w:tcW w:w="2090" w:type="dxa"/>
            <w:gridSpan w:val="2"/>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Cs w:val="21"/>
              </w:rPr>
            </w:pPr>
          </w:p>
        </w:tc>
        <w:tc>
          <w:tcPr>
            <w:tcW w:w="2113"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Cs w:val="21"/>
              </w:rPr>
            </w:pPr>
          </w:p>
        </w:tc>
        <w:tc>
          <w:tcPr>
            <w:tcW w:w="2559"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Cs w:val="21"/>
              </w:rPr>
            </w:pPr>
          </w:p>
        </w:tc>
        <w:tc>
          <w:tcPr>
            <w:tcW w:w="2367"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Cs w:val="21"/>
              </w:rPr>
            </w:pPr>
          </w:p>
        </w:tc>
      </w:tr>
      <w:tr w:rsidR="0002701A">
        <w:trPr>
          <w:trHeight w:val="312"/>
          <w:jc w:val="center"/>
        </w:trPr>
        <w:tc>
          <w:tcPr>
            <w:tcW w:w="1141"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Cs w:val="21"/>
              </w:rPr>
            </w:pPr>
          </w:p>
        </w:tc>
        <w:tc>
          <w:tcPr>
            <w:tcW w:w="2090" w:type="dxa"/>
            <w:gridSpan w:val="2"/>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Cs w:val="21"/>
              </w:rPr>
            </w:pPr>
          </w:p>
        </w:tc>
        <w:tc>
          <w:tcPr>
            <w:tcW w:w="2113"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Cs w:val="21"/>
              </w:rPr>
            </w:pPr>
          </w:p>
        </w:tc>
        <w:tc>
          <w:tcPr>
            <w:tcW w:w="2559"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Cs w:val="21"/>
              </w:rPr>
            </w:pPr>
          </w:p>
        </w:tc>
        <w:tc>
          <w:tcPr>
            <w:tcW w:w="2367"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Cs w:val="21"/>
              </w:rPr>
            </w:pPr>
          </w:p>
        </w:tc>
      </w:tr>
      <w:tr w:rsidR="0002701A">
        <w:trPr>
          <w:trHeight w:val="308"/>
          <w:jc w:val="center"/>
        </w:trPr>
        <w:tc>
          <w:tcPr>
            <w:tcW w:w="3231"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栏次</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color w:val="000000"/>
                <w:kern w:val="0"/>
                <w:szCs w:val="21"/>
              </w:rPr>
              <w:t>1</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color w:val="000000"/>
                <w:kern w:val="0"/>
                <w:szCs w:val="21"/>
              </w:rPr>
              <w:t>2</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color w:val="000000"/>
                <w:kern w:val="0"/>
                <w:szCs w:val="21"/>
              </w:rPr>
              <w:t>3</w:t>
            </w:r>
          </w:p>
        </w:tc>
      </w:tr>
      <w:tr w:rsidR="0002701A">
        <w:trPr>
          <w:trHeight w:val="308"/>
          <w:jc w:val="center"/>
        </w:trPr>
        <w:tc>
          <w:tcPr>
            <w:tcW w:w="3231"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Cs w:val="21"/>
              </w:rPr>
            </w:pPr>
            <w:r>
              <w:rPr>
                <w:rFonts w:ascii="宋体" w:hAnsi="宋体" w:cs="宋体" w:hint="eastAsia"/>
                <w:color w:val="000000"/>
                <w:kern w:val="0"/>
                <w:szCs w:val="21"/>
              </w:rPr>
              <w:t>合计</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Cs w:val="21"/>
              </w:rPr>
            </w:pPr>
            <w:r>
              <w:rPr>
                <w:rFonts w:ascii="宋体" w:hAnsi="宋体" w:cs="宋体"/>
                <w:b/>
                <w:color w:val="000000"/>
                <w:kern w:val="0"/>
                <w:sz w:val="22"/>
              </w:rPr>
              <w:t>1,484.74</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Cs w:val="21"/>
              </w:rPr>
            </w:pPr>
            <w:r>
              <w:rPr>
                <w:rFonts w:ascii="宋体" w:hAnsi="宋体" w:cs="宋体"/>
                <w:b/>
                <w:color w:val="000000"/>
                <w:kern w:val="0"/>
                <w:sz w:val="22"/>
              </w:rPr>
              <w:t>1,044.38</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Cs w:val="21"/>
              </w:rPr>
            </w:pPr>
            <w:r>
              <w:rPr>
                <w:rFonts w:ascii="宋体" w:hAnsi="宋体" w:cs="宋体"/>
                <w:b/>
                <w:color w:val="000000"/>
                <w:kern w:val="0"/>
                <w:sz w:val="22"/>
              </w:rPr>
              <w:t>440.36</w:t>
            </w: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2010301</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行政运行</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532.03</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532.03</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cs="宋体"/>
                <w:color w:val="000000"/>
                <w:kern w:val="0"/>
                <w:szCs w:val="21"/>
              </w:rPr>
              <w:t>0.00</w:t>
            </w: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2010302</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一般行政管理事务</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2.57</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cs="宋体"/>
                <w:color w:val="000000"/>
                <w:kern w:val="0"/>
                <w:szCs w:val="21"/>
              </w:rPr>
              <w:t>0.00</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2.57</w:t>
            </w: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2010308</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信访事务</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60.00</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cs="宋体"/>
                <w:color w:val="000000"/>
                <w:kern w:val="0"/>
                <w:szCs w:val="21"/>
              </w:rPr>
              <w:t>0.00</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60.00</w:t>
            </w: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2080208</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基层政权和社区建设</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465.38</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356.27</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109.11</w:t>
            </w: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2080505</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机关事业单位基本养老保险缴费支出</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38.61</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38.61</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Cs w:val="21"/>
              </w:rPr>
            </w:pP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2101101</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行政单位医疗</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4.44</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4.44</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Cs w:val="21"/>
              </w:rPr>
            </w:pP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2101102</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事业单位医疗</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30.61</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30.61</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Cs w:val="21"/>
              </w:rPr>
            </w:pP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2120399</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其他城乡社区公共设施支出</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5.19</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Cs w:val="21"/>
              </w:rPr>
            </w:pP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5.19</w:t>
            </w: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2120501</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城乡社区环境卫生</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149.70</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Cs w:val="21"/>
              </w:rPr>
            </w:pP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149.70</w:t>
            </w: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2130705</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对村民委员会和村党支部的补助</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168.11</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54.33</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113.79</w:t>
            </w:r>
          </w:p>
        </w:tc>
      </w:tr>
      <w:tr w:rsidR="0002701A">
        <w:trPr>
          <w:trHeight w:val="308"/>
          <w:jc w:val="center"/>
        </w:trPr>
        <w:tc>
          <w:tcPr>
            <w:tcW w:w="1141"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color w:val="000000"/>
                <w:kern w:val="0"/>
                <w:szCs w:val="21"/>
              </w:rPr>
              <w:t>2210201</w:t>
            </w:r>
          </w:p>
        </w:tc>
        <w:tc>
          <w:tcPr>
            <w:tcW w:w="209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Cs w:val="21"/>
              </w:rPr>
            </w:pPr>
            <w:r>
              <w:rPr>
                <w:rFonts w:ascii="宋体" w:hAnsi="宋体" w:cs="宋体" w:hint="eastAsia"/>
                <w:color w:val="000000"/>
                <w:kern w:val="0"/>
                <w:szCs w:val="21"/>
              </w:rPr>
              <w:t>住房公积金</w:t>
            </w:r>
          </w:p>
        </w:tc>
        <w:tc>
          <w:tcPr>
            <w:tcW w:w="211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28.10</w:t>
            </w:r>
          </w:p>
        </w:tc>
        <w:tc>
          <w:tcPr>
            <w:tcW w:w="2559"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Cs w:val="21"/>
              </w:rPr>
            </w:pPr>
            <w:r>
              <w:rPr>
                <w:rFonts w:ascii="宋体" w:hAnsi="宋体" w:cs="宋体"/>
                <w:color w:val="000000"/>
                <w:kern w:val="0"/>
                <w:szCs w:val="21"/>
              </w:rPr>
              <w:t>28.10</w:t>
            </w:r>
          </w:p>
        </w:tc>
        <w:tc>
          <w:tcPr>
            <w:tcW w:w="2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Cs w:val="21"/>
              </w:rPr>
            </w:pPr>
          </w:p>
        </w:tc>
      </w:tr>
    </w:tbl>
    <w:p w:rsidR="0002701A" w:rsidRDefault="00F23D7F">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02701A">
        <w:trPr>
          <w:trHeight w:val="662"/>
          <w:jc w:val="center"/>
        </w:trPr>
        <w:tc>
          <w:tcPr>
            <w:tcW w:w="10000" w:type="dxa"/>
            <w:gridSpan w:val="9"/>
            <w:tcBorders>
              <w:top w:val="nil"/>
              <w:left w:val="nil"/>
              <w:bottom w:val="nil"/>
              <w:right w:val="nil"/>
            </w:tcBorders>
            <w:tcMar>
              <w:top w:w="15" w:type="dxa"/>
              <w:left w:w="15" w:type="dxa"/>
              <w:right w:w="15" w:type="dxa"/>
            </w:tcMar>
            <w:vAlign w:val="center"/>
          </w:tcPr>
          <w:p w:rsidR="0002701A" w:rsidRDefault="00F23D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02701A">
        <w:trPr>
          <w:trHeight w:val="339"/>
          <w:jc w:val="center"/>
        </w:trPr>
        <w:tc>
          <w:tcPr>
            <w:tcW w:w="896"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932" w:type="dxa"/>
            <w:tcBorders>
              <w:top w:val="nil"/>
              <w:left w:val="nil"/>
              <w:bottom w:val="nil"/>
              <w:right w:val="nil"/>
            </w:tcBorders>
            <w:tcMar>
              <w:top w:w="15" w:type="dxa"/>
              <w:left w:w="15" w:type="dxa"/>
              <w:right w:w="15" w:type="dxa"/>
            </w:tcMar>
            <w:vAlign w:val="bottom"/>
          </w:tcPr>
          <w:p w:rsidR="0002701A" w:rsidRDefault="0002701A">
            <w:pPr>
              <w:rPr>
                <w:rFonts w:ascii="Arial" w:hAnsi="Arial" w:cs="Arial"/>
                <w:color w:val="000000"/>
                <w:sz w:val="20"/>
                <w:szCs w:val="20"/>
              </w:rPr>
            </w:pPr>
          </w:p>
        </w:tc>
        <w:tc>
          <w:tcPr>
            <w:tcW w:w="783"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655"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rsidR="0002701A" w:rsidRDefault="0002701A">
            <w:pPr>
              <w:rPr>
                <w:rFonts w:ascii="Arial" w:hAnsi="Arial" w:cs="Arial"/>
                <w:color w:val="000000"/>
                <w:sz w:val="20"/>
                <w:szCs w:val="20"/>
              </w:rPr>
            </w:pPr>
          </w:p>
        </w:tc>
        <w:tc>
          <w:tcPr>
            <w:tcW w:w="76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744"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623" w:type="dxa"/>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06</w:t>
            </w:r>
            <w:r>
              <w:rPr>
                <w:rFonts w:ascii="宋体" w:hAnsi="宋体" w:cs="宋体" w:hint="eastAsia"/>
                <w:color w:val="000000"/>
                <w:kern w:val="0"/>
                <w:sz w:val="18"/>
                <w:szCs w:val="18"/>
              </w:rPr>
              <w:t>表</w:t>
            </w:r>
          </w:p>
        </w:tc>
      </w:tr>
      <w:tr w:rsidR="0002701A">
        <w:trPr>
          <w:trHeight w:val="339"/>
          <w:jc w:val="center"/>
        </w:trPr>
        <w:tc>
          <w:tcPr>
            <w:tcW w:w="4266" w:type="dxa"/>
            <w:gridSpan w:val="4"/>
            <w:tcBorders>
              <w:top w:val="nil"/>
              <w:left w:val="nil"/>
              <w:bottom w:val="nil"/>
              <w:right w:val="nil"/>
            </w:tcBorders>
            <w:noWrap/>
            <w:tcMar>
              <w:top w:w="15" w:type="dxa"/>
              <w:left w:w="15" w:type="dxa"/>
              <w:right w:w="15" w:type="dxa"/>
            </w:tcMar>
            <w:vAlign w:val="bottom"/>
          </w:tcPr>
          <w:p w:rsidR="0002701A" w:rsidRDefault="00F23D7F">
            <w:pPr>
              <w:rPr>
                <w:rFonts w:ascii="Arial" w:hAnsi="Arial" w:cs="Arial"/>
                <w:color w:val="000000"/>
                <w:sz w:val="20"/>
                <w:szCs w:val="20"/>
              </w:rPr>
            </w:pPr>
            <w:r>
              <w:rPr>
                <w:rFonts w:ascii="宋体" w:hAnsi="宋体" w:cs="宋体" w:hint="eastAsia"/>
                <w:color w:val="000000"/>
                <w:kern w:val="0"/>
                <w:sz w:val="20"/>
                <w:szCs w:val="20"/>
              </w:rPr>
              <w:t>部门：唐山高新技术产业开发区街道办事处</w:t>
            </w:r>
          </w:p>
        </w:tc>
        <w:tc>
          <w:tcPr>
            <w:tcW w:w="1599" w:type="dxa"/>
            <w:tcBorders>
              <w:top w:val="nil"/>
              <w:left w:val="nil"/>
              <w:bottom w:val="nil"/>
              <w:right w:val="nil"/>
            </w:tcBorders>
            <w:tcMar>
              <w:top w:w="15" w:type="dxa"/>
              <w:left w:w="15" w:type="dxa"/>
              <w:right w:w="15" w:type="dxa"/>
            </w:tcMar>
            <w:vAlign w:val="bottom"/>
          </w:tcPr>
          <w:p w:rsidR="0002701A" w:rsidRDefault="0002701A">
            <w:pPr>
              <w:rPr>
                <w:rFonts w:ascii="Arial" w:hAnsi="Arial" w:cs="Arial"/>
                <w:color w:val="000000"/>
                <w:sz w:val="20"/>
                <w:szCs w:val="20"/>
              </w:rPr>
            </w:pPr>
          </w:p>
        </w:tc>
        <w:tc>
          <w:tcPr>
            <w:tcW w:w="76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744"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623" w:type="dxa"/>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18"/>
                <w:szCs w:val="18"/>
              </w:rPr>
            </w:pPr>
            <w:r>
              <w:rPr>
                <w:rFonts w:ascii="宋体" w:hAnsi="宋体" w:cs="宋体" w:hint="eastAsia"/>
                <w:color w:val="000000"/>
                <w:kern w:val="0"/>
                <w:sz w:val="18"/>
                <w:szCs w:val="18"/>
              </w:rPr>
              <w:t>金额单位：万元</w:t>
            </w:r>
          </w:p>
        </w:tc>
      </w:tr>
      <w:tr w:rsidR="0002701A">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人员经费</w:t>
            </w:r>
          </w:p>
        </w:tc>
        <w:tc>
          <w:tcPr>
            <w:tcW w:w="6389" w:type="dxa"/>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公用经费</w:t>
            </w:r>
          </w:p>
        </w:tc>
      </w:tr>
      <w:tr w:rsidR="0002701A">
        <w:trPr>
          <w:trHeight w:val="362"/>
          <w:jc w:val="center"/>
        </w:trPr>
        <w:tc>
          <w:tcPr>
            <w:tcW w:w="89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kern w:val="0"/>
                <w:sz w:val="18"/>
                <w:szCs w:val="18"/>
              </w:rPr>
            </w:pPr>
            <w:r>
              <w:rPr>
                <w:rFonts w:ascii="宋体" w:hAnsi="宋体" w:cs="宋体" w:hint="eastAsia"/>
                <w:color w:val="000000"/>
                <w:kern w:val="0"/>
                <w:sz w:val="18"/>
                <w:szCs w:val="18"/>
              </w:rPr>
              <w:t>科目</w:t>
            </w:r>
          </w:p>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编码</w:t>
            </w:r>
          </w:p>
        </w:tc>
        <w:tc>
          <w:tcPr>
            <w:tcW w:w="19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科目名称</w:t>
            </w:r>
          </w:p>
        </w:tc>
        <w:tc>
          <w:tcPr>
            <w:tcW w:w="783"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决算数</w:t>
            </w:r>
          </w:p>
        </w:tc>
        <w:tc>
          <w:tcPr>
            <w:tcW w:w="655"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科目编码</w:t>
            </w:r>
          </w:p>
        </w:tc>
        <w:tc>
          <w:tcPr>
            <w:tcW w:w="1599"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科目名称</w:t>
            </w:r>
          </w:p>
        </w:tc>
        <w:tc>
          <w:tcPr>
            <w:tcW w:w="768"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决算数</w:t>
            </w:r>
          </w:p>
        </w:tc>
        <w:tc>
          <w:tcPr>
            <w:tcW w:w="744"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kern w:val="0"/>
                <w:sz w:val="18"/>
                <w:szCs w:val="18"/>
              </w:rPr>
            </w:pPr>
            <w:r>
              <w:rPr>
                <w:rFonts w:ascii="宋体" w:hAnsi="宋体" w:cs="宋体" w:hint="eastAsia"/>
                <w:color w:val="000000"/>
                <w:kern w:val="0"/>
                <w:sz w:val="18"/>
                <w:szCs w:val="18"/>
              </w:rPr>
              <w:t>科目</w:t>
            </w:r>
          </w:p>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编码</w:t>
            </w:r>
          </w:p>
        </w:tc>
        <w:tc>
          <w:tcPr>
            <w:tcW w:w="1891"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科目名称</w:t>
            </w:r>
          </w:p>
        </w:tc>
        <w:tc>
          <w:tcPr>
            <w:tcW w:w="7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18"/>
                <w:szCs w:val="18"/>
              </w:rPr>
            </w:pPr>
            <w:r>
              <w:rPr>
                <w:rFonts w:ascii="宋体" w:hAnsi="宋体" w:cs="宋体" w:hint="eastAsia"/>
                <w:color w:val="000000"/>
                <w:kern w:val="0"/>
                <w:sz w:val="18"/>
                <w:szCs w:val="18"/>
              </w:rPr>
              <w:t>决算数</w:t>
            </w:r>
          </w:p>
        </w:tc>
      </w:tr>
      <w:tr w:rsidR="0002701A">
        <w:trPr>
          <w:trHeight w:val="312"/>
          <w:jc w:val="center"/>
        </w:trPr>
        <w:tc>
          <w:tcPr>
            <w:tcW w:w="89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1932"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783"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655"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1599"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768"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744"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1891"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c>
          <w:tcPr>
            <w:tcW w:w="732"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18"/>
                <w:szCs w:val="18"/>
              </w:rPr>
            </w:pPr>
          </w:p>
        </w:tc>
      </w:tr>
      <w:tr w:rsidR="0002701A">
        <w:trPr>
          <w:trHeight w:val="90"/>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工资福利支出</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579.47</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商品和服务支出</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54.20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债务利息及费用支出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基本工资</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119.06</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办公费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5.64</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30701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国内债务付息</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30102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津贴补贴</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142.80</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印刷费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30702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国外债务付息</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奖金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1.75</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30203</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咨询费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资本性支出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30106</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伙食补助费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手续费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31001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房屋建筑物购建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30107</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绩效工资</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134.35</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水费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1.23</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31002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办公设备购置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30108</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机关事业单位基本养老保险缴费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38.61</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电费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10.77</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31003</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专用设备购置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30109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职业年金缴费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30207</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邮电费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1.36</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31005</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基础设施建设</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30110</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职工基本医疗保险缴费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35.04</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取暖费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17.00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31006</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大型修缮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30111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公务员医疗补助缴费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30209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物业管理费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信息网络及软件购置更新</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30112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其他社会保障缴费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2.86</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30211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差旅费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0.66</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31008</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物资储备</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30113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住房公积金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28.10</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30212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因公出国（境）费用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31009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土地补偿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30114</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医疗费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30213</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维修（护）费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0.75</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31010</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安置补助</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30199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其他工资福利支出</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76.90</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30214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租赁费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1.69</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31011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地上附着物和青苗补偿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对个人和家庭的补助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410.70</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30215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会议费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0.30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31012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拆迁补偿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离休费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30216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培训费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31013</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公务用车购置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退休费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公务接待费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31019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其他交通工具购置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退职（役）费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30218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专用材料费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31021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文物和陈列品购置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30304</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抚恤金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30224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被装购置费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31022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无形资产购置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30305</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生活补助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356.27</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30225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专用燃料费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31099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其他资本性支出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30306</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救济费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30226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劳务费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30307</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医疗费补助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30227</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委托业务费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39906</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赠与</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30308</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助学金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30228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工会经费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4.75</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39907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国家赔偿费用支出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30309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奖励金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0.11</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30229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福利费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39908</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对民间非营利组织和群众性自治组织补贴</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30310</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个人农业生产补贴</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30231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公务用车运行维护费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9.55</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39999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429"/>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30399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其他对个人和家庭的补助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54.33</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30239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其他交通费用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334"/>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30240</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税金及附加费用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18"/>
                <w:szCs w:val="18"/>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360"/>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18"/>
                <w:szCs w:val="18"/>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color w:val="000000"/>
                <w:kern w:val="0"/>
                <w:sz w:val="18"/>
                <w:szCs w:val="18"/>
              </w:rPr>
              <w:t>30299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spacing w:line="220" w:lineRule="exact"/>
              <w:jc w:val="left"/>
              <w:textAlignment w:val="center"/>
              <w:rPr>
                <w:rFonts w:ascii="宋体" w:cs="宋体"/>
                <w:color w:val="000000"/>
                <w:sz w:val="18"/>
                <w:szCs w:val="18"/>
              </w:rPr>
            </w:pPr>
            <w:r>
              <w:rPr>
                <w:rFonts w:ascii="宋体" w:hAnsi="宋体" w:cs="宋体" w:hint="eastAsia"/>
                <w:color w:val="000000"/>
                <w:kern w:val="0"/>
                <w:sz w:val="18"/>
                <w:szCs w:val="18"/>
              </w:rPr>
              <w:t>其他商品和服务支出</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0.51</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spacing w:line="220" w:lineRule="exact"/>
              <w:jc w:val="left"/>
              <w:rPr>
                <w:rFonts w:ascii="宋体" w:cs="宋体"/>
                <w:color w:val="000000"/>
                <w:sz w:val="18"/>
                <w:szCs w:val="18"/>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spacing w:line="180" w:lineRule="exact"/>
              <w:jc w:val="right"/>
              <w:rPr>
                <w:rFonts w:ascii="宋体" w:cs="宋体"/>
                <w:color w:val="000000"/>
                <w:sz w:val="18"/>
                <w:szCs w:val="18"/>
              </w:rPr>
            </w:pPr>
          </w:p>
        </w:tc>
      </w:tr>
      <w:tr w:rsidR="0002701A">
        <w:trPr>
          <w:trHeight w:val="317"/>
          <w:jc w:val="center"/>
        </w:trPr>
        <w:tc>
          <w:tcPr>
            <w:tcW w:w="2828"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center"/>
              <w:textAlignment w:val="center"/>
              <w:rPr>
                <w:rFonts w:ascii="宋体" w:cs="宋体"/>
                <w:color w:val="000000"/>
                <w:sz w:val="18"/>
                <w:szCs w:val="18"/>
              </w:rPr>
            </w:pPr>
            <w:r>
              <w:rPr>
                <w:rFonts w:ascii="宋体" w:hAnsi="宋体" w:cs="宋体" w:hint="eastAsia"/>
                <w:color w:val="000000"/>
                <w:kern w:val="0"/>
                <w:sz w:val="18"/>
                <w:szCs w:val="18"/>
              </w:rPr>
              <w:t>人员经费合计</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18"/>
                <w:szCs w:val="18"/>
              </w:rPr>
            </w:pPr>
            <w:r>
              <w:rPr>
                <w:rFonts w:ascii="宋体" w:hAnsi="宋体" w:cs="宋体"/>
                <w:color w:val="000000"/>
                <w:kern w:val="0"/>
                <w:sz w:val="18"/>
                <w:szCs w:val="18"/>
              </w:rPr>
              <w:t>990.18</w:t>
            </w:r>
          </w:p>
        </w:tc>
        <w:tc>
          <w:tcPr>
            <w:tcW w:w="5657"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spacing w:line="220" w:lineRule="exact"/>
              <w:jc w:val="center"/>
              <w:textAlignment w:val="center"/>
              <w:rPr>
                <w:rFonts w:ascii="宋体" w:cs="宋体"/>
                <w:color w:val="000000"/>
                <w:sz w:val="18"/>
                <w:szCs w:val="18"/>
              </w:rPr>
            </w:pPr>
            <w:r>
              <w:rPr>
                <w:rFonts w:ascii="宋体" w:hAnsi="宋体" w:cs="宋体" w:hint="eastAsia"/>
                <w:color w:val="000000"/>
                <w:kern w:val="0"/>
                <w:sz w:val="18"/>
                <w:szCs w:val="18"/>
              </w:rPr>
              <w:t>公用经费合计</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spacing w:line="180" w:lineRule="exact"/>
              <w:jc w:val="right"/>
              <w:rPr>
                <w:rFonts w:ascii="宋体" w:hAnsi="宋体" w:cs="宋体"/>
                <w:color w:val="000000"/>
                <w:sz w:val="18"/>
                <w:szCs w:val="18"/>
              </w:rPr>
            </w:pPr>
            <w:r>
              <w:rPr>
                <w:rFonts w:ascii="宋体" w:hAnsi="宋体" w:cs="宋体"/>
                <w:color w:val="000000"/>
                <w:sz w:val="18"/>
                <w:szCs w:val="18"/>
              </w:rPr>
              <w:t>54.2</w:t>
            </w:r>
          </w:p>
        </w:tc>
      </w:tr>
    </w:tbl>
    <w:p w:rsidR="0002701A" w:rsidRDefault="00F23D7F">
      <w:r>
        <w:br w:type="page"/>
      </w:r>
    </w:p>
    <w:tbl>
      <w:tblPr>
        <w:tblW w:w="9220" w:type="dxa"/>
        <w:jc w:val="center"/>
        <w:tblCellMar>
          <w:left w:w="0" w:type="dxa"/>
          <w:right w:w="0" w:type="dxa"/>
        </w:tblCellMar>
        <w:tblLook w:val="04A0"/>
      </w:tblPr>
      <w:tblGrid>
        <w:gridCol w:w="1267"/>
        <w:gridCol w:w="1686"/>
        <w:gridCol w:w="1565"/>
        <w:gridCol w:w="1565"/>
        <w:gridCol w:w="1565"/>
        <w:gridCol w:w="1572"/>
      </w:tblGrid>
      <w:tr w:rsidR="0002701A">
        <w:trPr>
          <w:trHeight w:val="638"/>
          <w:jc w:val="center"/>
        </w:trPr>
        <w:tc>
          <w:tcPr>
            <w:tcW w:w="9220" w:type="dxa"/>
            <w:gridSpan w:val="6"/>
            <w:tcBorders>
              <w:top w:val="nil"/>
              <w:left w:val="nil"/>
              <w:bottom w:val="nil"/>
              <w:right w:val="nil"/>
            </w:tcBorders>
            <w:noWrap/>
            <w:tcMar>
              <w:top w:w="15" w:type="dxa"/>
              <w:left w:w="15" w:type="dxa"/>
              <w:right w:w="15" w:type="dxa"/>
            </w:tcMar>
            <w:vAlign w:val="center"/>
          </w:tcPr>
          <w:p w:rsidR="0002701A" w:rsidRDefault="00F23D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一般公共预算财政拨款“三公”经费支出决算表</w:t>
            </w:r>
          </w:p>
        </w:tc>
      </w:tr>
      <w:tr w:rsidR="0002701A">
        <w:trPr>
          <w:trHeight w:val="360"/>
          <w:jc w:val="center"/>
        </w:trPr>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02701A">
        <w:trPr>
          <w:trHeight w:val="360"/>
          <w:jc w:val="center"/>
        </w:trPr>
        <w:tc>
          <w:tcPr>
            <w:tcW w:w="4518" w:type="dxa"/>
            <w:gridSpan w:val="3"/>
            <w:tcBorders>
              <w:top w:val="nil"/>
              <w:left w:val="nil"/>
              <w:bottom w:val="nil"/>
              <w:right w:val="nil"/>
            </w:tcBorders>
            <w:noWrap/>
            <w:tcMar>
              <w:top w:w="15" w:type="dxa"/>
              <w:left w:w="15" w:type="dxa"/>
              <w:right w:w="15" w:type="dxa"/>
            </w:tcMar>
            <w:vAlign w:val="bottom"/>
          </w:tcPr>
          <w:p w:rsidR="0002701A" w:rsidRDefault="00F23D7F">
            <w:pPr>
              <w:rPr>
                <w:rFonts w:ascii="Arial" w:hAnsi="Arial" w:cs="Arial"/>
                <w:color w:val="000000"/>
                <w:sz w:val="20"/>
                <w:szCs w:val="20"/>
              </w:rPr>
            </w:pPr>
            <w:r>
              <w:rPr>
                <w:rFonts w:ascii="宋体" w:hAnsi="宋体" w:cs="宋体" w:hint="eastAsia"/>
                <w:color w:val="000000"/>
                <w:kern w:val="0"/>
                <w:sz w:val="20"/>
                <w:szCs w:val="20"/>
              </w:rPr>
              <w:t>部门：唐山高新技术产业开发区街道办事处</w:t>
            </w: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2701A">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预算数</w:t>
            </w:r>
          </w:p>
        </w:tc>
      </w:tr>
      <w:tr w:rsidR="0002701A">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公务接待费</w:t>
            </w:r>
          </w:p>
        </w:tc>
      </w:tr>
      <w:tr w:rsidR="0002701A">
        <w:trPr>
          <w:trHeight w:val="417"/>
          <w:jc w:val="center"/>
        </w:trPr>
        <w:tc>
          <w:tcPr>
            <w:tcW w:w="1267" w:type="dxa"/>
            <w:vMerge/>
            <w:tcBorders>
              <w:top w:val="nil"/>
              <w:left w:val="single" w:sz="4" w:space="0" w:color="auto"/>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686"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417"/>
          <w:jc w:val="center"/>
        </w:trPr>
        <w:tc>
          <w:tcPr>
            <w:tcW w:w="1267" w:type="dxa"/>
            <w:tcBorders>
              <w:top w:val="nil"/>
              <w:left w:val="single" w:sz="4" w:space="0" w:color="auto"/>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w:t>
            </w:r>
          </w:p>
        </w:tc>
        <w:tc>
          <w:tcPr>
            <w:tcW w:w="1686"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w:t>
            </w:r>
          </w:p>
        </w:tc>
        <w:tc>
          <w:tcPr>
            <w:tcW w:w="1572" w:type="dxa"/>
            <w:tcBorders>
              <w:top w:val="nil"/>
              <w:left w:val="nil"/>
              <w:bottom w:val="single" w:sz="4" w:space="0" w:color="000000"/>
              <w:right w:val="single" w:sz="4" w:space="0" w:color="auto"/>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6</w:t>
            </w:r>
          </w:p>
        </w:tc>
      </w:tr>
      <w:tr w:rsidR="0002701A">
        <w:trPr>
          <w:trHeight w:val="417"/>
          <w:jc w:val="center"/>
        </w:trPr>
        <w:tc>
          <w:tcPr>
            <w:tcW w:w="1267" w:type="dxa"/>
            <w:tcBorders>
              <w:top w:val="nil"/>
              <w:left w:val="single" w:sz="4" w:space="0" w:color="auto"/>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15.50</w:t>
            </w:r>
          </w:p>
        </w:tc>
        <w:tc>
          <w:tcPr>
            <w:tcW w:w="1686"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56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13.50</w:t>
            </w:r>
          </w:p>
        </w:tc>
        <w:tc>
          <w:tcPr>
            <w:tcW w:w="156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565"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13.50</w:t>
            </w:r>
          </w:p>
        </w:tc>
        <w:tc>
          <w:tcPr>
            <w:tcW w:w="1572" w:type="dxa"/>
            <w:tcBorders>
              <w:top w:val="nil"/>
              <w:left w:val="nil"/>
              <w:bottom w:val="single" w:sz="4" w:space="0" w:color="000000"/>
              <w:right w:val="single" w:sz="4" w:space="0" w:color="auto"/>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2.00</w:t>
            </w:r>
          </w:p>
        </w:tc>
      </w:tr>
      <w:tr w:rsidR="0002701A">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决算数</w:t>
            </w:r>
          </w:p>
        </w:tc>
      </w:tr>
      <w:tr w:rsidR="0002701A">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公务接待费</w:t>
            </w:r>
          </w:p>
        </w:tc>
      </w:tr>
      <w:tr w:rsidR="0002701A">
        <w:trPr>
          <w:trHeight w:val="417"/>
          <w:jc w:val="center"/>
        </w:trPr>
        <w:tc>
          <w:tcPr>
            <w:tcW w:w="1267" w:type="dxa"/>
            <w:vMerge/>
            <w:tcBorders>
              <w:top w:val="nil"/>
              <w:left w:val="single" w:sz="4" w:space="0" w:color="auto"/>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686"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417"/>
          <w:jc w:val="center"/>
        </w:trPr>
        <w:tc>
          <w:tcPr>
            <w:tcW w:w="1267" w:type="dxa"/>
            <w:tcBorders>
              <w:top w:val="nil"/>
              <w:left w:val="single" w:sz="4" w:space="0" w:color="auto"/>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7</w:t>
            </w:r>
          </w:p>
        </w:tc>
        <w:tc>
          <w:tcPr>
            <w:tcW w:w="1686"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8</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9</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10</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11</w:t>
            </w:r>
          </w:p>
        </w:tc>
        <w:tc>
          <w:tcPr>
            <w:tcW w:w="1572" w:type="dxa"/>
            <w:tcBorders>
              <w:top w:val="nil"/>
              <w:left w:val="nil"/>
              <w:bottom w:val="single" w:sz="4" w:space="0" w:color="000000"/>
              <w:right w:val="single" w:sz="4" w:space="0" w:color="auto"/>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12</w:t>
            </w:r>
          </w:p>
        </w:tc>
      </w:tr>
      <w:tr w:rsidR="0002701A">
        <w:trPr>
          <w:trHeight w:val="447"/>
          <w:jc w:val="center"/>
        </w:trPr>
        <w:tc>
          <w:tcPr>
            <w:tcW w:w="1267" w:type="dxa"/>
            <w:tcBorders>
              <w:top w:val="nil"/>
              <w:left w:val="single" w:sz="4" w:space="0" w:color="auto"/>
              <w:bottom w:val="single" w:sz="4" w:space="0" w:color="auto"/>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9.55</w:t>
            </w:r>
          </w:p>
        </w:tc>
        <w:tc>
          <w:tcPr>
            <w:tcW w:w="1686" w:type="dxa"/>
            <w:tcBorders>
              <w:top w:val="nil"/>
              <w:left w:val="nil"/>
              <w:bottom w:val="single" w:sz="4" w:space="0" w:color="auto"/>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565" w:type="dxa"/>
            <w:tcBorders>
              <w:top w:val="nil"/>
              <w:left w:val="nil"/>
              <w:bottom w:val="single" w:sz="4" w:space="0" w:color="auto"/>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9.55</w:t>
            </w:r>
          </w:p>
        </w:tc>
        <w:tc>
          <w:tcPr>
            <w:tcW w:w="1565" w:type="dxa"/>
            <w:tcBorders>
              <w:top w:val="nil"/>
              <w:left w:val="nil"/>
              <w:bottom w:val="single" w:sz="4" w:space="0" w:color="auto"/>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565" w:type="dxa"/>
            <w:tcBorders>
              <w:top w:val="nil"/>
              <w:left w:val="nil"/>
              <w:bottom w:val="single" w:sz="4" w:space="0" w:color="auto"/>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9.55</w:t>
            </w:r>
          </w:p>
        </w:tc>
        <w:tc>
          <w:tcPr>
            <w:tcW w:w="1572" w:type="dxa"/>
            <w:tcBorders>
              <w:top w:val="nil"/>
              <w:left w:val="nil"/>
              <w:bottom w:val="single" w:sz="4" w:space="0" w:color="auto"/>
              <w:right w:val="single" w:sz="4" w:space="0" w:color="auto"/>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r>
    </w:tbl>
    <w:p w:rsidR="0002701A" w:rsidRDefault="00F23D7F">
      <w:r>
        <w:rPr>
          <w:rFonts w:ascii="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rPr>
        <w:tab/>
      </w:r>
      <w:r>
        <w:tab/>
      </w:r>
      <w:r>
        <w:tab/>
      </w:r>
      <w:r>
        <w:tab/>
      </w:r>
      <w:r>
        <w:tab/>
      </w:r>
      <w:r>
        <w:tab/>
      </w:r>
      <w:r>
        <w:tab/>
      </w:r>
      <w:r>
        <w:tab/>
      </w:r>
      <w:r>
        <w:tab/>
      </w:r>
      <w:r>
        <w:tab/>
      </w:r>
      <w:r>
        <w:tab/>
      </w:r>
      <w:r>
        <w:br w:type="page"/>
      </w:r>
    </w:p>
    <w:tbl>
      <w:tblPr>
        <w:tblW w:w="10312" w:type="dxa"/>
        <w:jc w:val="center"/>
        <w:tblCellMar>
          <w:left w:w="0" w:type="dxa"/>
          <w:right w:w="0" w:type="dxa"/>
        </w:tblCellMar>
        <w:tblLook w:val="04A0"/>
      </w:tblPr>
      <w:tblGrid>
        <w:gridCol w:w="838"/>
        <w:gridCol w:w="240"/>
        <w:gridCol w:w="58"/>
        <w:gridCol w:w="1614"/>
        <w:gridCol w:w="1367"/>
        <w:gridCol w:w="1367"/>
        <w:gridCol w:w="1367"/>
        <w:gridCol w:w="1367"/>
        <w:gridCol w:w="1367"/>
        <w:gridCol w:w="727"/>
      </w:tblGrid>
      <w:tr w:rsidR="0002701A">
        <w:trPr>
          <w:trHeight w:val="780"/>
          <w:jc w:val="center"/>
        </w:trPr>
        <w:tc>
          <w:tcPr>
            <w:tcW w:w="10312" w:type="dxa"/>
            <w:gridSpan w:val="10"/>
            <w:tcBorders>
              <w:top w:val="nil"/>
              <w:left w:val="nil"/>
              <w:bottom w:val="nil"/>
              <w:right w:val="nil"/>
            </w:tcBorders>
            <w:noWrap/>
            <w:tcMar>
              <w:top w:w="15" w:type="dxa"/>
              <w:left w:w="15" w:type="dxa"/>
              <w:right w:w="15" w:type="dxa"/>
            </w:tcMar>
            <w:vAlign w:val="center"/>
          </w:tcPr>
          <w:p w:rsidR="0002701A" w:rsidRDefault="00F23D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02701A">
        <w:trPr>
          <w:trHeight w:val="255"/>
          <w:jc w:val="center"/>
        </w:trPr>
        <w:tc>
          <w:tcPr>
            <w:tcW w:w="838"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02701A">
        <w:trPr>
          <w:trHeight w:val="255"/>
          <w:jc w:val="center"/>
        </w:trPr>
        <w:tc>
          <w:tcPr>
            <w:tcW w:w="5484" w:type="dxa"/>
            <w:gridSpan w:val="6"/>
            <w:tcBorders>
              <w:top w:val="nil"/>
              <w:left w:val="nil"/>
              <w:bottom w:val="nil"/>
              <w:right w:val="nil"/>
            </w:tcBorders>
            <w:noWrap/>
            <w:tcMar>
              <w:top w:w="15" w:type="dxa"/>
              <w:left w:w="15" w:type="dxa"/>
              <w:right w:w="15" w:type="dxa"/>
            </w:tcMar>
            <w:vAlign w:val="bottom"/>
          </w:tcPr>
          <w:p w:rsidR="0002701A" w:rsidRDefault="00F23D7F">
            <w:pPr>
              <w:rPr>
                <w:rFonts w:ascii="Arial" w:hAnsi="Arial" w:cs="Arial"/>
                <w:color w:val="000000"/>
                <w:sz w:val="20"/>
                <w:szCs w:val="20"/>
              </w:rPr>
            </w:pPr>
            <w:r>
              <w:rPr>
                <w:rFonts w:ascii="宋体" w:hAnsi="宋体" w:cs="宋体" w:hint="eastAsia"/>
                <w:color w:val="000000"/>
                <w:kern w:val="0"/>
                <w:sz w:val="20"/>
                <w:szCs w:val="20"/>
              </w:rPr>
              <w:t>部门：唐山高新技术产业开发区街道办事处</w:t>
            </w: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2701A">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1367"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1367"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4101"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727"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02701A">
        <w:trPr>
          <w:trHeight w:val="312"/>
          <w:jc w:val="center"/>
        </w:trPr>
        <w:tc>
          <w:tcPr>
            <w:tcW w:w="1136"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36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小计</w:t>
            </w:r>
          </w:p>
        </w:tc>
        <w:tc>
          <w:tcPr>
            <w:tcW w:w="1367"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367" w:type="dxa"/>
            <w:vMerge w:val="restart"/>
            <w:tcBorders>
              <w:top w:val="nil"/>
              <w:left w:val="nil"/>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2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12"/>
          <w:jc w:val="center"/>
        </w:trPr>
        <w:tc>
          <w:tcPr>
            <w:tcW w:w="113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2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12"/>
          <w:jc w:val="center"/>
        </w:trPr>
        <w:tc>
          <w:tcPr>
            <w:tcW w:w="113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1367" w:type="dxa"/>
            <w:vMerge/>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c>
          <w:tcPr>
            <w:tcW w:w="727"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02701A" w:rsidRDefault="0002701A">
            <w:pPr>
              <w:jc w:val="center"/>
              <w:rPr>
                <w:rFonts w:ascii="宋体" w:cs="宋体"/>
                <w:color w:val="000000"/>
                <w:sz w:val="22"/>
              </w:rPr>
            </w:pPr>
          </w:p>
        </w:tc>
      </w:tr>
      <w:tr w:rsidR="0002701A">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6</w:t>
            </w:r>
          </w:p>
        </w:tc>
      </w:tr>
      <w:tr w:rsidR="0002701A">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26.14</w:t>
            </w: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1,703.15</w:t>
            </w: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1,729.29</w:t>
            </w: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b/>
                <w:color w:val="000000"/>
                <w:sz w:val="22"/>
              </w:rPr>
            </w:pP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b/>
                <w:color w:val="000000"/>
                <w:sz w:val="22"/>
              </w:rPr>
            </w:pPr>
            <w:r>
              <w:rPr>
                <w:rFonts w:ascii="宋体" w:hAnsi="宋体" w:cs="宋体"/>
                <w:b/>
                <w:color w:val="000000"/>
                <w:kern w:val="0"/>
                <w:sz w:val="22"/>
              </w:rPr>
              <w:t>1,729.29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r>
      <w:tr w:rsidR="0002701A">
        <w:trPr>
          <w:trHeight w:val="557"/>
          <w:jc w:val="center"/>
        </w:trPr>
        <w:tc>
          <w:tcPr>
            <w:tcW w:w="113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color w:val="000000"/>
                <w:kern w:val="0"/>
                <w:sz w:val="22"/>
              </w:rPr>
              <w:t>2120801</w:t>
            </w:r>
          </w:p>
        </w:tc>
        <w:tc>
          <w:tcPr>
            <w:tcW w:w="1614"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left"/>
              <w:textAlignment w:val="center"/>
              <w:rPr>
                <w:rFonts w:ascii="宋体" w:cs="宋体"/>
                <w:color w:val="000000"/>
                <w:sz w:val="22"/>
              </w:rPr>
            </w:pPr>
            <w:r>
              <w:rPr>
                <w:rFonts w:ascii="宋体" w:hAnsi="宋体" w:cs="宋体" w:hint="eastAsia"/>
                <w:color w:val="000000"/>
                <w:kern w:val="0"/>
                <w:sz w:val="22"/>
              </w:rPr>
              <w:t>征地和拆迁补偿支出</w:t>
            </w: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26.14</w:t>
            </w: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1,703.15</w:t>
            </w: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1,729.29</w:t>
            </w: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widowControl/>
              <w:jc w:val="right"/>
              <w:textAlignment w:val="center"/>
              <w:rPr>
                <w:rFonts w:ascii="宋体" w:cs="宋体"/>
                <w:color w:val="000000"/>
                <w:sz w:val="22"/>
              </w:rPr>
            </w:pPr>
          </w:p>
        </w:tc>
        <w:tc>
          <w:tcPr>
            <w:tcW w:w="1367" w:type="dxa"/>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right"/>
              <w:textAlignment w:val="center"/>
              <w:rPr>
                <w:rFonts w:ascii="宋体" w:cs="宋体"/>
                <w:color w:val="000000"/>
                <w:sz w:val="22"/>
              </w:rPr>
            </w:pPr>
            <w:r>
              <w:rPr>
                <w:rFonts w:ascii="宋体" w:hAnsi="宋体" w:cs="宋体"/>
                <w:color w:val="000000"/>
                <w:kern w:val="0"/>
                <w:sz w:val="22"/>
              </w:rPr>
              <w:t>1,729.29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bl>
    <w:p w:rsidR="0002701A" w:rsidRDefault="00F23D7F">
      <w:r>
        <w:br w:type="page"/>
      </w:r>
    </w:p>
    <w:tbl>
      <w:tblPr>
        <w:tblW w:w="9915" w:type="dxa"/>
        <w:jc w:val="center"/>
        <w:tblCellMar>
          <w:left w:w="0" w:type="dxa"/>
          <w:right w:w="0" w:type="dxa"/>
        </w:tblCellMar>
        <w:tblLook w:val="04A0"/>
      </w:tblPr>
      <w:tblGrid>
        <w:gridCol w:w="4718"/>
        <w:gridCol w:w="44"/>
        <w:gridCol w:w="44"/>
        <w:gridCol w:w="2288"/>
        <w:gridCol w:w="579"/>
        <w:gridCol w:w="1121"/>
        <w:gridCol w:w="1121"/>
      </w:tblGrid>
      <w:tr w:rsidR="0002701A">
        <w:trPr>
          <w:trHeight w:val="840"/>
          <w:jc w:val="center"/>
        </w:trPr>
        <w:tc>
          <w:tcPr>
            <w:tcW w:w="9915" w:type="dxa"/>
            <w:gridSpan w:val="7"/>
            <w:tcBorders>
              <w:top w:val="nil"/>
              <w:left w:val="nil"/>
              <w:bottom w:val="nil"/>
              <w:right w:val="nil"/>
            </w:tcBorders>
            <w:noWrap/>
            <w:tcMar>
              <w:top w:w="15" w:type="dxa"/>
              <w:left w:w="15" w:type="dxa"/>
              <w:right w:w="15" w:type="dxa"/>
            </w:tcMar>
            <w:vAlign w:val="center"/>
          </w:tcPr>
          <w:p w:rsidR="0002701A" w:rsidRDefault="00F23D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国有资本经营预算财政拨款支出决算表</w:t>
            </w:r>
          </w:p>
        </w:tc>
      </w:tr>
      <w:tr w:rsidR="0002701A">
        <w:trPr>
          <w:trHeight w:val="255"/>
          <w:jc w:val="center"/>
        </w:trPr>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09</w:t>
            </w:r>
            <w:r>
              <w:rPr>
                <w:rFonts w:ascii="宋体" w:hAnsi="宋体" w:cs="宋体" w:hint="eastAsia"/>
                <w:color w:val="000000"/>
                <w:kern w:val="0"/>
                <w:sz w:val="20"/>
                <w:szCs w:val="20"/>
              </w:rPr>
              <w:t>表</w:t>
            </w:r>
          </w:p>
        </w:tc>
      </w:tr>
      <w:tr w:rsidR="0002701A">
        <w:trPr>
          <w:trHeight w:val="255"/>
          <w:jc w:val="center"/>
        </w:trPr>
        <w:tc>
          <w:tcPr>
            <w:tcW w:w="0" w:type="auto"/>
            <w:tcBorders>
              <w:top w:val="nil"/>
              <w:left w:val="nil"/>
              <w:bottom w:val="nil"/>
              <w:right w:val="nil"/>
            </w:tcBorders>
            <w:noWrap/>
            <w:tcMar>
              <w:top w:w="15" w:type="dxa"/>
              <w:left w:w="15" w:type="dxa"/>
              <w:right w:w="15" w:type="dxa"/>
            </w:tcMar>
            <w:vAlign w:val="bottom"/>
          </w:tcPr>
          <w:p w:rsidR="0002701A" w:rsidRDefault="00F23D7F">
            <w:pPr>
              <w:widowControl/>
              <w:jc w:val="left"/>
              <w:textAlignment w:val="bottom"/>
              <w:rPr>
                <w:rFonts w:ascii="宋体" w:cs="宋体"/>
                <w:color w:val="000000"/>
                <w:sz w:val="20"/>
                <w:szCs w:val="20"/>
              </w:rPr>
            </w:pPr>
            <w:r>
              <w:rPr>
                <w:rFonts w:ascii="宋体" w:hAnsi="宋体" w:cs="宋体" w:hint="eastAsia"/>
                <w:color w:val="000000"/>
                <w:kern w:val="0"/>
                <w:sz w:val="20"/>
                <w:szCs w:val="20"/>
              </w:rPr>
              <w:t>部门：唐山高新技术产业开发区街道办事处</w:t>
            </w: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02701A" w:rsidRDefault="0002701A">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02701A" w:rsidRDefault="00F23D7F">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金额单位：万元</w:t>
            </w:r>
          </w:p>
        </w:tc>
      </w:tr>
      <w:tr w:rsidR="0002701A">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本年支出</w:t>
            </w:r>
          </w:p>
        </w:tc>
      </w:tr>
      <w:tr w:rsidR="0002701A">
        <w:trPr>
          <w:trHeight w:val="615"/>
          <w:jc w:val="center"/>
        </w:trPr>
        <w:tc>
          <w:tcPr>
            <w:tcW w:w="171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小计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项目支出</w:t>
            </w:r>
          </w:p>
        </w:tc>
      </w:tr>
      <w:tr w:rsidR="0002701A">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color w:val="000000"/>
                <w:kern w:val="0"/>
                <w:sz w:val="22"/>
              </w:rPr>
              <w:t>3</w:t>
            </w:r>
          </w:p>
        </w:tc>
      </w:tr>
      <w:tr w:rsidR="0002701A">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F23D7F">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b/>
                <w:color w:val="000000"/>
                <w:sz w:val="22"/>
              </w:rPr>
            </w:pPr>
          </w:p>
        </w:tc>
      </w:tr>
      <w:tr w:rsidR="0002701A">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lef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lef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lef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lef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r w:rsidR="0002701A">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02701A" w:rsidRDefault="0002701A">
            <w:pPr>
              <w:jc w:val="left"/>
              <w:rPr>
                <w:rFonts w:ascii="宋体" w:cs="宋体"/>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02701A" w:rsidRDefault="0002701A">
            <w:pPr>
              <w:jc w:val="lef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02701A" w:rsidRDefault="0002701A">
            <w:pPr>
              <w:jc w:val="right"/>
              <w:rPr>
                <w:rFonts w:ascii="宋体" w:cs="宋体"/>
                <w:color w:val="000000"/>
                <w:sz w:val="22"/>
              </w:rPr>
            </w:pPr>
          </w:p>
        </w:tc>
      </w:tr>
    </w:tbl>
    <w:p w:rsidR="0002701A" w:rsidRDefault="00F23D7F">
      <w:r>
        <w:rPr>
          <w:rFonts w:ascii="黑体" w:eastAsia="黑体" w:hAnsi="黑体" w:cs="黑体" w:hint="eastAsia"/>
          <w:sz w:val="24"/>
          <w:szCs w:val="24"/>
        </w:rPr>
        <w:t>注：</w:t>
      </w:r>
      <w:r>
        <w:rPr>
          <w:rFonts w:ascii="楷体" w:eastAsia="楷体" w:hAnsi="楷体" w:cs="楷体" w:hint="eastAsia"/>
          <w:sz w:val="24"/>
          <w:szCs w:val="24"/>
        </w:rPr>
        <w:t>本部门本年度无相关支出情况，按要求空表列示。</w:t>
      </w:r>
      <w:r>
        <w:br w:type="page"/>
      </w:r>
    </w:p>
    <w:p w:rsidR="0002701A" w:rsidRDefault="001A202F">
      <w:r>
        <w:lastRenderedPageBreak/>
        <w:pict>
          <v:rect id="_x0000_s1048" style="position:absolute;left:0;text-align:left;margin-left:-70.5pt;margin-top:-85.25pt;width:595.1pt;height:841.15pt;z-index:251661824;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gm8tf3QAAAA8BAAAPAAAAAAAA&#10;AAEAIAAAACIAAABkcnMvZG93bnJldi54bWxQSwECFAAUAAAACACHTuJAVzmx2H8CAADoBAAADgAA&#10;AAAAAAABACAAAAAsAQAAZHJzL2Uyb0RvYy54bWxQSwUGAAAAAAYABgBZAQAAHQYAAAAA&#10;" fillcolor="#ffc000" stroked="f" strokeweight="1pt"/>
        </w:pict>
      </w:r>
    </w:p>
    <w:sectPr w:rsidR="0002701A" w:rsidSect="0002701A">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A83" w:rsidRDefault="00584A83" w:rsidP="0002701A">
      <w:r>
        <w:separator/>
      </w:r>
    </w:p>
  </w:endnote>
  <w:endnote w:type="continuationSeparator" w:id="1">
    <w:p w:rsidR="00584A83" w:rsidRDefault="00584A83" w:rsidP="00027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charset w:val="00"/>
    <w:family w:val="auto"/>
    <w:pitch w:val="default"/>
    <w:sig w:usb0="00000000" w:usb1="00000000" w:usb2="00000000" w:usb3="00000000" w:csb0="00000001" w:csb1="00000000"/>
  </w:font>
  <w:font w:name="Yu Gothic UI Semibold">
    <w:altName w:val="Meiryo UI"/>
    <w:charset w:val="80"/>
    <w:family w:val="swiss"/>
    <w:pitch w:val="default"/>
    <w:sig w:usb0="00000000" w:usb1="00000000" w:usb2="00000016" w:usb3="00000000" w:csb0="2002009F" w:csb1="00000000"/>
  </w:font>
  <w:font w:name="楷体_GB2312">
    <w:panose1 w:val="02010609030101010101"/>
    <w:charset w:val="86"/>
    <w:family w:val="modern"/>
    <w:pitch w:val="fixed"/>
    <w:sig w:usb0="00000001" w:usb1="080E0000" w:usb2="00000010" w:usb3="00000000" w:csb0="00040000" w:csb1="00000000"/>
  </w:font>
  <w:font w:name="思源黑体 HW Bold">
    <w:altName w:val="黑体"/>
    <w:charset w:val="86"/>
    <w:family w:val="swiss"/>
    <w:pitch w:val="default"/>
    <w:sig w:usb0="00000000" w:usb1="00000000" w:usb2="00000016" w:usb3="00000000" w:csb0="002E0107" w:csb1="00000000"/>
  </w:font>
  <w:font w:name="黑体">
    <w:altName w:val="SimHei"/>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37" w:rsidRDefault="003A4B37">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37" w:rsidRDefault="003A4B37">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37" w:rsidRDefault="003A4B37">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A83" w:rsidRDefault="00584A83" w:rsidP="0002701A">
      <w:r>
        <w:separator/>
      </w:r>
    </w:p>
  </w:footnote>
  <w:footnote w:type="continuationSeparator" w:id="1">
    <w:p w:rsidR="00584A83" w:rsidRDefault="00584A83" w:rsidP="00027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Bdr>
        <w:top w:val="none" w:sz="0" w:space="0" w:color="auto"/>
        <w:left w:val="none" w:sz="0" w:space="0" w:color="auto"/>
        <w:bottom w:val="none" w:sz="0" w:space="0" w:color="auto"/>
        <w:right w:val="none" w:sz="0" w:space="0"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Bdr>
        <w:top w:val="none" w:sz="0" w:space="0" w:color="auto"/>
        <w:left w:val="none" w:sz="0" w:space="0" w:color="auto"/>
        <w:bottom w:val="none" w:sz="0" w:space="0" w:color="auto"/>
        <w:right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37" w:rsidRDefault="003A4B37">
    <w:pPr>
      <w:pStyle w:val="a5"/>
      <w:pBdr>
        <w:top w:val="none" w:sz="0" w:space="0" w:color="auto"/>
        <w:left w:val="none" w:sz="0" w:space="0" w:color="auto"/>
        <w:bottom w:val="none" w:sz="0" w:space="0" w:color="auto"/>
        <w:right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37" w:rsidRDefault="003A4B37">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37" w:rsidRDefault="003A4B37">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7F" w:rsidRDefault="00F23D7F">
    <w:pPr>
      <w:pStyle w:val="a5"/>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cs="Times New Roman" w:hint="eastAsia"/>
      </w:rPr>
    </w:lvl>
  </w:abstractNum>
  <w:abstractNum w:abstractNumId="1">
    <w:nsid w:val="59950409"/>
    <w:multiLevelType w:val="singleLevel"/>
    <w:tmpl w:val="59950409"/>
    <w:lvl w:ilvl="0">
      <w:start w:val="1"/>
      <w:numFmt w:val="decimal"/>
      <w:suff w:val="space"/>
      <w:lvlText w:val="%1."/>
      <w:lvlJc w:val="left"/>
      <w:rPr>
        <w:rFonts w:cs="Times New Roman"/>
      </w:rPr>
    </w:lvl>
  </w:abstractNum>
  <w:abstractNum w:abstractNumId="2">
    <w:nsid w:val="5F222FFA"/>
    <w:multiLevelType w:val="singleLevel"/>
    <w:tmpl w:val="5F222FFA"/>
    <w:lvl w:ilvl="0">
      <w:start w:val="1"/>
      <w:numFmt w:val="decimal"/>
      <w:suff w:val="nothing"/>
      <w:lvlText w:val="（%1）"/>
      <w:lvlJc w:val="left"/>
      <w:rPr>
        <w:rFonts w:cs="Times New Roman"/>
      </w:rPr>
    </w:lvl>
  </w:abstractNum>
  <w:abstractNum w:abstractNumId="3">
    <w:nsid w:val="78C1413D"/>
    <w:multiLevelType w:val="singleLevel"/>
    <w:tmpl w:val="78C1413D"/>
    <w:lvl w:ilvl="0">
      <w:start w:val="1"/>
      <w:numFmt w:val="decimal"/>
      <w:suff w:val="space"/>
      <w:lvlText w:val="%1."/>
      <w:lvlJc w:val="left"/>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8"/>
  <w:noPunctuationKerning/>
  <w:characterSpacingControl w:val="compressPunctuation"/>
  <w:noLineBreaksAfter w:lang="zh-CN" w:val="$([{£¥·‘“〈《「『【〔〖〝﹙﹛﹝＄（．［｛￡￥"/>
  <w:noLineBreaksBefore w:lang="zh-CN" w:val="!%),.:;&gt;?]}¢¨°·ˇˉ―‖’”…‰′″›℃∶、。〃〉》」』】〕〗〞︶︺︾﹀﹄﹚﹜﹞！＂％＇），．：；？］｀｜｝～￠"/>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
  <w:rsids>
    <w:rsidRoot w:val="00172A27"/>
    <w:rsid w:val="00007965"/>
    <w:rsid w:val="0002701A"/>
    <w:rsid w:val="0007063E"/>
    <w:rsid w:val="00073392"/>
    <w:rsid w:val="00073F4E"/>
    <w:rsid w:val="00086C89"/>
    <w:rsid w:val="000A39FB"/>
    <w:rsid w:val="000E2D9A"/>
    <w:rsid w:val="00117746"/>
    <w:rsid w:val="00130AF1"/>
    <w:rsid w:val="00163F95"/>
    <w:rsid w:val="00172A27"/>
    <w:rsid w:val="00180A9A"/>
    <w:rsid w:val="001829C0"/>
    <w:rsid w:val="00184809"/>
    <w:rsid w:val="00192112"/>
    <w:rsid w:val="001A202F"/>
    <w:rsid w:val="001B0127"/>
    <w:rsid w:val="001C0DFE"/>
    <w:rsid w:val="001C12D5"/>
    <w:rsid w:val="001C69F7"/>
    <w:rsid w:val="001F39C8"/>
    <w:rsid w:val="002233DF"/>
    <w:rsid w:val="002422E4"/>
    <w:rsid w:val="00263164"/>
    <w:rsid w:val="002636E7"/>
    <w:rsid w:val="002650EC"/>
    <w:rsid w:val="002A6C46"/>
    <w:rsid w:val="002B613C"/>
    <w:rsid w:val="002C19B5"/>
    <w:rsid w:val="0033192C"/>
    <w:rsid w:val="003905FA"/>
    <w:rsid w:val="003A4B37"/>
    <w:rsid w:val="003A4EE8"/>
    <w:rsid w:val="00434EB4"/>
    <w:rsid w:val="00442CC2"/>
    <w:rsid w:val="00446244"/>
    <w:rsid w:val="00473C20"/>
    <w:rsid w:val="00490C7A"/>
    <w:rsid w:val="004D61CB"/>
    <w:rsid w:val="005011D6"/>
    <w:rsid w:val="00503F2E"/>
    <w:rsid w:val="0055095E"/>
    <w:rsid w:val="00552226"/>
    <w:rsid w:val="00552C03"/>
    <w:rsid w:val="00566120"/>
    <w:rsid w:val="00582E6D"/>
    <w:rsid w:val="00584A83"/>
    <w:rsid w:val="005954D5"/>
    <w:rsid w:val="005A53FA"/>
    <w:rsid w:val="005C3266"/>
    <w:rsid w:val="005C771F"/>
    <w:rsid w:val="005D1293"/>
    <w:rsid w:val="005F3564"/>
    <w:rsid w:val="00611467"/>
    <w:rsid w:val="00644D5F"/>
    <w:rsid w:val="006727AD"/>
    <w:rsid w:val="00691425"/>
    <w:rsid w:val="006A516E"/>
    <w:rsid w:val="006B0830"/>
    <w:rsid w:val="00716E2B"/>
    <w:rsid w:val="00770F18"/>
    <w:rsid w:val="00773B74"/>
    <w:rsid w:val="00777778"/>
    <w:rsid w:val="0078290C"/>
    <w:rsid w:val="007A09F2"/>
    <w:rsid w:val="007C06CA"/>
    <w:rsid w:val="007C6C8E"/>
    <w:rsid w:val="008163FB"/>
    <w:rsid w:val="0082605B"/>
    <w:rsid w:val="00855C36"/>
    <w:rsid w:val="00857DBE"/>
    <w:rsid w:val="008652C8"/>
    <w:rsid w:val="008701BC"/>
    <w:rsid w:val="00883D92"/>
    <w:rsid w:val="00893176"/>
    <w:rsid w:val="008A5362"/>
    <w:rsid w:val="008F21F1"/>
    <w:rsid w:val="008F221B"/>
    <w:rsid w:val="008F5A2D"/>
    <w:rsid w:val="00921602"/>
    <w:rsid w:val="00927DAA"/>
    <w:rsid w:val="00957EA1"/>
    <w:rsid w:val="00966E5B"/>
    <w:rsid w:val="009B4EF0"/>
    <w:rsid w:val="009D271F"/>
    <w:rsid w:val="00A24783"/>
    <w:rsid w:val="00A929C2"/>
    <w:rsid w:val="00AD097F"/>
    <w:rsid w:val="00B844F4"/>
    <w:rsid w:val="00BA06A1"/>
    <w:rsid w:val="00BA770A"/>
    <w:rsid w:val="00C054DE"/>
    <w:rsid w:val="00C34A03"/>
    <w:rsid w:val="00C46CA5"/>
    <w:rsid w:val="00C679A9"/>
    <w:rsid w:val="00C71794"/>
    <w:rsid w:val="00C7541C"/>
    <w:rsid w:val="00CC0FAA"/>
    <w:rsid w:val="00CC257B"/>
    <w:rsid w:val="00CD0736"/>
    <w:rsid w:val="00D1533A"/>
    <w:rsid w:val="00D1570F"/>
    <w:rsid w:val="00D32830"/>
    <w:rsid w:val="00D46E47"/>
    <w:rsid w:val="00DB7153"/>
    <w:rsid w:val="00DB7F05"/>
    <w:rsid w:val="00DF7506"/>
    <w:rsid w:val="00E028C3"/>
    <w:rsid w:val="00E14F77"/>
    <w:rsid w:val="00E3076B"/>
    <w:rsid w:val="00E36978"/>
    <w:rsid w:val="00E45212"/>
    <w:rsid w:val="00E82A1E"/>
    <w:rsid w:val="00EB52BA"/>
    <w:rsid w:val="00EC06F4"/>
    <w:rsid w:val="00EE4E36"/>
    <w:rsid w:val="00F23D7F"/>
    <w:rsid w:val="00F44C48"/>
    <w:rsid w:val="00F665F4"/>
    <w:rsid w:val="00F74313"/>
    <w:rsid w:val="00F831BF"/>
    <w:rsid w:val="00FB3806"/>
    <w:rsid w:val="00FD225F"/>
    <w:rsid w:val="00FF695C"/>
    <w:rsid w:val="04577453"/>
    <w:rsid w:val="076E0AC8"/>
    <w:rsid w:val="07C75127"/>
    <w:rsid w:val="0A5B4D23"/>
    <w:rsid w:val="0E0B1CAC"/>
    <w:rsid w:val="10816C3A"/>
    <w:rsid w:val="108854F1"/>
    <w:rsid w:val="135B5C52"/>
    <w:rsid w:val="15330010"/>
    <w:rsid w:val="162E04F2"/>
    <w:rsid w:val="1D8061D0"/>
    <w:rsid w:val="1F1E4910"/>
    <w:rsid w:val="22CC1E64"/>
    <w:rsid w:val="23655282"/>
    <w:rsid w:val="25493D8C"/>
    <w:rsid w:val="25AE3344"/>
    <w:rsid w:val="274443FA"/>
    <w:rsid w:val="278A2215"/>
    <w:rsid w:val="29DD4DCC"/>
    <w:rsid w:val="2E5F626C"/>
    <w:rsid w:val="31C2036A"/>
    <w:rsid w:val="320D02A5"/>
    <w:rsid w:val="327F259E"/>
    <w:rsid w:val="32D333E5"/>
    <w:rsid w:val="32F070ED"/>
    <w:rsid w:val="348E566F"/>
    <w:rsid w:val="38D15431"/>
    <w:rsid w:val="3A226944"/>
    <w:rsid w:val="3AEE6A48"/>
    <w:rsid w:val="3C1620AA"/>
    <w:rsid w:val="3C42096C"/>
    <w:rsid w:val="3D8F080F"/>
    <w:rsid w:val="3EDD67F1"/>
    <w:rsid w:val="44CE1FA4"/>
    <w:rsid w:val="487F73ED"/>
    <w:rsid w:val="496E2FB0"/>
    <w:rsid w:val="49BC3303"/>
    <w:rsid w:val="49E614B1"/>
    <w:rsid w:val="4A2613C7"/>
    <w:rsid w:val="4A347EAE"/>
    <w:rsid w:val="4C003AEA"/>
    <w:rsid w:val="505B0319"/>
    <w:rsid w:val="52600405"/>
    <w:rsid w:val="529B4319"/>
    <w:rsid w:val="544D6C27"/>
    <w:rsid w:val="57773DD6"/>
    <w:rsid w:val="578B79AB"/>
    <w:rsid w:val="5BCC4AFC"/>
    <w:rsid w:val="5CCD3FD5"/>
    <w:rsid w:val="60153831"/>
    <w:rsid w:val="60BC3C82"/>
    <w:rsid w:val="61FA5F9D"/>
    <w:rsid w:val="623A488D"/>
    <w:rsid w:val="64CD6910"/>
    <w:rsid w:val="66967EA3"/>
    <w:rsid w:val="6789158D"/>
    <w:rsid w:val="67D81BA4"/>
    <w:rsid w:val="6AAF1C96"/>
    <w:rsid w:val="6EF15AAB"/>
    <w:rsid w:val="6F7E3E1C"/>
    <w:rsid w:val="716D3328"/>
    <w:rsid w:val="72690822"/>
    <w:rsid w:val="738639EC"/>
    <w:rsid w:val="7422140F"/>
    <w:rsid w:val="75681757"/>
    <w:rsid w:val="75A346A8"/>
    <w:rsid w:val="77960766"/>
    <w:rsid w:val="79B9382C"/>
    <w:rsid w:val="7A931DA8"/>
    <w:rsid w:val="7B043B76"/>
    <w:rsid w:val="7B3E0EFC"/>
    <w:rsid w:val="7C041A6A"/>
    <w:rsid w:val="7CEC30F3"/>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01A"/>
    <w:pPr>
      <w:widowControl w:val="0"/>
      <w:jc w:val="both"/>
    </w:pPr>
    <w:rPr>
      <w:rFonts w:ascii="??" w:hAnsi="??"/>
      <w:kern w:val="2"/>
      <w:sz w:val="21"/>
      <w:szCs w:val="22"/>
    </w:rPr>
  </w:style>
  <w:style w:type="paragraph" w:styleId="1">
    <w:name w:val="heading 1"/>
    <w:basedOn w:val="a"/>
    <w:next w:val="a"/>
    <w:link w:val="1Char"/>
    <w:uiPriority w:val="99"/>
    <w:qFormat/>
    <w:rsid w:val="0002701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2701A"/>
    <w:rPr>
      <w:rFonts w:ascii="仿宋_GB2312" w:eastAsia="仿宋_GB2312" w:hAnsi="仿宋_GB2312" w:cs="仿宋_GB2312"/>
      <w:sz w:val="32"/>
      <w:szCs w:val="32"/>
      <w:lang w:val="zh-CN"/>
    </w:rPr>
  </w:style>
  <w:style w:type="paragraph" w:styleId="a4">
    <w:name w:val="footer"/>
    <w:basedOn w:val="a"/>
    <w:link w:val="Char0"/>
    <w:uiPriority w:val="99"/>
    <w:qFormat/>
    <w:rsid w:val="0002701A"/>
    <w:pPr>
      <w:tabs>
        <w:tab w:val="center" w:pos="4153"/>
        <w:tab w:val="right" w:pos="8306"/>
      </w:tabs>
      <w:snapToGrid w:val="0"/>
      <w:jc w:val="left"/>
    </w:pPr>
    <w:rPr>
      <w:sz w:val="18"/>
      <w:szCs w:val="18"/>
    </w:rPr>
  </w:style>
  <w:style w:type="paragraph" w:styleId="a5">
    <w:name w:val="header"/>
    <w:basedOn w:val="a"/>
    <w:link w:val="Char1"/>
    <w:uiPriority w:val="99"/>
    <w:qFormat/>
    <w:rsid w:val="0002701A"/>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basedOn w:val="a1"/>
    <w:uiPriority w:val="99"/>
    <w:qFormat/>
    <w:rsid w:val="0002701A"/>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02701A"/>
    <w:rPr>
      <w:rFonts w:ascii="??" w:hAnsi="??" w:cs="Times New Roman"/>
      <w:b/>
      <w:bCs/>
      <w:kern w:val="44"/>
      <w:sz w:val="44"/>
      <w:szCs w:val="44"/>
    </w:rPr>
  </w:style>
  <w:style w:type="character" w:customStyle="1" w:styleId="Char">
    <w:name w:val="正文文本 Char"/>
    <w:link w:val="a3"/>
    <w:uiPriority w:val="99"/>
    <w:semiHidden/>
    <w:qFormat/>
    <w:locked/>
    <w:rsid w:val="0002701A"/>
    <w:rPr>
      <w:rFonts w:ascii="??" w:hAnsi="??" w:cs="Times New Roman"/>
    </w:rPr>
  </w:style>
  <w:style w:type="character" w:customStyle="1" w:styleId="Char0">
    <w:name w:val="页脚 Char"/>
    <w:link w:val="a4"/>
    <w:uiPriority w:val="99"/>
    <w:qFormat/>
    <w:locked/>
    <w:rsid w:val="0002701A"/>
    <w:rPr>
      <w:rFonts w:cs="Times New Roman"/>
      <w:sz w:val="18"/>
      <w:szCs w:val="18"/>
    </w:rPr>
  </w:style>
  <w:style w:type="character" w:customStyle="1" w:styleId="Char1">
    <w:name w:val="页眉 Char"/>
    <w:link w:val="a5"/>
    <w:uiPriority w:val="99"/>
    <w:qFormat/>
    <w:locked/>
    <w:rsid w:val="0002701A"/>
    <w:rPr>
      <w:rFonts w:ascii="??" w:hAnsi="??" w:cs="Times New Roman"/>
      <w:sz w:val="18"/>
      <w:szCs w:val="18"/>
    </w:rPr>
  </w:style>
  <w:style w:type="paragraph" w:customStyle="1" w:styleId="ListParagraph1">
    <w:name w:val="List Paragraph1"/>
    <w:basedOn w:val="a"/>
    <w:uiPriority w:val="99"/>
    <w:qFormat/>
    <w:rsid w:val="0002701A"/>
    <w:pPr>
      <w:spacing w:before="2"/>
      <w:ind w:left="119" w:right="434" w:firstLine="643"/>
    </w:pPr>
    <w:rPr>
      <w:rFonts w:ascii="仿宋_GB2312" w:eastAsia="仿宋_GB2312" w:hAnsi="仿宋_GB2312" w:cs="仿宋_GB2312"/>
      <w:lang w:val="zh-CN"/>
    </w:rPr>
  </w:style>
  <w:style w:type="character" w:customStyle="1" w:styleId="font51">
    <w:name w:val="font51"/>
    <w:uiPriority w:val="99"/>
    <w:qFormat/>
    <w:rsid w:val="0002701A"/>
    <w:rPr>
      <w:rFonts w:ascii="宋体" w:eastAsia="宋体" w:hAnsi="宋体" w:cs="宋体"/>
      <w:color w:val="000000"/>
      <w:sz w:val="16"/>
      <w:szCs w:val="16"/>
      <w:u w:val="none"/>
    </w:rPr>
  </w:style>
  <w:style w:type="character" w:customStyle="1" w:styleId="font71">
    <w:name w:val="font71"/>
    <w:uiPriority w:val="99"/>
    <w:qFormat/>
    <w:rsid w:val="0002701A"/>
    <w:rPr>
      <w:rFonts w:ascii="Calibri" w:hAnsi="Calibri" w:cs="Calibri"/>
      <w:color w:val="000000"/>
      <w:sz w:val="16"/>
      <w:szCs w:val="16"/>
      <w:u w:val="none"/>
    </w:rPr>
  </w:style>
  <w:style w:type="character" w:customStyle="1" w:styleId="font81">
    <w:name w:val="font81"/>
    <w:uiPriority w:val="99"/>
    <w:qFormat/>
    <w:rsid w:val="0002701A"/>
    <w:rPr>
      <w:rFonts w:ascii="Arial Unicode MS" w:hAnsi="Arial Unicode MS" w:cs="Arial Unicode MS"/>
      <w:color w:val="000000"/>
      <w:sz w:val="16"/>
      <w:szCs w:val="16"/>
      <w:u w:val="none"/>
    </w:rPr>
  </w:style>
  <w:style w:type="paragraph" w:styleId="a7">
    <w:name w:val="Balloon Text"/>
    <w:basedOn w:val="a"/>
    <w:link w:val="Char2"/>
    <w:uiPriority w:val="99"/>
    <w:semiHidden/>
    <w:unhideWhenUsed/>
    <w:rsid w:val="00F23D7F"/>
    <w:rPr>
      <w:sz w:val="18"/>
      <w:szCs w:val="18"/>
    </w:rPr>
  </w:style>
  <w:style w:type="character" w:customStyle="1" w:styleId="Char2">
    <w:name w:val="批注框文本 Char"/>
    <w:basedOn w:val="a0"/>
    <w:link w:val="a7"/>
    <w:uiPriority w:val="99"/>
    <w:semiHidden/>
    <w:rsid w:val="00F23D7F"/>
    <w:rPr>
      <w:rFonts w:ascii="??" w:hAns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oleObject" Target="embeddings/Microsoft_Office_Excel_97-2003____1.xls"/><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2.emf"/><Relationship Id="rId36"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oleObject" Target="embeddings/oleObject1.bin"/><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1.gif"/><Relationship Id="rId30" Type="http://schemas.openxmlformats.org/officeDocument/2006/relationships/image" Target="media/image3.emf"/><Relationship Id="rId35" Type="http://schemas.openxmlformats.org/officeDocument/2006/relationships/image" Target="media/image7.png"/><Relationship Id="rId43"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47"/>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47</Pages>
  <Words>2198</Words>
  <Characters>12532</Characters>
  <Application>Microsoft Office Word</Application>
  <DocSecurity>0</DocSecurity>
  <Lines>104</Lines>
  <Paragraphs>29</Paragraphs>
  <ScaleCrop>false</ScaleCrop>
  <Company>Microsoft</Company>
  <LinksUpToDate>false</LinksUpToDate>
  <CharactersWithSpaces>14701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22</cp:revision>
  <cp:lastPrinted>2020-08-05T08:36:00Z</cp:lastPrinted>
  <dcterms:created xsi:type="dcterms:W3CDTF">2020-07-29T09:42:00Z</dcterms:created>
  <dcterms:modified xsi:type="dcterms:W3CDTF">2021-05-18T14:25:00Z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F50149F6E1F94E42AE657E6E004A8876</vt:lpwstr>
  </property>
</Properties>
</file>