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D44" w:rsidRDefault="00A444B2">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2F0D44" w:rsidRDefault="002F0D44">
      <w:pPr>
        <w:spacing w:line="560" w:lineRule="exact"/>
        <w:jc w:val="left"/>
        <w:rPr>
          <w:rFonts w:ascii="方正小标宋简体" w:eastAsia="方正小标宋简体"/>
          <w:sz w:val="40"/>
          <w:szCs w:val="40"/>
        </w:rPr>
      </w:pPr>
    </w:p>
    <w:p w:rsidR="002F0D44" w:rsidRDefault="00A444B2">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2F0D44" w:rsidRDefault="00A444B2">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2F0D44" w:rsidRDefault="00A444B2">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机关运行经费情况及增减变化说明说明</w:t>
      </w:r>
    </w:p>
    <w:p w:rsidR="002F0D44" w:rsidRDefault="00A444B2">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2F0D44" w:rsidRDefault="00A444B2">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2F0D44" w:rsidRDefault="00A444B2">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2F0D44" w:rsidRDefault="00A444B2">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2F0D44" w:rsidRDefault="00A444B2">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2F0D44" w:rsidRDefault="00A444B2">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2F0D44" w:rsidRDefault="002F0D44">
      <w:pPr>
        <w:spacing w:line="560" w:lineRule="exact"/>
        <w:jc w:val="left"/>
        <w:rPr>
          <w:rFonts w:ascii="方正小标宋简体" w:eastAsia="方正小标宋简体"/>
          <w:sz w:val="40"/>
          <w:szCs w:val="40"/>
        </w:rPr>
      </w:pPr>
    </w:p>
    <w:p w:rsidR="002F0D44" w:rsidRDefault="002F0D44">
      <w:pPr>
        <w:spacing w:line="560" w:lineRule="exact"/>
        <w:jc w:val="center"/>
        <w:rPr>
          <w:rFonts w:ascii="方正小标宋简体" w:eastAsia="方正小标宋简体"/>
          <w:sz w:val="40"/>
          <w:szCs w:val="40"/>
        </w:rPr>
      </w:pPr>
    </w:p>
    <w:p w:rsidR="002F0D44" w:rsidRDefault="002F0D44">
      <w:pPr>
        <w:spacing w:line="560" w:lineRule="exact"/>
        <w:jc w:val="center"/>
        <w:rPr>
          <w:rFonts w:ascii="方正小标宋简体" w:eastAsia="方正小标宋简体"/>
          <w:sz w:val="40"/>
          <w:szCs w:val="40"/>
        </w:rPr>
      </w:pPr>
    </w:p>
    <w:p w:rsidR="002F0D44" w:rsidRDefault="002F0D44">
      <w:pPr>
        <w:spacing w:line="560" w:lineRule="exact"/>
        <w:jc w:val="center"/>
        <w:rPr>
          <w:rFonts w:ascii="方正小标宋简体" w:eastAsia="方正小标宋简体"/>
          <w:sz w:val="40"/>
          <w:szCs w:val="40"/>
        </w:rPr>
      </w:pPr>
    </w:p>
    <w:p w:rsidR="002F0D44" w:rsidRDefault="002F0D44">
      <w:pPr>
        <w:spacing w:line="560" w:lineRule="exact"/>
        <w:rPr>
          <w:rFonts w:ascii="方正小标宋简体" w:eastAsia="方正小标宋简体"/>
          <w:sz w:val="40"/>
          <w:szCs w:val="40"/>
        </w:rPr>
      </w:pPr>
    </w:p>
    <w:p w:rsidR="002F0D44" w:rsidRDefault="00A444B2">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法院部门预算情况说明</w:t>
      </w:r>
    </w:p>
    <w:p w:rsidR="002F0D44" w:rsidRDefault="00A444B2">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2F0D44" w:rsidRDefault="00A444B2">
      <w:pPr>
        <w:spacing w:line="360" w:lineRule="auto"/>
        <w:ind w:firstLineChars="200" w:firstLine="640"/>
        <w:rPr>
          <w:rFonts w:ascii="仿宋_GB2312" w:eastAsia="仿宋_GB2312"/>
          <w:sz w:val="32"/>
          <w:szCs w:val="32"/>
        </w:rPr>
      </w:pPr>
      <w:r>
        <w:rPr>
          <w:rFonts w:ascii="仿宋_GB2312" w:eastAsia="仿宋_GB2312" w:hint="eastAsia"/>
          <w:sz w:val="32"/>
          <w:szCs w:val="32"/>
        </w:rPr>
        <w:t>我院包含法院和老庄子法庭，单位性质属行政单位，正处级，经费形式财政拨款，法院下设</w:t>
      </w:r>
      <w:r>
        <w:rPr>
          <w:rFonts w:ascii="仿宋_GB2312" w:eastAsia="仿宋_GB2312" w:hint="eastAsia"/>
          <w:sz w:val="32"/>
          <w:szCs w:val="32"/>
        </w:rPr>
        <w:t>7</w:t>
      </w:r>
      <w:r>
        <w:rPr>
          <w:rFonts w:ascii="仿宋_GB2312" w:eastAsia="仿宋_GB2312" w:hint="eastAsia"/>
          <w:sz w:val="32"/>
          <w:szCs w:val="32"/>
        </w:rPr>
        <w:t>个机构，分别为办公室、立案庭、民事审判庭、刑事审判庭、行政审判监督庭、执行局、司法警察大队；下设一个派出法庭：老庄子法庭。</w:t>
      </w:r>
    </w:p>
    <w:p w:rsidR="002F0D44" w:rsidRDefault="00A444B2">
      <w:pPr>
        <w:ind w:firstLineChars="200" w:firstLine="640"/>
        <w:rPr>
          <w:rFonts w:ascii="仿宋_GB2312" w:eastAsia="仿宋_GB2312"/>
          <w:sz w:val="32"/>
          <w:szCs w:val="32"/>
        </w:rPr>
      </w:pPr>
      <w:r>
        <w:rPr>
          <w:rFonts w:ascii="仿宋_GB2312" w:eastAsia="仿宋_GB2312" w:hint="eastAsia"/>
          <w:sz w:val="32"/>
          <w:szCs w:val="32"/>
        </w:rPr>
        <w:t>法院职责</w:t>
      </w:r>
      <w:r>
        <w:rPr>
          <w:rFonts w:ascii="仿宋_GB2312" w:eastAsia="仿宋_GB2312" w:hint="eastAsia"/>
          <w:sz w:val="32"/>
          <w:szCs w:val="32"/>
        </w:rPr>
        <w:t>:</w:t>
      </w:r>
    </w:p>
    <w:p w:rsidR="002F0D44" w:rsidRDefault="00A444B2">
      <w:pPr>
        <w:numPr>
          <w:ilvl w:val="0"/>
          <w:numId w:val="1"/>
        </w:numPr>
        <w:spacing w:line="360" w:lineRule="auto"/>
        <w:ind w:left="839" w:hanging="357"/>
        <w:rPr>
          <w:rFonts w:ascii="仿宋_GB2312" w:eastAsia="仿宋_GB2312"/>
          <w:sz w:val="32"/>
          <w:szCs w:val="32"/>
        </w:rPr>
      </w:pPr>
      <w:r>
        <w:rPr>
          <w:rFonts w:ascii="仿宋_GB2312" w:eastAsia="仿宋_GB2312" w:hint="eastAsia"/>
          <w:sz w:val="32"/>
          <w:szCs w:val="32"/>
        </w:rPr>
        <w:t>依法审判由基层人民法院管辖的刑事、民事、行政一审案件。</w:t>
      </w:r>
    </w:p>
    <w:p w:rsidR="002F0D44" w:rsidRDefault="00A444B2">
      <w:pPr>
        <w:numPr>
          <w:ilvl w:val="0"/>
          <w:numId w:val="1"/>
        </w:numPr>
        <w:spacing w:line="360" w:lineRule="auto"/>
        <w:ind w:left="839" w:hanging="357"/>
        <w:rPr>
          <w:rFonts w:ascii="仿宋_GB2312" w:eastAsia="仿宋_GB2312"/>
          <w:sz w:val="32"/>
          <w:szCs w:val="32"/>
        </w:rPr>
      </w:pPr>
      <w:r>
        <w:rPr>
          <w:rFonts w:ascii="仿宋_GB2312" w:eastAsia="仿宋_GB2312" w:hint="eastAsia"/>
          <w:sz w:val="32"/>
          <w:szCs w:val="32"/>
        </w:rPr>
        <w:t>依法受理和审查各类告诉、申诉案件；审判各类再审案件，处理来信来访，依法办理刑事、民事、行政申请强制执行等案件的审查和立案工作。</w:t>
      </w:r>
    </w:p>
    <w:p w:rsidR="002F0D44" w:rsidRDefault="00A444B2">
      <w:pPr>
        <w:numPr>
          <w:ilvl w:val="0"/>
          <w:numId w:val="1"/>
        </w:numPr>
        <w:spacing w:line="360" w:lineRule="auto"/>
        <w:ind w:left="839" w:hanging="357"/>
        <w:rPr>
          <w:rFonts w:ascii="仿宋_GB2312" w:eastAsia="仿宋_GB2312"/>
          <w:sz w:val="32"/>
          <w:szCs w:val="32"/>
        </w:rPr>
      </w:pPr>
      <w:r>
        <w:rPr>
          <w:rFonts w:ascii="仿宋_GB2312" w:eastAsia="仿宋_GB2312" w:hint="eastAsia"/>
          <w:sz w:val="32"/>
          <w:szCs w:val="32"/>
        </w:rPr>
        <w:t>依法办理发生法律效力的民事、行政案件的判决和裁定的执行事项及刑事案件判决和裁定中关于财产部分的执行事项；办理法律规定由基层人民法院执行的其他法律文书中的执行事项。</w:t>
      </w:r>
    </w:p>
    <w:p w:rsidR="002F0D44" w:rsidRDefault="00A444B2">
      <w:pPr>
        <w:numPr>
          <w:ilvl w:val="0"/>
          <w:numId w:val="1"/>
        </w:numPr>
        <w:spacing w:line="360" w:lineRule="auto"/>
        <w:ind w:left="839" w:hanging="357"/>
        <w:rPr>
          <w:rFonts w:ascii="仿宋_GB2312" w:eastAsia="仿宋_GB2312"/>
          <w:sz w:val="32"/>
          <w:szCs w:val="32"/>
        </w:rPr>
      </w:pPr>
      <w:r>
        <w:rPr>
          <w:rFonts w:ascii="仿宋_GB2312" w:eastAsia="仿宋_GB2312" w:hint="eastAsia"/>
          <w:sz w:val="32"/>
          <w:szCs w:val="32"/>
        </w:rPr>
        <w:t>依法行使司法决定权并接受上级法院的业务指导和监督。</w:t>
      </w:r>
    </w:p>
    <w:p w:rsidR="002F0D44" w:rsidRDefault="00A444B2">
      <w:pPr>
        <w:numPr>
          <w:ilvl w:val="0"/>
          <w:numId w:val="1"/>
        </w:numPr>
        <w:spacing w:line="360" w:lineRule="auto"/>
        <w:ind w:left="839" w:hanging="357"/>
        <w:rPr>
          <w:rFonts w:ascii="仿宋_GB2312" w:eastAsia="仿宋_GB2312"/>
          <w:sz w:val="32"/>
          <w:szCs w:val="32"/>
        </w:rPr>
      </w:pPr>
      <w:r>
        <w:rPr>
          <w:rFonts w:ascii="仿宋_GB2312" w:eastAsia="仿宋_GB2312" w:hint="eastAsia"/>
          <w:sz w:val="32"/>
          <w:szCs w:val="32"/>
        </w:rPr>
        <w:t>对本院的法官和其他工作人员进行思想政治教育、组织专业培训；按照权限管理法官和其他工作人员。</w:t>
      </w:r>
    </w:p>
    <w:p w:rsidR="002F0D44" w:rsidRDefault="00A444B2">
      <w:pPr>
        <w:numPr>
          <w:ilvl w:val="0"/>
          <w:numId w:val="1"/>
        </w:numPr>
        <w:spacing w:line="360" w:lineRule="auto"/>
        <w:ind w:left="839" w:hanging="357"/>
        <w:rPr>
          <w:rFonts w:ascii="仿宋_GB2312" w:eastAsia="仿宋_GB2312"/>
          <w:sz w:val="32"/>
          <w:szCs w:val="32"/>
        </w:rPr>
      </w:pPr>
      <w:r>
        <w:rPr>
          <w:rFonts w:ascii="仿宋_GB2312" w:eastAsia="仿宋_GB2312" w:hint="eastAsia"/>
          <w:sz w:val="32"/>
          <w:szCs w:val="32"/>
        </w:rPr>
        <w:lastRenderedPageBreak/>
        <w:t>管理本院的有关经费和物资装备。</w:t>
      </w:r>
    </w:p>
    <w:p w:rsidR="002F0D44" w:rsidRDefault="00A444B2">
      <w:pPr>
        <w:numPr>
          <w:ilvl w:val="0"/>
          <w:numId w:val="1"/>
        </w:numPr>
        <w:spacing w:line="360" w:lineRule="auto"/>
        <w:ind w:left="839" w:hanging="357"/>
        <w:rPr>
          <w:rFonts w:ascii="仿宋_GB2312" w:eastAsia="仿宋_GB2312"/>
          <w:sz w:val="32"/>
          <w:szCs w:val="32"/>
        </w:rPr>
      </w:pPr>
      <w:r>
        <w:rPr>
          <w:rFonts w:ascii="仿宋_GB2312" w:eastAsia="仿宋_GB2312" w:hint="eastAsia"/>
          <w:sz w:val="32"/>
          <w:szCs w:val="32"/>
        </w:rPr>
        <w:t>协助上级主管部门做好人民法院的监察工作。</w:t>
      </w:r>
    </w:p>
    <w:p w:rsidR="002F0D44" w:rsidRDefault="00A444B2">
      <w:pPr>
        <w:spacing w:line="560" w:lineRule="exact"/>
        <w:ind w:firstLineChars="200" w:firstLine="643"/>
        <w:rPr>
          <w:rFonts w:ascii="宋体" w:hAnsi="宋体"/>
          <w:b/>
          <w:sz w:val="32"/>
          <w:szCs w:val="32"/>
        </w:rPr>
      </w:pPr>
      <w:r>
        <w:rPr>
          <w:rFonts w:ascii="宋体" w:hAnsi="宋体" w:hint="eastAsia"/>
          <w:b/>
          <w:sz w:val="32"/>
          <w:szCs w:val="32"/>
        </w:rPr>
        <w:t>二、部门预算总体情况及预算收支增减变化情况说明</w:t>
      </w:r>
    </w:p>
    <w:p w:rsidR="002F0D44" w:rsidRDefault="00A444B2">
      <w:pPr>
        <w:ind w:firstLineChars="200" w:firstLine="640"/>
        <w:rPr>
          <w:rFonts w:ascii="仿宋_GB2312" w:eastAsia="仿宋_GB2312"/>
          <w:sz w:val="32"/>
          <w:szCs w:val="32"/>
        </w:rPr>
      </w:pPr>
      <w:r>
        <w:rPr>
          <w:rFonts w:ascii="仿宋_GB2312" w:eastAsia="仿宋_GB2312" w:hint="eastAsia"/>
          <w:sz w:val="32"/>
          <w:szCs w:val="32"/>
        </w:rPr>
        <w:t>预算收入：</w:t>
      </w: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年度，一般预算拨款</w:t>
      </w:r>
      <w:r>
        <w:rPr>
          <w:rFonts w:ascii="仿宋_GB2312" w:eastAsia="仿宋_GB2312" w:hint="eastAsia"/>
          <w:sz w:val="32"/>
          <w:szCs w:val="32"/>
        </w:rPr>
        <w:t>1018.83</w:t>
      </w:r>
      <w:r>
        <w:rPr>
          <w:rFonts w:ascii="仿宋_GB2312" w:eastAsia="仿宋_GB2312" w:hint="eastAsia"/>
          <w:sz w:val="32"/>
          <w:szCs w:val="32"/>
        </w:rPr>
        <w:t>万元。</w:t>
      </w:r>
    </w:p>
    <w:p w:rsidR="002F0D44" w:rsidRDefault="00A444B2">
      <w:pPr>
        <w:ind w:firstLineChars="200" w:firstLine="640"/>
        <w:rPr>
          <w:rFonts w:ascii="仿宋_GB2312" w:eastAsia="仿宋_GB2312"/>
          <w:sz w:val="32"/>
          <w:szCs w:val="32"/>
        </w:rPr>
      </w:pPr>
      <w:r>
        <w:rPr>
          <w:rFonts w:ascii="仿宋_GB2312" w:eastAsia="仿宋_GB2312" w:hint="eastAsia"/>
          <w:sz w:val="32"/>
          <w:szCs w:val="32"/>
        </w:rPr>
        <w:t>预算支出：人员经费</w:t>
      </w:r>
      <w:r>
        <w:rPr>
          <w:rFonts w:ascii="仿宋_GB2312" w:eastAsia="仿宋_GB2312" w:hint="eastAsia"/>
          <w:sz w:val="32"/>
          <w:szCs w:val="32"/>
        </w:rPr>
        <w:t>655.94</w:t>
      </w:r>
      <w:r>
        <w:rPr>
          <w:rFonts w:ascii="仿宋_GB2312" w:eastAsia="仿宋_GB2312" w:hint="eastAsia"/>
          <w:sz w:val="32"/>
          <w:szCs w:val="32"/>
        </w:rPr>
        <w:t>万元，正常公用经费</w:t>
      </w:r>
      <w:r>
        <w:rPr>
          <w:rFonts w:ascii="仿宋_GB2312" w:eastAsia="仿宋_GB2312" w:hint="eastAsia"/>
          <w:sz w:val="32"/>
          <w:szCs w:val="32"/>
        </w:rPr>
        <w:t>183.59</w:t>
      </w:r>
      <w:r>
        <w:rPr>
          <w:rFonts w:ascii="仿宋_GB2312" w:eastAsia="仿宋_GB2312" w:hint="eastAsia"/>
          <w:sz w:val="32"/>
          <w:szCs w:val="32"/>
        </w:rPr>
        <w:t>万元，项目支出经费</w:t>
      </w:r>
      <w:r>
        <w:rPr>
          <w:rFonts w:ascii="仿宋_GB2312" w:eastAsia="仿宋_GB2312" w:hint="eastAsia"/>
          <w:sz w:val="32"/>
          <w:szCs w:val="32"/>
        </w:rPr>
        <w:t>179.3</w:t>
      </w:r>
      <w:r>
        <w:rPr>
          <w:rFonts w:ascii="仿宋_GB2312" w:eastAsia="仿宋_GB2312" w:hint="eastAsia"/>
          <w:sz w:val="32"/>
          <w:szCs w:val="32"/>
        </w:rPr>
        <w:t>万元，共计</w:t>
      </w:r>
      <w:r>
        <w:rPr>
          <w:rFonts w:ascii="仿宋_GB2312" w:eastAsia="仿宋_GB2312" w:hint="eastAsia"/>
          <w:sz w:val="32"/>
          <w:szCs w:val="32"/>
        </w:rPr>
        <w:t>1018.83</w:t>
      </w:r>
      <w:r>
        <w:rPr>
          <w:rFonts w:ascii="仿宋_GB2312" w:eastAsia="仿宋_GB2312" w:hint="eastAsia"/>
          <w:sz w:val="32"/>
          <w:szCs w:val="32"/>
        </w:rPr>
        <w:t>万元。</w:t>
      </w:r>
    </w:p>
    <w:p w:rsidR="002F0D44" w:rsidRDefault="00A444B2">
      <w:pPr>
        <w:ind w:firstLineChars="200" w:firstLine="640"/>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hint="eastAsia"/>
          <w:sz w:val="32"/>
          <w:szCs w:val="32"/>
        </w:rPr>
        <w:t>20</w:t>
      </w:r>
      <w:r>
        <w:rPr>
          <w:rFonts w:ascii="仿宋_GB2312" w:eastAsia="仿宋_GB2312" w:hAnsi="宋体" w:hint="eastAsia"/>
          <w:sz w:val="32"/>
          <w:szCs w:val="32"/>
        </w:rPr>
        <w:t>20</w:t>
      </w:r>
      <w:r>
        <w:rPr>
          <w:rFonts w:ascii="仿宋_GB2312" w:eastAsia="仿宋_GB2312" w:hAnsi="宋体" w:hint="eastAsia"/>
          <w:sz w:val="32"/>
          <w:szCs w:val="32"/>
        </w:rPr>
        <w:t>年相比</w:t>
      </w:r>
      <w:r>
        <w:rPr>
          <w:rFonts w:ascii="仿宋_GB2312" w:eastAsia="仿宋_GB2312" w:hAnsi="宋体" w:hint="eastAsia"/>
          <w:sz w:val="32"/>
          <w:szCs w:val="32"/>
        </w:rPr>
        <w:t>增加</w:t>
      </w:r>
      <w:r>
        <w:rPr>
          <w:rFonts w:ascii="仿宋_GB2312" w:eastAsia="仿宋_GB2312" w:hAnsi="宋体" w:hint="eastAsia"/>
          <w:sz w:val="32"/>
          <w:szCs w:val="32"/>
        </w:rPr>
        <w:t>9</w:t>
      </w:r>
      <w:r>
        <w:rPr>
          <w:rFonts w:ascii="仿宋_GB2312" w:eastAsia="仿宋_GB2312" w:hAnsi="宋体" w:hint="eastAsia"/>
          <w:sz w:val="32"/>
          <w:szCs w:val="32"/>
        </w:rPr>
        <w:t>%</w:t>
      </w:r>
      <w:r>
        <w:rPr>
          <w:rFonts w:ascii="仿宋_GB2312" w:eastAsia="仿宋_GB2312" w:hAnsi="宋体" w:hint="eastAsia"/>
          <w:sz w:val="32"/>
          <w:szCs w:val="32"/>
        </w:rPr>
        <w:t>，原因：</w:t>
      </w:r>
      <w:r>
        <w:rPr>
          <w:rFonts w:ascii="仿宋_GB2312" w:eastAsia="仿宋_GB2312" w:hint="eastAsia"/>
          <w:sz w:val="32"/>
          <w:szCs w:val="32"/>
        </w:rPr>
        <w:t>案件量增加</w:t>
      </w:r>
      <w:r>
        <w:rPr>
          <w:rFonts w:ascii="仿宋_GB2312" w:eastAsia="仿宋_GB2312" w:hAnsi="宋体" w:hint="eastAsia"/>
          <w:sz w:val="32"/>
          <w:szCs w:val="32"/>
        </w:rPr>
        <w:t>。</w:t>
      </w:r>
    </w:p>
    <w:p w:rsidR="002F0D44" w:rsidRDefault="00A444B2">
      <w:pPr>
        <w:spacing w:line="560" w:lineRule="exact"/>
        <w:ind w:firstLineChars="200" w:firstLine="643"/>
        <w:rPr>
          <w:rFonts w:ascii="仿宋_GB2312" w:eastAsia="仿宋_GB2312"/>
          <w:color w:val="000000" w:themeColor="text1"/>
          <w:sz w:val="32"/>
          <w:szCs w:val="32"/>
        </w:rPr>
      </w:pPr>
      <w:r>
        <w:rPr>
          <w:rFonts w:ascii="宋体" w:hAnsi="宋体" w:hint="eastAsia"/>
          <w:b/>
          <w:color w:val="000000" w:themeColor="text1"/>
          <w:sz w:val="32"/>
          <w:szCs w:val="32"/>
        </w:rPr>
        <w:t>三、机关运行经费情况说明</w:t>
      </w:r>
    </w:p>
    <w:p w:rsidR="002F0D44" w:rsidRDefault="00A444B2">
      <w:pPr>
        <w:ind w:firstLineChars="200" w:firstLine="640"/>
        <w:rPr>
          <w:rFonts w:ascii="仿宋_GB2312" w:eastAsia="仿宋_GB2312"/>
          <w:color w:val="FF0000"/>
          <w:sz w:val="32"/>
          <w:szCs w:val="32"/>
        </w:rPr>
      </w:pPr>
      <w:r>
        <w:rPr>
          <w:rFonts w:ascii="仿宋_GB2312" w:eastAsia="仿宋_GB2312" w:hint="eastAsia"/>
          <w:color w:val="000000" w:themeColor="text1"/>
          <w:sz w:val="32"/>
          <w:szCs w:val="32"/>
        </w:rPr>
        <w:t>为保障高新区法院正常运行，</w:t>
      </w:r>
      <w:r>
        <w:rPr>
          <w:rFonts w:ascii="仿宋_GB2312" w:eastAsia="仿宋_GB2312" w:hint="eastAsia"/>
          <w:color w:val="000000" w:themeColor="text1"/>
          <w:sz w:val="32"/>
          <w:szCs w:val="32"/>
        </w:rPr>
        <w:t>202</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年安排法院机关运行经费</w:t>
      </w:r>
      <w:r>
        <w:rPr>
          <w:rFonts w:ascii="仿宋_GB2312" w:eastAsia="仿宋_GB2312" w:hint="eastAsia"/>
          <w:color w:val="000000" w:themeColor="text1"/>
          <w:sz w:val="32"/>
          <w:szCs w:val="32"/>
        </w:rPr>
        <w:t>183.59</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包括办公费</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万元、邮电费</w:t>
      </w:r>
      <w:r>
        <w:rPr>
          <w:rFonts w:ascii="仿宋_GB2312" w:eastAsia="仿宋_GB2312" w:hint="eastAsia"/>
          <w:color w:val="000000" w:themeColor="text1"/>
          <w:sz w:val="32"/>
          <w:szCs w:val="32"/>
        </w:rPr>
        <w:t>17.25</w:t>
      </w:r>
      <w:r>
        <w:rPr>
          <w:rFonts w:ascii="仿宋_GB2312" w:eastAsia="仿宋_GB2312" w:hint="eastAsia"/>
          <w:color w:val="000000" w:themeColor="text1"/>
          <w:sz w:val="32"/>
          <w:szCs w:val="32"/>
        </w:rPr>
        <w:t>万元、差旅费</w:t>
      </w:r>
      <w:r>
        <w:rPr>
          <w:rFonts w:ascii="仿宋_GB2312" w:eastAsia="仿宋_GB2312" w:hint="eastAsia"/>
          <w:color w:val="000000" w:themeColor="text1"/>
          <w:sz w:val="32"/>
          <w:szCs w:val="32"/>
        </w:rPr>
        <w:t>0.5</w:t>
      </w:r>
      <w:r>
        <w:rPr>
          <w:rFonts w:ascii="仿宋_GB2312" w:eastAsia="仿宋_GB2312" w:hint="eastAsia"/>
          <w:color w:val="000000" w:themeColor="text1"/>
          <w:sz w:val="32"/>
          <w:szCs w:val="32"/>
        </w:rPr>
        <w:t>万元、水电费</w:t>
      </w:r>
      <w:r>
        <w:rPr>
          <w:rFonts w:ascii="仿宋_GB2312" w:eastAsia="仿宋_GB2312" w:hint="eastAsia"/>
          <w:color w:val="000000" w:themeColor="text1"/>
          <w:sz w:val="32"/>
          <w:szCs w:val="32"/>
        </w:rPr>
        <w:t>60</w:t>
      </w:r>
      <w:r>
        <w:rPr>
          <w:rFonts w:ascii="仿宋_GB2312" w:eastAsia="仿宋_GB2312" w:hint="eastAsia"/>
          <w:color w:val="000000" w:themeColor="text1"/>
          <w:sz w:val="32"/>
          <w:szCs w:val="32"/>
        </w:rPr>
        <w:t>万元、办公取暖费</w:t>
      </w:r>
      <w:r>
        <w:rPr>
          <w:rFonts w:ascii="仿宋_GB2312" w:eastAsia="仿宋_GB2312" w:hint="eastAsia"/>
          <w:color w:val="000000" w:themeColor="text1"/>
          <w:sz w:val="32"/>
          <w:szCs w:val="32"/>
        </w:rPr>
        <w:t>45</w:t>
      </w:r>
      <w:r>
        <w:rPr>
          <w:rFonts w:ascii="仿宋_GB2312" w:eastAsia="仿宋_GB2312" w:hint="eastAsia"/>
          <w:color w:val="000000" w:themeColor="text1"/>
          <w:sz w:val="32"/>
          <w:szCs w:val="32"/>
        </w:rPr>
        <w:t>万元、公务用车维护费</w:t>
      </w:r>
      <w:r>
        <w:rPr>
          <w:rFonts w:ascii="仿宋_GB2312" w:eastAsia="仿宋_GB2312" w:hint="eastAsia"/>
          <w:color w:val="000000" w:themeColor="text1"/>
          <w:sz w:val="32"/>
          <w:szCs w:val="32"/>
        </w:rPr>
        <w:t>34.5</w:t>
      </w:r>
      <w:r>
        <w:rPr>
          <w:rFonts w:ascii="仿宋_GB2312" w:eastAsia="仿宋_GB2312" w:hint="eastAsia"/>
          <w:color w:val="000000" w:themeColor="text1"/>
          <w:sz w:val="32"/>
          <w:szCs w:val="32"/>
        </w:rPr>
        <w:t>万元、公务招待费</w:t>
      </w:r>
      <w:r>
        <w:rPr>
          <w:rFonts w:ascii="仿宋_GB2312" w:eastAsia="仿宋_GB2312" w:hint="eastAsia"/>
          <w:color w:val="000000" w:themeColor="text1"/>
          <w:sz w:val="32"/>
          <w:szCs w:val="32"/>
        </w:rPr>
        <w:t>0.5</w:t>
      </w:r>
      <w:r>
        <w:rPr>
          <w:rFonts w:ascii="仿宋_GB2312" w:eastAsia="仿宋_GB2312" w:hint="eastAsia"/>
          <w:color w:val="000000" w:themeColor="text1"/>
          <w:sz w:val="32"/>
          <w:szCs w:val="32"/>
        </w:rPr>
        <w:t>万元、培训费</w:t>
      </w:r>
      <w:r>
        <w:rPr>
          <w:rFonts w:ascii="仿宋_GB2312" w:eastAsia="仿宋_GB2312" w:hint="eastAsia"/>
          <w:color w:val="000000" w:themeColor="text1"/>
          <w:sz w:val="32"/>
          <w:szCs w:val="32"/>
        </w:rPr>
        <w:t>0.2</w:t>
      </w:r>
      <w:r>
        <w:rPr>
          <w:rFonts w:ascii="仿宋_GB2312" w:eastAsia="仿宋_GB2312" w:hint="eastAsia"/>
          <w:color w:val="000000" w:themeColor="text1"/>
          <w:sz w:val="32"/>
          <w:szCs w:val="32"/>
        </w:rPr>
        <w:t>万元、工会经费</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万元、其他</w:t>
      </w:r>
      <w:r>
        <w:rPr>
          <w:rFonts w:ascii="仿宋_GB2312" w:eastAsia="仿宋_GB2312" w:hint="eastAsia"/>
          <w:color w:val="000000" w:themeColor="text1"/>
          <w:sz w:val="32"/>
          <w:szCs w:val="32"/>
        </w:rPr>
        <w:t>0.2</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万元、其他交通费</w:t>
      </w:r>
      <w:r>
        <w:rPr>
          <w:rFonts w:ascii="仿宋_GB2312" w:eastAsia="仿宋_GB2312" w:hint="eastAsia"/>
          <w:color w:val="000000" w:themeColor="text1"/>
          <w:sz w:val="32"/>
          <w:szCs w:val="32"/>
        </w:rPr>
        <w:t>17.08</w:t>
      </w:r>
      <w:r>
        <w:rPr>
          <w:rFonts w:ascii="仿宋_GB2312" w:eastAsia="仿宋_GB2312" w:hint="eastAsia"/>
          <w:color w:val="000000" w:themeColor="text1"/>
          <w:sz w:val="32"/>
          <w:szCs w:val="32"/>
        </w:rPr>
        <w:t>万元</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，对比</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年，增加</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。主要原因：</w:t>
      </w:r>
      <w:r>
        <w:rPr>
          <w:rFonts w:ascii="仿宋_GB2312" w:eastAsia="仿宋_GB2312" w:hint="eastAsia"/>
          <w:color w:val="000000" w:themeColor="text1"/>
          <w:sz w:val="32"/>
          <w:szCs w:val="32"/>
        </w:rPr>
        <w:t>案件量增加</w:t>
      </w:r>
      <w:r>
        <w:rPr>
          <w:rFonts w:ascii="仿宋_GB2312" w:eastAsia="仿宋_GB2312" w:hint="eastAsia"/>
          <w:color w:val="000000" w:themeColor="text1"/>
          <w:sz w:val="32"/>
          <w:szCs w:val="32"/>
        </w:rPr>
        <w:t>。</w:t>
      </w:r>
    </w:p>
    <w:p w:rsidR="002F0D44" w:rsidRDefault="00A444B2">
      <w:pPr>
        <w:spacing w:line="560" w:lineRule="exact"/>
        <w:ind w:firstLineChars="200" w:firstLine="643"/>
        <w:rPr>
          <w:rFonts w:ascii="仿宋_GB2312" w:eastAsia="仿宋_GB2312"/>
          <w:color w:val="000000" w:themeColor="text1"/>
          <w:sz w:val="32"/>
          <w:szCs w:val="32"/>
        </w:rPr>
      </w:pPr>
      <w:r>
        <w:rPr>
          <w:rFonts w:ascii="宋体" w:hAnsi="宋体" w:hint="eastAsia"/>
          <w:b/>
          <w:color w:val="000000" w:themeColor="text1"/>
          <w:sz w:val="32"/>
          <w:szCs w:val="32"/>
        </w:rPr>
        <w:t>四、“三公”经费情况及增减变化说明</w:t>
      </w:r>
    </w:p>
    <w:p w:rsidR="002F0D44" w:rsidRDefault="00A444B2">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年</w:t>
      </w:r>
      <w:proofErr w:type="gramStart"/>
      <w:r>
        <w:rPr>
          <w:rFonts w:ascii="仿宋_GB2312" w:eastAsia="仿宋_GB2312" w:hint="eastAsia"/>
          <w:color w:val="000000" w:themeColor="text1"/>
          <w:sz w:val="32"/>
          <w:szCs w:val="32"/>
        </w:rPr>
        <w:t>我部门</w:t>
      </w:r>
      <w:proofErr w:type="gramEnd"/>
      <w:r>
        <w:rPr>
          <w:rFonts w:ascii="仿宋_GB2312" w:eastAsia="仿宋_GB2312" w:hint="eastAsia"/>
          <w:color w:val="000000" w:themeColor="text1"/>
          <w:sz w:val="32"/>
          <w:szCs w:val="32"/>
        </w:rPr>
        <w:t>“三公”经费预算安排</w:t>
      </w:r>
      <w:r>
        <w:rPr>
          <w:rFonts w:ascii="仿宋_GB2312" w:eastAsia="仿宋_GB2312" w:hint="eastAsia"/>
          <w:color w:val="000000" w:themeColor="text1"/>
          <w:sz w:val="32"/>
          <w:szCs w:val="32"/>
        </w:rPr>
        <w:t>35</w:t>
      </w:r>
      <w:r>
        <w:rPr>
          <w:rFonts w:ascii="仿宋_GB2312" w:eastAsia="仿宋_GB2312" w:hint="eastAsia"/>
          <w:color w:val="000000" w:themeColor="text1"/>
          <w:sz w:val="32"/>
          <w:szCs w:val="32"/>
        </w:rPr>
        <w:t>万元，与上年持平。具体情况如下：</w:t>
      </w:r>
    </w:p>
    <w:p w:rsidR="002F0D44" w:rsidRDefault="00A444B2">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（一）公务用车购置及运行费，共计安排</w:t>
      </w:r>
      <w:r>
        <w:rPr>
          <w:rFonts w:ascii="仿宋_GB2312" w:eastAsia="仿宋_GB2312" w:hint="eastAsia"/>
          <w:color w:val="000000" w:themeColor="text1"/>
          <w:sz w:val="32"/>
          <w:szCs w:val="32"/>
        </w:rPr>
        <w:t>34.5</w:t>
      </w:r>
      <w:r>
        <w:rPr>
          <w:rFonts w:ascii="仿宋_GB2312" w:eastAsia="仿宋_GB2312" w:hint="eastAsia"/>
          <w:color w:val="000000" w:themeColor="text1"/>
          <w:sz w:val="32"/>
          <w:szCs w:val="32"/>
        </w:rPr>
        <w:t>万元。</w:t>
      </w:r>
    </w:p>
    <w:p w:rsidR="002F0D44" w:rsidRDefault="00A444B2">
      <w:pPr>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1.</w:t>
      </w:r>
      <w:r>
        <w:rPr>
          <w:rFonts w:ascii="仿宋_GB2312" w:eastAsia="仿宋_GB2312" w:hint="eastAsia"/>
          <w:color w:val="000000" w:themeColor="text1"/>
          <w:sz w:val="32"/>
          <w:szCs w:val="32"/>
        </w:rPr>
        <w:t>公务用车购置安排</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万元，与上年持平。</w:t>
      </w:r>
    </w:p>
    <w:p w:rsidR="002F0D44" w:rsidRDefault="00A444B2">
      <w:pPr>
        <w:ind w:firstLineChars="200" w:firstLine="640"/>
        <w:rPr>
          <w:rFonts w:ascii="仿宋_GB2312" w:eastAsia="仿宋_GB2312" w:hAnsi="宋体"/>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公务用车运行维护经费安排</w:t>
      </w:r>
      <w:r>
        <w:rPr>
          <w:rFonts w:ascii="仿宋_GB2312" w:eastAsia="仿宋_GB2312" w:hint="eastAsia"/>
          <w:color w:val="000000" w:themeColor="text1"/>
          <w:sz w:val="32"/>
          <w:szCs w:val="32"/>
        </w:rPr>
        <w:t>34.5</w:t>
      </w:r>
      <w:r>
        <w:rPr>
          <w:rFonts w:ascii="仿宋_GB2312" w:eastAsia="仿宋_GB2312" w:hint="eastAsia"/>
          <w:color w:val="000000" w:themeColor="text1"/>
          <w:sz w:val="32"/>
          <w:szCs w:val="32"/>
        </w:rPr>
        <w:t>万元，与上年持平</w:t>
      </w:r>
      <w:r>
        <w:rPr>
          <w:rFonts w:ascii="仿宋_GB2312" w:eastAsia="仿宋_GB2312" w:hAnsi="宋体" w:hint="eastAsia"/>
          <w:color w:val="000000" w:themeColor="text1"/>
          <w:sz w:val="32"/>
          <w:szCs w:val="32"/>
        </w:rPr>
        <w:t>。</w:t>
      </w:r>
    </w:p>
    <w:p w:rsidR="002F0D44" w:rsidRDefault="00A444B2">
      <w:pPr>
        <w:ind w:firstLineChars="200" w:firstLine="640"/>
        <w:rPr>
          <w:rFonts w:ascii="仿宋_GB2312" w:eastAsia="仿宋_GB2312" w:hAnsi="宋体"/>
          <w:color w:val="000000" w:themeColor="text1"/>
          <w:sz w:val="32"/>
          <w:szCs w:val="32"/>
        </w:rPr>
      </w:pPr>
      <w:r>
        <w:rPr>
          <w:rFonts w:ascii="仿宋_GB2312" w:eastAsia="仿宋_GB2312" w:hint="eastAsia"/>
          <w:color w:val="000000" w:themeColor="text1"/>
          <w:sz w:val="32"/>
          <w:szCs w:val="32"/>
        </w:rPr>
        <w:t>（二）公务接待费。安排</w:t>
      </w:r>
      <w:r>
        <w:rPr>
          <w:rFonts w:ascii="仿宋_GB2312" w:eastAsia="仿宋_GB2312" w:hint="eastAsia"/>
          <w:color w:val="000000" w:themeColor="text1"/>
          <w:sz w:val="32"/>
          <w:szCs w:val="32"/>
        </w:rPr>
        <w:t>0.5</w:t>
      </w:r>
      <w:r>
        <w:rPr>
          <w:rFonts w:ascii="仿宋_GB2312" w:eastAsia="仿宋_GB2312" w:hint="eastAsia"/>
          <w:color w:val="000000" w:themeColor="text1"/>
          <w:sz w:val="32"/>
          <w:szCs w:val="32"/>
        </w:rPr>
        <w:t>万元，与上年持平</w:t>
      </w:r>
      <w:r>
        <w:rPr>
          <w:rFonts w:ascii="仿宋_GB2312" w:eastAsia="仿宋_GB2312" w:hAnsi="宋体" w:hint="eastAsia"/>
          <w:color w:val="000000" w:themeColor="text1"/>
          <w:sz w:val="32"/>
          <w:szCs w:val="32"/>
        </w:rPr>
        <w:t>。</w:t>
      </w:r>
    </w:p>
    <w:p w:rsidR="002F0D44" w:rsidRDefault="00A444B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（三）因公出国（境）</w:t>
      </w:r>
      <w:proofErr w:type="gramStart"/>
      <w:r>
        <w:rPr>
          <w:rFonts w:ascii="仿宋" w:eastAsia="仿宋" w:hAnsi="仿宋" w:cs="仿宋_GB2312" w:hint="eastAsia"/>
          <w:color w:val="000000" w:themeColor="text1"/>
          <w:sz w:val="32"/>
          <w:szCs w:val="32"/>
        </w:rPr>
        <w:t>费安排</w:t>
      </w:r>
      <w:proofErr w:type="gramEnd"/>
      <w:r>
        <w:rPr>
          <w:rFonts w:ascii="仿宋" w:eastAsia="仿宋" w:hAnsi="仿宋" w:cs="仿宋_GB2312" w:hint="eastAsia"/>
          <w:color w:val="000000" w:themeColor="text1"/>
          <w:sz w:val="32"/>
          <w:szCs w:val="32"/>
        </w:rPr>
        <w:t>0</w:t>
      </w:r>
      <w:r>
        <w:rPr>
          <w:rFonts w:ascii="仿宋" w:eastAsia="仿宋" w:hAnsi="仿宋" w:cs="仿宋_GB2312" w:hint="eastAsia"/>
          <w:color w:val="000000" w:themeColor="text1"/>
          <w:sz w:val="32"/>
          <w:szCs w:val="32"/>
        </w:rPr>
        <w:t>万元，与上年持平。</w:t>
      </w:r>
    </w:p>
    <w:p w:rsidR="002F0D44" w:rsidRDefault="00A444B2">
      <w:pPr>
        <w:spacing w:line="560" w:lineRule="exact"/>
        <w:ind w:firstLineChars="200" w:firstLine="643"/>
        <w:rPr>
          <w:rFonts w:ascii="宋体" w:hAnsi="宋体"/>
          <w:b/>
          <w:color w:val="000000" w:themeColor="text1"/>
          <w:sz w:val="32"/>
          <w:szCs w:val="32"/>
        </w:rPr>
      </w:pPr>
      <w:r>
        <w:rPr>
          <w:rFonts w:ascii="宋体" w:hAnsi="宋体" w:hint="eastAsia"/>
          <w:b/>
          <w:color w:val="000000" w:themeColor="text1"/>
          <w:sz w:val="32"/>
          <w:szCs w:val="32"/>
        </w:rPr>
        <w:t>五、绩效信息</w:t>
      </w:r>
    </w:p>
    <w:p w:rsidR="002F0D44" w:rsidRDefault="00A444B2">
      <w:pPr>
        <w:ind w:firstLineChars="200" w:firstLine="643"/>
        <w:rPr>
          <w:rFonts w:ascii="宋体" w:hAnsi="宋体"/>
          <w:b/>
          <w:color w:val="000000" w:themeColor="text1"/>
          <w:sz w:val="32"/>
          <w:szCs w:val="32"/>
        </w:rPr>
      </w:pPr>
      <w:r>
        <w:rPr>
          <w:rFonts w:ascii="宋体" w:hAnsi="宋体" w:hint="eastAsia"/>
          <w:b/>
          <w:color w:val="000000" w:themeColor="text1"/>
          <w:sz w:val="32"/>
          <w:szCs w:val="32"/>
        </w:rPr>
        <w:t>（一）总体绩效目标</w:t>
      </w:r>
    </w:p>
    <w:p w:rsidR="002F0D44" w:rsidRDefault="00A444B2">
      <w:pPr>
        <w:spacing w:line="480" w:lineRule="auto"/>
        <w:ind w:firstLineChars="200" w:firstLine="640"/>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根据管委会工作部署，结合本部门年度工作计划，针对主要职责、重点工作，分项制定绩效目标。</w:t>
      </w:r>
      <w:r>
        <w:rPr>
          <w:rFonts w:ascii="仿宋_GB2312" w:eastAsia="仿宋_GB2312" w:hAnsi="宋体"/>
          <w:color w:val="000000" w:themeColor="text1"/>
          <w:sz w:val="32"/>
          <w:szCs w:val="32"/>
        </w:rPr>
        <w:t xml:space="preserve"> 202</w:t>
      </w:r>
      <w:r>
        <w:rPr>
          <w:rFonts w:ascii="仿宋_GB2312" w:eastAsia="仿宋_GB2312" w:hAnsi="宋体" w:hint="eastAsia"/>
          <w:color w:val="000000" w:themeColor="text1"/>
          <w:sz w:val="32"/>
          <w:szCs w:val="32"/>
        </w:rPr>
        <w:t>1</w:t>
      </w:r>
      <w:r>
        <w:rPr>
          <w:rFonts w:ascii="仿宋_GB2312" w:eastAsia="仿宋_GB2312" w:hAnsi="宋体"/>
          <w:color w:val="000000" w:themeColor="text1"/>
          <w:sz w:val="32"/>
          <w:szCs w:val="32"/>
        </w:rPr>
        <w:t>年我院项目共安排五项。其中包括陪审员经费项目、国家赔偿司法救助及法律援助基金项目、公检法大楼物业服务项目、办案业务经费项目和</w:t>
      </w:r>
      <w:r>
        <w:rPr>
          <w:rFonts w:ascii="仿宋_GB2312" w:eastAsia="仿宋_GB2312" w:hAnsi="宋体" w:hint="eastAsia"/>
          <w:color w:val="000000" w:themeColor="text1"/>
          <w:sz w:val="32"/>
          <w:szCs w:val="32"/>
        </w:rPr>
        <w:t>消防设备维修</w:t>
      </w:r>
      <w:r>
        <w:rPr>
          <w:rFonts w:ascii="仿宋_GB2312" w:eastAsia="仿宋_GB2312" w:hAnsi="宋体"/>
          <w:color w:val="000000" w:themeColor="text1"/>
          <w:sz w:val="32"/>
          <w:szCs w:val="32"/>
        </w:rPr>
        <w:t>维护费项目。</w:t>
      </w:r>
    </w:p>
    <w:p w:rsidR="002F0D44" w:rsidRDefault="00A444B2">
      <w:pPr>
        <w:spacing w:line="480" w:lineRule="auto"/>
        <w:ind w:firstLineChars="200" w:firstLine="6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1</w:t>
      </w:r>
      <w:r>
        <w:rPr>
          <w:rFonts w:ascii="仿宋_GB2312" w:eastAsia="仿宋_GB2312" w:hAnsi="宋体"/>
          <w:color w:val="000000" w:themeColor="text1"/>
          <w:sz w:val="32"/>
          <w:szCs w:val="32"/>
        </w:rPr>
        <w:t>、做好公检法办公大楼的清扫保洁，办公环境的提升提高工作质量，促进审判质效、健全司法权力运行机制，高质高效完成审判工作，提升司法公信力。</w:t>
      </w:r>
    </w:p>
    <w:p w:rsidR="002F0D44" w:rsidRDefault="00A444B2">
      <w:pPr>
        <w:spacing w:line="480" w:lineRule="auto"/>
        <w:ind w:firstLineChars="200" w:firstLine="6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w:t>
      </w:r>
      <w:r>
        <w:rPr>
          <w:rFonts w:ascii="仿宋_GB2312" w:eastAsia="仿宋_GB2312" w:hAnsi="宋体"/>
          <w:color w:val="000000" w:themeColor="text1"/>
          <w:sz w:val="32"/>
          <w:szCs w:val="32"/>
        </w:rPr>
        <w:t>、完善审判质效评估体系，促进审判质效、健全司法权力运行机制，提升司法公信力。规范、保障、促进审判执行工作，包括：案件信息管理、案件质量评估、案件质量评查、审判流程管理、审判运势分析等。</w:t>
      </w:r>
    </w:p>
    <w:p w:rsidR="002F0D44" w:rsidRDefault="00A444B2">
      <w:pPr>
        <w:ind w:firstLineChars="200" w:firstLine="643"/>
        <w:rPr>
          <w:rFonts w:ascii="宋体" w:hAnsi="宋体"/>
          <w:b/>
          <w:color w:val="000000" w:themeColor="text1"/>
          <w:sz w:val="32"/>
          <w:szCs w:val="32"/>
        </w:rPr>
      </w:pPr>
      <w:bookmarkStart w:id="0" w:name="_Toc486493240"/>
      <w:r>
        <w:rPr>
          <w:rFonts w:ascii="宋体" w:hAnsi="宋体" w:hint="eastAsia"/>
          <w:b/>
          <w:color w:val="000000" w:themeColor="text1"/>
          <w:sz w:val="32"/>
          <w:szCs w:val="32"/>
        </w:rPr>
        <w:t>（二）分项绩效目标</w:t>
      </w:r>
    </w:p>
    <w:p w:rsidR="002F0D44" w:rsidRDefault="00A444B2">
      <w:pPr>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lastRenderedPageBreak/>
        <w:t>1</w:t>
      </w:r>
      <w:r>
        <w:rPr>
          <w:rFonts w:ascii="仿宋_GB2312" w:eastAsia="仿宋_GB2312" w:hAnsi="宋体" w:hint="eastAsia"/>
          <w:color w:val="000000" w:themeColor="text1"/>
          <w:sz w:val="32"/>
          <w:szCs w:val="32"/>
        </w:rPr>
        <w:t>、各类案件审</w:t>
      </w:r>
      <w:r>
        <w:rPr>
          <w:rFonts w:ascii="仿宋_GB2312" w:eastAsia="仿宋_GB2312" w:hAnsi="宋体" w:hint="eastAsia"/>
          <w:color w:val="000000" w:themeColor="text1"/>
          <w:sz w:val="32"/>
          <w:szCs w:val="32"/>
        </w:rPr>
        <w:t>理更加高质高效</w:t>
      </w:r>
    </w:p>
    <w:p w:rsidR="002F0D44" w:rsidRDefault="00A444B2">
      <w:pPr>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绩效目标：充分发挥审判职能作用，妥善处理好刑事、民商事、行政审判等各类案件，完善审判质效评估体系，促进审判质效提高、健全司法权力运行机制，提升司法公信力。</w:t>
      </w:r>
    </w:p>
    <w:p w:rsidR="002F0D44" w:rsidRDefault="00A444B2">
      <w:pPr>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绩效指标：</w:t>
      </w:r>
      <w:r>
        <w:rPr>
          <w:rFonts w:ascii="仿宋_GB2312" w:eastAsia="仿宋_GB2312" w:hAnsi="宋体" w:hint="eastAsia"/>
          <w:color w:val="000000" w:themeColor="text1"/>
          <w:sz w:val="32"/>
          <w:szCs w:val="32"/>
        </w:rPr>
        <w:t>2020</w:t>
      </w:r>
      <w:r>
        <w:rPr>
          <w:rFonts w:ascii="仿宋_GB2312" w:eastAsia="仿宋_GB2312" w:hAnsi="宋体" w:hint="eastAsia"/>
          <w:color w:val="000000" w:themeColor="text1"/>
          <w:sz w:val="32"/>
          <w:szCs w:val="32"/>
        </w:rPr>
        <w:t>年度审结案件数量占年度全部审判案件之比稳定在</w:t>
      </w:r>
      <w:r>
        <w:rPr>
          <w:rFonts w:ascii="仿宋_GB2312" w:eastAsia="仿宋_GB2312" w:hAnsi="宋体" w:hint="eastAsia"/>
          <w:color w:val="000000" w:themeColor="text1"/>
          <w:sz w:val="32"/>
          <w:szCs w:val="32"/>
        </w:rPr>
        <w:t>85%</w:t>
      </w:r>
      <w:r>
        <w:rPr>
          <w:rFonts w:ascii="仿宋_GB2312" w:eastAsia="仿宋_GB2312" w:hAnsi="宋体" w:hint="eastAsia"/>
          <w:color w:val="000000" w:themeColor="text1"/>
          <w:sz w:val="32"/>
          <w:szCs w:val="32"/>
        </w:rPr>
        <w:t>以上、在法律规定的期限内审结案件数量占年度审结案件数量之比稳定在</w:t>
      </w:r>
      <w:r>
        <w:rPr>
          <w:rFonts w:ascii="仿宋_GB2312" w:eastAsia="仿宋_GB2312" w:hAnsi="宋体" w:hint="eastAsia"/>
          <w:color w:val="000000" w:themeColor="text1"/>
          <w:sz w:val="32"/>
          <w:szCs w:val="32"/>
        </w:rPr>
        <w:t>9</w:t>
      </w:r>
      <w:r>
        <w:rPr>
          <w:rFonts w:ascii="仿宋_GB2312" w:eastAsia="仿宋_GB2312" w:hAnsi="宋体" w:hint="eastAsia"/>
          <w:color w:val="000000" w:themeColor="text1"/>
          <w:sz w:val="32"/>
          <w:szCs w:val="32"/>
        </w:rPr>
        <w:t>0</w:t>
      </w:r>
      <w:r>
        <w:rPr>
          <w:rFonts w:ascii="仿宋_GB2312" w:eastAsia="仿宋_GB2312" w:hAnsi="宋体" w:hint="eastAsia"/>
          <w:color w:val="000000" w:themeColor="text1"/>
          <w:sz w:val="32"/>
          <w:szCs w:val="32"/>
        </w:rPr>
        <w:t>%</w:t>
      </w:r>
      <w:r>
        <w:rPr>
          <w:rFonts w:ascii="仿宋_GB2312" w:eastAsia="仿宋_GB2312" w:hAnsi="宋体" w:hint="eastAsia"/>
          <w:color w:val="000000" w:themeColor="text1"/>
          <w:sz w:val="32"/>
          <w:szCs w:val="32"/>
        </w:rPr>
        <w:t>以上、办案系统中案件信息录入率稳定在</w:t>
      </w:r>
      <w:r>
        <w:rPr>
          <w:rFonts w:ascii="仿宋_GB2312" w:eastAsia="仿宋_GB2312" w:hAnsi="宋体" w:hint="eastAsia"/>
          <w:color w:val="000000" w:themeColor="text1"/>
          <w:sz w:val="32"/>
          <w:szCs w:val="32"/>
        </w:rPr>
        <w:t>9</w:t>
      </w:r>
      <w:r>
        <w:rPr>
          <w:rFonts w:ascii="仿宋_GB2312" w:eastAsia="仿宋_GB2312" w:hAnsi="宋体" w:hint="eastAsia"/>
          <w:color w:val="000000" w:themeColor="text1"/>
          <w:sz w:val="32"/>
          <w:szCs w:val="32"/>
        </w:rPr>
        <w:t>0</w:t>
      </w:r>
      <w:r>
        <w:rPr>
          <w:rFonts w:ascii="仿宋_GB2312" w:eastAsia="仿宋_GB2312" w:hAnsi="宋体" w:hint="eastAsia"/>
          <w:color w:val="000000" w:themeColor="text1"/>
          <w:sz w:val="32"/>
          <w:szCs w:val="32"/>
        </w:rPr>
        <w:t>%</w:t>
      </w:r>
      <w:r>
        <w:rPr>
          <w:rFonts w:ascii="仿宋_GB2312" w:eastAsia="仿宋_GB2312" w:hAnsi="宋体" w:hint="eastAsia"/>
          <w:color w:val="000000" w:themeColor="text1"/>
          <w:sz w:val="32"/>
          <w:szCs w:val="32"/>
        </w:rPr>
        <w:t>以上。</w:t>
      </w:r>
    </w:p>
    <w:p w:rsidR="002F0D44" w:rsidRDefault="00A444B2">
      <w:pPr>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w:t>
      </w:r>
      <w:r>
        <w:rPr>
          <w:rFonts w:ascii="仿宋_GB2312" w:eastAsia="仿宋_GB2312" w:hAnsi="宋体" w:hint="eastAsia"/>
          <w:color w:val="000000" w:themeColor="text1"/>
          <w:sz w:val="32"/>
          <w:szCs w:val="32"/>
        </w:rPr>
        <w:t>、智慧法院建设保持领先</w:t>
      </w:r>
    </w:p>
    <w:p w:rsidR="002F0D44" w:rsidRDefault="00A444B2">
      <w:pPr>
        <w:spacing w:line="480" w:lineRule="auto"/>
        <w:ind w:firstLineChars="200" w:firstLine="6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绩效目标：积极推进现代科技在司法领域深度应用，不断深化人事、财务、政务等各项管理信息化应用，努力把智慧法院建设提升到新水平。推</w:t>
      </w:r>
      <w:r>
        <w:rPr>
          <w:rFonts w:ascii="仿宋_GB2312" w:eastAsia="仿宋_GB2312" w:hAnsi="宋体" w:hint="eastAsia"/>
          <w:color w:val="000000" w:themeColor="text1"/>
          <w:sz w:val="32"/>
          <w:szCs w:val="32"/>
        </w:rPr>
        <w:t>动互联网庭审、智能语音转换、安全管理平台等创新成果应用落地落实。加大基层智慧法院建设力度，加快推进视频数据信息与人工智能深度融合，努力推进基层执法司法工作现代化。</w:t>
      </w:r>
      <w:r>
        <w:rPr>
          <w:rFonts w:ascii="仿宋_GB2312" w:eastAsia="仿宋_GB2312" w:hAnsi="宋体"/>
          <w:color w:val="000000" w:themeColor="text1"/>
          <w:sz w:val="32"/>
          <w:szCs w:val="32"/>
        </w:rPr>
        <w:t>进一步落实财务制度管理办法，确实强化项目管理，进一步细化指标，量化考核，做好财务预算，切实提高资金的使用效率。进一步提升项目结果绩效。从提升工作实绩出发，切实采取得力措施，确保计划项目顺利实施，力求达到或超过预期绩效。</w:t>
      </w:r>
    </w:p>
    <w:p w:rsidR="002F0D44" w:rsidRDefault="00A444B2">
      <w:pPr>
        <w:ind w:firstLineChars="200" w:firstLine="64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绩效指标：年度信息化建设预算项目采购合</w:t>
      </w:r>
      <w:proofErr w:type="gramStart"/>
      <w:r>
        <w:rPr>
          <w:rFonts w:ascii="仿宋_GB2312" w:eastAsia="仿宋_GB2312" w:hAnsi="宋体" w:hint="eastAsia"/>
          <w:color w:val="000000" w:themeColor="text1"/>
          <w:sz w:val="32"/>
          <w:szCs w:val="32"/>
        </w:rPr>
        <w:t>规</w:t>
      </w:r>
      <w:proofErr w:type="gramEnd"/>
      <w:r>
        <w:rPr>
          <w:rFonts w:ascii="仿宋_GB2312" w:eastAsia="仿宋_GB2312" w:hAnsi="宋体" w:hint="eastAsia"/>
          <w:color w:val="000000" w:themeColor="text1"/>
          <w:sz w:val="32"/>
          <w:szCs w:val="32"/>
        </w:rPr>
        <w:t>率实现</w:t>
      </w:r>
      <w:r>
        <w:rPr>
          <w:rFonts w:ascii="仿宋_GB2312" w:eastAsia="仿宋_GB2312" w:hAnsi="宋体" w:hint="eastAsia"/>
          <w:color w:val="000000" w:themeColor="text1"/>
          <w:sz w:val="32"/>
          <w:szCs w:val="32"/>
        </w:rPr>
        <w:t>90%</w:t>
      </w:r>
      <w:r>
        <w:rPr>
          <w:rFonts w:ascii="仿宋_GB2312" w:eastAsia="仿宋_GB2312" w:hAnsi="宋体" w:hint="eastAsia"/>
          <w:color w:val="000000" w:themeColor="text1"/>
          <w:sz w:val="32"/>
          <w:szCs w:val="32"/>
        </w:rPr>
        <w:t>，建设项目验收合格实现</w:t>
      </w:r>
      <w:r>
        <w:rPr>
          <w:rFonts w:ascii="仿宋_GB2312" w:eastAsia="仿宋_GB2312" w:hAnsi="宋体" w:hint="eastAsia"/>
          <w:color w:val="000000" w:themeColor="text1"/>
          <w:sz w:val="32"/>
          <w:szCs w:val="32"/>
        </w:rPr>
        <w:t>90%</w:t>
      </w:r>
      <w:r>
        <w:rPr>
          <w:rFonts w:ascii="仿宋_GB2312" w:eastAsia="仿宋_GB2312" w:hAnsi="宋体" w:hint="eastAsia"/>
          <w:color w:val="000000" w:themeColor="text1"/>
          <w:sz w:val="32"/>
          <w:szCs w:val="32"/>
        </w:rPr>
        <w:t>，年度新建项目应用提升到</w:t>
      </w:r>
      <w:r>
        <w:rPr>
          <w:rFonts w:ascii="仿宋_GB2312" w:eastAsia="仿宋_GB2312" w:hAnsi="宋体" w:hint="eastAsia"/>
          <w:color w:val="000000" w:themeColor="text1"/>
          <w:sz w:val="32"/>
          <w:szCs w:val="32"/>
        </w:rPr>
        <w:t>80%</w:t>
      </w:r>
      <w:r>
        <w:rPr>
          <w:rFonts w:ascii="仿宋_GB2312" w:eastAsia="仿宋_GB2312" w:hAnsi="宋体" w:hint="eastAsia"/>
          <w:color w:val="000000" w:themeColor="text1"/>
          <w:sz w:val="32"/>
          <w:szCs w:val="32"/>
        </w:rPr>
        <w:t>以上。</w:t>
      </w:r>
      <w:r>
        <w:rPr>
          <w:rFonts w:ascii="仿宋_GB2312" w:eastAsia="仿宋_GB2312" w:hAnsi="宋体" w:hint="eastAsia"/>
          <w:color w:val="000000" w:themeColor="text1"/>
          <w:sz w:val="32"/>
          <w:szCs w:val="32"/>
        </w:rPr>
        <w:t xml:space="preserve">    </w:t>
      </w:r>
    </w:p>
    <w:p w:rsidR="002F0D44" w:rsidRDefault="00A444B2">
      <w:pPr>
        <w:ind w:firstLine="645"/>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lastRenderedPageBreak/>
        <w:t>（三</w:t>
      </w:r>
      <w:r>
        <w:rPr>
          <w:rFonts w:ascii="仿宋_GB2312" w:eastAsia="仿宋_GB2312" w:hAnsi="宋体" w:hint="eastAsia"/>
          <w:color w:val="000000" w:themeColor="text1"/>
          <w:sz w:val="32"/>
          <w:szCs w:val="32"/>
        </w:rPr>
        <w:t>）工作保障措施</w:t>
      </w:r>
    </w:p>
    <w:p w:rsidR="002F0D44" w:rsidRDefault="00A444B2">
      <w:pPr>
        <w:spacing w:line="480" w:lineRule="auto"/>
        <w:ind w:firstLineChars="200" w:firstLine="6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认真研究制定《预算编制和执行管理办法》、修订《财务审批程序及权限的规定》、《重要项目安排和大额资金使用管理规则》、《党组工作规则》。针对审计</w:t>
      </w:r>
      <w:r>
        <w:rPr>
          <w:rFonts w:ascii="仿宋_GB2312" w:eastAsia="仿宋_GB2312" w:hAnsi="宋体" w:hint="eastAsia"/>
          <w:color w:val="000000" w:themeColor="text1"/>
          <w:sz w:val="32"/>
          <w:szCs w:val="32"/>
        </w:rPr>
        <w:t>20</w:t>
      </w:r>
      <w:r>
        <w:rPr>
          <w:rFonts w:ascii="仿宋_GB2312" w:eastAsia="仿宋_GB2312" w:hAnsi="宋体" w:hint="eastAsia"/>
          <w:color w:val="000000" w:themeColor="text1"/>
          <w:sz w:val="32"/>
          <w:szCs w:val="32"/>
        </w:rPr>
        <w:t>20</w:t>
      </w:r>
      <w:r>
        <w:rPr>
          <w:rFonts w:ascii="仿宋_GB2312" w:eastAsia="仿宋_GB2312" w:hAnsi="宋体" w:hint="eastAsia"/>
          <w:color w:val="000000" w:themeColor="text1"/>
          <w:sz w:val="32"/>
          <w:szCs w:val="32"/>
        </w:rPr>
        <w:t>年度对我院审计工作中发现的问题进行整改。完善内部监督制度，加强内部审计工作，并配合做好审计、财政监督等外部监督工作，做好各项审计整改工作，确保财政资金安全有效。组织开展多轮次、多角度的业务培训，使全院干警牢固树立绩效理念。及时总结绩效管理成效，营造良好的舆论氛围。积极采取购买服务等方式，利用专业机构、高等院校力量开展工作，提升预算绩效管理科学水平</w:t>
      </w: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财务部门要加强与业务处室之间的沟通协调，早谋划，早布置，严格按照规范流程确保每一笔资金的使用都有的方式，真正实现人尽其才、物尽其用。进一步加强项目组织管理。按照区政府决策部署和工作实际，制定详实的项目实施计划，定期督导项目实施，及时组织项目自评，确保达到预期绩效目标。</w:t>
      </w:r>
    </w:p>
    <w:p w:rsidR="002F0D44" w:rsidRDefault="00A444B2">
      <w:pPr>
        <w:spacing w:line="480" w:lineRule="auto"/>
        <w:ind w:firstLineChars="200" w:firstLine="640"/>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充分认识项目专项资金绩效评价工作的重要意义，把此项工作放在工作的首位。扎实做好预算、组织、协调和控制的每一个环节，确保该项工作落实到位。进一步完善项目目标管理。落实绩效预算管理规定，切实加强项目管理，进一步细化、量化绩效指标，努力使目标做到</w:t>
      </w:r>
      <w:r>
        <w:rPr>
          <w:rFonts w:ascii="仿宋_GB2312" w:eastAsia="仿宋_GB2312" w:hAnsi="宋体"/>
          <w:color w:val="000000" w:themeColor="text1"/>
          <w:sz w:val="32"/>
          <w:szCs w:val="32"/>
        </w:rPr>
        <w:t>全面、合理、可评价。</w:t>
      </w:r>
    </w:p>
    <w:p w:rsidR="002F0D44" w:rsidRDefault="002F0D44" w:rsidP="00A444B2">
      <w:pPr>
        <w:rPr>
          <w:rFonts w:eastAsia="方正仿宋_GBK"/>
          <w:sz w:val="28"/>
        </w:rPr>
        <w:sectPr w:rsidR="002F0D44">
          <w:headerReference w:type="default" r:id="rId10"/>
          <w:footerReference w:type="default" r:id="rId11"/>
          <w:pgSz w:w="16839" w:h="11907" w:orient="landscape"/>
          <w:pgMar w:top="1304" w:right="1984" w:bottom="1304" w:left="1134" w:header="851" w:footer="992" w:gutter="0"/>
          <w:pgNumType w:start="1"/>
          <w:cols w:space="425"/>
          <w:docGrid w:type="lines" w:linePitch="312"/>
        </w:sectPr>
      </w:pPr>
    </w:p>
    <w:p w:rsidR="002F0D44" w:rsidRDefault="00A444B2">
      <w:r>
        <w:rPr>
          <w:rFonts w:ascii="方正小标宋_GBK" w:eastAsia="方正小标宋_GBK"/>
          <w:sz w:val="52"/>
        </w:rPr>
        <w:lastRenderedPageBreak/>
        <w:t xml:space="preserve"> </w:t>
      </w:r>
    </w:p>
    <w:p w:rsidR="002F0D44" w:rsidRDefault="00A444B2">
      <w:pPr>
        <w:ind w:firstLineChars="200" w:firstLine="640"/>
        <w:jc w:val="left"/>
        <w:outlineLvl w:val="1"/>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1</w:t>
      </w:r>
      <w:r>
        <w:rPr>
          <w:rFonts w:ascii="仿宋_GB2312" w:eastAsia="仿宋_GB2312" w:hAnsi="宋体" w:hint="eastAsia"/>
          <w:color w:val="000000" w:themeColor="text1"/>
          <w:sz w:val="32"/>
          <w:szCs w:val="32"/>
        </w:rPr>
        <w:t>、办案业务经费绩效目标表</w:t>
      </w:r>
      <w:r>
        <w:rPr>
          <w:rFonts w:ascii="仿宋_GB2312" w:eastAsia="仿宋_GB2312" w:hAnsi="宋体"/>
          <w:color w:val="000000" w:themeColor="text1"/>
          <w:sz w:val="32"/>
          <w:szCs w:val="32"/>
        </w:rPr>
        <w:fldChar w:fldCharType="begin"/>
      </w:r>
      <w:r>
        <w:rPr>
          <w:rFonts w:ascii="仿宋_GB2312" w:eastAsia="仿宋_GB2312" w:hAnsi="宋体"/>
          <w:color w:val="000000" w:themeColor="text1"/>
          <w:sz w:val="32"/>
          <w:szCs w:val="32"/>
        </w:rPr>
        <w:instrText xml:space="preserve"> </w:instrText>
      </w:r>
      <w:r>
        <w:rPr>
          <w:rFonts w:ascii="仿宋_GB2312" w:eastAsia="仿宋_GB2312" w:hAnsi="宋体" w:hint="eastAsia"/>
          <w:color w:val="000000" w:themeColor="text1"/>
          <w:sz w:val="32"/>
          <w:szCs w:val="32"/>
        </w:rPr>
        <w:instrText xml:space="preserve">TC </w:instrText>
      </w:r>
      <w:bookmarkStart w:id="1" w:name="_Toc42589643"/>
      <w:r>
        <w:rPr>
          <w:rFonts w:ascii="仿宋_GB2312" w:eastAsia="仿宋_GB2312" w:hAnsi="宋体" w:hint="eastAsia"/>
          <w:color w:val="000000" w:themeColor="text1"/>
          <w:sz w:val="32"/>
          <w:szCs w:val="32"/>
        </w:rPr>
        <w:instrText>1</w:instrText>
      </w:r>
      <w:r>
        <w:rPr>
          <w:rFonts w:ascii="仿宋_GB2312" w:eastAsia="仿宋_GB2312" w:hAnsi="宋体" w:hint="eastAsia"/>
          <w:color w:val="000000" w:themeColor="text1"/>
          <w:sz w:val="32"/>
          <w:szCs w:val="32"/>
        </w:rPr>
        <w:instrText>、办案业务经费绩效目标表</w:instrText>
      </w:r>
      <w:bookmarkEnd w:id="1"/>
      <w:r>
        <w:rPr>
          <w:rFonts w:ascii="仿宋_GB2312" w:eastAsia="仿宋_GB2312" w:hAnsi="宋体" w:hint="eastAsia"/>
          <w:color w:val="000000" w:themeColor="text1"/>
          <w:sz w:val="32"/>
          <w:szCs w:val="32"/>
        </w:rPr>
        <w:instrText xml:space="preserve"> \f C \l 1</w:instrText>
      </w:r>
      <w:r>
        <w:rPr>
          <w:rFonts w:ascii="仿宋_GB2312" w:eastAsia="仿宋_GB2312" w:hAnsi="宋体"/>
          <w:color w:val="000000" w:themeColor="text1"/>
          <w:sz w:val="32"/>
          <w:szCs w:val="32"/>
        </w:rPr>
        <w:instrText xml:space="preserve"> </w:instrText>
      </w:r>
      <w:r>
        <w:rPr>
          <w:rFonts w:ascii="仿宋_GB2312" w:eastAsia="仿宋_GB2312" w:hAnsi="宋体"/>
          <w:color w:val="000000" w:themeColor="text1"/>
          <w:sz w:val="32"/>
          <w:szCs w:val="32"/>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2F0D4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F0D44" w:rsidRDefault="002F0D44">
            <w:pPr>
              <w:spacing w:line="300" w:lineRule="exact"/>
              <w:jc w:val="left"/>
              <w:rPr>
                <w:rFonts w:ascii="仿宋_GB2312" w:eastAsia="仿宋_GB2312" w:hAnsi="宋体"/>
                <w:color w:val="000000" w:themeColor="text1"/>
                <w:sz w:val="32"/>
                <w:szCs w:val="32"/>
              </w:rPr>
            </w:pPr>
          </w:p>
        </w:tc>
        <w:tc>
          <w:tcPr>
            <w:tcW w:w="1701" w:type="dxa"/>
            <w:tcBorders>
              <w:top w:val="single" w:sz="6" w:space="0" w:color="FFFFFF"/>
              <w:left w:val="single" w:sz="6" w:space="0" w:color="FFFFFF"/>
              <w:right w:val="single" w:sz="6" w:space="0" w:color="FFFFFF"/>
            </w:tcBorders>
            <w:shd w:val="clear" w:color="auto" w:fill="auto"/>
            <w:vAlign w:val="center"/>
          </w:tcPr>
          <w:p w:rsidR="002F0D44" w:rsidRDefault="00A444B2">
            <w:pPr>
              <w:spacing w:line="30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单位：万元</w:t>
            </w:r>
          </w:p>
        </w:tc>
      </w:tr>
      <w:tr w:rsidR="002F0D44">
        <w:trPr>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项目编码</w:t>
            </w:r>
          </w:p>
        </w:tc>
        <w:tc>
          <w:tcPr>
            <w:tcW w:w="2410" w:type="dxa"/>
            <w:gridSpan w:val="2"/>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137-0401-JBN-CB07</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项目名称</w:t>
            </w:r>
          </w:p>
        </w:tc>
        <w:tc>
          <w:tcPr>
            <w:tcW w:w="4281" w:type="dxa"/>
            <w:gridSpan w:val="3"/>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办案业务经费</w:t>
            </w:r>
          </w:p>
        </w:tc>
      </w:tr>
      <w:tr w:rsidR="002F0D44">
        <w:trPr>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预算规模及资金用途</w:t>
            </w:r>
          </w:p>
        </w:tc>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预算数</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50.00</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其中：财政资金</w:t>
            </w:r>
          </w:p>
        </w:tc>
        <w:tc>
          <w:tcPr>
            <w:tcW w:w="130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50.00</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其他资金</w:t>
            </w:r>
          </w:p>
        </w:tc>
        <w:tc>
          <w:tcPr>
            <w:tcW w:w="1701" w:type="dxa"/>
            <w:shd w:val="clear" w:color="auto" w:fill="auto"/>
            <w:vAlign w:val="center"/>
          </w:tcPr>
          <w:p w:rsidR="002F0D44" w:rsidRDefault="002F0D44">
            <w:pPr>
              <w:spacing w:line="300" w:lineRule="exact"/>
              <w:jc w:val="left"/>
              <w:rPr>
                <w:rFonts w:ascii="仿宋_GB2312" w:eastAsia="仿宋_GB2312" w:hAnsi="宋体"/>
                <w:color w:val="000000" w:themeColor="text1"/>
                <w:sz w:val="32"/>
                <w:szCs w:val="32"/>
              </w:rPr>
            </w:pPr>
          </w:p>
        </w:tc>
      </w:tr>
      <w:tr w:rsidR="002F0D44">
        <w:trPr>
          <w:trHeight w:val="369"/>
          <w:jc w:val="center"/>
        </w:trPr>
        <w:tc>
          <w:tcPr>
            <w:tcW w:w="1134" w:type="dxa"/>
            <w:vMerge/>
            <w:shd w:val="clear" w:color="auto" w:fill="auto"/>
            <w:vAlign w:val="center"/>
          </w:tcPr>
          <w:p w:rsidR="002F0D44" w:rsidRDefault="002F0D44">
            <w:pPr>
              <w:spacing w:line="300" w:lineRule="exact"/>
              <w:jc w:val="left"/>
              <w:outlineLvl w:val="1"/>
              <w:rPr>
                <w:rFonts w:ascii="仿宋_GB2312" w:eastAsia="仿宋_GB2312" w:hAnsi="宋体"/>
                <w:color w:val="000000" w:themeColor="text1"/>
                <w:sz w:val="32"/>
                <w:szCs w:val="32"/>
              </w:rPr>
            </w:pPr>
          </w:p>
        </w:tc>
        <w:tc>
          <w:tcPr>
            <w:tcW w:w="8278" w:type="dxa"/>
            <w:gridSpan w:val="6"/>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执行本院已经发生法律效力的法律文书和法律规定由本院执行的其他生效法律文书及委托执行案件。</w:t>
            </w:r>
          </w:p>
        </w:tc>
      </w:tr>
      <w:tr w:rsidR="002F0D44">
        <w:trPr>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资金支出计划（</w:t>
            </w:r>
            <w:r>
              <w:rPr>
                <w:rFonts w:ascii="仿宋_GB2312" w:eastAsia="仿宋_GB2312" w:hAnsi="宋体"/>
                <w:color w:val="000000" w:themeColor="text1"/>
                <w:sz w:val="32"/>
                <w:szCs w:val="32"/>
              </w:rPr>
              <w:t>%</w:t>
            </w:r>
            <w:r>
              <w:rPr>
                <w:rFonts w:ascii="仿宋_GB2312" w:eastAsia="仿宋_GB2312" w:hAnsi="宋体" w:hint="eastAsia"/>
                <w:color w:val="000000" w:themeColor="text1"/>
                <w:sz w:val="32"/>
                <w:szCs w:val="32"/>
              </w:rPr>
              <w:t>）</w:t>
            </w:r>
          </w:p>
        </w:tc>
        <w:tc>
          <w:tcPr>
            <w:tcW w:w="2410" w:type="dxa"/>
            <w:gridSpan w:val="2"/>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3</w:t>
            </w:r>
            <w:r>
              <w:rPr>
                <w:rFonts w:ascii="仿宋_GB2312" w:eastAsia="仿宋_GB2312" w:hAnsi="宋体" w:hint="eastAsia"/>
                <w:color w:val="000000" w:themeColor="text1"/>
                <w:sz w:val="32"/>
                <w:szCs w:val="32"/>
              </w:rPr>
              <w:t>月底</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6</w:t>
            </w:r>
            <w:r>
              <w:rPr>
                <w:rFonts w:ascii="仿宋_GB2312" w:eastAsia="仿宋_GB2312" w:hAnsi="宋体" w:hint="eastAsia"/>
                <w:color w:val="000000" w:themeColor="text1"/>
                <w:sz w:val="32"/>
                <w:szCs w:val="32"/>
              </w:rPr>
              <w:t>月底</w:t>
            </w:r>
          </w:p>
        </w:tc>
        <w:tc>
          <w:tcPr>
            <w:tcW w:w="130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10</w:t>
            </w:r>
            <w:r>
              <w:rPr>
                <w:rFonts w:ascii="仿宋_GB2312" w:eastAsia="仿宋_GB2312" w:hAnsi="宋体" w:hint="eastAsia"/>
                <w:color w:val="000000" w:themeColor="text1"/>
                <w:sz w:val="32"/>
                <w:szCs w:val="32"/>
              </w:rPr>
              <w:t>月底</w:t>
            </w:r>
          </w:p>
        </w:tc>
        <w:tc>
          <w:tcPr>
            <w:tcW w:w="2977" w:type="dxa"/>
            <w:gridSpan w:val="2"/>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12</w:t>
            </w:r>
            <w:r>
              <w:rPr>
                <w:rFonts w:ascii="仿宋_GB2312" w:eastAsia="仿宋_GB2312" w:hAnsi="宋体" w:hint="eastAsia"/>
                <w:color w:val="000000" w:themeColor="text1"/>
                <w:sz w:val="32"/>
                <w:szCs w:val="32"/>
              </w:rPr>
              <w:t>月底</w:t>
            </w:r>
          </w:p>
        </w:tc>
      </w:tr>
      <w:tr w:rsidR="002F0D44">
        <w:trPr>
          <w:trHeight w:val="369"/>
          <w:jc w:val="center"/>
        </w:trPr>
        <w:tc>
          <w:tcPr>
            <w:tcW w:w="1134" w:type="dxa"/>
            <w:vMerge/>
            <w:tcBorders>
              <w:bottom w:val="single" w:sz="6" w:space="0" w:color="000000"/>
            </w:tcBorders>
            <w:shd w:val="clear" w:color="auto" w:fill="auto"/>
            <w:vAlign w:val="center"/>
          </w:tcPr>
          <w:p w:rsidR="002F0D44" w:rsidRDefault="002F0D44">
            <w:pPr>
              <w:spacing w:line="300" w:lineRule="exact"/>
              <w:jc w:val="left"/>
              <w:outlineLvl w:val="1"/>
              <w:rPr>
                <w:rFonts w:ascii="仿宋_GB2312" w:eastAsia="仿宋_GB2312" w:hAnsi="宋体"/>
                <w:color w:val="000000" w:themeColor="text1"/>
                <w:sz w:val="32"/>
                <w:szCs w:val="32"/>
              </w:rPr>
            </w:pPr>
          </w:p>
        </w:tc>
        <w:tc>
          <w:tcPr>
            <w:tcW w:w="2410" w:type="dxa"/>
            <w:gridSpan w:val="2"/>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c>
          <w:tcPr>
            <w:tcW w:w="1587" w:type="dxa"/>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c>
          <w:tcPr>
            <w:tcW w:w="1304" w:type="dxa"/>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c>
          <w:tcPr>
            <w:tcW w:w="2977" w:type="dxa"/>
            <w:gridSpan w:val="2"/>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r>
      <w:tr w:rsidR="002F0D44">
        <w:trPr>
          <w:trHeight w:val="369"/>
          <w:jc w:val="center"/>
        </w:trPr>
        <w:tc>
          <w:tcPr>
            <w:tcW w:w="1134" w:type="dxa"/>
            <w:tcBorders>
              <w:bottom w:val="nil"/>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绩效目标</w:t>
            </w:r>
          </w:p>
        </w:tc>
        <w:tc>
          <w:tcPr>
            <w:tcW w:w="8278" w:type="dxa"/>
            <w:gridSpan w:val="6"/>
            <w:tcBorders>
              <w:bottom w:val="nil"/>
            </w:tcBorders>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w:t>
            </w:r>
            <w:r>
              <w:rPr>
                <w:rFonts w:ascii="仿宋_GB2312" w:eastAsia="仿宋_GB2312" w:hAnsi="宋体" w:hint="eastAsia"/>
                <w:color w:val="000000" w:themeColor="text1"/>
                <w:sz w:val="32"/>
                <w:szCs w:val="32"/>
              </w:rPr>
              <w:t>、执行本院已经发生法律效力的法律文书和法律规定</w:t>
            </w:r>
          </w:p>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2</w:t>
            </w:r>
            <w:r>
              <w:rPr>
                <w:rFonts w:ascii="仿宋_GB2312" w:eastAsia="仿宋_GB2312" w:hAnsi="宋体" w:hint="eastAsia"/>
                <w:color w:val="000000" w:themeColor="text1"/>
                <w:sz w:val="32"/>
                <w:szCs w:val="32"/>
              </w:rPr>
              <w:t>、由本院执行的其他生效法律文书及委托执行案件。</w:t>
            </w:r>
          </w:p>
        </w:tc>
      </w:tr>
    </w:tbl>
    <w:p w:rsidR="002F0D44" w:rsidRDefault="00A444B2">
      <w:pPr>
        <w:spacing w:line="14" w:lineRule="exact"/>
        <w:ind w:firstLineChars="200" w:firstLine="640"/>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F0D44">
        <w:trPr>
          <w:cantSplit/>
          <w:trHeight w:val="397"/>
          <w:tblHeader/>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一级指标</w:t>
            </w:r>
          </w:p>
        </w:tc>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二级指标</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三级指标</w:t>
            </w:r>
          </w:p>
        </w:tc>
        <w:tc>
          <w:tcPr>
            <w:tcW w:w="2891"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绩效指标描述</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指标值</w:t>
            </w:r>
          </w:p>
        </w:tc>
        <w:tc>
          <w:tcPr>
            <w:tcW w:w="1701"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指标值确定依据</w:t>
            </w:r>
          </w:p>
        </w:tc>
      </w:tr>
      <w:tr w:rsidR="002F0D44">
        <w:trPr>
          <w:cantSplit/>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产出指标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数量指标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案件结案率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案件判决数占审判案件总数的比例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80%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结案率</w:t>
            </w:r>
          </w:p>
        </w:tc>
      </w:tr>
      <w:tr w:rsidR="002F0D44">
        <w:trPr>
          <w:cantSplit/>
          <w:trHeight w:val="369"/>
          <w:jc w:val="center"/>
        </w:trPr>
        <w:tc>
          <w:tcPr>
            <w:tcW w:w="1134" w:type="dxa"/>
            <w:vMerge/>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质量指标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审判流程合</w:t>
            </w:r>
            <w:proofErr w:type="gramStart"/>
            <w:r>
              <w:rPr>
                <w:rFonts w:ascii="仿宋_GB2312" w:eastAsia="仿宋_GB2312" w:hAnsi="宋体" w:hint="eastAsia"/>
                <w:color w:val="000000" w:themeColor="text1"/>
                <w:sz w:val="32"/>
                <w:szCs w:val="32"/>
              </w:rPr>
              <w:t>规</w:t>
            </w:r>
            <w:proofErr w:type="gramEnd"/>
            <w:r>
              <w:rPr>
                <w:rFonts w:ascii="仿宋_GB2312" w:eastAsia="仿宋_GB2312" w:hAnsi="宋体" w:hint="eastAsia"/>
                <w:color w:val="000000" w:themeColor="text1"/>
                <w:sz w:val="32"/>
                <w:szCs w:val="32"/>
              </w:rPr>
              <w:t>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纳入审判管理流程案件占全部案件的比例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合</w:t>
            </w:r>
            <w:proofErr w:type="gramStart"/>
            <w:r>
              <w:rPr>
                <w:rFonts w:ascii="仿宋_GB2312" w:eastAsia="仿宋_GB2312" w:hAnsi="宋体" w:hint="eastAsia"/>
                <w:color w:val="000000" w:themeColor="text1"/>
                <w:sz w:val="32"/>
                <w:szCs w:val="32"/>
              </w:rPr>
              <w:t>规</w:t>
            </w:r>
            <w:proofErr w:type="gramEnd"/>
            <w:r>
              <w:rPr>
                <w:rFonts w:ascii="仿宋_GB2312" w:eastAsia="仿宋_GB2312" w:hAnsi="宋体" w:hint="eastAsia"/>
                <w:color w:val="000000" w:themeColor="text1"/>
                <w:sz w:val="32"/>
                <w:szCs w:val="32"/>
              </w:rPr>
              <w:t>率</w:t>
            </w:r>
          </w:p>
        </w:tc>
      </w:tr>
      <w:tr w:rsidR="002F0D44">
        <w:trPr>
          <w:cantSplit/>
          <w:trHeight w:val="369"/>
          <w:jc w:val="center"/>
        </w:trPr>
        <w:tc>
          <w:tcPr>
            <w:tcW w:w="1134" w:type="dxa"/>
            <w:vMerge/>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时效指标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平均审理天数（天）</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全部案件的审理天数与结案总数的比</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95%</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审理天数</w:t>
            </w:r>
          </w:p>
        </w:tc>
      </w:tr>
      <w:tr w:rsidR="002F0D44">
        <w:trPr>
          <w:cantSplit/>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效果指标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社会效益指标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审判流程公开率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审判流程公开案件占全部案件的比例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公开率</w:t>
            </w:r>
          </w:p>
        </w:tc>
      </w:tr>
      <w:tr w:rsidR="002F0D44">
        <w:trPr>
          <w:cantSplit/>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满意度指标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服务对象满意度指标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群众满意度</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群众满意数量占总数的比例。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满意度</w:t>
            </w:r>
          </w:p>
        </w:tc>
      </w:tr>
    </w:tbl>
    <w:p w:rsidR="002F0D44" w:rsidRDefault="002F0D44">
      <w:pPr>
        <w:spacing w:line="300" w:lineRule="exact"/>
        <w:ind w:firstLineChars="200" w:firstLine="640"/>
        <w:jc w:val="left"/>
        <w:rPr>
          <w:rFonts w:ascii="仿宋_GB2312" w:eastAsia="仿宋_GB2312" w:hAnsi="宋体"/>
          <w:color w:val="000000" w:themeColor="text1"/>
          <w:sz w:val="32"/>
          <w:szCs w:val="32"/>
        </w:rPr>
        <w:sectPr w:rsidR="002F0D44">
          <w:pgSz w:w="11907" w:h="16839"/>
          <w:pgMar w:top="1984" w:right="1304" w:bottom="1134" w:left="1304" w:header="851" w:footer="992" w:gutter="0"/>
          <w:cols w:space="425"/>
          <w:docGrid w:type="lines" w:linePitch="312"/>
        </w:sectPr>
      </w:pPr>
    </w:p>
    <w:p w:rsidR="002F0D44" w:rsidRDefault="002F0D44">
      <w:pPr>
        <w:spacing w:line="300" w:lineRule="exact"/>
        <w:ind w:firstLineChars="200" w:firstLine="420"/>
        <w:jc w:val="left"/>
      </w:pPr>
    </w:p>
    <w:p w:rsidR="002F0D44" w:rsidRDefault="00A444B2">
      <w:pPr>
        <w:ind w:firstLineChars="200" w:firstLine="640"/>
        <w:jc w:val="left"/>
        <w:outlineLvl w:val="1"/>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w:t>
      </w:r>
      <w:r>
        <w:rPr>
          <w:rFonts w:ascii="仿宋_GB2312" w:eastAsia="仿宋_GB2312" w:hAnsi="宋体" w:hint="eastAsia"/>
          <w:color w:val="000000" w:themeColor="text1"/>
          <w:sz w:val="32"/>
          <w:szCs w:val="32"/>
        </w:rPr>
        <w:t>、法检大楼物业服务费绩效目标表</w:t>
      </w:r>
      <w:r>
        <w:rPr>
          <w:rFonts w:ascii="仿宋_GB2312" w:eastAsia="仿宋_GB2312" w:hAnsi="宋体"/>
          <w:color w:val="000000" w:themeColor="text1"/>
          <w:sz w:val="32"/>
          <w:szCs w:val="32"/>
        </w:rPr>
        <w:fldChar w:fldCharType="begin"/>
      </w:r>
      <w:r>
        <w:rPr>
          <w:rFonts w:ascii="仿宋_GB2312" w:eastAsia="仿宋_GB2312" w:hAnsi="宋体"/>
          <w:color w:val="000000" w:themeColor="text1"/>
          <w:sz w:val="32"/>
          <w:szCs w:val="32"/>
        </w:rPr>
        <w:instrText xml:space="preserve"> </w:instrText>
      </w:r>
      <w:r>
        <w:rPr>
          <w:rFonts w:ascii="仿宋_GB2312" w:eastAsia="仿宋_GB2312" w:hAnsi="宋体" w:hint="eastAsia"/>
          <w:color w:val="000000" w:themeColor="text1"/>
          <w:sz w:val="32"/>
          <w:szCs w:val="32"/>
        </w:rPr>
        <w:instrText xml:space="preserve">TC </w:instrText>
      </w:r>
      <w:bookmarkStart w:id="2" w:name="_Toc42589644"/>
      <w:r>
        <w:rPr>
          <w:rFonts w:ascii="仿宋_GB2312" w:eastAsia="仿宋_GB2312" w:hAnsi="宋体" w:hint="eastAsia"/>
          <w:color w:val="000000" w:themeColor="text1"/>
          <w:sz w:val="32"/>
          <w:szCs w:val="32"/>
        </w:rPr>
        <w:instrText>2</w:instrText>
      </w:r>
      <w:r>
        <w:rPr>
          <w:rFonts w:ascii="仿宋_GB2312" w:eastAsia="仿宋_GB2312" w:hAnsi="宋体" w:hint="eastAsia"/>
          <w:color w:val="000000" w:themeColor="text1"/>
          <w:sz w:val="32"/>
          <w:szCs w:val="32"/>
        </w:rPr>
        <w:instrText>、法检大楼物业服务费绩效目标表</w:instrText>
      </w:r>
      <w:bookmarkEnd w:id="2"/>
      <w:r>
        <w:rPr>
          <w:rFonts w:ascii="仿宋_GB2312" w:eastAsia="仿宋_GB2312" w:hAnsi="宋体" w:hint="eastAsia"/>
          <w:color w:val="000000" w:themeColor="text1"/>
          <w:sz w:val="32"/>
          <w:szCs w:val="32"/>
        </w:rPr>
        <w:instrText xml:space="preserve"> \f C \l 1</w:instrText>
      </w:r>
      <w:r>
        <w:rPr>
          <w:rFonts w:ascii="仿宋_GB2312" w:eastAsia="仿宋_GB2312" w:hAnsi="宋体"/>
          <w:color w:val="000000" w:themeColor="text1"/>
          <w:sz w:val="32"/>
          <w:szCs w:val="32"/>
        </w:rPr>
        <w:instrText xml:space="preserve"> </w:instrText>
      </w:r>
      <w:r>
        <w:rPr>
          <w:rFonts w:ascii="仿宋_GB2312" w:eastAsia="仿宋_GB2312" w:hAnsi="宋体"/>
          <w:color w:val="000000" w:themeColor="text1"/>
          <w:sz w:val="32"/>
          <w:szCs w:val="32"/>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2F0D4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F0D44" w:rsidRDefault="002F0D44">
            <w:pPr>
              <w:spacing w:line="300" w:lineRule="exact"/>
              <w:jc w:val="left"/>
              <w:rPr>
                <w:rFonts w:ascii="仿宋_GB2312" w:eastAsia="仿宋_GB2312" w:hAnsi="宋体"/>
                <w:color w:val="000000" w:themeColor="text1"/>
                <w:sz w:val="32"/>
                <w:szCs w:val="32"/>
              </w:rPr>
            </w:pPr>
          </w:p>
        </w:tc>
        <w:tc>
          <w:tcPr>
            <w:tcW w:w="1701" w:type="dxa"/>
            <w:tcBorders>
              <w:top w:val="single" w:sz="6" w:space="0" w:color="FFFFFF"/>
              <w:left w:val="single" w:sz="6" w:space="0" w:color="FFFFFF"/>
              <w:right w:val="single" w:sz="6" w:space="0" w:color="FFFFFF"/>
            </w:tcBorders>
            <w:shd w:val="clear" w:color="auto" w:fill="auto"/>
            <w:vAlign w:val="center"/>
          </w:tcPr>
          <w:p w:rsidR="002F0D44" w:rsidRDefault="00A444B2">
            <w:pPr>
              <w:spacing w:line="30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单位：万元</w:t>
            </w:r>
          </w:p>
        </w:tc>
      </w:tr>
      <w:tr w:rsidR="002F0D44">
        <w:trPr>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项目编码</w:t>
            </w:r>
          </w:p>
        </w:tc>
        <w:tc>
          <w:tcPr>
            <w:tcW w:w="2410" w:type="dxa"/>
            <w:gridSpan w:val="2"/>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137-0501-JBN-YQUG</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项目名称</w:t>
            </w:r>
          </w:p>
        </w:tc>
        <w:tc>
          <w:tcPr>
            <w:tcW w:w="4281" w:type="dxa"/>
            <w:gridSpan w:val="3"/>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法检大楼物业服务费</w:t>
            </w:r>
          </w:p>
        </w:tc>
      </w:tr>
      <w:tr w:rsidR="002F0D44">
        <w:trPr>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预算规模及资金用途</w:t>
            </w:r>
          </w:p>
        </w:tc>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预算数</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96.00</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其中：财政资金</w:t>
            </w:r>
          </w:p>
        </w:tc>
        <w:tc>
          <w:tcPr>
            <w:tcW w:w="130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96.00</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其他资金</w:t>
            </w:r>
          </w:p>
        </w:tc>
        <w:tc>
          <w:tcPr>
            <w:tcW w:w="1701" w:type="dxa"/>
            <w:shd w:val="clear" w:color="auto" w:fill="auto"/>
            <w:vAlign w:val="center"/>
          </w:tcPr>
          <w:p w:rsidR="002F0D44" w:rsidRDefault="002F0D44">
            <w:pPr>
              <w:spacing w:line="300" w:lineRule="exact"/>
              <w:jc w:val="left"/>
              <w:rPr>
                <w:rFonts w:ascii="仿宋_GB2312" w:eastAsia="仿宋_GB2312" w:hAnsi="宋体"/>
                <w:color w:val="000000" w:themeColor="text1"/>
                <w:sz w:val="32"/>
                <w:szCs w:val="32"/>
              </w:rPr>
            </w:pPr>
          </w:p>
        </w:tc>
      </w:tr>
      <w:tr w:rsidR="002F0D44">
        <w:trPr>
          <w:trHeight w:val="369"/>
          <w:jc w:val="center"/>
        </w:trPr>
        <w:tc>
          <w:tcPr>
            <w:tcW w:w="1134" w:type="dxa"/>
            <w:vMerge/>
            <w:shd w:val="clear" w:color="auto" w:fill="auto"/>
            <w:vAlign w:val="center"/>
          </w:tcPr>
          <w:p w:rsidR="002F0D44" w:rsidRDefault="002F0D44">
            <w:pPr>
              <w:spacing w:line="300" w:lineRule="exact"/>
              <w:jc w:val="left"/>
              <w:outlineLvl w:val="1"/>
              <w:rPr>
                <w:rFonts w:ascii="仿宋_GB2312" w:eastAsia="仿宋_GB2312" w:hAnsi="宋体"/>
                <w:color w:val="000000" w:themeColor="text1"/>
                <w:sz w:val="32"/>
                <w:szCs w:val="32"/>
              </w:rPr>
            </w:pPr>
          </w:p>
        </w:tc>
        <w:tc>
          <w:tcPr>
            <w:tcW w:w="8278" w:type="dxa"/>
            <w:gridSpan w:val="6"/>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加强法院基础建设，按照合同约定支付法检大楼物业服务费。</w:t>
            </w:r>
          </w:p>
        </w:tc>
      </w:tr>
      <w:tr w:rsidR="002F0D44">
        <w:trPr>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资金支出计划（</w:t>
            </w:r>
            <w:r>
              <w:rPr>
                <w:rFonts w:ascii="仿宋_GB2312" w:eastAsia="仿宋_GB2312" w:hAnsi="宋体"/>
                <w:color w:val="000000" w:themeColor="text1"/>
                <w:sz w:val="32"/>
                <w:szCs w:val="32"/>
              </w:rPr>
              <w:t>%</w:t>
            </w:r>
            <w:r>
              <w:rPr>
                <w:rFonts w:ascii="仿宋_GB2312" w:eastAsia="仿宋_GB2312" w:hAnsi="宋体" w:hint="eastAsia"/>
                <w:color w:val="000000" w:themeColor="text1"/>
                <w:sz w:val="32"/>
                <w:szCs w:val="32"/>
              </w:rPr>
              <w:t>）</w:t>
            </w:r>
          </w:p>
        </w:tc>
        <w:tc>
          <w:tcPr>
            <w:tcW w:w="2410" w:type="dxa"/>
            <w:gridSpan w:val="2"/>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3</w:t>
            </w:r>
            <w:r>
              <w:rPr>
                <w:rFonts w:ascii="仿宋_GB2312" w:eastAsia="仿宋_GB2312" w:hAnsi="宋体" w:hint="eastAsia"/>
                <w:color w:val="000000" w:themeColor="text1"/>
                <w:sz w:val="32"/>
                <w:szCs w:val="32"/>
              </w:rPr>
              <w:t>月底</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6</w:t>
            </w:r>
            <w:r>
              <w:rPr>
                <w:rFonts w:ascii="仿宋_GB2312" w:eastAsia="仿宋_GB2312" w:hAnsi="宋体" w:hint="eastAsia"/>
                <w:color w:val="000000" w:themeColor="text1"/>
                <w:sz w:val="32"/>
                <w:szCs w:val="32"/>
              </w:rPr>
              <w:t>月底</w:t>
            </w:r>
          </w:p>
        </w:tc>
        <w:tc>
          <w:tcPr>
            <w:tcW w:w="130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10</w:t>
            </w:r>
            <w:r>
              <w:rPr>
                <w:rFonts w:ascii="仿宋_GB2312" w:eastAsia="仿宋_GB2312" w:hAnsi="宋体" w:hint="eastAsia"/>
                <w:color w:val="000000" w:themeColor="text1"/>
                <w:sz w:val="32"/>
                <w:szCs w:val="32"/>
              </w:rPr>
              <w:t>月底</w:t>
            </w:r>
          </w:p>
        </w:tc>
        <w:tc>
          <w:tcPr>
            <w:tcW w:w="2977" w:type="dxa"/>
            <w:gridSpan w:val="2"/>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12</w:t>
            </w:r>
            <w:r>
              <w:rPr>
                <w:rFonts w:ascii="仿宋_GB2312" w:eastAsia="仿宋_GB2312" w:hAnsi="宋体" w:hint="eastAsia"/>
                <w:color w:val="000000" w:themeColor="text1"/>
                <w:sz w:val="32"/>
                <w:szCs w:val="32"/>
              </w:rPr>
              <w:t>月底</w:t>
            </w:r>
          </w:p>
        </w:tc>
      </w:tr>
      <w:tr w:rsidR="002F0D44">
        <w:trPr>
          <w:trHeight w:val="369"/>
          <w:jc w:val="center"/>
        </w:trPr>
        <w:tc>
          <w:tcPr>
            <w:tcW w:w="1134" w:type="dxa"/>
            <w:vMerge/>
            <w:tcBorders>
              <w:bottom w:val="single" w:sz="6" w:space="0" w:color="000000"/>
            </w:tcBorders>
            <w:shd w:val="clear" w:color="auto" w:fill="auto"/>
            <w:vAlign w:val="center"/>
          </w:tcPr>
          <w:p w:rsidR="002F0D44" w:rsidRDefault="002F0D44">
            <w:pPr>
              <w:spacing w:line="300" w:lineRule="exact"/>
              <w:jc w:val="left"/>
              <w:outlineLvl w:val="1"/>
              <w:rPr>
                <w:rFonts w:ascii="仿宋_GB2312" w:eastAsia="仿宋_GB2312" w:hAnsi="宋体"/>
                <w:color w:val="000000" w:themeColor="text1"/>
                <w:sz w:val="32"/>
                <w:szCs w:val="32"/>
              </w:rPr>
            </w:pPr>
          </w:p>
        </w:tc>
        <w:tc>
          <w:tcPr>
            <w:tcW w:w="2410" w:type="dxa"/>
            <w:gridSpan w:val="2"/>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c>
          <w:tcPr>
            <w:tcW w:w="1587" w:type="dxa"/>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c>
          <w:tcPr>
            <w:tcW w:w="1304" w:type="dxa"/>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c>
          <w:tcPr>
            <w:tcW w:w="2977" w:type="dxa"/>
            <w:gridSpan w:val="2"/>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r>
      <w:tr w:rsidR="002F0D44">
        <w:trPr>
          <w:trHeight w:val="369"/>
          <w:jc w:val="center"/>
        </w:trPr>
        <w:tc>
          <w:tcPr>
            <w:tcW w:w="1134" w:type="dxa"/>
            <w:tcBorders>
              <w:bottom w:val="nil"/>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绩效目标</w:t>
            </w:r>
          </w:p>
        </w:tc>
        <w:tc>
          <w:tcPr>
            <w:tcW w:w="8278" w:type="dxa"/>
            <w:gridSpan w:val="6"/>
            <w:tcBorders>
              <w:bottom w:val="nil"/>
            </w:tcBorders>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w:t>
            </w:r>
            <w:r>
              <w:rPr>
                <w:rFonts w:ascii="仿宋_GB2312" w:eastAsia="仿宋_GB2312" w:hAnsi="宋体" w:hint="eastAsia"/>
                <w:color w:val="000000" w:themeColor="text1"/>
                <w:sz w:val="32"/>
                <w:szCs w:val="32"/>
              </w:rPr>
              <w:t>、加强法院基础建设</w:t>
            </w:r>
          </w:p>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2</w:t>
            </w:r>
            <w:r>
              <w:rPr>
                <w:rFonts w:ascii="仿宋_GB2312" w:eastAsia="仿宋_GB2312" w:hAnsi="宋体" w:hint="eastAsia"/>
                <w:color w:val="000000" w:themeColor="text1"/>
                <w:sz w:val="32"/>
                <w:szCs w:val="32"/>
              </w:rPr>
              <w:t>、按照合同约定支付</w:t>
            </w:r>
          </w:p>
        </w:tc>
      </w:tr>
    </w:tbl>
    <w:p w:rsidR="002F0D44" w:rsidRDefault="00A444B2">
      <w:pPr>
        <w:spacing w:line="14" w:lineRule="exact"/>
        <w:ind w:firstLineChars="200" w:firstLine="640"/>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F0D44">
        <w:trPr>
          <w:cantSplit/>
          <w:trHeight w:val="397"/>
          <w:tblHeader/>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一级指标</w:t>
            </w:r>
          </w:p>
        </w:tc>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二级指标</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三级指标</w:t>
            </w:r>
          </w:p>
        </w:tc>
        <w:tc>
          <w:tcPr>
            <w:tcW w:w="2891"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绩效指标描述</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指标值</w:t>
            </w:r>
          </w:p>
        </w:tc>
        <w:tc>
          <w:tcPr>
            <w:tcW w:w="1701"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指标值确定依据</w:t>
            </w:r>
          </w:p>
        </w:tc>
      </w:tr>
      <w:tr w:rsidR="002F0D44">
        <w:trPr>
          <w:cantSplit/>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产出指标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质量指标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服务质量</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按合同内容完成服务质量</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是</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服务完成情况</w:t>
            </w:r>
          </w:p>
        </w:tc>
      </w:tr>
      <w:tr w:rsidR="002F0D44">
        <w:trPr>
          <w:cantSplit/>
          <w:trHeight w:val="369"/>
          <w:jc w:val="center"/>
        </w:trPr>
        <w:tc>
          <w:tcPr>
            <w:tcW w:w="1134" w:type="dxa"/>
            <w:vMerge/>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时效指标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是否资金按规定支出</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是否按照合同约定时间及时付款</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是</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时效完成情况</w:t>
            </w:r>
          </w:p>
        </w:tc>
      </w:tr>
      <w:tr w:rsidR="002F0D44">
        <w:trPr>
          <w:cantSplit/>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效果指标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社会效益指标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是否消除安全隐患</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是否给院内人员及来办案人员消除安全隐患</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是</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经济效益情况</w:t>
            </w:r>
          </w:p>
        </w:tc>
      </w:tr>
      <w:tr w:rsidR="002F0D44">
        <w:trPr>
          <w:cantSplit/>
          <w:trHeight w:val="369"/>
          <w:jc w:val="center"/>
        </w:trPr>
        <w:tc>
          <w:tcPr>
            <w:tcW w:w="1134" w:type="dxa"/>
            <w:vMerge/>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可持续影响指标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是否梅花工作环境及安全</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按合同完成美化环境，为办公人员提供安全度</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是</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综合评价</w:t>
            </w:r>
          </w:p>
        </w:tc>
      </w:tr>
      <w:tr w:rsidR="002F0D44">
        <w:trPr>
          <w:cantSplit/>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满意度指标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服务对象满意度指标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对象满意程度</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服务对象的满意程度</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满意程度</w:t>
            </w:r>
          </w:p>
        </w:tc>
      </w:tr>
    </w:tbl>
    <w:p w:rsidR="002F0D44" w:rsidRDefault="002F0D44">
      <w:pPr>
        <w:spacing w:line="300" w:lineRule="exact"/>
        <w:ind w:firstLineChars="200" w:firstLine="640"/>
        <w:jc w:val="left"/>
        <w:rPr>
          <w:rFonts w:ascii="仿宋_GB2312" w:eastAsia="仿宋_GB2312" w:hAnsi="宋体"/>
          <w:color w:val="000000" w:themeColor="text1"/>
          <w:sz w:val="32"/>
          <w:szCs w:val="32"/>
        </w:rPr>
        <w:sectPr w:rsidR="002F0D44">
          <w:pgSz w:w="11907" w:h="16839"/>
          <w:pgMar w:top="1984" w:right="1304" w:bottom="1134" w:left="1304" w:header="851" w:footer="992" w:gutter="0"/>
          <w:cols w:space="425"/>
          <w:docGrid w:type="lines" w:linePitch="312"/>
        </w:sectPr>
      </w:pPr>
    </w:p>
    <w:p w:rsidR="002F0D44" w:rsidRDefault="002F0D44">
      <w:pPr>
        <w:spacing w:line="300" w:lineRule="exact"/>
        <w:ind w:firstLineChars="200" w:firstLine="640"/>
        <w:jc w:val="left"/>
        <w:rPr>
          <w:rFonts w:ascii="仿宋_GB2312" w:eastAsia="仿宋_GB2312" w:hAnsi="宋体"/>
          <w:color w:val="000000" w:themeColor="text1"/>
          <w:sz w:val="32"/>
          <w:szCs w:val="32"/>
        </w:rPr>
      </w:pPr>
    </w:p>
    <w:p w:rsidR="002F0D44" w:rsidRDefault="00A444B2">
      <w:pPr>
        <w:ind w:firstLineChars="200" w:firstLine="640"/>
        <w:jc w:val="left"/>
        <w:outlineLvl w:val="1"/>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3</w:t>
      </w:r>
      <w:r>
        <w:rPr>
          <w:rFonts w:ascii="仿宋_GB2312" w:eastAsia="仿宋_GB2312" w:hAnsi="宋体" w:hint="eastAsia"/>
          <w:color w:val="000000" w:themeColor="text1"/>
          <w:sz w:val="32"/>
          <w:szCs w:val="32"/>
        </w:rPr>
        <w:t>、</w:t>
      </w:r>
      <w:r>
        <w:rPr>
          <w:rFonts w:ascii="仿宋_GB2312" w:eastAsia="仿宋_GB2312" w:hAnsi="宋体" w:hint="eastAsia"/>
          <w:color w:val="000000" w:themeColor="text1"/>
          <w:sz w:val="32"/>
          <w:szCs w:val="32"/>
        </w:rPr>
        <w:t>消防设备</w:t>
      </w:r>
      <w:r>
        <w:rPr>
          <w:rFonts w:ascii="仿宋_GB2312" w:eastAsia="仿宋_GB2312" w:hAnsi="宋体" w:hint="eastAsia"/>
          <w:color w:val="000000" w:themeColor="text1"/>
          <w:sz w:val="32"/>
          <w:szCs w:val="32"/>
        </w:rPr>
        <w:t>维</w:t>
      </w:r>
      <w:r>
        <w:rPr>
          <w:rFonts w:ascii="仿宋_GB2312" w:eastAsia="仿宋_GB2312" w:hAnsi="宋体" w:hint="eastAsia"/>
          <w:color w:val="000000" w:themeColor="text1"/>
          <w:sz w:val="32"/>
          <w:szCs w:val="32"/>
        </w:rPr>
        <w:t>修</w:t>
      </w:r>
      <w:r>
        <w:rPr>
          <w:rFonts w:ascii="仿宋_GB2312" w:eastAsia="仿宋_GB2312" w:hAnsi="宋体" w:hint="eastAsia"/>
          <w:color w:val="000000" w:themeColor="text1"/>
          <w:sz w:val="32"/>
          <w:szCs w:val="32"/>
        </w:rPr>
        <w:t>费绩效目标表</w:t>
      </w:r>
      <w:r>
        <w:rPr>
          <w:rFonts w:ascii="仿宋_GB2312" w:eastAsia="仿宋_GB2312" w:hAnsi="宋体"/>
          <w:color w:val="000000" w:themeColor="text1"/>
          <w:sz w:val="32"/>
          <w:szCs w:val="32"/>
        </w:rPr>
        <w:fldChar w:fldCharType="begin"/>
      </w:r>
      <w:r>
        <w:rPr>
          <w:rFonts w:ascii="仿宋_GB2312" w:eastAsia="仿宋_GB2312" w:hAnsi="宋体"/>
          <w:color w:val="000000" w:themeColor="text1"/>
          <w:sz w:val="32"/>
          <w:szCs w:val="32"/>
        </w:rPr>
        <w:instrText xml:space="preserve"> </w:instrText>
      </w:r>
      <w:r>
        <w:rPr>
          <w:rFonts w:ascii="仿宋_GB2312" w:eastAsia="仿宋_GB2312" w:hAnsi="宋体" w:hint="eastAsia"/>
          <w:color w:val="000000" w:themeColor="text1"/>
          <w:sz w:val="32"/>
          <w:szCs w:val="32"/>
        </w:rPr>
        <w:instrText xml:space="preserve">TC </w:instrText>
      </w:r>
      <w:bookmarkStart w:id="3" w:name="_Toc42589645"/>
      <w:r>
        <w:rPr>
          <w:rFonts w:ascii="仿宋_GB2312" w:eastAsia="仿宋_GB2312" w:hAnsi="宋体" w:hint="eastAsia"/>
          <w:color w:val="000000" w:themeColor="text1"/>
          <w:sz w:val="32"/>
          <w:szCs w:val="32"/>
        </w:rPr>
        <w:instrText>3</w:instrText>
      </w:r>
      <w:r>
        <w:rPr>
          <w:rFonts w:ascii="仿宋_GB2312" w:eastAsia="仿宋_GB2312" w:hAnsi="宋体" w:hint="eastAsia"/>
          <w:color w:val="000000" w:themeColor="text1"/>
          <w:sz w:val="32"/>
          <w:szCs w:val="32"/>
        </w:rPr>
        <w:instrText>、公检法办公楼维护费绩效目标表</w:instrText>
      </w:r>
      <w:bookmarkEnd w:id="3"/>
      <w:r>
        <w:rPr>
          <w:rFonts w:ascii="仿宋_GB2312" w:eastAsia="仿宋_GB2312" w:hAnsi="宋体" w:hint="eastAsia"/>
          <w:color w:val="000000" w:themeColor="text1"/>
          <w:sz w:val="32"/>
          <w:szCs w:val="32"/>
        </w:rPr>
        <w:instrText xml:space="preserve"> \f C \l 1</w:instrText>
      </w:r>
      <w:r>
        <w:rPr>
          <w:rFonts w:ascii="仿宋_GB2312" w:eastAsia="仿宋_GB2312" w:hAnsi="宋体"/>
          <w:color w:val="000000" w:themeColor="text1"/>
          <w:sz w:val="32"/>
          <w:szCs w:val="32"/>
        </w:rPr>
        <w:instrText xml:space="preserve"> </w:instrText>
      </w:r>
      <w:r>
        <w:rPr>
          <w:rFonts w:ascii="仿宋_GB2312" w:eastAsia="仿宋_GB2312" w:hAnsi="宋体"/>
          <w:color w:val="000000" w:themeColor="text1"/>
          <w:sz w:val="32"/>
          <w:szCs w:val="32"/>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2F0D4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F0D44" w:rsidRDefault="002F0D44">
            <w:pPr>
              <w:spacing w:line="300" w:lineRule="exact"/>
              <w:jc w:val="left"/>
              <w:rPr>
                <w:rFonts w:ascii="仿宋_GB2312" w:eastAsia="仿宋_GB2312" w:hAnsi="宋体"/>
                <w:color w:val="000000" w:themeColor="text1"/>
                <w:sz w:val="32"/>
                <w:szCs w:val="32"/>
              </w:rPr>
            </w:pPr>
          </w:p>
        </w:tc>
        <w:tc>
          <w:tcPr>
            <w:tcW w:w="1701" w:type="dxa"/>
            <w:tcBorders>
              <w:top w:val="single" w:sz="6" w:space="0" w:color="FFFFFF"/>
              <w:left w:val="single" w:sz="6" w:space="0" w:color="FFFFFF"/>
              <w:right w:val="single" w:sz="6" w:space="0" w:color="FFFFFF"/>
            </w:tcBorders>
            <w:shd w:val="clear" w:color="auto" w:fill="auto"/>
            <w:vAlign w:val="center"/>
          </w:tcPr>
          <w:p w:rsidR="002F0D44" w:rsidRDefault="00A444B2">
            <w:pPr>
              <w:spacing w:line="30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单位：万元</w:t>
            </w:r>
          </w:p>
        </w:tc>
      </w:tr>
      <w:tr w:rsidR="002F0D44">
        <w:trPr>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项目编码</w:t>
            </w:r>
          </w:p>
        </w:tc>
        <w:tc>
          <w:tcPr>
            <w:tcW w:w="2410" w:type="dxa"/>
            <w:gridSpan w:val="2"/>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137-0501-JBN-DUVF</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项目名称</w:t>
            </w:r>
          </w:p>
        </w:tc>
        <w:tc>
          <w:tcPr>
            <w:tcW w:w="4281" w:type="dxa"/>
            <w:gridSpan w:val="3"/>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公检法办公楼维护费</w:t>
            </w:r>
          </w:p>
        </w:tc>
      </w:tr>
      <w:tr w:rsidR="002F0D44">
        <w:trPr>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预算规模及资金用途</w:t>
            </w:r>
          </w:p>
        </w:tc>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预算数</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10.</w:t>
            </w:r>
            <w:r>
              <w:rPr>
                <w:rFonts w:ascii="仿宋_GB2312" w:eastAsia="仿宋_GB2312" w:hAnsi="宋体" w:hint="eastAsia"/>
                <w:color w:val="000000" w:themeColor="text1"/>
                <w:sz w:val="32"/>
                <w:szCs w:val="32"/>
              </w:rPr>
              <w:t>5</w:t>
            </w:r>
            <w:r>
              <w:rPr>
                <w:rFonts w:ascii="仿宋_GB2312" w:eastAsia="仿宋_GB2312" w:hAnsi="宋体"/>
                <w:color w:val="000000" w:themeColor="text1"/>
                <w:sz w:val="32"/>
                <w:szCs w:val="32"/>
              </w:rPr>
              <w:t>0</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其中：财政资金</w:t>
            </w:r>
          </w:p>
        </w:tc>
        <w:tc>
          <w:tcPr>
            <w:tcW w:w="130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10.</w:t>
            </w:r>
            <w:r>
              <w:rPr>
                <w:rFonts w:ascii="仿宋_GB2312" w:eastAsia="仿宋_GB2312" w:hAnsi="宋体" w:hint="eastAsia"/>
                <w:color w:val="000000" w:themeColor="text1"/>
                <w:sz w:val="32"/>
                <w:szCs w:val="32"/>
              </w:rPr>
              <w:t>5</w:t>
            </w:r>
            <w:r>
              <w:rPr>
                <w:rFonts w:ascii="仿宋_GB2312" w:eastAsia="仿宋_GB2312" w:hAnsi="宋体"/>
                <w:color w:val="000000" w:themeColor="text1"/>
                <w:sz w:val="32"/>
                <w:szCs w:val="32"/>
              </w:rPr>
              <w:t>0</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其他资金</w:t>
            </w:r>
          </w:p>
        </w:tc>
        <w:tc>
          <w:tcPr>
            <w:tcW w:w="1701" w:type="dxa"/>
            <w:shd w:val="clear" w:color="auto" w:fill="auto"/>
            <w:vAlign w:val="center"/>
          </w:tcPr>
          <w:p w:rsidR="002F0D44" w:rsidRDefault="002F0D44">
            <w:pPr>
              <w:spacing w:line="300" w:lineRule="exact"/>
              <w:jc w:val="left"/>
              <w:rPr>
                <w:rFonts w:ascii="仿宋_GB2312" w:eastAsia="仿宋_GB2312" w:hAnsi="宋体"/>
                <w:color w:val="000000" w:themeColor="text1"/>
                <w:sz w:val="32"/>
                <w:szCs w:val="32"/>
              </w:rPr>
            </w:pPr>
          </w:p>
        </w:tc>
      </w:tr>
      <w:tr w:rsidR="002F0D44">
        <w:trPr>
          <w:trHeight w:val="369"/>
          <w:jc w:val="center"/>
        </w:trPr>
        <w:tc>
          <w:tcPr>
            <w:tcW w:w="1134" w:type="dxa"/>
            <w:vMerge/>
            <w:shd w:val="clear" w:color="auto" w:fill="auto"/>
            <w:vAlign w:val="center"/>
          </w:tcPr>
          <w:p w:rsidR="002F0D44" w:rsidRDefault="002F0D44">
            <w:pPr>
              <w:spacing w:line="300" w:lineRule="exact"/>
              <w:jc w:val="left"/>
              <w:outlineLvl w:val="1"/>
              <w:rPr>
                <w:rFonts w:ascii="仿宋_GB2312" w:eastAsia="仿宋_GB2312" w:hAnsi="宋体"/>
                <w:color w:val="000000" w:themeColor="text1"/>
                <w:sz w:val="32"/>
                <w:szCs w:val="32"/>
              </w:rPr>
            </w:pPr>
          </w:p>
        </w:tc>
        <w:tc>
          <w:tcPr>
            <w:tcW w:w="8278" w:type="dxa"/>
            <w:gridSpan w:val="6"/>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不断提高队伍素质和执法能力，推进信息公开，提升审判质效，改进司法工作作风，树立法院良好形象。</w:t>
            </w:r>
          </w:p>
        </w:tc>
      </w:tr>
      <w:tr w:rsidR="002F0D44">
        <w:trPr>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资金支出计划（</w:t>
            </w:r>
            <w:r>
              <w:rPr>
                <w:rFonts w:ascii="仿宋_GB2312" w:eastAsia="仿宋_GB2312" w:hAnsi="宋体"/>
                <w:color w:val="000000" w:themeColor="text1"/>
                <w:sz w:val="32"/>
                <w:szCs w:val="32"/>
              </w:rPr>
              <w:t>%</w:t>
            </w:r>
            <w:r>
              <w:rPr>
                <w:rFonts w:ascii="仿宋_GB2312" w:eastAsia="仿宋_GB2312" w:hAnsi="宋体" w:hint="eastAsia"/>
                <w:color w:val="000000" w:themeColor="text1"/>
                <w:sz w:val="32"/>
                <w:szCs w:val="32"/>
              </w:rPr>
              <w:t>）</w:t>
            </w:r>
          </w:p>
        </w:tc>
        <w:tc>
          <w:tcPr>
            <w:tcW w:w="2410" w:type="dxa"/>
            <w:gridSpan w:val="2"/>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3</w:t>
            </w:r>
            <w:r>
              <w:rPr>
                <w:rFonts w:ascii="仿宋_GB2312" w:eastAsia="仿宋_GB2312" w:hAnsi="宋体" w:hint="eastAsia"/>
                <w:color w:val="000000" w:themeColor="text1"/>
                <w:sz w:val="32"/>
                <w:szCs w:val="32"/>
              </w:rPr>
              <w:t>月底</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6</w:t>
            </w:r>
            <w:r>
              <w:rPr>
                <w:rFonts w:ascii="仿宋_GB2312" w:eastAsia="仿宋_GB2312" w:hAnsi="宋体" w:hint="eastAsia"/>
                <w:color w:val="000000" w:themeColor="text1"/>
                <w:sz w:val="32"/>
                <w:szCs w:val="32"/>
              </w:rPr>
              <w:t>月底</w:t>
            </w:r>
          </w:p>
        </w:tc>
        <w:tc>
          <w:tcPr>
            <w:tcW w:w="130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10</w:t>
            </w:r>
            <w:r>
              <w:rPr>
                <w:rFonts w:ascii="仿宋_GB2312" w:eastAsia="仿宋_GB2312" w:hAnsi="宋体" w:hint="eastAsia"/>
                <w:color w:val="000000" w:themeColor="text1"/>
                <w:sz w:val="32"/>
                <w:szCs w:val="32"/>
              </w:rPr>
              <w:t>月底</w:t>
            </w:r>
          </w:p>
        </w:tc>
        <w:tc>
          <w:tcPr>
            <w:tcW w:w="2977" w:type="dxa"/>
            <w:gridSpan w:val="2"/>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12</w:t>
            </w:r>
            <w:r>
              <w:rPr>
                <w:rFonts w:ascii="仿宋_GB2312" w:eastAsia="仿宋_GB2312" w:hAnsi="宋体" w:hint="eastAsia"/>
                <w:color w:val="000000" w:themeColor="text1"/>
                <w:sz w:val="32"/>
                <w:szCs w:val="32"/>
              </w:rPr>
              <w:t>月底</w:t>
            </w:r>
          </w:p>
        </w:tc>
      </w:tr>
      <w:tr w:rsidR="002F0D44">
        <w:trPr>
          <w:trHeight w:val="369"/>
          <w:jc w:val="center"/>
        </w:trPr>
        <w:tc>
          <w:tcPr>
            <w:tcW w:w="1134" w:type="dxa"/>
            <w:vMerge/>
            <w:tcBorders>
              <w:bottom w:val="single" w:sz="6" w:space="0" w:color="000000"/>
            </w:tcBorders>
            <w:shd w:val="clear" w:color="auto" w:fill="auto"/>
            <w:vAlign w:val="center"/>
          </w:tcPr>
          <w:p w:rsidR="002F0D44" w:rsidRDefault="002F0D44">
            <w:pPr>
              <w:spacing w:line="300" w:lineRule="exact"/>
              <w:jc w:val="left"/>
              <w:outlineLvl w:val="1"/>
              <w:rPr>
                <w:rFonts w:ascii="仿宋_GB2312" w:eastAsia="仿宋_GB2312" w:hAnsi="宋体"/>
                <w:color w:val="000000" w:themeColor="text1"/>
                <w:sz w:val="32"/>
                <w:szCs w:val="32"/>
              </w:rPr>
            </w:pPr>
          </w:p>
        </w:tc>
        <w:tc>
          <w:tcPr>
            <w:tcW w:w="2410" w:type="dxa"/>
            <w:gridSpan w:val="2"/>
            <w:tcBorders>
              <w:bottom w:val="single" w:sz="6" w:space="0" w:color="000000"/>
            </w:tcBorders>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587" w:type="dxa"/>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50.00</w:t>
            </w:r>
          </w:p>
        </w:tc>
        <w:tc>
          <w:tcPr>
            <w:tcW w:w="1304" w:type="dxa"/>
            <w:tcBorders>
              <w:bottom w:val="single" w:sz="6" w:space="0" w:color="000000"/>
            </w:tcBorders>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2977" w:type="dxa"/>
            <w:gridSpan w:val="2"/>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50.00</w:t>
            </w:r>
          </w:p>
        </w:tc>
      </w:tr>
      <w:tr w:rsidR="002F0D44">
        <w:trPr>
          <w:trHeight w:val="369"/>
          <w:jc w:val="center"/>
        </w:trPr>
        <w:tc>
          <w:tcPr>
            <w:tcW w:w="1134" w:type="dxa"/>
            <w:tcBorders>
              <w:bottom w:val="nil"/>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绩效目标</w:t>
            </w:r>
          </w:p>
        </w:tc>
        <w:tc>
          <w:tcPr>
            <w:tcW w:w="8278" w:type="dxa"/>
            <w:gridSpan w:val="6"/>
            <w:tcBorders>
              <w:bottom w:val="nil"/>
            </w:tcBorders>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w:t>
            </w:r>
            <w:r>
              <w:rPr>
                <w:rFonts w:ascii="仿宋_GB2312" w:eastAsia="仿宋_GB2312" w:hAnsi="宋体" w:hint="eastAsia"/>
                <w:color w:val="000000" w:themeColor="text1"/>
                <w:sz w:val="32"/>
                <w:szCs w:val="32"/>
              </w:rPr>
              <w:t>、加强法院基础设施及信息化建设</w:t>
            </w:r>
          </w:p>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2</w:t>
            </w:r>
            <w:r>
              <w:rPr>
                <w:rFonts w:ascii="仿宋_GB2312" w:eastAsia="仿宋_GB2312" w:hAnsi="宋体" w:hint="eastAsia"/>
                <w:color w:val="000000" w:themeColor="text1"/>
                <w:sz w:val="32"/>
                <w:szCs w:val="32"/>
              </w:rPr>
              <w:t>、加强培训及法院文化建设；总结人民法院审判业务工作经验</w:t>
            </w:r>
          </w:p>
        </w:tc>
      </w:tr>
    </w:tbl>
    <w:p w:rsidR="002F0D44" w:rsidRDefault="00A444B2">
      <w:pPr>
        <w:spacing w:line="14" w:lineRule="exact"/>
        <w:ind w:firstLineChars="200" w:firstLine="640"/>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F0D44">
        <w:trPr>
          <w:cantSplit/>
          <w:trHeight w:val="397"/>
          <w:tblHeader/>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一级指标</w:t>
            </w:r>
          </w:p>
        </w:tc>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二级指标</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三级指标</w:t>
            </w:r>
          </w:p>
        </w:tc>
        <w:tc>
          <w:tcPr>
            <w:tcW w:w="2891"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绩效指标描述</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指标值</w:t>
            </w:r>
          </w:p>
        </w:tc>
        <w:tc>
          <w:tcPr>
            <w:tcW w:w="1701"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指标值确定依据</w:t>
            </w:r>
          </w:p>
        </w:tc>
      </w:tr>
      <w:tr w:rsidR="002F0D44">
        <w:trPr>
          <w:cantSplit/>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产出指标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质量指标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维修完成率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消防</w:t>
            </w:r>
            <w:r>
              <w:rPr>
                <w:rFonts w:ascii="仿宋_GB2312" w:eastAsia="仿宋_GB2312" w:hAnsi="宋体" w:hint="eastAsia"/>
                <w:color w:val="000000" w:themeColor="text1"/>
                <w:sz w:val="32"/>
                <w:szCs w:val="32"/>
              </w:rPr>
              <w:t>设施维修完成验收合格通过率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80%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完成率</w:t>
            </w:r>
          </w:p>
        </w:tc>
      </w:tr>
      <w:tr w:rsidR="002F0D44">
        <w:trPr>
          <w:cantSplit/>
          <w:trHeight w:val="369"/>
          <w:jc w:val="center"/>
        </w:trPr>
        <w:tc>
          <w:tcPr>
            <w:tcW w:w="1134" w:type="dxa"/>
            <w:vMerge/>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时效指标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维修完成时间</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消防</w:t>
            </w:r>
            <w:r>
              <w:rPr>
                <w:rFonts w:ascii="仿宋_GB2312" w:eastAsia="仿宋_GB2312" w:hAnsi="宋体" w:hint="eastAsia"/>
                <w:color w:val="000000" w:themeColor="text1"/>
                <w:sz w:val="32"/>
                <w:szCs w:val="32"/>
              </w:rPr>
              <w:t>设施维修是否按时完成并交付</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&gt;90%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完成时间</w:t>
            </w:r>
          </w:p>
        </w:tc>
      </w:tr>
      <w:tr w:rsidR="002F0D44">
        <w:trPr>
          <w:cantSplit/>
          <w:trHeight w:val="369"/>
          <w:jc w:val="center"/>
        </w:trPr>
        <w:tc>
          <w:tcPr>
            <w:tcW w:w="1134" w:type="dxa"/>
            <w:vMerge/>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数量指标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维修完成项目通过率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消防</w:t>
            </w:r>
            <w:r>
              <w:rPr>
                <w:rFonts w:ascii="仿宋_GB2312" w:eastAsia="仿宋_GB2312" w:hAnsi="宋体" w:hint="eastAsia"/>
                <w:color w:val="000000" w:themeColor="text1"/>
                <w:sz w:val="32"/>
                <w:szCs w:val="32"/>
              </w:rPr>
              <w:t>设施维修完成多少项目通过验收合格率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95%</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完成数量</w:t>
            </w:r>
          </w:p>
        </w:tc>
      </w:tr>
      <w:tr w:rsidR="002F0D44">
        <w:trPr>
          <w:cantSplit/>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效果指标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可持续影响指标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是否达到工作环境要求</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通过各种设施的建设完成，为院内办公人员及来办案人员提供安全度</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社会效益率</w:t>
            </w:r>
          </w:p>
        </w:tc>
      </w:tr>
      <w:tr w:rsidR="002F0D44">
        <w:trPr>
          <w:cantSplit/>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满意度指标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服务对象满意度指标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社会满意度</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设施完成满意度</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完成满意度</w:t>
            </w:r>
          </w:p>
        </w:tc>
      </w:tr>
    </w:tbl>
    <w:p w:rsidR="002F0D44" w:rsidRDefault="002F0D44">
      <w:pPr>
        <w:spacing w:line="300" w:lineRule="exact"/>
        <w:jc w:val="left"/>
        <w:rPr>
          <w:rFonts w:ascii="仿宋_GB2312" w:eastAsia="仿宋_GB2312" w:hAnsi="宋体"/>
          <w:color w:val="000000" w:themeColor="text1"/>
          <w:sz w:val="32"/>
          <w:szCs w:val="32"/>
        </w:rPr>
        <w:sectPr w:rsidR="002F0D44">
          <w:pgSz w:w="11907" w:h="16839"/>
          <w:pgMar w:top="1984" w:right="1304" w:bottom="1134" w:left="1304" w:header="851" w:footer="992" w:gutter="0"/>
          <w:cols w:space="425"/>
          <w:docGrid w:type="lines" w:linePitch="312"/>
        </w:sectPr>
      </w:pPr>
    </w:p>
    <w:p w:rsidR="002F0D44" w:rsidRDefault="002F0D44">
      <w:pPr>
        <w:spacing w:line="300" w:lineRule="exact"/>
        <w:jc w:val="left"/>
        <w:rPr>
          <w:rFonts w:ascii="仿宋_GB2312" w:eastAsia="仿宋_GB2312" w:hAnsi="宋体"/>
          <w:color w:val="000000" w:themeColor="text1"/>
          <w:sz w:val="32"/>
          <w:szCs w:val="32"/>
        </w:rPr>
      </w:pPr>
    </w:p>
    <w:p w:rsidR="002F0D44" w:rsidRDefault="00A444B2">
      <w:pPr>
        <w:ind w:firstLineChars="200" w:firstLine="640"/>
        <w:jc w:val="left"/>
        <w:outlineLvl w:val="1"/>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4</w:t>
      </w:r>
      <w:r>
        <w:rPr>
          <w:rFonts w:ascii="仿宋_GB2312" w:eastAsia="仿宋_GB2312" w:hAnsi="宋体" w:hint="eastAsia"/>
          <w:color w:val="000000" w:themeColor="text1"/>
          <w:sz w:val="32"/>
          <w:szCs w:val="32"/>
        </w:rPr>
        <w:t>、陪审员工作经费绩效目标表</w:t>
      </w:r>
      <w:r>
        <w:rPr>
          <w:rFonts w:ascii="仿宋_GB2312" w:eastAsia="仿宋_GB2312" w:hAnsi="宋体"/>
          <w:color w:val="000000" w:themeColor="text1"/>
          <w:sz w:val="32"/>
          <w:szCs w:val="32"/>
        </w:rPr>
        <w:fldChar w:fldCharType="begin"/>
      </w:r>
      <w:r>
        <w:rPr>
          <w:rFonts w:ascii="仿宋_GB2312" w:eastAsia="仿宋_GB2312" w:hAnsi="宋体"/>
          <w:color w:val="000000" w:themeColor="text1"/>
          <w:sz w:val="32"/>
          <w:szCs w:val="32"/>
        </w:rPr>
        <w:instrText xml:space="preserve"> </w:instrText>
      </w:r>
      <w:r>
        <w:rPr>
          <w:rFonts w:ascii="仿宋_GB2312" w:eastAsia="仿宋_GB2312" w:hAnsi="宋体" w:hint="eastAsia"/>
          <w:color w:val="000000" w:themeColor="text1"/>
          <w:sz w:val="32"/>
          <w:szCs w:val="32"/>
        </w:rPr>
        <w:instrText xml:space="preserve">TC </w:instrText>
      </w:r>
      <w:bookmarkStart w:id="4" w:name="_Toc42589646"/>
      <w:r>
        <w:rPr>
          <w:rFonts w:ascii="仿宋_GB2312" w:eastAsia="仿宋_GB2312" w:hAnsi="宋体" w:hint="eastAsia"/>
          <w:color w:val="000000" w:themeColor="text1"/>
          <w:sz w:val="32"/>
          <w:szCs w:val="32"/>
        </w:rPr>
        <w:instrText>4</w:instrText>
      </w:r>
      <w:r>
        <w:rPr>
          <w:rFonts w:ascii="仿宋_GB2312" w:eastAsia="仿宋_GB2312" w:hAnsi="宋体" w:hint="eastAsia"/>
          <w:color w:val="000000" w:themeColor="text1"/>
          <w:sz w:val="32"/>
          <w:szCs w:val="32"/>
        </w:rPr>
        <w:instrText>、陪审员工作经费绩效目标表</w:instrText>
      </w:r>
      <w:bookmarkEnd w:id="4"/>
      <w:r>
        <w:rPr>
          <w:rFonts w:ascii="仿宋_GB2312" w:eastAsia="仿宋_GB2312" w:hAnsi="宋体" w:hint="eastAsia"/>
          <w:color w:val="000000" w:themeColor="text1"/>
          <w:sz w:val="32"/>
          <w:szCs w:val="32"/>
        </w:rPr>
        <w:instrText xml:space="preserve"> \f C \l 1</w:instrText>
      </w:r>
      <w:r>
        <w:rPr>
          <w:rFonts w:ascii="仿宋_GB2312" w:eastAsia="仿宋_GB2312" w:hAnsi="宋体"/>
          <w:color w:val="000000" w:themeColor="text1"/>
          <w:sz w:val="32"/>
          <w:szCs w:val="32"/>
        </w:rPr>
        <w:instrText xml:space="preserve"> </w:instrText>
      </w:r>
      <w:r>
        <w:rPr>
          <w:rFonts w:ascii="仿宋_GB2312" w:eastAsia="仿宋_GB2312" w:hAnsi="宋体"/>
          <w:color w:val="000000" w:themeColor="text1"/>
          <w:sz w:val="32"/>
          <w:szCs w:val="32"/>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2F0D4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F0D44" w:rsidRDefault="002F0D44">
            <w:pPr>
              <w:spacing w:line="300" w:lineRule="exact"/>
              <w:jc w:val="left"/>
              <w:rPr>
                <w:rFonts w:ascii="仿宋_GB2312" w:eastAsia="仿宋_GB2312" w:hAnsi="宋体"/>
                <w:color w:val="000000" w:themeColor="text1"/>
                <w:sz w:val="32"/>
                <w:szCs w:val="32"/>
              </w:rPr>
            </w:pPr>
          </w:p>
        </w:tc>
        <w:tc>
          <w:tcPr>
            <w:tcW w:w="1701" w:type="dxa"/>
            <w:tcBorders>
              <w:top w:val="single" w:sz="6" w:space="0" w:color="FFFFFF"/>
              <w:left w:val="single" w:sz="6" w:space="0" w:color="FFFFFF"/>
              <w:right w:val="single" w:sz="6" w:space="0" w:color="FFFFFF"/>
            </w:tcBorders>
            <w:shd w:val="clear" w:color="auto" w:fill="auto"/>
            <w:vAlign w:val="center"/>
          </w:tcPr>
          <w:p w:rsidR="002F0D44" w:rsidRDefault="00A444B2">
            <w:pPr>
              <w:spacing w:line="30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单位：万元</w:t>
            </w:r>
          </w:p>
        </w:tc>
      </w:tr>
      <w:tr w:rsidR="002F0D44">
        <w:trPr>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项目编码</w:t>
            </w:r>
          </w:p>
        </w:tc>
        <w:tc>
          <w:tcPr>
            <w:tcW w:w="2410" w:type="dxa"/>
            <w:gridSpan w:val="2"/>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137-0401-JBN-5FKX</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项目名称</w:t>
            </w:r>
          </w:p>
        </w:tc>
        <w:tc>
          <w:tcPr>
            <w:tcW w:w="4281" w:type="dxa"/>
            <w:gridSpan w:val="3"/>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陪审员工作经费</w:t>
            </w:r>
          </w:p>
        </w:tc>
      </w:tr>
      <w:tr w:rsidR="002F0D44">
        <w:trPr>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预算规模及资金用途</w:t>
            </w:r>
          </w:p>
        </w:tc>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预算数</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7.00</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其中：财政资金</w:t>
            </w:r>
          </w:p>
        </w:tc>
        <w:tc>
          <w:tcPr>
            <w:tcW w:w="130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7.00</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其他资金</w:t>
            </w:r>
          </w:p>
        </w:tc>
        <w:tc>
          <w:tcPr>
            <w:tcW w:w="1701" w:type="dxa"/>
            <w:shd w:val="clear" w:color="auto" w:fill="auto"/>
            <w:vAlign w:val="center"/>
          </w:tcPr>
          <w:p w:rsidR="002F0D44" w:rsidRDefault="002F0D44">
            <w:pPr>
              <w:spacing w:line="300" w:lineRule="exact"/>
              <w:jc w:val="left"/>
              <w:rPr>
                <w:rFonts w:ascii="仿宋_GB2312" w:eastAsia="仿宋_GB2312" w:hAnsi="宋体"/>
                <w:color w:val="000000" w:themeColor="text1"/>
                <w:sz w:val="32"/>
                <w:szCs w:val="32"/>
              </w:rPr>
            </w:pPr>
          </w:p>
        </w:tc>
      </w:tr>
      <w:tr w:rsidR="002F0D44">
        <w:trPr>
          <w:trHeight w:val="369"/>
          <w:jc w:val="center"/>
        </w:trPr>
        <w:tc>
          <w:tcPr>
            <w:tcW w:w="1134" w:type="dxa"/>
            <w:vMerge/>
            <w:shd w:val="clear" w:color="auto" w:fill="auto"/>
            <w:vAlign w:val="center"/>
          </w:tcPr>
          <w:p w:rsidR="002F0D44" w:rsidRDefault="002F0D44">
            <w:pPr>
              <w:spacing w:line="300" w:lineRule="exact"/>
              <w:jc w:val="left"/>
              <w:outlineLvl w:val="1"/>
              <w:rPr>
                <w:rFonts w:ascii="仿宋_GB2312" w:eastAsia="仿宋_GB2312" w:hAnsi="宋体"/>
                <w:color w:val="000000" w:themeColor="text1"/>
                <w:sz w:val="32"/>
                <w:szCs w:val="32"/>
              </w:rPr>
            </w:pPr>
          </w:p>
        </w:tc>
        <w:tc>
          <w:tcPr>
            <w:tcW w:w="8278" w:type="dxa"/>
            <w:gridSpan w:val="6"/>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规范、保障、促进审判执行工作，包括：案件信息管理、案件质量评估、案件质量评查、审判流程管理、审判运势分析等。</w:t>
            </w:r>
          </w:p>
        </w:tc>
      </w:tr>
      <w:tr w:rsidR="002F0D44">
        <w:trPr>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资金支出计划（</w:t>
            </w:r>
            <w:r>
              <w:rPr>
                <w:rFonts w:ascii="仿宋_GB2312" w:eastAsia="仿宋_GB2312" w:hAnsi="宋体"/>
                <w:color w:val="000000" w:themeColor="text1"/>
                <w:sz w:val="32"/>
                <w:szCs w:val="32"/>
              </w:rPr>
              <w:t>%</w:t>
            </w:r>
            <w:r>
              <w:rPr>
                <w:rFonts w:ascii="仿宋_GB2312" w:eastAsia="仿宋_GB2312" w:hAnsi="宋体" w:hint="eastAsia"/>
                <w:color w:val="000000" w:themeColor="text1"/>
                <w:sz w:val="32"/>
                <w:szCs w:val="32"/>
              </w:rPr>
              <w:t>）</w:t>
            </w:r>
          </w:p>
        </w:tc>
        <w:tc>
          <w:tcPr>
            <w:tcW w:w="2410" w:type="dxa"/>
            <w:gridSpan w:val="2"/>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3</w:t>
            </w:r>
            <w:r>
              <w:rPr>
                <w:rFonts w:ascii="仿宋_GB2312" w:eastAsia="仿宋_GB2312" w:hAnsi="宋体" w:hint="eastAsia"/>
                <w:color w:val="000000" w:themeColor="text1"/>
                <w:sz w:val="32"/>
                <w:szCs w:val="32"/>
              </w:rPr>
              <w:t>月底</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6</w:t>
            </w:r>
            <w:r>
              <w:rPr>
                <w:rFonts w:ascii="仿宋_GB2312" w:eastAsia="仿宋_GB2312" w:hAnsi="宋体" w:hint="eastAsia"/>
                <w:color w:val="000000" w:themeColor="text1"/>
                <w:sz w:val="32"/>
                <w:szCs w:val="32"/>
              </w:rPr>
              <w:t>月底</w:t>
            </w:r>
          </w:p>
        </w:tc>
        <w:tc>
          <w:tcPr>
            <w:tcW w:w="130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10</w:t>
            </w:r>
            <w:r>
              <w:rPr>
                <w:rFonts w:ascii="仿宋_GB2312" w:eastAsia="仿宋_GB2312" w:hAnsi="宋体" w:hint="eastAsia"/>
                <w:color w:val="000000" w:themeColor="text1"/>
                <w:sz w:val="32"/>
                <w:szCs w:val="32"/>
              </w:rPr>
              <w:t>月底</w:t>
            </w:r>
          </w:p>
        </w:tc>
        <w:tc>
          <w:tcPr>
            <w:tcW w:w="2977" w:type="dxa"/>
            <w:gridSpan w:val="2"/>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12</w:t>
            </w:r>
            <w:r>
              <w:rPr>
                <w:rFonts w:ascii="仿宋_GB2312" w:eastAsia="仿宋_GB2312" w:hAnsi="宋体" w:hint="eastAsia"/>
                <w:color w:val="000000" w:themeColor="text1"/>
                <w:sz w:val="32"/>
                <w:szCs w:val="32"/>
              </w:rPr>
              <w:t>月底</w:t>
            </w:r>
          </w:p>
        </w:tc>
      </w:tr>
      <w:tr w:rsidR="002F0D44">
        <w:trPr>
          <w:trHeight w:val="369"/>
          <w:jc w:val="center"/>
        </w:trPr>
        <w:tc>
          <w:tcPr>
            <w:tcW w:w="1134" w:type="dxa"/>
            <w:vMerge/>
            <w:tcBorders>
              <w:bottom w:val="single" w:sz="6" w:space="0" w:color="000000"/>
            </w:tcBorders>
            <w:shd w:val="clear" w:color="auto" w:fill="auto"/>
            <w:vAlign w:val="center"/>
          </w:tcPr>
          <w:p w:rsidR="002F0D44" w:rsidRDefault="002F0D44">
            <w:pPr>
              <w:spacing w:line="300" w:lineRule="exact"/>
              <w:jc w:val="left"/>
              <w:outlineLvl w:val="1"/>
              <w:rPr>
                <w:rFonts w:ascii="仿宋_GB2312" w:eastAsia="仿宋_GB2312" w:hAnsi="宋体"/>
                <w:color w:val="000000" w:themeColor="text1"/>
                <w:sz w:val="32"/>
                <w:szCs w:val="32"/>
              </w:rPr>
            </w:pPr>
          </w:p>
        </w:tc>
        <w:tc>
          <w:tcPr>
            <w:tcW w:w="2410" w:type="dxa"/>
            <w:gridSpan w:val="2"/>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c>
          <w:tcPr>
            <w:tcW w:w="1587" w:type="dxa"/>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c>
          <w:tcPr>
            <w:tcW w:w="1304" w:type="dxa"/>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c>
          <w:tcPr>
            <w:tcW w:w="2977" w:type="dxa"/>
            <w:gridSpan w:val="2"/>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25.00</w:t>
            </w:r>
          </w:p>
        </w:tc>
      </w:tr>
      <w:tr w:rsidR="002F0D44">
        <w:trPr>
          <w:trHeight w:val="369"/>
          <w:jc w:val="center"/>
        </w:trPr>
        <w:tc>
          <w:tcPr>
            <w:tcW w:w="1134" w:type="dxa"/>
            <w:tcBorders>
              <w:bottom w:val="nil"/>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绩效目标</w:t>
            </w:r>
          </w:p>
        </w:tc>
        <w:tc>
          <w:tcPr>
            <w:tcW w:w="8278" w:type="dxa"/>
            <w:gridSpan w:val="6"/>
            <w:tcBorders>
              <w:bottom w:val="nil"/>
            </w:tcBorders>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w:t>
            </w:r>
            <w:r>
              <w:rPr>
                <w:rFonts w:ascii="仿宋_GB2312" w:eastAsia="仿宋_GB2312" w:hAnsi="宋体" w:hint="eastAsia"/>
                <w:color w:val="000000" w:themeColor="text1"/>
                <w:sz w:val="32"/>
                <w:szCs w:val="32"/>
              </w:rPr>
              <w:t>、完善审判质效评估体系</w:t>
            </w:r>
          </w:p>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2</w:t>
            </w:r>
            <w:r>
              <w:rPr>
                <w:rFonts w:ascii="仿宋_GB2312" w:eastAsia="仿宋_GB2312" w:hAnsi="宋体" w:hint="eastAsia"/>
                <w:color w:val="000000" w:themeColor="text1"/>
                <w:sz w:val="32"/>
                <w:szCs w:val="32"/>
              </w:rPr>
              <w:t>、促进审判质效、健全司法权力运行机制</w:t>
            </w:r>
          </w:p>
        </w:tc>
      </w:tr>
    </w:tbl>
    <w:p w:rsidR="002F0D44" w:rsidRDefault="00A444B2">
      <w:pPr>
        <w:spacing w:line="14" w:lineRule="exact"/>
        <w:ind w:firstLineChars="200" w:firstLine="640"/>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F0D44">
        <w:trPr>
          <w:cantSplit/>
          <w:trHeight w:val="397"/>
          <w:tblHeader/>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一级指标</w:t>
            </w:r>
          </w:p>
        </w:tc>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二级指标</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三级指标</w:t>
            </w:r>
          </w:p>
        </w:tc>
        <w:tc>
          <w:tcPr>
            <w:tcW w:w="2891"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绩效指标描述</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指标值</w:t>
            </w:r>
          </w:p>
        </w:tc>
        <w:tc>
          <w:tcPr>
            <w:tcW w:w="1701"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指标值确定依据</w:t>
            </w:r>
          </w:p>
        </w:tc>
      </w:tr>
      <w:tr w:rsidR="002F0D44">
        <w:trPr>
          <w:cantSplit/>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产出指标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数量指标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案件流程公开率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审判流程公开案件占全部案件的比例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85%</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公开率</w:t>
            </w:r>
          </w:p>
        </w:tc>
      </w:tr>
      <w:tr w:rsidR="002F0D44">
        <w:trPr>
          <w:cantSplit/>
          <w:trHeight w:val="369"/>
          <w:jc w:val="center"/>
        </w:trPr>
        <w:tc>
          <w:tcPr>
            <w:tcW w:w="1134" w:type="dxa"/>
            <w:vMerge/>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质量指标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案件信息合格率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正确案件信息数占全部案件信息数的比例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合格率</w:t>
            </w:r>
          </w:p>
        </w:tc>
      </w:tr>
      <w:tr w:rsidR="002F0D44">
        <w:trPr>
          <w:cantSplit/>
          <w:trHeight w:val="369"/>
          <w:jc w:val="center"/>
        </w:trPr>
        <w:tc>
          <w:tcPr>
            <w:tcW w:w="1134" w:type="dxa"/>
            <w:vMerge/>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时效指标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审限结案率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法定审限内结案数占结案数的比例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结案率</w:t>
            </w:r>
          </w:p>
        </w:tc>
      </w:tr>
      <w:tr w:rsidR="002F0D44">
        <w:trPr>
          <w:cantSplit/>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效果指标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社会效益指标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审判流程合</w:t>
            </w:r>
            <w:proofErr w:type="gramStart"/>
            <w:r>
              <w:rPr>
                <w:rFonts w:ascii="仿宋_GB2312" w:eastAsia="仿宋_GB2312" w:hAnsi="宋体" w:hint="eastAsia"/>
                <w:color w:val="000000" w:themeColor="text1"/>
                <w:sz w:val="32"/>
                <w:szCs w:val="32"/>
              </w:rPr>
              <w:t>规</w:t>
            </w:r>
            <w:proofErr w:type="gramEnd"/>
            <w:r>
              <w:rPr>
                <w:rFonts w:ascii="仿宋_GB2312" w:eastAsia="仿宋_GB2312" w:hAnsi="宋体" w:hint="eastAsia"/>
                <w:color w:val="000000" w:themeColor="text1"/>
                <w:sz w:val="32"/>
                <w:szCs w:val="32"/>
              </w:rPr>
              <w:t>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纳入审判管理流程案件占全部案件的比例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95%</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合</w:t>
            </w:r>
            <w:proofErr w:type="gramStart"/>
            <w:r>
              <w:rPr>
                <w:rFonts w:ascii="仿宋_GB2312" w:eastAsia="仿宋_GB2312" w:hAnsi="宋体" w:hint="eastAsia"/>
                <w:color w:val="000000" w:themeColor="text1"/>
                <w:sz w:val="32"/>
                <w:szCs w:val="32"/>
              </w:rPr>
              <w:t>规</w:t>
            </w:r>
            <w:proofErr w:type="gramEnd"/>
            <w:r>
              <w:rPr>
                <w:rFonts w:ascii="仿宋_GB2312" w:eastAsia="仿宋_GB2312" w:hAnsi="宋体" w:hint="eastAsia"/>
                <w:color w:val="000000" w:themeColor="text1"/>
                <w:sz w:val="32"/>
                <w:szCs w:val="32"/>
              </w:rPr>
              <w:t>率</w:t>
            </w:r>
          </w:p>
        </w:tc>
      </w:tr>
      <w:tr w:rsidR="002F0D44">
        <w:trPr>
          <w:cantSplit/>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满意度指标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服务对象满意度指标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群众满意度</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群众整体满意度</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满意度</w:t>
            </w:r>
          </w:p>
        </w:tc>
      </w:tr>
    </w:tbl>
    <w:p w:rsidR="002F0D44" w:rsidRDefault="002F0D44">
      <w:pPr>
        <w:spacing w:line="300" w:lineRule="exact"/>
        <w:ind w:firstLineChars="200" w:firstLine="640"/>
        <w:jc w:val="left"/>
        <w:rPr>
          <w:rFonts w:ascii="仿宋_GB2312" w:eastAsia="仿宋_GB2312" w:hAnsi="宋体"/>
          <w:color w:val="000000" w:themeColor="text1"/>
          <w:sz w:val="32"/>
          <w:szCs w:val="32"/>
        </w:rPr>
        <w:sectPr w:rsidR="002F0D44">
          <w:pgSz w:w="11907" w:h="16839"/>
          <w:pgMar w:top="1984" w:right="1304" w:bottom="1134" w:left="1304" w:header="851" w:footer="992" w:gutter="0"/>
          <w:cols w:space="425"/>
          <w:docGrid w:type="lines" w:linePitch="312"/>
        </w:sectPr>
      </w:pPr>
    </w:p>
    <w:p w:rsidR="002F0D44" w:rsidRDefault="002F0D44">
      <w:pPr>
        <w:spacing w:line="300" w:lineRule="exact"/>
        <w:ind w:firstLineChars="200" w:firstLine="420"/>
        <w:jc w:val="left"/>
      </w:pPr>
    </w:p>
    <w:p w:rsidR="002F0D44" w:rsidRDefault="00A444B2">
      <w:pPr>
        <w:ind w:firstLineChars="200" w:firstLine="640"/>
        <w:jc w:val="left"/>
        <w:outlineLvl w:val="1"/>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5</w:t>
      </w:r>
      <w:r>
        <w:rPr>
          <w:rFonts w:ascii="仿宋_GB2312" w:eastAsia="仿宋_GB2312" w:hAnsi="宋体" w:hint="eastAsia"/>
          <w:color w:val="000000" w:themeColor="text1"/>
          <w:sz w:val="32"/>
          <w:szCs w:val="32"/>
        </w:rPr>
        <w:t>、司法救助和国家赔偿绩效目标表</w:t>
      </w:r>
      <w:r>
        <w:rPr>
          <w:rFonts w:ascii="仿宋_GB2312" w:eastAsia="仿宋_GB2312" w:hAnsi="宋体"/>
          <w:color w:val="000000" w:themeColor="text1"/>
          <w:sz w:val="32"/>
          <w:szCs w:val="32"/>
        </w:rPr>
        <w:fldChar w:fldCharType="begin"/>
      </w:r>
      <w:r>
        <w:rPr>
          <w:rFonts w:ascii="仿宋_GB2312" w:eastAsia="仿宋_GB2312" w:hAnsi="宋体"/>
          <w:color w:val="000000" w:themeColor="text1"/>
          <w:sz w:val="32"/>
          <w:szCs w:val="32"/>
        </w:rPr>
        <w:instrText xml:space="preserve"> </w:instrText>
      </w:r>
      <w:r>
        <w:rPr>
          <w:rFonts w:ascii="仿宋_GB2312" w:eastAsia="仿宋_GB2312" w:hAnsi="宋体" w:hint="eastAsia"/>
          <w:color w:val="000000" w:themeColor="text1"/>
          <w:sz w:val="32"/>
          <w:szCs w:val="32"/>
        </w:rPr>
        <w:instrText xml:space="preserve">TC </w:instrText>
      </w:r>
      <w:bookmarkStart w:id="5" w:name="_Toc42589647"/>
      <w:r>
        <w:rPr>
          <w:rFonts w:ascii="仿宋_GB2312" w:eastAsia="仿宋_GB2312" w:hAnsi="宋体" w:hint="eastAsia"/>
          <w:color w:val="000000" w:themeColor="text1"/>
          <w:sz w:val="32"/>
          <w:szCs w:val="32"/>
        </w:rPr>
        <w:instrText>5</w:instrText>
      </w:r>
      <w:r>
        <w:rPr>
          <w:rFonts w:ascii="仿宋_GB2312" w:eastAsia="仿宋_GB2312" w:hAnsi="宋体" w:hint="eastAsia"/>
          <w:color w:val="000000" w:themeColor="text1"/>
          <w:sz w:val="32"/>
          <w:szCs w:val="32"/>
        </w:rPr>
        <w:instrText>、司法救助和国家赔偿绩效目标表</w:instrText>
      </w:r>
      <w:bookmarkEnd w:id="5"/>
      <w:r>
        <w:rPr>
          <w:rFonts w:ascii="仿宋_GB2312" w:eastAsia="仿宋_GB2312" w:hAnsi="宋体" w:hint="eastAsia"/>
          <w:color w:val="000000" w:themeColor="text1"/>
          <w:sz w:val="32"/>
          <w:szCs w:val="32"/>
        </w:rPr>
        <w:instrText xml:space="preserve"> \f C \l 1</w:instrText>
      </w:r>
      <w:r>
        <w:rPr>
          <w:rFonts w:ascii="仿宋_GB2312" w:eastAsia="仿宋_GB2312" w:hAnsi="宋体"/>
          <w:color w:val="000000" w:themeColor="text1"/>
          <w:sz w:val="32"/>
          <w:szCs w:val="32"/>
        </w:rPr>
        <w:instrText xml:space="preserve"> </w:instrText>
      </w:r>
      <w:r>
        <w:rPr>
          <w:rFonts w:ascii="仿宋_GB2312" w:eastAsia="仿宋_GB2312" w:hAnsi="宋体"/>
          <w:color w:val="000000" w:themeColor="text1"/>
          <w:sz w:val="32"/>
          <w:szCs w:val="32"/>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2F0D44">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F0D44" w:rsidRDefault="002F0D44">
            <w:pPr>
              <w:spacing w:line="300" w:lineRule="exact"/>
              <w:jc w:val="left"/>
              <w:rPr>
                <w:rFonts w:ascii="仿宋_GB2312" w:eastAsia="仿宋_GB2312" w:hAnsi="宋体"/>
                <w:color w:val="000000" w:themeColor="text1"/>
                <w:sz w:val="32"/>
                <w:szCs w:val="32"/>
              </w:rPr>
            </w:pPr>
            <w:bookmarkStart w:id="6" w:name="_GoBack"/>
            <w:bookmarkEnd w:id="6"/>
          </w:p>
        </w:tc>
        <w:tc>
          <w:tcPr>
            <w:tcW w:w="1701" w:type="dxa"/>
            <w:tcBorders>
              <w:top w:val="single" w:sz="6" w:space="0" w:color="FFFFFF"/>
              <w:left w:val="single" w:sz="6" w:space="0" w:color="FFFFFF"/>
              <w:right w:val="single" w:sz="6" w:space="0" w:color="FFFFFF"/>
            </w:tcBorders>
            <w:shd w:val="clear" w:color="auto" w:fill="auto"/>
            <w:vAlign w:val="center"/>
          </w:tcPr>
          <w:p w:rsidR="002F0D44" w:rsidRDefault="00A444B2">
            <w:pPr>
              <w:spacing w:line="30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单位：万元</w:t>
            </w:r>
          </w:p>
        </w:tc>
      </w:tr>
      <w:tr w:rsidR="002F0D44">
        <w:trPr>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项目编码</w:t>
            </w:r>
          </w:p>
        </w:tc>
        <w:tc>
          <w:tcPr>
            <w:tcW w:w="2410" w:type="dxa"/>
            <w:gridSpan w:val="2"/>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137-0401-JBN-N7DV</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项目名称</w:t>
            </w:r>
          </w:p>
        </w:tc>
        <w:tc>
          <w:tcPr>
            <w:tcW w:w="4281" w:type="dxa"/>
            <w:gridSpan w:val="3"/>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司法救助和国家赔偿</w:t>
            </w:r>
          </w:p>
        </w:tc>
      </w:tr>
      <w:tr w:rsidR="002F0D44">
        <w:trPr>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预算规模及资金用途</w:t>
            </w:r>
          </w:p>
        </w:tc>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预算数</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5.00</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其中：财政资金</w:t>
            </w:r>
          </w:p>
        </w:tc>
        <w:tc>
          <w:tcPr>
            <w:tcW w:w="130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5.00</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其他资金</w:t>
            </w:r>
          </w:p>
        </w:tc>
        <w:tc>
          <w:tcPr>
            <w:tcW w:w="1701" w:type="dxa"/>
            <w:shd w:val="clear" w:color="auto" w:fill="auto"/>
            <w:vAlign w:val="center"/>
          </w:tcPr>
          <w:p w:rsidR="002F0D44" w:rsidRDefault="002F0D44">
            <w:pPr>
              <w:spacing w:line="300" w:lineRule="exact"/>
              <w:jc w:val="left"/>
              <w:rPr>
                <w:rFonts w:ascii="仿宋_GB2312" w:eastAsia="仿宋_GB2312" w:hAnsi="宋体"/>
                <w:color w:val="000000" w:themeColor="text1"/>
                <w:sz w:val="32"/>
                <w:szCs w:val="32"/>
              </w:rPr>
            </w:pPr>
          </w:p>
        </w:tc>
      </w:tr>
      <w:tr w:rsidR="002F0D44">
        <w:trPr>
          <w:trHeight w:val="369"/>
          <w:jc w:val="center"/>
        </w:trPr>
        <w:tc>
          <w:tcPr>
            <w:tcW w:w="1134" w:type="dxa"/>
            <w:vMerge/>
            <w:shd w:val="clear" w:color="auto" w:fill="auto"/>
            <w:vAlign w:val="center"/>
          </w:tcPr>
          <w:p w:rsidR="002F0D44" w:rsidRDefault="002F0D44">
            <w:pPr>
              <w:spacing w:line="300" w:lineRule="exact"/>
              <w:jc w:val="left"/>
              <w:outlineLvl w:val="1"/>
              <w:rPr>
                <w:rFonts w:ascii="仿宋_GB2312" w:eastAsia="仿宋_GB2312" w:hAnsi="宋体"/>
                <w:color w:val="000000" w:themeColor="text1"/>
                <w:sz w:val="32"/>
                <w:szCs w:val="32"/>
              </w:rPr>
            </w:pPr>
          </w:p>
        </w:tc>
        <w:tc>
          <w:tcPr>
            <w:tcW w:w="8278" w:type="dxa"/>
            <w:gridSpan w:val="6"/>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对受到侵害但无法获得有效赔偿的当事人给予资助。为规定范围内的经济困难公民或刑事指定辩护案件当事人提供无偿的法律帮助。</w:t>
            </w:r>
          </w:p>
        </w:tc>
      </w:tr>
      <w:tr w:rsidR="002F0D44">
        <w:trPr>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资金支出计划（</w:t>
            </w:r>
            <w:r>
              <w:rPr>
                <w:rFonts w:ascii="仿宋_GB2312" w:eastAsia="仿宋_GB2312" w:hAnsi="宋体"/>
                <w:color w:val="000000" w:themeColor="text1"/>
                <w:sz w:val="32"/>
                <w:szCs w:val="32"/>
              </w:rPr>
              <w:t>%</w:t>
            </w:r>
            <w:r>
              <w:rPr>
                <w:rFonts w:ascii="仿宋_GB2312" w:eastAsia="仿宋_GB2312" w:hAnsi="宋体" w:hint="eastAsia"/>
                <w:color w:val="000000" w:themeColor="text1"/>
                <w:sz w:val="32"/>
                <w:szCs w:val="32"/>
              </w:rPr>
              <w:t>）</w:t>
            </w:r>
          </w:p>
        </w:tc>
        <w:tc>
          <w:tcPr>
            <w:tcW w:w="2410" w:type="dxa"/>
            <w:gridSpan w:val="2"/>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3</w:t>
            </w:r>
            <w:r>
              <w:rPr>
                <w:rFonts w:ascii="仿宋_GB2312" w:eastAsia="仿宋_GB2312" w:hAnsi="宋体" w:hint="eastAsia"/>
                <w:color w:val="000000" w:themeColor="text1"/>
                <w:sz w:val="32"/>
                <w:szCs w:val="32"/>
              </w:rPr>
              <w:t>月底</w:t>
            </w:r>
          </w:p>
        </w:tc>
        <w:tc>
          <w:tcPr>
            <w:tcW w:w="1587"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6</w:t>
            </w:r>
            <w:r>
              <w:rPr>
                <w:rFonts w:ascii="仿宋_GB2312" w:eastAsia="仿宋_GB2312" w:hAnsi="宋体" w:hint="eastAsia"/>
                <w:color w:val="000000" w:themeColor="text1"/>
                <w:sz w:val="32"/>
                <w:szCs w:val="32"/>
              </w:rPr>
              <w:t>月底</w:t>
            </w:r>
          </w:p>
        </w:tc>
        <w:tc>
          <w:tcPr>
            <w:tcW w:w="130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10</w:t>
            </w:r>
            <w:r>
              <w:rPr>
                <w:rFonts w:ascii="仿宋_GB2312" w:eastAsia="仿宋_GB2312" w:hAnsi="宋体" w:hint="eastAsia"/>
                <w:color w:val="000000" w:themeColor="text1"/>
                <w:sz w:val="32"/>
                <w:szCs w:val="32"/>
              </w:rPr>
              <w:t>月底</w:t>
            </w:r>
          </w:p>
        </w:tc>
        <w:tc>
          <w:tcPr>
            <w:tcW w:w="2977" w:type="dxa"/>
            <w:gridSpan w:val="2"/>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12</w:t>
            </w:r>
            <w:r>
              <w:rPr>
                <w:rFonts w:ascii="仿宋_GB2312" w:eastAsia="仿宋_GB2312" w:hAnsi="宋体" w:hint="eastAsia"/>
                <w:color w:val="000000" w:themeColor="text1"/>
                <w:sz w:val="32"/>
                <w:szCs w:val="32"/>
              </w:rPr>
              <w:t>月底</w:t>
            </w:r>
          </w:p>
        </w:tc>
      </w:tr>
      <w:tr w:rsidR="002F0D44">
        <w:trPr>
          <w:trHeight w:val="369"/>
          <w:jc w:val="center"/>
        </w:trPr>
        <w:tc>
          <w:tcPr>
            <w:tcW w:w="1134" w:type="dxa"/>
            <w:vMerge/>
            <w:tcBorders>
              <w:bottom w:val="single" w:sz="6" w:space="0" w:color="000000"/>
            </w:tcBorders>
            <w:shd w:val="clear" w:color="auto" w:fill="auto"/>
            <w:vAlign w:val="center"/>
          </w:tcPr>
          <w:p w:rsidR="002F0D44" w:rsidRDefault="002F0D44">
            <w:pPr>
              <w:spacing w:line="300" w:lineRule="exact"/>
              <w:jc w:val="left"/>
              <w:outlineLvl w:val="1"/>
              <w:rPr>
                <w:rFonts w:ascii="仿宋_GB2312" w:eastAsia="仿宋_GB2312" w:hAnsi="宋体"/>
                <w:color w:val="000000" w:themeColor="text1"/>
                <w:sz w:val="32"/>
                <w:szCs w:val="32"/>
              </w:rPr>
            </w:pPr>
          </w:p>
        </w:tc>
        <w:tc>
          <w:tcPr>
            <w:tcW w:w="2410" w:type="dxa"/>
            <w:gridSpan w:val="2"/>
            <w:tcBorders>
              <w:bottom w:val="single" w:sz="6" w:space="0" w:color="000000"/>
            </w:tcBorders>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587" w:type="dxa"/>
            <w:tcBorders>
              <w:bottom w:val="single" w:sz="6" w:space="0" w:color="000000"/>
            </w:tcBorders>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304" w:type="dxa"/>
            <w:tcBorders>
              <w:bottom w:val="single" w:sz="6" w:space="0" w:color="000000"/>
            </w:tcBorders>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2977" w:type="dxa"/>
            <w:gridSpan w:val="2"/>
            <w:tcBorders>
              <w:bottom w:val="single" w:sz="6" w:space="0" w:color="000000"/>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100.00</w:t>
            </w:r>
          </w:p>
        </w:tc>
      </w:tr>
      <w:tr w:rsidR="002F0D44">
        <w:trPr>
          <w:trHeight w:val="369"/>
          <w:jc w:val="center"/>
        </w:trPr>
        <w:tc>
          <w:tcPr>
            <w:tcW w:w="1134" w:type="dxa"/>
            <w:tcBorders>
              <w:bottom w:val="nil"/>
            </w:tcBorders>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绩效目标</w:t>
            </w:r>
          </w:p>
        </w:tc>
        <w:tc>
          <w:tcPr>
            <w:tcW w:w="8278" w:type="dxa"/>
            <w:gridSpan w:val="6"/>
            <w:tcBorders>
              <w:bottom w:val="nil"/>
            </w:tcBorders>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1</w:t>
            </w:r>
            <w:r>
              <w:rPr>
                <w:rFonts w:ascii="仿宋_GB2312" w:eastAsia="仿宋_GB2312" w:hAnsi="宋体" w:hint="eastAsia"/>
                <w:color w:val="000000" w:themeColor="text1"/>
                <w:sz w:val="32"/>
                <w:szCs w:val="32"/>
              </w:rPr>
              <w:t>、对受到侵害但无法获得有效赔偿的当事人给予资助</w:t>
            </w:r>
          </w:p>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color w:val="000000" w:themeColor="text1"/>
                <w:sz w:val="32"/>
                <w:szCs w:val="32"/>
              </w:rPr>
              <w:t>2</w:t>
            </w:r>
            <w:r>
              <w:rPr>
                <w:rFonts w:ascii="仿宋_GB2312" w:eastAsia="仿宋_GB2312" w:hAnsi="宋体" w:hint="eastAsia"/>
                <w:color w:val="000000" w:themeColor="text1"/>
                <w:sz w:val="32"/>
                <w:szCs w:val="32"/>
              </w:rPr>
              <w:t>、为规定范围内的经济困难公民或刑事指定辩护案件当事人提供无偿的法律帮助。</w:t>
            </w:r>
          </w:p>
        </w:tc>
      </w:tr>
    </w:tbl>
    <w:p w:rsidR="002F0D44" w:rsidRDefault="00A444B2">
      <w:pPr>
        <w:spacing w:line="14" w:lineRule="exact"/>
        <w:ind w:firstLineChars="200" w:firstLine="640"/>
        <w:jc w:val="center"/>
        <w:rPr>
          <w:rFonts w:ascii="仿宋_GB2312" w:eastAsia="仿宋_GB2312" w:hAnsi="宋体"/>
          <w:color w:val="000000" w:themeColor="text1"/>
          <w:sz w:val="32"/>
          <w:szCs w:val="32"/>
        </w:rPr>
      </w:pPr>
      <w:r>
        <w:rPr>
          <w:rFonts w:ascii="仿宋_GB2312" w:eastAsia="仿宋_GB2312" w:hAnsi="宋体"/>
          <w:color w:val="000000" w:themeColor="text1"/>
          <w:sz w:val="32"/>
          <w:szCs w:val="32"/>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F0D44">
        <w:trPr>
          <w:cantSplit/>
          <w:trHeight w:val="397"/>
          <w:tblHeader/>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一级指标</w:t>
            </w:r>
          </w:p>
        </w:tc>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二级指标</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三级指标</w:t>
            </w:r>
          </w:p>
        </w:tc>
        <w:tc>
          <w:tcPr>
            <w:tcW w:w="2891"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绩效指标描述</w:t>
            </w:r>
          </w:p>
        </w:tc>
        <w:tc>
          <w:tcPr>
            <w:tcW w:w="1276"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指标值</w:t>
            </w:r>
          </w:p>
        </w:tc>
        <w:tc>
          <w:tcPr>
            <w:tcW w:w="1701"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指标值确定依据</w:t>
            </w:r>
          </w:p>
        </w:tc>
      </w:tr>
      <w:tr w:rsidR="002F0D44">
        <w:trPr>
          <w:cantSplit/>
          <w:trHeight w:val="369"/>
          <w:jc w:val="center"/>
        </w:trPr>
        <w:tc>
          <w:tcPr>
            <w:tcW w:w="1134" w:type="dxa"/>
            <w:vMerge w:val="restart"/>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产出指标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数量指标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结案率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司法救助已结案件量占全部立案的司法救助案件量的比例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司法救助案件数</w:t>
            </w:r>
          </w:p>
        </w:tc>
      </w:tr>
      <w:tr w:rsidR="002F0D44">
        <w:trPr>
          <w:cantSplit/>
          <w:trHeight w:val="369"/>
          <w:jc w:val="center"/>
        </w:trPr>
        <w:tc>
          <w:tcPr>
            <w:tcW w:w="1134" w:type="dxa"/>
            <w:vMerge/>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质量指标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化解矛盾率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司法救助案件化解矛盾的数量</w:t>
            </w:r>
            <w:proofErr w:type="gramStart"/>
            <w:r>
              <w:rPr>
                <w:rFonts w:ascii="仿宋_GB2312" w:eastAsia="仿宋_GB2312" w:hAnsi="宋体" w:hint="eastAsia"/>
                <w:color w:val="000000" w:themeColor="text1"/>
                <w:sz w:val="32"/>
                <w:szCs w:val="32"/>
              </w:rPr>
              <w:t>占司法</w:t>
            </w:r>
            <w:proofErr w:type="gramEnd"/>
            <w:r>
              <w:rPr>
                <w:rFonts w:ascii="仿宋_GB2312" w:eastAsia="仿宋_GB2312" w:hAnsi="宋体" w:hint="eastAsia"/>
                <w:color w:val="000000" w:themeColor="text1"/>
                <w:sz w:val="32"/>
                <w:szCs w:val="32"/>
              </w:rPr>
              <w:t>救助案件数的比例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化解矛盾率</w:t>
            </w:r>
          </w:p>
        </w:tc>
      </w:tr>
      <w:tr w:rsidR="002F0D44">
        <w:trPr>
          <w:cantSplit/>
          <w:trHeight w:val="369"/>
          <w:jc w:val="center"/>
        </w:trPr>
        <w:tc>
          <w:tcPr>
            <w:tcW w:w="1134" w:type="dxa"/>
            <w:vMerge/>
            <w:shd w:val="clear" w:color="auto" w:fill="auto"/>
            <w:vAlign w:val="center"/>
          </w:tcPr>
          <w:p w:rsidR="002F0D44" w:rsidRDefault="002F0D44">
            <w:pPr>
              <w:spacing w:line="300" w:lineRule="exact"/>
              <w:jc w:val="center"/>
              <w:rPr>
                <w:rFonts w:ascii="仿宋_GB2312" w:eastAsia="仿宋_GB2312" w:hAnsi="宋体"/>
                <w:color w:val="000000" w:themeColor="text1"/>
                <w:sz w:val="32"/>
                <w:szCs w:val="32"/>
              </w:rPr>
            </w:pP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时效指标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法律援助工作完成率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实际援助</w:t>
            </w:r>
            <w:proofErr w:type="gramStart"/>
            <w:r>
              <w:rPr>
                <w:rFonts w:ascii="仿宋_GB2312" w:eastAsia="仿宋_GB2312" w:hAnsi="宋体" w:hint="eastAsia"/>
                <w:color w:val="000000" w:themeColor="text1"/>
                <w:sz w:val="32"/>
                <w:szCs w:val="32"/>
              </w:rPr>
              <w:t>案件占需援助</w:t>
            </w:r>
            <w:proofErr w:type="gramEnd"/>
            <w:r>
              <w:rPr>
                <w:rFonts w:ascii="仿宋_GB2312" w:eastAsia="仿宋_GB2312" w:hAnsi="宋体" w:hint="eastAsia"/>
                <w:color w:val="000000" w:themeColor="text1"/>
                <w:sz w:val="32"/>
                <w:szCs w:val="32"/>
              </w:rPr>
              <w:t>案件的比例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完成率</w:t>
            </w:r>
          </w:p>
        </w:tc>
      </w:tr>
      <w:tr w:rsidR="002F0D44">
        <w:trPr>
          <w:cantSplit/>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效果指标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社会效益指标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司法救助资金发放到位率</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实际发放到位的救助资金占已批复的救助资金的比例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发放率</w:t>
            </w:r>
          </w:p>
        </w:tc>
      </w:tr>
      <w:tr w:rsidR="002F0D44">
        <w:trPr>
          <w:cantSplit/>
          <w:trHeight w:val="369"/>
          <w:jc w:val="center"/>
        </w:trPr>
        <w:tc>
          <w:tcPr>
            <w:tcW w:w="1134" w:type="dxa"/>
            <w:shd w:val="clear" w:color="auto" w:fill="auto"/>
            <w:vAlign w:val="center"/>
          </w:tcPr>
          <w:p w:rsidR="002F0D44" w:rsidRDefault="00A444B2">
            <w:pPr>
              <w:spacing w:line="30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满意度指标</w:t>
            </w:r>
          </w:p>
        </w:tc>
        <w:tc>
          <w:tcPr>
            <w:tcW w:w="1134"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服务对象满意度指标</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群众满意度</w:t>
            </w:r>
          </w:p>
        </w:tc>
        <w:tc>
          <w:tcPr>
            <w:tcW w:w="289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群众满意数量占总数的比例。</w:t>
            </w:r>
          </w:p>
        </w:tc>
        <w:tc>
          <w:tcPr>
            <w:tcW w:w="1276"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w:t>
            </w:r>
            <w:r>
              <w:rPr>
                <w:rFonts w:ascii="仿宋_GB2312" w:eastAsia="仿宋_GB2312" w:hAnsi="宋体"/>
                <w:color w:val="000000" w:themeColor="text1"/>
                <w:sz w:val="32"/>
                <w:szCs w:val="32"/>
              </w:rPr>
              <w:t>90%</w:t>
            </w:r>
          </w:p>
        </w:tc>
        <w:tc>
          <w:tcPr>
            <w:tcW w:w="1701" w:type="dxa"/>
            <w:shd w:val="clear" w:color="auto" w:fill="auto"/>
            <w:vAlign w:val="center"/>
          </w:tcPr>
          <w:p w:rsidR="002F0D44" w:rsidRDefault="00A444B2">
            <w:pPr>
              <w:spacing w:line="300" w:lineRule="exact"/>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满意度</w:t>
            </w:r>
          </w:p>
        </w:tc>
      </w:tr>
    </w:tbl>
    <w:p w:rsidR="002F0D44" w:rsidRDefault="002F0D44">
      <w:pPr>
        <w:spacing w:line="300" w:lineRule="exact"/>
        <w:ind w:firstLineChars="200" w:firstLine="420"/>
        <w:jc w:val="left"/>
      </w:pPr>
    </w:p>
    <w:p w:rsidR="002F0D44" w:rsidRDefault="002F0D44"/>
    <w:p w:rsidR="002F0D44" w:rsidRDefault="002F0D44"/>
    <w:p w:rsidR="002F0D44" w:rsidRDefault="002F0D44"/>
    <w:p w:rsidR="002F0D44" w:rsidRDefault="002F0D44"/>
    <w:bookmarkEnd w:id="0"/>
    <w:p w:rsidR="002F0D44" w:rsidRDefault="002F0D44">
      <w:pPr>
        <w:rPr>
          <w:rFonts w:ascii="仿宋_GB2312" w:eastAsia="仿宋_GB2312" w:hAnsi="宋体"/>
          <w:color w:val="FF0000"/>
          <w:sz w:val="32"/>
          <w:szCs w:val="32"/>
        </w:rPr>
      </w:pPr>
    </w:p>
    <w:p w:rsidR="002F0D44" w:rsidRDefault="00A444B2">
      <w:pPr>
        <w:spacing w:line="560" w:lineRule="exact"/>
        <w:ind w:firstLineChars="200" w:firstLine="643"/>
        <w:rPr>
          <w:color w:val="000000" w:themeColor="text1"/>
        </w:rPr>
      </w:pPr>
      <w:r>
        <w:rPr>
          <w:rFonts w:ascii="宋体" w:hAnsi="宋体" w:hint="eastAsia"/>
          <w:b/>
          <w:color w:val="000000" w:themeColor="text1"/>
          <w:sz w:val="32"/>
          <w:szCs w:val="32"/>
        </w:rPr>
        <w:t>六、政府采购预算情况</w:t>
      </w:r>
    </w:p>
    <w:p w:rsidR="002F0D44" w:rsidRDefault="00A444B2">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年无采购预算</w:t>
      </w:r>
    </w:p>
    <w:p w:rsidR="002F0D44" w:rsidRDefault="00A444B2">
      <w:pPr>
        <w:spacing w:line="560" w:lineRule="exact"/>
        <w:ind w:firstLineChars="200" w:firstLine="643"/>
        <w:rPr>
          <w:rFonts w:ascii="宋体" w:hAnsi="宋体"/>
          <w:b/>
          <w:sz w:val="32"/>
          <w:szCs w:val="32"/>
        </w:rPr>
      </w:pPr>
      <w:r>
        <w:rPr>
          <w:rFonts w:ascii="宋体" w:hAnsi="宋体" w:hint="eastAsia"/>
          <w:b/>
          <w:sz w:val="32"/>
          <w:szCs w:val="32"/>
        </w:rPr>
        <w:t>七、国有资产预算情况</w:t>
      </w:r>
    </w:p>
    <w:tbl>
      <w:tblPr>
        <w:tblW w:w="9039" w:type="dxa"/>
        <w:tblLayout w:type="fixed"/>
        <w:tblLook w:val="04A0" w:firstRow="1" w:lastRow="0" w:firstColumn="1" w:lastColumn="0" w:noHBand="0" w:noVBand="1"/>
      </w:tblPr>
      <w:tblGrid>
        <w:gridCol w:w="3652"/>
        <w:gridCol w:w="1276"/>
        <w:gridCol w:w="4111"/>
      </w:tblGrid>
      <w:tr w:rsidR="002F0D44">
        <w:trPr>
          <w:trHeight w:val="705"/>
        </w:trPr>
        <w:tc>
          <w:tcPr>
            <w:tcW w:w="9039" w:type="dxa"/>
            <w:gridSpan w:val="3"/>
            <w:tcBorders>
              <w:top w:val="nil"/>
              <w:left w:val="nil"/>
              <w:bottom w:val="nil"/>
              <w:right w:val="nil"/>
            </w:tcBorders>
            <w:vAlign w:val="center"/>
          </w:tcPr>
          <w:p w:rsidR="002F0D44" w:rsidRDefault="00A444B2">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2F0D44">
        <w:trPr>
          <w:trHeight w:val="510"/>
        </w:trPr>
        <w:tc>
          <w:tcPr>
            <w:tcW w:w="4928" w:type="dxa"/>
            <w:gridSpan w:val="2"/>
            <w:tcBorders>
              <w:top w:val="nil"/>
              <w:left w:val="nil"/>
              <w:bottom w:val="nil"/>
              <w:right w:val="nil"/>
            </w:tcBorders>
            <w:vAlign w:val="center"/>
          </w:tcPr>
          <w:p w:rsidR="002F0D44" w:rsidRDefault="00A444B2">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编制部门：法院</w:t>
            </w:r>
          </w:p>
        </w:tc>
        <w:tc>
          <w:tcPr>
            <w:tcW w:w="4111" w:type="dxa"/>
            <w:tcBorders>
              <w:top w:val="nil"/>
              <w:left w:val="nil"/>
              <w:bottom w:val="nil"/>
              <w:right w:val="nil"/>
            </w:tcBorders>
            <w:vAlign w:val="center"/>
          </w:tcPr>
          <w:p w:rsidR="002F0D44" w:rsidRDefault="00A444B2">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w:t>
            </w:r>
            <w:r>
              <w:rPr>
                <w:rFonts w:ascii="仿宋_GB2312" w:eastAsia="仿宋_GB2312" w:hAnsi="宋体" w:cs="宋体" w:hint="eastAsia"/>
                <w:kern w:val="0"/>
                <w:sz w:val="32"/>
                <w:szCs w:val="30"/>
              </w:rPr>
              <w:t>20</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p>
        </w:tc>
      </w:tr>
      <w:tr w:rsidR="002F0D44">
        <w:trPr>
          <w:trHeight w:val="645"/>
        </w:trPr>
        <w:tc>
          <w:tcPr>
            <w:tcW w:w="3652" w:type="dxa"/>
            <w:tcBorders>
              <w:top w:val="single" w:sz="4" w:space="0" w:color="auto"/>
              <w:left w:val="single" w:sz="4" w:space="0" w:color="auto"/>
              <w:bottom w:val="single" w:sz="4" w:space="0" w:color="auto"/>
              <w:right w:val="single" w:sz="4" w:space="0" w:color="auto"/>
            </w:tcBorders>
            <w:vAlign w:val="center"/>
          </w:tcPr>
          <w:p w:rsidR="002F0D44" w:rsidRDefault="00A444B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项目</w:t>
            </w:r>
          </w:p>
        </w:tc>
        <w:tc>
          <w:tcPr>
            <w:tcW w:w="1276" w:type="dxa"/>
            <w:tcBorders>
              <w:top w:val="single" w:sz="4" w:space="0" w:color="auto"/>
              <w:left w:val="nil"/>
              <w:bottom w:val="single" w:sz="4" w:space="0" w:color="auto"/>
              <w:right w:val="single" w:sz="4" w:space="0" w:color="auto"/>
            </w:tcBorders>
            <w:vAlign w:val="center"/>
          </w:tcPr>
          <w:p w:rsidR="002F0D44" w:rsidRDefault="00A444B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4111" w:type="dxa"/>
            <w:tcBorders>
              <w:top w:val="single" w:sz="4" w:space="0" w:color="auto"/>
              <w:left w:val="nil"/>
              <w:bottom w:val="single" w:sz="4" w:space="0" w:color="auto"/>
              <w:right w:val="single" w:sz="4" w:space="0" w:color="auto"/>
            </w:tcBorders>
            <w:vAlign w:val="center"/>
          </w:tcPr>
          <w:p w:rsidR="002F0D44" w:rsidRDefault="00A444B2">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1276" w:type="dxa"/>
            <w:tcBorders>
              <w:top w:val="nil"/>
              <w:left w:val="nil"/>
              <w:bottom w:val="single" w:sz="4" w:space="0" w:color="auto"/>
              <w:right w:val="single" w:sz="4" w:space="0" w:color="auto"/>
            </w:tcBorders>
            <w:vAlign w:val="center"/>
          </w:tcPr>
          <w:p w:rsidR="002F0D44" w:rsidRDefault="00A444B2">
            <w:pPr>
              <w:jc w:val="center"/>
              <w:rPr>
                <w:rFonts w:ascii="宋体" w:hAnsi="宋体" w:cs="宋体"/>
                <w:sz w:val="20"/>
                <w:szCs w:val="20"/>
              </w:rPr>
            </w:pPr>
            <w:r>
              <w:rPr>
                <w:rFonts w:hint="eastAsia"/>
                <w:sz w:val="20"/>
                <w:szCs w:val="20"/>
              </w:rPr>
              <w:t>- -</w:t>
            </w:r>
          </w:p>
        </w:tc>
        <w:tc>
          <w:tcPr>
            <w:tcW w:w="4111" w:type="dxa"/>
            <w:tcBorders>
              <w:top w:val="nil"/>
              <w:left w:val="nil"/>
              <w:bottom w:val="single" w:sz="4" w:space="0" w:color="auto"/>
              <w:right w:val="single" w:sz="4" w:space="0" w:color="auto"/>
            </w:tcBorders>
            <w:vAlign w:val="center"/>
          </w:tcPr>
          <w:p w:rsidR="002F0D44" w:rsidRDefault="00A444B2">
            <w:pPr>
              <w:jc w:val="right"/>
              <w:rPr>
                <w:rFonts w:ascii="宋体" w:hAnsi="宋体" w:cs="宋体"/>
                <w:sz w:val="22"/>
                <w:szCs w:val="22"/>
              </w:rPr>
            </w:pPr>
            <w:r>
              <w:rPr>
                <w:rFonts w:ascii="宋体" w:hAnsi="宋体" w:cs="宋体" w:hint="eastAsia"/>
                <w:sz w:val="22"/>
                <w:szCs w:val="22"/>
              </w:rPr>
              <w:t>1340.16</w:t>
            </w: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1276" w:type="dxa"/>
            <w:tcBorders>
              <w:top w:val="nil"/>
              <w:left w:val="nil"/>
              <w:bottom w:val="single" w:sz="4" w:space="0" w:color="auto"/>
              <w:right w:val="single" w:sz="4" w:space="0" w:color="auto"/>
            </w:tcBorders>
            <w:vAlign w:val="center"/>
          </w:tcPr>
          <w:p w:rsidR="002F0D44" w:rsidRDefault="00A444B2">
            <w:pPr>
              <w:jc w:val="center"/>
              <w:rPr>
                <w:rFonts w:ascii="宋体" w:hAnsi="宋体" w:cs="宋体"/>
                <w:sz w:val="20"/>
                <w:szCs w:val="20"/>
              </w:rPr>
            </w:pPr>
            <w:r>
              <w:rPr>
                <w:rFonts w:hint="eastAsia"/>
                <w:sz w:val="20"/>
                <w:szCs w:val="20"/>
              </w:rPr>
              <w:t>- -</w:t>
            </w:r>
          </w:p>
        </w:tc>
        <w:tc>
          <w:tcPr>
            <w:tcW w:w="4111" w:type="dxa"/>
            <w:tcBorders>
              <w:top w:val="nil"/>
              <w:left w:val="nil"/>
              <w:bottom w:val="single" w:sz="4" w:space="0" w:color="auto"/>
              <w:right w:val="single" w:sz="4" w:space="0" w:color="auto"/>
            </w:tcBorders>
            <w:vAlign w:val="center"/>
          </w:tcPr>
          <w:p w:rsidR="002F0D44" w:rsidRDefault="002F0D44">
            <w:pPr>
              <w:rPr>
                <w:rFonts w:ascii="宋体" w:hAnsi="宋体" w:cs="宋体"/>
                <w:sz w:val="20"/>
                <w:szCs w:val="20"/>
              </w:rPr>
            </w:pP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1276"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c>
          <w:tcPr>
            <w:tcW w:w="4111" w:type="dxa"/>
            <w:tcBorders>
              <w:top w:val="nil"/>
              <w:left w:val="nil"/>
              <w:bottom w:val="single" w:sz="4" w:space="0" w:color="auto"/>
              <w:right w:val="single" w:sz="4" w:space="0" w:color="auto"/>
            </w:tcBorders>
            <w:vAlign w:val="center"/>
          </w:tcPr>
          <w:p w:rsidR="002F0D44" w:rsidRDefault="002F0D44">
            <w:pPr>
              <w:rPr>
                <w:rFonts w:ascii="宋体" w:hAnsi="宋体" w:cs="宋体"/>
                <w:sz w:val="20"/>
                <w:szCs w:val="20"/>
              </w:rPr>
            </w:pP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二、通用设备</w:t>
            </w:r>
          </w:p>
        </w:tc>
        <w:tc>
          <w:tcPr>
            <w:tcW w:w="1276" w:type="dxa"/>
            <w:tcBorders>
              <w:top w:val="nil"/>
              <w:left w:val="nil"/>
              <w:bottom w:val="single" w:sz="4" w:space="0" w:color="auto"/>
              <w:right w:val="single" w:sz="4" w:space="0" w:color="auto"/>
            </w:tcBorders>
            <w:vAlign w:val="center"/>
          </w:tcPr>
          <w:p w:rsidR="002F0D44" w:rsidRDefault="00A444B2">
            <w:pPr>
              <w:jc w:val="right"/>
              <w:rPr>
                <w:rFonts w:ascii="宋体" w:hAnsi="宋体" w:cs="宋体"/>
                <w:sz w:val="22"/>
                <w:szCs w:val="22"/>
              </w:rPr>
            </w:pPr>
            <w:r>
              <w:rPr>
                <w:rFonts w:ascii="宋体" w:hAnsi="宋体" w:cs="宋体" w:hint="eastAsia"/>
                <w:sz w:val="22"/>
                <w:szCs w:val="22"/>
              </w:rPr>
              <w:t>885</w:t>
            </w:r>
          </w:p>
        </w:tc>
        <w:tc>
          <w:tcPr>
            <w:tcW w:w="4111" w:type="dxa"/>
            <w:tcBorders>
              <w:top w:val="nil"/>
              <w:left w:val="nil"/>
              <w:bottom w:val="single" w:sz="4" w:space="0" w:color="auto"/>
              <w:right w:val="single" w:sz="4" w:space="0" w:color="auto"/>
            </w:tcBorders>
            <w:vAlign w:val="center"/>
          </w:tcPr>
          <w:p w:rsidR="002F0D44" w:rsidRDefault="00A444B2">
            <w:pPr>
              <w:jc w:val="right"/>
              <w:rPr>
                <w:rFonts w:ascii="宋体" w:hAnsi="宋体" w:cs="宋体"/>
                <w:sz w:val="22"/>
                <w:szCs w:val="22"/>
              </w:rPr>
            </w:pPr>
            <w:r>
              <w:rPr>
                <w:rFonts w:ascii="宋体" w:hAnsi="宋体" w:cs="宋体" w:hint="eastAsia"/>
                <w:sz w:val="22"/>
                <w:szCs w:val="22"/>
              </w:rPr>
              <w:t>1018.84</w:t>
            </w: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1276" w:type="dxa"/>
            <w:tcBorders>
              <w:top w:val="nil"/>
              <w:left w:val="nil"/>
              <w:bottom w:val="single" w:sz="4" w:space="0" w:color="auto"/>
              <w:right w:val="single" w:sz="4" w:space="0" w:color="auto"/>
            </w:tcBorders>
            <w:vAlign w:val="center"/>
          </w:tcPr>
          <w:p w:rsidR="002F0D44" w:rsidRDefault="00A444B2">
            <w:pPr>
              <w:jc w:val="right"/>
              <w:rPr>
                <w:rFonts w:ascii="宋体" w:hAnsi="宋体" w:cs="宋体"/>
                <w:sz w:val="22"/>
                <w:szCs w:val="22"/>
              </w:rPr>
            </w:pPr>
            <w:r>
              <w:rPr>
                <w:rFonts w:ascii="宋体" w:hAnsi="宋体" w:cs="宋体" w:hint="eastAsia"/>
                <w:sz w:val="22"/>
                <w:szCs w:val="22"/>
              </w:rPr>
              <w:t>8</w:t>
            </w:r>
          </w:p>
        </w:tc>
        <w:tc>
          <w:tcPr>
            <w:tcW w:w="4111" w:type="dxa"/>
            <w:tcBorders>
              <w:top w:val="nil"/>
              <w:left w:val="nil"/>
              <w:bottom w:val="single" w:sz="4" w:space="0" w:color="auto"/>
              <w:right w:val="single" w:sz="4" w:space="0" w:color="auto"/>
            </w:tcBorders>
            <w:vAlign w:val="center"/>
          </w:tcPr>
          <w:p w:rsidR="002F0D44" w:rsidRDefault="00A444B2">
            <w:pPr>
              <w:jc w:val="right"/>
              <w:rPr>
                <w:rFonts w:ascii="宋体" w:hAnsi="宋体" w:cs="宋体"/>
                <w:sz w:val="22"/>
                <w:szCs w:val="22"/>
              </w:rPr>
            </w:pPr>
            <w:r>
              <w:rPr>
                <w:rFonts w:ascii="宋体" w:hAnsi="宋体" w:cs="宋体" w:hint="eastAsia"/>
                <w:sz w:val="22"/>
                <w:szCs w:val="22"/>
              </w:rPr>
              <w:t>150.2</w:t>
            </w: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三、专用设备</w:t>
            </w:r>
          </w:p>
        </w:tc>
        <w:tc>
          <w:tcPr>
            <w:tcW w:w="1276" w:type="dxa"/>
            <w:tcBorders>
              <w:top w:val="nil"/>
              <w:left w:val="nil"/>
              <w:bottom w:val="single" w:sz="4" w:space="0" w:color="auto"/>
              <w:right w:val="single" w:sz="4" w:space="0" w:color="auto"/>
            </w:tcBorders>
            <w:vAlign w:val="center"/>
          </w:tcPr>
          <w:p w:rsidR="002F0D44" w:rsidRDefault="00A444B2">
            <w:pPr>
              <w:jc w:val="right"/>
              <w:rPr>
                <w:rFonts w:ascii="宋体" w:hAnsi="宋体" w:cs="宋体"/>
                <w:sz w:val="22"/>
                <w:szCs w:val="22"/>
              </w:rPr>
            </w:pPr>
            <w:r>
              <w:rPr>
                <w:rFonts w:ascii="宋体" w:hAnsi="宋体" w:cs="宋体" w:hint="eastAsia"/>
                <w:sz w:val="22"/>
                <w:szCs w:val="22"/>
              </w:rPr>
              <w:t>125</w:t>
            </w:r>
          </w:p>
        </w:tc>
        <w:tc>
          <w:tcPr>
            <w:tcW w:w="4111" w:type="dxa"/>
            <w:tcBorders>
              <w:top w:val="nil"/>
              <w:left w:val="nil"/>
              <w:bottom w:val="single" w:sz="4" w:space="0" w:color="auto"/>
              <w:right w:val="single" w:sz="4" w:space="0" w:color="auto"/>
            </w:tcBorders>
            <w:vAlign w:val="center"/>
          </w:tcPr>
          <w:p w:rsidR="002F0D44" w:rsidRDefault="00A444B2">
            <w:pPr>
              <w:jc w:val="right"/>
              <w:rPr>
                <w:rFonts w:ascii="宋体" w:hAnsi="宋体" w:cs="宋体"/>
                <w:sz w:val="22"/>
                <w:szCs w:val="22"/>
              </w:rPr>
            </w:pPr>
            <w:r>
              <w:rPr>
                <w:rFonts w:ascii="宋体" w:hAnsi="宋体" w:cs="宋体" w:hint="eastAsia"/>
                <w:sz w:val="22"/>
                <w:szCs w:val="22"/>
              </w:rPr>
              <w:t>29.98</w:t>
            </w: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四、文物与陈列品</w:t>
            </w:r>
          </w:p>
        </w:tc>
        <w:tc>
          <w:tcPr>
            <w:tcW w:w="1276"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c>
          <w:tcPr>
            <w:tcW w:w="4111"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r>
      <w:tr w:rsidR="002F0D44">
        <w:trPr>
          <w:trHeight w:val="819"/>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1276"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c>
          <w:tcPr>
            <w:tcW w:w="4111"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1276"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c>
          <w:tcPr>
            <w:tcW w:w="4111"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五、图书档案</w:t>
            </w:r>
          </w:p>
        </w:tc>
        <w:tc>
          <w:tcPr>
            <w:tcW w:w="1276"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c>
          <w:tcPr>
            <w:tcW w:w="4111"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1276"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c>
          <w:tcPr>
            <w:tcW w:w="4111" w:type="dxa"/>
            <w:tcBorders>
              <w:top w:val="nil"/>
              <w:left w:val="nil"/>
              <w:bottom w:val="single" w:sz="4" w:space="0" w:color="auto"/>
              <w:right w:val="single" w:sz="4" w:space="0" w:color="auto"/>
            </w:tcBorders>
            <w:vAlign w:val="center"/>
          </w:tcPr>
          <w:p w:rsidR="002F0D44" w:rsidRDefault="00A444B2">
            <w:pPr>
              <w:rPr>
                <w:rFonts w:ascii="宋体" w:hAnsi="宋体" w:cs="宋体"/>
                <w:sz w:val="20"/>
                <w:szCs w:val="20"/>
              </w:rPr>
            </w:pPr>
            <w:r>
              <w:rPr>
                <w:rFonts w:hint="eastAsia"/>
                <w:sz w:val="20"/>
                <w:szCs w:val="20"/>
              </w:rPr>
              <w:t xml:space="preserve">　</w:t>
            </w: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1276" w:type="dxa"/>
            <w:tcBorders>
              <w:top w:val="nil"/>
              <w:left w:val="nil"/>
              <w:bottom w:val="single" w:sz="4" w:space="0" w:color="auto"/>
              <w:right w:val="single" w:sz="4" w:space="0" w:color="auto"/>
            </w:tcBorders>
            <w:vAlign w:val="center"/>
          </w:tcPr>
          <w:p w:rsidR="002F0D44" w:rsidRDefault="00A444B2">
            <w:pPr>
              <w:jc w:val="right"/>
              <w:rPr>
                <w:rFonts w:ascii="宋体" w:hAnsi="宋体" w:cs="宋体"/>
                <w:sz w:val="22"/>
                <w:szCs w:val="22"/>
              </w:rPr>
            </w:pPr>
            <w:r>
              <w:rPr>
                <w:rFonts w:ascii="宋体" w:hAnsi="宋体" w:cs="宋体" w:hint="eastAsia"/>
                <w:sz w:val="22"/>
                <w:szCs w:val="22"/>
              </w:rPr>
              <w:t>11</w:t>
            </w:r>
            <w:r>
              <w:rPr>
                <w:rFonts w:ascii="宋体" w:hAnsi="宋体" w:cs="宋体" w:hint="eastAsia"/>
                <w:sz w:val="22"/>
                <w:szCs w:val="22"/>
              </w:rPr>
              <w:t>3</w:t>
            </w:r>
            <w:r>
              <w:rPr>
                <w:rFonts w:ascii="宋体" w:hAnsi="宋体" w:cs="宋体" w:hint="eastAsia"/>
                <w:sz w:val="22"/>
                <w:szCs w:val="22"/>
              </w:rPr>
              <w:t>6</w:t>
            </w:r>
          </w:p>
        </w:tc>
        <w:tc>
          <w:tcPr>
            <w:tcW w:w="4111" w:type="dxa"/>
            <w:tcBorders>
              <w:top w:val="nil"/>
              <w:left w:val="nil"/>
              <w:bottom w:val="single" w:sz="4" w:space="0" w:color="auto"/>
              <w:right w:val="single" w:sz="4" w:space="0" w:color="auto"/>
            </w:tcBorders>
            <w:vAlign w:val="center"/>
          </w:tcPr>
          <w:p w:rsidR="002F0D44" w:rsidRDefault="00A444B2">
            <w:pPr>
              <w:jc w:val="right"/>
              <w:rPr>
                <w:rFonts w:ascii="宋体" w:hAnsi="宋体" w:cs="宋体"/>
                <w:sz w:val="22"/>
                <w:szCs w:val="22"/>
              </w:rPr>
            </w:pPr>
            <w:r>
              <w:rPr>
                <w:rFonts w:ascii="宋体" w:hAnsi="宋体" w:cs="宋体" w:hint="eastAsia"/>
                <w:sz w:val="22"/>
                <w:szCs w:val="22"/>
              </w:rPr>
              <w:t>141.14</w:t>
            </w:r>
          </w:p>
        </w:tc>
      </w:tr>
      <w:tr w:rsidR="002F0D44">
        <w:trPr>
          <w:trHeight w:val="645"/>
        </w:trPr>
        <w:tc>
          <w:tcPr>
            <w:tcW w:w="3652" w:type="dxa"/>
            <w:tcBorders>
              <w:top w:val="nil"/>
              <w:left w:val="single" w:sz="4" w:space="0" w:color="auto"/>
              <w:bottom w:val="single" w:sz="4" w:space="0" w:color="auto"/>
              <w:right w:val="single" w:sz="4" w:space="0" w:color="auto"/>
            </w:tcBorders>
            <w:vAlign w:val="center"/>
          </w:tcPr>
          <w:p w:rsidR="002F0D44" w:rsidRDefault="00A444B2">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1276" w:type="dxa"/>
            <w:tcBorders>
              <w:top w:val="nil"/>
              <w:left w:val="nil"/>
              <w:bottom w:val="single" w:sz="4" w:space="0" w:color="auto"/>
              <w:right w:val="single" w:sz="4" w:space="0" w:color="auto"/>
            </w:tcBorders>
            <w:vAlign w:val="center"/>
          </w:tcPr>
          <w:p w:rsidR="002F0D44" w:rsidRDefault="002F0D44">
            <w:pPr>
              <w:jc w:val="right"/>
              <w:rPr>
                <w:rFonts w:ascii="宋体" w:hAnsi="宋体" w:cs="宋体"/>
                <w:sz w:val="22"/>
                <w:szCs w:val="22"/>
              </w:rPr>
            </w:pPr>
          </w:p>
        </w:tc>
        <w:tc>
          <w:tcPr>
            <w:tcW w:w="4111" w:type="dxa"/>
            <w:tcBorders>
              <w:top w:val="nil"/>
              <w:left w:val="nil"/>
              <w:bottom w:val="single" w:sz="4" w:space="0" w:color="auto"/>
              <w:right w:val="single" w:sz="4" w:space="0" w:color="auto"/>
            </w:tcBorders>
            <w:vAlign w:val="center"/>
          </w:tcPr>
          <w:p w:rsidR="002F0D44" w:rsidRDefault="002F0D44">
            <w:pPr>
              <w:jc w:val="right"/>
              <w:rPr>
                <w:rFonts w:ascii="宋体" w:hAnsi="宋体" w:cs="宋体"/>
                <w:sz w:val="22"/>
                <w:szCs w:val="22"/>
              </w:rPr>
            </w:pPr>
          </w:p>
        </w:tc>
      </w:tr>
    </w:tbl>
    <w:p w:rsidR="002F0D44" w:rsidRDefault="00A444B2">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202</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年</w:t>
      </w:r>
      <w:proofErr w:type="gramStart"/>
      <w:r>
        <w:rPr>
          <w:rFonts w:ascii="仿宋_GB2312" w:eastAsia="仿宋_GB2312" w:hint="eastAsia"/>
          <w:color w:val="000000" w:themeColor="text1"/>
          <w:sz w:val="32"/>
          <w:szCs w:val="32"/>
        </w:rPr>
        <w:t>我部门无拟</w:t>
      </w:r>
      <w:proofErr w:type="gramEnd"/>
      <w:r>
        <w:rPr>
          <w:rFonts w:ascii="仿宋_GB2312" w:eastAsia="仿宋_GB2312" w:hint="eastAsia"/>
          <w:color w:val="000000" w:themeColor="text1"/>
          <w:sz w:val="32"/>
          <w:szCs w:val="32"/>
        </w:rPr>
        <w:t>购置情况</w:t>
      </w:r>
    </w:p>
    <w:p w:rsidR="002F0D44" w:rsidRDefault="00A444B2">
      <w:pPr>
        <w:spacing w:line="560" w:lineRule="exact"/>
        <w:ind w:firstLineChars="200" w:firstLine="643"/>
      </w:pPr>
      <w:r>
        <w:rPr>
          <w:rFonts w:ascii="宋体" w:hAnsi="宋体" w:hint="eastAsia"/>
          <w:b/>
          <w:sz w:val="32"/>
          <w:szCs w:val="32"/>
        </w:rPr>
        <w:t>八、名词解释</w:t>
      </w:r>
    </w:p>
    <w:p w:rsidR="002F0D44" w:rsidRDefault="00A444B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sz w:val="32"/>
          <w:szCs w:val="32"/>
        </w:rPr>
        <w:t>、一般</w:t>
      </w:r>
      <w:r>
        <w:rPr>
          <w:rFonts w:ascii="仿宋_GB2312" w:eastAsia="仿宋_GB2312" w:hint="eastAsia"/>
          <w:sz w:val="32"/>
          <w:szCs w:val="32"/>
        </w:rPr>
        <w:t>公</w:t>
      </w:r>
      <w:r>
        <w:rPr>
          <w:rFonts w:ascii="仿宋_GB2312" w:eastAsia="仿宋_GB2312"/>
          <w:sz w:val="32"/>
          <w:szCs w:val="32"/>
        </w:rPr>
        <w:t>共预算拨款收入：指省级财政当年拨付的资金。</w:t>
      </w:r>
    </w:p>
    <w:p w:rsidR="002F0D44" w:rsidRDefault="00A444B2">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sz w:val="32"/>
          <w:szCs w:val="32"/>
        </w:rPr>
        <w:t>、事业收入：指事业单位开展专业业务活动及辅助活动所取得的收入。</w:t>
      </w:r>
    </w:p>
    <w:p w:rsidR="002F0D44" w:rsidRDefault="00A444B2">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sz w:val="32"/>
          <w:szCs w:val="32"/>
        </w:rPr>
        <w:t>、其他收入：指除</w:t>
      </w:r>
      <w:r>
        <w:rPr>
          <w:rFonts w:ascii="仿宋_GB2312" w:eastAsia="仿宋_GB2312"/>
          <w:sz w:val="32"/>
          <w:szCs w:val="32"/>
        </w:rPr>
        <w:t>“</w:t>
      </w:r>
      <w:r>
        <w:rPr>
          <w:rFonts w:ascii="仿宋_GB2312" w:eastAsia="仿宋_GB2312" w:hint="eastAsia"/>
          <w:sz w:val="32"/>
          <w:szCs w:val="32"/>
        </w:rPr>
        <w:t>一般公共预算</w:t>
      </w:r>
      <w:r>
        <w:rPr>
          <w:rFonts w:ascii="仿宋_GB2312" w:eastAsia="仿宋_GB2312"/>
          <w:sz w:val="32"/>
          <w:szCs w:val="32"/>
        </w:rPr>
        <w:t>拨款收入</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事业收入</w:t>
      </w:r>
      <w:r>
        <w:rPr>
          <w:rFonts w:ascii="仿宋_GB2312" w:eastAsia="仿宋_GB2312"/>
          <w:sz w:val="32"/>
          <w:szCs w:val="32"/>
        </w:rPr>
        <w:t>”</w:t>
      </w:r>
      <w:r>
        <w:rPr>
          <w:rFonts w:ascii="仿宋_GB2312" w:eastAsia="仿宋_GB2312"/>
          <w:sz w:val="32"/>
          <w:szCs w:val="32"/>
        </w:rPr>
        <w:t>等以外的收入。主要是按规定动用的租房收入、存款利息收入等。</w:t>
      </w:r>
    </w:p>
    <w:p w:rsidR="002F0D44" w:rsidRDefault="00A444B2">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sz w:val="32"/>
          <w:szCs w:val="32"/>
        </w:rPr>
        <w:t>、基本支出：</w:t>
      </w:r>
      <w:r>
        <w:rPr>
          <w:rFonts w:ascii="仿宋_GB2312" w:eastAsia="仿宋_GB2312" w:hint="eastAsia"/>
          <w:sz w:val="32"/>
          <w:szCs w:val="32"/>
        </w:rPr>
        <w:t>指为保障机构正常运转、完成日常工作任务而发生的人员支出和公用支出。</w:t>
      </w:r>
    </w:p>
    <w:p w:rsidR="002F0D44" w:rsidRDefault="00A444B2">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sz w:val="32"/>
          <w:szCs w:val="32"/>
        </w:rPr>
        <w:t>、项目支出：</w:t>
      </w:r>
      <w:r>
        <w:rPr>
          <w:rFonts w:ascii="仿宋_GB2312" w:eastAsia="仿宋_GB2312" w:hint="eastAsia"/>
          <w:sz w:val="32"/>
          <w:szCs w:val="32"/>
        </w:rPr>
        <w:t>指在基本支出之外为完成特定行政任务和事业发展目标所发生的支出。</w:t>
      </w:r>
    </w:p>
    <w:p w:rsidR="002F0D44" w:rsidRDefault="00A444B2">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sz w:val="32"/>
          <w:szCs w:val="32"/>
        </w:rPr>
        <w:t>、上缴上级支出：</w:t>
      </w:r>
      <w:r>
        <w:rPr>
          <w:rFonts w:ascii="仿宋_GB2312" w:eastAsia="仿宋_GB2312" w:hint="eastAsia"/>
          <w:sz w:val="32"/>
          <w:szCs w:val="32"/>
        </w:rPr>
        <w:t>指下级单位上缴上级的支出。</w:t>
      </w:r>
    </w:p>
    <w:p w:rsidR="002F0D44" w:rsidRDefault="00A444B2">
      <w:pPr>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三公</w:t>
      </w:r>
      <w:r>
        <w:rPr>
          <w:rFonts w:ascii="仿宋_GB2312" w:eastAsia="仿宋_GB2312"/>
          <w:sz w:val="32"/>
          <w:szCs w:val="32"/>
        </w:rPr>
        <w:t>”</w:t>
      </w:r>
      <w:r>
        <w:rPr>
          <w:rFonts w:ascii="仿宋_GB2312" w:eastAsia="仿宋_GB2312"/>
          <w:sz w:val="32"/>
          <w:szCs w:val="32"/>
        </w:rPr>
        <w:t>经费：纳入省级财政预算管理的</w:t>
      </w:r>
      <w:r>
        <w:rPr>
          <w:rFonts w:ascii="仿宋_GB2312" w:eastAsia="仿宋_GB2312"/>
          <w:sz w:val="32"/>
          <w:szCs w:val="32"/>
        </w:rPr>
        <w:t>“</w:t>
      </w:r>
      <w:r>
        <w:rPr>
          <w:rFonts w:ascii="仿宋_GB2312" w:eastAsia="仿宋_GB2312"/>
          <w:sz w:val="32"/>
          <w:szCs w:val="32"/>
        </w:rPr>
        <w:t>三公</w:t>
      </w:r>
      <w:r>
        <w:rPr>
          <w:rFonts w:ascii="仿宋_GB2312" w:eastAsia="仿宋_GB2312"/>
          <w:sz w:val="32"/>
          <w:szCs w:val="32"/>
        </w:rPr>
        <w:t>”</w:t>
      </w:r>
      <w:r>
        <w:rPr>
          <w:rFonts w:ascii="仿宋_GB2312" w:eastAsia="仿宋_GB2312"/>
          <w:sz w:val="32"/>
          <w:szCs w:val="32"/>
        </w:rPr>
        <w:t>经费，是指省级部门用财政拨款安排的因公出国（境）费、公务用车购置及运</w:t>
      </w:r>
      <w:r>
        <w:rPr>
          <w:rFonts w:ascii="仿宋_GB2312" w:eastAsia="仿宋_GB2312" w:hint="eastAsia"/>
          <w:sz w:val="32"/>
          <w:szCs w:val="32"/>
        </w:rPr>
        <w:t>维</w:t>
      </w:r>
      <w:r>
        <w:rPr>
          <w:rFonts w:ascii="仿宋_GB2312" w:eastAsia="仿宋_GB2312"/>
          <w:sz w:val="32"/>
          <w:szCs w:val="32"/>
        </w:rPr>
        <w:t>费和公务接待费。其中，因公出国（境）</w:t>
      </w:r>
      <w:proofErr w:type="gramStart"/>
      <w:r>
        <w:rPr>
          <w:rFonts w:ascii="仿宋_GB2312" w:eastAsia="仿宋_GB2312"/>
          <w:sz w:val="32"/>
          <w:szCs w:val="32"/>
        </w:rPr>
        <w:t>费反映</w:t>
      </w:r>
      <w:proofErr w:type="gramEnd"/>
      <w:r>
        <w:rPr>
          <w:rFonts w:ascii="仿宋_GB2312" w:eastAsia="仿宋_GB2312"/>
          <w:sz w:val="32"/>
          <w:szCs w:val="32"/>
        </w:rPr>
        <w:t>单位公务出国（境）的住宿费、旅费、伙食补助费、杂费、培训费等支出；公务用车购置及运</w:t>
      </w:r>
      <w:r>
        <w:rPr>
          <w:rFonts w:ascii="仿宋_GB2312" w:eastAsia="仿宋_GB2312" w:hint="eastAsia"/>
          <w:sz w:val="32"/>
          <w:szCs w:val="32"/>
        </w:rPr>
        <w:t>维</w:t>
      </w:r>
      <w:proofErr w:type="gramStart"/>
      <w:r>
        <w:rPr>
          <w:rFonts w:ascii="仿宋_GB2312" w:eastAsia="仿宋_GB2312"/>
          <w:sz w:val="32"/>
          <w:szCs w:val="32"/>
        </w:rPr>
        <w:t>费反映</w:t>
      </w:r>
      <w:proofErr w:type="gramEnd"/>
      <w:r>
        <w:rPr>
          <w:rFonts w:ascii="仿宋_GB2312" w:eastAsia="仿宋_GB2312"/>
          <w:sz w:val="32"/>
          <w:szCs w:val="32"/>
        </w:rPr>
        <w:t>单位公务用车购置费及租用费、燃料费、维修费、过路过桥费、保险费、安全奖</w:t>
      </w:r>
      <w:r>
        <w:rPr>
          <w:rFonts w:ascii="仿宋_GB2312" w:eastAsia="仿宋_GB2312"/>
          <w:sz w:val="32"/>
          <w:szCs w:val="32"/>
        </w:rPr>
        <w:t>励费用等支出；公务接待</w:t>
      </w:r>
      <w:proofErr w:type="gramStart"/>
      <w:r>
        <w:rPr>
          <w:rFonts w:ascii="仿宋_GB2312" w:eastAsia="仿宋_GB2312"/>
          <w:sz w:val="32"/>
          <w:szCs w:val="32"/>
        </w:rPr>
        <w:t>费反映</w:t>
      </w:r>
      <w:proofErr w:type="gramEnd"/>
      <w:r>
        <w:rPr>
          <w:rFonts w:ascii="仿宋_GB2312" w:eastAsia="仿宋_GB2312"/>
          <w:sz w:val="32"/>
          <w:szCs w:val="32"/>
        </w:rPr>
        <w:t>单位按规定开支的各类公务接待（含外宾接待）支出。</w:t>
      </w:r>
    </w:p>
    <w:p w:rsidR="002F0D44" w:rsidRDefault="00A444B2">
      <w:pPr>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sz w:val="32"/>
          <w:szCs w:val="32"/>
        </w:rPr>
        <w:t>、机关运行费：</w:t>
      </w:r>
      <w:r>
        <w:rPr>
          <w:rFonts w:ascii="仿宋_GB2312" w:eastAsia="仿宋_GB2312" w:hint="eastAsia"/>
          <w:sz w:val="32"/>
          <w:szCs w:val="32"/>
        </w:rPr>
        <w:t>是指各部门的公用经费，包括办公及印刷费、邮电费、差旅费、会议费、福利费、日常维修费、</w:t>
      </w:r>
      <w:r>
        <w:rPr>
          <w:rFonts w:ascii="仿宋_GB2312" w:eastAsia="仿宋_GB2312" w:hint="eastAsia"/>
          <w:sz w:val="32"/>
          <w:szCs w:val="32"/>
        </w:rPr>
        <w:lastRenderedPageBreak/>
        <w:t>专用材料及一般设备购置费、办公用房水电费、办公用房取暖费、办公用房物业管理费、公务用车运行维护费以及</w:t>
      </w:r>
      <w:r>
        <w:rPr>
          <w:rFonts w:ascii="仿宋_GB2312" w:eastAsia="仿宋_GB2312"/>
          <w:sz w:val="32"/>
          <w:szCs w:val="32"/>
        </w:rPr>
        <w:t>其他费用。</w:t>
      </w:r>
    </w:p>
    <w:p w:rsidR="002F0D44" w:rsidRDefault="00A444B2">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、上年结转：指以前年度尚未完成、结转到本年仍按原规定用途继续使用的资金。</w:t>
      </w:r>
    </w:p>
    <w:p w:rsidR="002F0D44" w:rsidRDefault="00A444B2">
      <w:pPr>
        <w:spacing w:line="56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、事业单位经营支出：指事业单位在专业业务活动及其辅助活动之外开展非独立核算经营活动发生的支出。</w:t>
      </w:r>
    </w:p>
    <w:p w:rsidR="002F0D44" w:rsidRDefault="002F0D44">
      <w:pPr>
        <w:spacing w:line="560" w:lineRule="exact"/>
        <w:ind w:firstLineChars="200" w:firstLine="640"/>
        <w:rPr>
          <w:rFonts w:ascii="仿宋_GB2312" w:eastAsia="仿宋_GB2312"/>
          <w:sz w:val="32"/>
          <w:szCs w:val="32"/>
        </w:rPr>
      </w:pPr>
    </w:p>
    <w:p w:rsidR="002F0D44" w:rsidRDefault="00A444B2">
      <w:pPr>
        <w:spacing w:line="560" w:lineRule="exact"/>
        <w:ind w:firstLineChars="200" w:firstLine="643"/>
      </w:pPr>
      <w:r>
        <w:rPr>
          <w:rFonts w:ascii="宋体" w:hAnsi="宋体" w:hint="eastAsia"/>
          <w:b/>
          <w:sz w:val="32"/>
          <w:szCs w:val="32"/>
        </w:rPr>
        <w:t>九、其他情况说明</w:t>
      </w:r>
    </w:p>
    <w:p w:rsidR="002F0D44" w:rsidRDefault="00A444B2">
      <w:pPr>
        <w:spacing w:line="560" w:lineRule="exact"/>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年部门预算无国有资本经营预算财政拨款收支，因此相关表格数据为零。</w:t>
      </w:r>
    </w:p>
    <w:sectPr w:rsidR="002F0D44">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44B2">
      <w:r>
        <w:separator/>
      </w:r>
    </w:p>
  </w:endnote>
  <w:endnote w:type="continuationSeparator" w:id="0">
    <w:p w:rsidR="00000000" w:rsidRDefault="00A4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00" w:usb3="00000000" w:csb0="00040000" w:csb1="00000000"/>
  </w:font>
  <w:font w:name="方正小标宋_GBK">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44" w:rsidRDefault="00A444B2">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2F0D44" w:rsidRDefault="002F0D44">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44B2">
      <w:r>
        <w:separator/>
      </w:r>
    </w:p>
  </w:footnote>
  <w:footnote w:type="continuationSeparator" w:id="0">
    <w:p w:rsidR="00000000" w:rsidRDefault="00A44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44" w:rsidRDefault="002F0D44">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44" w:rsidRDefault="002F0D4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B014E"/>
    <w:multiLevelType w:val="multilevel"/>
    <w:tmpl w:val="308B014E"/>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278F"/>
    <w:rsid w:val="00001365"/>
    <w:rsid w:val="00024273"/>
    <w:rsid w:val="00093E85"/>
    <w:rsid w:val="000B76EB"/>
    <w:rsid w:val="000C766A"/>
    <w:rsid w:val="000D48E2"/>
    <w:rsid w:val="000F0795"/>
    <w:rsid w:val="00113235"/>
    <w:rsid w:val="00145CFA"/>
    <w:rsid w:val="00150BBB"/>
    <w:rsid w:val="001A1CE6"/>
    <w:rsid w:val="001D78EB"/>
    <w:rsid w:val="001D7E5E"/>
    <w:rsid w:val="001E1078"/>
    <w:rsid w:val="00280C54"/>
    <w:rsid w:val="002971B9"/>
    <w:rsid w:val="002A2854"/>
    <w:rsid w:val="002B5386"/>
    <w:rsid w:val="002E5725"/>
    <w:rsid w:val="002F0D44"/>
    <w:rsid w:val="00320B32"/>
    <w:rsid w:val="003456B9"/>
    <w:rsid w:val="003927D6"/>
    <w:rsid w:val="003B7361"/>
    <w:rsid w:val="003C63DA"/>
    <w:rsid w:val="00412625"/>
    <w:rsid w:val="00423B04"/>
    <w:rsid w:val="00440ACE"/>
    <w:rsid w:val="0046482F"/>
    <w:rsid w:val="004B50A2"/>
    <w:rsid w:val="00517C13"/>
    <w:rsid w:val="00521385"/>
    <w:rsid w:val="00583DAA"/>
    <w:rsid w:val="00591562"/>
    <w:rsid w:val="00594C29"/>
    <w:rsid w:val="005A4394"/>
    <w:rsid w:val="00645F00"/>
    <w:rsid w:val="0066204C"/>
    <w:rsid w:val="0067397C"/>
    <w:rsid w:val="00684111"/>
    <w:rsid w:val="006B7A60"/>
    <w:rsid w:val="006D4DE4"/>
    <w:rsid w:val="006F200B"/>
    <w:rsid w:val="0070451D"/>
    <w:rsid w:val="007056F8"/>
    <w:rsid w:val="007178DF"/>
    <w:rsid w:val="00766BC5"/>
    <w:rsid w:val="00781916"/>
    <w:rsid w:val="00783627"/>
    <w:rsid w:val="00795CA2"/>
    <w:rsid w:val="007D1F93"/>
    <w:rsid w:val="007E4219"/>
    <w:rsid w:val="008310CD"/>
    <w:rsid w:val="00846039"/>
    <w:rsid w:val="00885461"/>
    <w:rsid w:val="009001E6"/>
    <w:rsid w:val="00933C4A"/>
    <w:rsid w:val="00942290"/>
    <w:rsid w:val="00947AB9"/>
    <w:rsid w:val="009D2E31"/>
    <w:rsid w:val="009D7C97"/>
    <w:rsid w:val="009E1CB6"/>
    <w:rsid w:val="009F39BA"/>
    <w:rsid w:val="00A34EC6"/>
    <w:rsid w:val="00A444B2"/>
    <w:rsid w:val="00A54699"/>
    <w:rsid w:val="00A56106"/>
    <w:rsid w:val="00A8406F"/>
    <w:rsid w:val="00AA2CC3"/>
    <w:rsid w:val="00AC7CD4"/>
    <w:rsid w:val="00AE662F"/>
    <w:rsid w:val="00B3026D"/>
    <w:rsid w:val="00B3270F"/>
    <w:rsid w:val="00B3499B"/>
    <w:rsid w:val="00B67D62"/>
    <w:rsid w:val="00B934B4"/>
    <w:rsid w:val="00BA04CC"/>
    <w:rsid w:val="00C714AF"/>
    <w:rsid w:val="00C833ED"/>
    <w:rsid w:val="00CC1002"/>
    <w:rsid w:val="00CE080E"/>
    <w:rsid w:val="00D7172B"/>
    <w:rsid w:val="00D8389B"/>
    <w:rsid w:val="00DA411F"/>
    <w:rsid w:val="00DB2CEA"/>
    <w:rsid w:val="00DD5327"/>
    <w:rsid w:val="00E06A52"/>
    <w:rsid w:val="00E40F17"/>
    <w:rsid w:val="00EA0F07"/>
    <w:rsid w:val="00EC4FB7"/>
    <w:rsid w:val="00F05B18"/>
    <w:rsid w:val="00F2278F"/>
    <w:rsid w:val="00F754C9"/>
    <w:rsid w:val="00FA63D4"/>
    <w:rsid w:val="00FB414A"/>
    <w:rsid w:val="00FE061B"/>
    <w:rsid w:val="07D35D14"/>
    <w:rsid w:val="652B41A4"/>
    <w:rsid w:val="6E9726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uiPriority w:val="99"/>
    <w:semiHidden/>
    <w:unhideWhenUsed/>
    <w:qFormat/>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D45DA5-0567-4970-A88E-06BCD285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14</Pages>
  <Words>5030</Words>
  <Characters>1126</Characters>
  <Application>Microsoft Office Word</Application>
  <DocSecurity>0</DocSecurity>
  <Lines>9</Lines>
  <Paragraphs>12</Paragraphs>
  <ScaleCrop>false</ScaleCrop>
  <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Microsoft</cp:lastModifiedBy>
  <cp:revision>26</cp:revision>
  <cp:lastPrinted>2021-02-23T06:30:00Z</cp:lastPrinted>
  <dcterms:created xsi:type="dcterms:W3CDTF">2019-02-20T06:06:00Z</dcterms:created>
  <dcterms:modified xsi:type="dcterms:W3CDTF">2021-03-04T02:16:00Z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