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B2" w:rsidRDefault="003B1B8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7A33B2" w:rsidRDefault="007A33B2">
      <w:pPr>
        <w:spacing w:line="560" w:lineRule="exact"/>
        <w:jc w:val="left"/>
        <w:rPr>
          <w:rFonts w:ascii="方正小标宋简体" w:eastAsia="方正小标宋简体"/>
          <w:sz w:val="40"/>
          <w:szCs w:val="40"/>
        </w:rPr>
      </w:pPr>
    </w:p>
    <w:p w:rsidR="007A33B2" w:rsidRDefault="003B1B89">
      <w:pPr>
        <w:spacing w:line="560" w:lineRule="exact"/>
        <w:ind w:firstLineChars="200" w:firstLine="720"/>
        <w:jc w:val="left"/>
        <w:rPr>
          <w:rFonts w:eastAsia="Times New Roman"/>
          <w:sz w:val="36"/>
          <w:szCs w:val="36"/>
        </w:rPr>
      </w:pPr>
      <w:r>
        <w:rPr>
          <w:rFonts w:eastAsia="Times New Roman"/>
          <w:sz w:val="36"/>
          <w:szCs w:val="36"/>
        </w:rPr>
        <w:t>1</w:t>
      </w:r>
      <w:r>
        <w:rPr>
          <w:rFonts w:ascii="宋体" w:hAnsi="宋体" w:cs="宋体" w:hint="eastAsia"/>
          <w:sz w:val="36"/>
          <w:szCs w:val="36"/>
        </w:rPr>
        <w:t>、</w:t>
      </w:r>
      <w:r>
        <w:rPr>
          <w:rFonts w:ascii="宋体" w:hAnsi="宋体" w:cs="宋体" w:hint="eastAsia"/>
          <w:b/>
          <w:sz w:val="36"/>
          <w:szCs w:val="36"/>
        </w:rPr>
        <w:t>部门职责、机构设置等基本情况</w:t>
      </w:r>
    </w:p>
    <w:p w:rsidR="007A33B2" w:rsidRDefault="003B1B89">
      <w:pPr>
        <w:spacing w:line="560" w:lineRule="exact"/>
        <w:ind w:firstLineChars="200" w:firstLine="720"/>
        <w:jc w:val="left"/>
        <w:rPr>
          <w:rFonts w:eastAsia="Times New Roman"/>
          <w:sz w:val="36"/>
          <w:szCs w:val="36"/>
        </w:rPr>
      </w:pPr>
      <w:r>
        <w:rPr>
          <w:rFonts w:eastAsia="Times New Roman"/>
          <w:sz w:val="36"/>
          <w:szCs w:val="36"/>
        </w:rPr>
        <w:t>2</w:t>
      </w:r>
      <w:r>
        <w:rPr>
          <w:rFonts w:ascii="宋体" w:hAnsi="宋体" w:cs="宋体" w:hint="eastAsia"/>
          <w:sz w:val="36"/>
          <w:szCs w:val="36"/>
        </w:rPr>
        <w:t>、</w:t>
      </w:r>
      <w:r>
        <w:rPr>
          <w:rFonts w:ascii="宋体" w:hAnsi="宋体" w:cs="宋体" w:hint="eastAsia"/>
          <w:b/>
          <w:sz w:val="36"/>
          <w:szCs w:val="36"/>
        </w:rPr>
        <w:t>部门预算总体情况及预算收支增减变化情况说明</w:t>
      </w:r>
    </w:p>
    <w:p w:rsidR="007A33B2" w:rsidRDefault="003B1B89">
      <w:pPr>
        <w:spacing w:line="560" w:lineRule="exact"/>
        <w:ind w:firstLineChars="200" w:firstLine="720"/>
        <w:jc w:val="left"/>
        <w:rPr>
          <w:rFonts w:eastAsia="Times New Roman"/>
          <w:sz w:val="36"/>
          <w:szCs w:val="36"/>
        </w:rPr>
      </w:pPr>
      <w:r>
        <w:rPr>
          <w:rFonts w:eastAsia="Times New Roman"/>
          <w:sz w:val="36"/>
          <w:szCs w:val="36"/>
        </w:rPr>
        <w:t>3</w:t>
      </w:r>
      <w:r>
        <w:rPr>
          <w:rFonts w:ascii="宋体" w:hAnsi="宋体" w:cs="宋体" w:hint="eastAsia"/>
          <w:sz w:val="36"/>
          <w:szCs w:val="36"/>
        </w:rPr>
        <w:t>、</w:t>
      </w:r>
      <w:r>
        <w:rPr>
          <w:rFonts w:ascii="宋体" w:hAnsi="宋体" w:cs="宋体" w:hint="eastAsia"/>
          <w:b/>
          <w:sz w:val="36"/>
          <w:szCs w:val="36"/>
        </w:rPr>
        <w:t>机关运行经费情况说明</w:t>
      </w:r>
    </w:p>
    <w:p w:rsidR="007A33B2" w:rsidRDefault="003B1B89">
      <w:pPr>
        <w:spacing w:line="560" w:lineRule="exact"/>
        <w:ind w:firstLineChars="200" w:firstLine="720"/>
        <w:jc w:val="left"/>
        <w:rPr>
          <w:rFonts w:eastAsia="Times New Roman"/>
          <w:sz w:val="36"/>
          <w:szCs w:val="36"/>
        </w:rPr>
      </w:pPr>
      <w:r>
        <w:rPr>
          <w:rFonts w:eastAsia="Times New Roman"/>
          <w:sz w:val="36"/>
          <w:szCs w:val="36"/>
        </w:rPr>
        <w:t>4</w:t>
      </w:r>
      <w:r>
        <w:rPr>
          <w:rFonts w:ascii="宋体" w:hAnsi="宋体" w:cs="宋体" w:hint="eastAsia"/>
          <w:sz w:val="36"/>
          <w:szCs w:val="36"/>
        </w:rPr>
        <w:t>、</w:t>
      </w:r>
      <w:r>
        <w:rPr>
          <w:rFonts w:eastAsia="Times New Roman"/>
          <w:b/>
          <w:sz w:val="36"/>
          <w:szCs w:val="36"/>
        </w:rPr>
        <w:t>“</w:t>
      </w:r>
      <w:r>
        <w:rPr>
          <w:rFonts w:ascii="宋体" w:hAnsi="宋体" w:cs="宋体" w:hint="eastAsia"/>
          <w:b/>
          <w:sz w:val="36"/>
          <w:szCs w:val="36"/>
        </w:rPr>
        <w:t>三公</w:t>
      </w:r>
      <w:r>
        <w:rPr>
          <w:rFonts w:eastAsia="Times New Roman"/>
          <w:b/>
          <w:sz w:val="36"/>
          <w:szCs w:val="36"/>
        </w:rPr>
        <w:t>”</w:t>
      </w:r>
      <w:r>
        <w:rPr>
          <w:rFonts w:ascii="宋体" w:hAnsi="宋体" w:cs="宋体" w:hint="eastAsia"/>
          <w:b/>
          <w:sz w:val="36"/>
          <w:szCs w:val="36"/>
        </w:rPr>
        <w:t>经费情况及增减变化说明</w:t>
      </w:r>
    </w:p>
    <w:p w:rsidR="007A33B2" w:rsidRDefault="003B1B89">
      <w:pPr>
        <w:spacing w:line="560" w:lineRule="exact"/>
        <w:ind w:firstLineChars="200" w:firstLine="720"/>
        <w:rPr>
          <w:rFonts w:eastAsia="Times New Roman"/>
          <w:b/>
          <w:sz w:val="36"/>
          <w:szCs w:val="36"/>
        </w:rPr>
      </w:pPr>
      <w:r>
        <w:rPr>
          <w:rFonts w:eastAsia="Times New Roman"/>
          <w:sz w:val="36"/>
          <w:szCs w:val="36"/>
        </w:rPr>
        <w:t>5</w:t>
      </w:r>
      <w:r>
        <w:rPr>
          <w:rFonts w:ascii="宋体" w:hAnsi="宋体" w:cs="宋体" w:hint="eastAsia"/>
          <w:sz w:val="36"/>
          <w:szCs w:val="36"/>
        </w:rPr>
        <w:t>、</w:t>
      </w:r>
      <w:r>
        <w:rPr>
          <w:rFonts w:ascii="宋体" w:hAnsi="宋体" w:cs="宋体" w:hint="eastAsia"/>
          <w:b/>
          <w:sz w:val="36"/>
          <w:szCs w:val="36"/>
        </w:rPr>
        <w:t>绩效信息</w:t>
      </w:r>
    </w:p>
    <w:p w:rsidR="007A33B2" w:rsidRDefault="003B1B89">
      <w:pPr>
        <w:spacing w:line="560" w:lineRule="exact"/>
        <w:ind w:firstLineChars="200" w:firstLine="720"/>
        <w:jc w:val="left"/>
        <w:rPr>
          <w:rFonts w:eastAsia="Times New Roman"/>
          <w:sz w:val="36"/>
          <w:szCs w:val="36"/>
        </w:rPr>
      </w:pPr>
      <w:r>
        <w:rPr>
          <w:rFonts w:eastAsia="Times New Roman"/>
          <w:sz w:val="36"/>
          <w:szCs w:val="36"/>
        </w:rPr>
        <w:t>6</w:t>
      </w:r>
      <w:r>
        <w:rPr>
          <w:rFonts w:ascii="宋体" w:hAnsi="宋体" w:cs="宋体" w:hint="eastAsia"/>
          <w:sz w:val="36"/>
          <w:szCs w:val="36"/>
        </w:rPr>
        <w:t>、</w:t>
      </w:r>
      <w:r>
        <w:rPr>
          <w:rFonts w:ascii="宋体" w:hAnsi="宋体" w:cs="宋体" w:hint="eastAsia"/>
          <w:b/>
          <w:sz w:val="36"/>
          <w:szCs w:val="36"/>
        </w:rPr>
        <w:t>政府采购预算情况</w:t>
      </w:r>
    </w:p>
    <w:p w:rsidR="007A33B2" w:rsidRDefault="003B1B89">
      <w:pPr>
        <w:spacing w:line="560" w:lineRule="exact"/>
        <w:ind w:firstLineChars="200" w:firstLine="720"/>
        <w:jc w:val="left"/>
        <w:rPr>
          <w:rFonts w:eastAsia="Times New Roman"/>
          <w:sz w:val="36"/>
          <w:szCs w:val="36"/>
        </w:rPr>
      </w:pPr>
      <w:r>
        <w:rPr>
          <w:rFonts w:eastAsia="Times New Roman"/>
          <w:sz w:val="36"/>
          <w:szCs w:val="36"/>
        </w:rPr>
        <w:t>7</w:t>
      </w:r>
      <w:r>
        <w:rPr>
          <w:rFonts w:ascii="宋体" w:hAnsi="宋体" w:cs="宋体" w:hint="eastAsia"/>
          <w:sz w:val="36"/>
          <w:szCs w:val="36"/>
        </w:rPr>
        <w:t>、</w:t>
      </w:r>
      <w:r>
        <w:rPr>
          <w:rFonts w:ascii="宋体" w:hAnsi="宋体" w:cs="宋体" w:hint="eastAsia"/>
          <w:b/>
          <w:sz w:val="36"/>
          <w:szCs w:val="36"/>
        </w:rPr>
        <w:t>国有资产预算情况</w:t>
      </w:r>
    </w:p>
    <w:p w:rsidR="007A33B2" w:rsidRDefault="003B1B89">
      <w:pPr>
        <w:spacing w:line="560" w:lineRule="exact"/>
        <w:ind w:firstLineChars="200" w:firstLine="720"/>
        <w:rPr>
          <w:rFonts w:eastAsia="Times New Roman"/>
          <w:sz w:val="36"/>
          <w:szCs w:val="36"/>
        </w:rPr>
      </w:pPr>
      <w:r>
        <w:rPr>
          <w:rFonts w:eastAsia="Times New Roman"/>
          <w:sz w:val="36"/>
          <w:szCs w:val="36"/>
        </w:rPr>
        <w:t>8</w:t>
      </w:r>
      <w:r>
        <w:rPr>
          <w:rFonts w:ascii="宋体" w:hAnsi="宋体" w:cs="宋体" w:hint="eastAsia"/>
          <w:sz w:val="36"/>
          <w:szCs w:val="36"/>
        </w:rPr>
        <w:t>、</w:t>
      </w:r>
      <w:r>
        <w:rPr>
          <w:rFonts w:ascii="宋体" w:hAnsi="宋体" w:cs="宋体" w:hint="eastAsia"/>
          <w:b/>
          <w:sz w:val="36"/>
          <w:szCs w:val="36"/>
        </w:rPr>
        <w:t>名词解释</w:t>
      </w:r>
    </w:p>
    <w:p w:rsidR="007A33B2" w:rsidRDefault="003B1B89">
      <w:pPr>
        <w:spacing w:line="560" w:lineRule="exact"/>
        <w:ind w:firstLineChars="200" w:firstLine="720"/>
        <w:rPr>
          <w:rFonts w:eastAsia="Times New Roman"/>
          <w:sz w:val="36"/>
          <w:szCs w:val="36"/>
        </w:rPr>
      </w:pPr>
      <w:r>
        <w:rPr>
          <w:rFonts w:eastAsia="Times New Roman"/>
          <w:sz w:val="36"/>
          <w:szCs w:val="36"/>
        </w:rPr>
        <w:t>9</w:t>
      </w:r>
      <w:r>
        <w:rPr>
          <w:rFonts w:ascii="宋体" w:hAnsi="宋体" w:cs="宋体" w:hint="eastAsia"/>
          <w:sz w:val="36"/>
          <w:szCs w:val="36"/>
        </w:rPr>
        <w:t>、</w:t>
      </w:r>
      <w:r>
        <w:rPr>
          <w:rFonts w:ascii="宋体" w:hAnsi="宋体" w:cs="宋体" w:hint="eastAsia"/>
          <w:b/>
          <w:sz w:val="36"/>
          <w:szCs w:val="36"/>
        </w:rPr>
        <w:t>其他情况说明</w:t>
      </w:r>
    </w:p>
    <w:p w:rsidR="007A33B2" w:rsidRDefault="007A33B2">
      <w:pPr>
        <w:spacing w:line="560" w:lineRule="exact"/>
        <w:jc w:val="center"/>
        <w:rPr>
          <w:rFonts w:ascii="方正小标宋简体" w:eastAsia="方正小标宋简体"/>
          <w:sz w:val="40"/>
          <w:szCs w:val="40"/>
        </w:rPr>
      </w:pPr>
    </w:p>
    <w:p w:rsidR="007A33B2" w:rsidRDefault="007A33B2">
      <w:pPr>
        <w:spacing w:line="560" w:lineRule="exact"/>
        <w:jc w:val="center"/>
        <w:rPr>
          <w:rFonts w:ascii="方正小标宋简体" w:eastAsia="方正小标宋简体"/>
          <w:sz w:val="40"/>
          <w:szCs w:val="40"/>
        </w:rPr>
      </w:pPr>
    </w:p>
    <w:p w:rsidR="007A33B2" w:rsidRDefault="007A33B2">
      <w:pPr>
        <w:spacing w:line="560" w:lineRule="exact"/>
        <w:jc w:val="center"/>
        <w:rPr>
          <w:rFonts w:ascii="方正小标宋简体" w:eastAsia="方正小标宋简体"/>
          <w:sz w:val="40"/>
          <w:szCs w:val="40"/>
        </w:rPr>
      </w:pPr>
    </w:p>
    <w:p w:rsidR="007A33B2" w:rsidRDefault="007A33B2">
      <w:pPr>
        <w:spacing w:line="560" w:lineRule="exact"/>
        <w:jc w:val="center"/>
        <w:rPr>
          <w:rFonts w:ascii="方正小标宋简体" w:eastAsia="方正小标宋简体"/>
          <w:sz w:val="40"/>
          <w:szCs w:val="40"/>
        </w:rPr>
      </w:pPr>
    </w:p>
    <w:p w:rsidR="007A33B2" w:rsidRDefault="007A33B2">
      <w:pPr>
        <w:spacing w:line="560" w:lineRule="exact"/>
        <w:jc w:val="center"/>
        <w:rPr>
          <w:rFonts w:ascii="方正小标宋简体" w:eastAsia="方正小标宋简体"/>
          <w:sz w:val="40"/>
          <w:szCs w:val="40"/>
        </w:rPr>
      </w:pPr>
    </w:p>
    <w:p w:rsidR="007A33B2" w:rsidRDefault="007A33B2">
      <w:pPr>
        <w:spacing w:line="560" w:lineRule="exact"/>
        <w:jc w:val="center"/>
        <w:rPr>
          <w:rFonts w:ascii="方正小标宋简体" w:eastAsia="方正小标宋简体"/>
          <w:sz w:val="40"/>
          <w:szCs w:val="40"/>
        </w:rPr>
      </w:pPr>
    </w:p>
    <w:p w:rsidR="007A33B2" w:rsidRDefault="003B1B89">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发改局部</w:t>
      </w:r>
      <w:proofErr w:type="gramEnd"/>
      <w:r>
        <w:rPr>
          <w:rFonts w:ascii="方正小标宋简体" w:eastAsia="方正小标宋简体" w:hint="eastAsia"/>
          <w:sz w:val="40"/>
          <w:szCs w:val="40"/>
        </w:rPr>
        <w:t>门预算情况说明</w:t>
      </w:r>
    </w:p>
    <w:p w:rsidR="007A33B2" w:rsidRDefault="003B1B89">
      <w:pPr>
        <w:spacing w:line="560" w:lineRule="exact"/>
        <w:ind w:firstLineChars="200" w:firstLine="643"/>
        <w:rPr>
          <w:rFonts w:ascii="宋体"/>
          <w:b/>
          <w:sz w:val="32"/>
          <w:szCs w:val="32"/>
        </w:rPr>
      </w:pPr>
      <w:r>
        <w:rPr>
          <w:rFonts w:ascii="宋体" w:hAnsi="宋体" w:hint="eastAsia"/>
          <w:b/>
          <w:sz w:val="32"/>
          <w:szCs w:val="32"/>
        </w:rPr>
        <w:t>一、部门职责、机构设置等基本情况</w:t>
      </w:r>
    </w:p>
    <w:p w:rsidR="007A33B2" w:rsidRDefault="006F03B6">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高新区发改局为副县级单位，单位性质是“行政”，经费形式是“财政拨款”，根据工作需要，</w:t>
      </w:r>
      <w:r w:rsidR="003B1B89">
        <w:rPr>
          <w:rFonts w:ascii="仿宋_GB2312" w:eastAsia="仿宋_GB2312" w:hint="eastAsia"/>
          <w:sz w:val="32"/>
          <w:szCs w:val="32"/>
        </w:rPr>
        <w:t>下设综合处、发改处、工信处、统计处、</w:t>
      </w:r>
      <w:r w:rsidR="003B1B89">
        <w:rPr>
          <w:rFonts w:ascii="仿宋_GB2312" w:eastAsia="仿宋_GB2312"/>
          <w:sz w:val="32"/>
          <w:szCs w:val="32"/>
        </w:rPr>
        <w:t>2016</w:t>
      </w:r>
      <w:r w:rsidR="003B1B89">
        <w:rPr>
          <w:rFonts w:ascii="仿宋_GB2312" w:eastAsia="仿宋_GB2312" w:hint="eastAsia"/>
          <w:sz w:val="32"/>
          <w:szCs w:val="32"/>
        </w:rPr>
        <w:t>年，管委会成立行政审批局，发改局加挂审批局牌子</w:t>
      </w:r>
      <w:r w:rsidR="003B1B89">
        <w:rPr>
          <w:rFonts w:ascii="仿宋_GB2312" w:eastAsia="仿宋_GB2312"/>
          <w:sz w:val="32"/>
          <w:szCs w:val="32"/>
        </w:rPr>
        <w:t>,</w:t>
      </w:r>
      <w:r w:rsidR="003B1B89">
        <w:rPr>
          <w:rFonts w:ascii="仿宋_GB2312" w:eastAsia="仿宋_GB2312" w:hint="eastAsia"/>
          <w:sz w:val="32"/>
          <w:szCs w:val="32"/>
        </w:rPr>
        <w:t>下设行政审批中心。</w:t>
      </w:r>
    </w:p>
    <w:p w:rsidR="007A33B2" w:rsidRDefault="003B1B89">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高新区行政服务中心内设综合办公室、项目投资建设部、市场监督管理部、社会事业服务部、政府采购中心、投资服务中心、财务处。</w:t>
      </w:r>
    </w:p>
    <w:p w:rsidR="007A33B2" w:rsidRDefault="003B1B89">
      <w:pPr>
        <w:spacing w:line="560" w:lineRule="exact"/>
        <w:ind w:firstLineChars="200" w:firstLine="643"/>
        <w:rPr>
          <w:rFonts w:ascii="仿宋_GB2312" w:eastAsia="仿宋_GB2312"/>
          <w:b/>
          <w:sz w:val="32"/>
          <w:szCs w:val="32"/>
        </w:rPr>
      </w:pPr>
      <w:proofErr w:type="gramStart"/>
      <w:r>
        <w:rPr>
          <w:rFonts w:ascii="仿宋_GB2312" w:eastAsia="仿宋_GB2312" w:hint="eastAsia"/>
          <w:b/>
          <w:sz w:val="32"/>
          <w:szCs w:val="32"/>
        </w:rPr>
        <w:t>发改局</w:t>
      </w:r>
      <w:proofErr w:type="gramEnd"/>
      <w:r>
        <w:rPr>
          <w:rFonts w:ascii="仿宋_GB2312" w:eastAsia="仿宋_GB2312" w:hint="eastAsia"/>
          <w:b/>
          <w:sz w:val="32"/>
          <w:szCs w:val="32"/>
        </w:rPr>
        <w:t>主要职责：</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综合研究拟订高新区国民经济和社会发展战略、发展规划和政策。</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编制全区经济和社会发展计划，按月监测计划的执行情况。</w:t>
      </w:r>
      <w:proofErr w:type="gramStart"/>
      <w:r>
        <w:rPr>
          <w:rFonts w:ascii="仿宋_GB2312" w:eastAsia="仿宋_GB2312" w:hint="eastAsia"/>
          <w:sz w:val="32"/>
          <w:szCs w:val="32"/>
        </w:rPr>
        <w:t>编制高</w:t>
      </w:r>
      <w:proofErr w:type="gramEnd"/>
      <w:r>
        <w:rPr>
          <w:rFonts w:ascii="仿宋_GB2312" w:eastAsia="仿宋_GB2312" w:hint="eastAsia"/>
          <w:sz w:val="32"/>
          <w:szCs w:val="32"/>
        </w:rPr>
        <w:t>新区经济社会综合统计月报和统计专报。</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拟订全区固定资产投资计划、重点项目建设计划和前期项目计划，负责申报中央、省、市重点建设项目；负责审批、核准、备案固定资产投资项目、外商投资项目、政府投资项目，</w:t>
      </w:r>
      <w:proofErr w:type="gramStart"/>
      <w:r>
        <w:rPr>
          <w:rFonts w:ascii="仿宋_GB2312" w:eastAsia="仿宋_GB2312" w:hint="eastAsia"/>
          <w:sz w:val="32"/>
          <w:szCs w:val="32"/>
        </w:rPr>
        <w:t>并项目</w:t>
      </w:r>
      <w:proofErr w:type="gramEnd"/>
      <w:r>
        <w:rPr>
          <w:rFonts w:ascii="仿宋_GB2312" w:eastAsia="仿宋_GB2312" w:hint="eastAsia"/>
          <w:sz w:val="32"/>
          <w:szCs w:val="32"/>
        </w:rPr>
        <w:t>进行管理、协调、调度和督导；指导和协调全区项目招投标工作。</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推进可持续发展战略，会同有关部门负责节能减排和资源综合利用工作，促进经济与资源、环境协调发展。</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培育企业上市、协调解决企业上市有关问题。</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6.</w:t>
      </w:r>
      <w:r>
        <w:rPr>
          <w:rFonts w:ascii="仿宋_GB2312" w:eastAsia="仿宋_GB2312" w:hint="eastAsia"/>
          <w:sz w:val="32"/>
          <w:szCs w:val="32"/>
        </w:rPr>
        <w:t>研究制定全区产业政策，编制、组织实施全区信息产业发展规划及相关产业发展规划。</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贯彻执行国家、省、市利用高新技术改造传统产业的政策措施，指导行业质量管理，指导行业技术创新和技术进步和技术改造提升，推动全区信息服务业和新兴产业发展。负责协调、促进全区中小企业的改革与发展，负责申报各级各类资金项目、名牌产品等。</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负责电力行业的管理、监督、协调与行政执法，拟定全区电力行业发展规划，办理电力增容。</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负责电子信息产业的规划与协调，拟定全区信息产业发展规划，组织开展“双软”认定、复审相关工作。</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按照国家国民经济核算体系、核算制度和核算方法，核算全区生产总值，组织投入产出调查。</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会同有关部门组织实施全区人口、经济、农业等重大国情国力普查，汇总、整理和提供全区有关国情国力方面的统计数据。</w:t>
      </w:r>
    </w:p>
    <w:p w:rsidR="007A33B2" w:rsidRDefault="003B1B89">
      <w:pPr>
        <w:spacing w:line="560"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承担组织领导和协调全区统计工作，确保统计数据真实、准确、及时；组织设施全区工业、贸易、外经、投资、能源、建筑业、服务业、劳资、科技、农业、文化产业、高新技术、城镇化、</w:t>
      </w:r>
      <w:r>
        <w:rPr>
          <w:rFonts w:ascii="仿宋_GB2312" w:eastAsia="仿宋_GB2312"/>
          <w:sz w:val="32"/>
          <w:szCs w:val="32"/>
        </w:rPr>
        <w:t>GDP</w:t>
      </w:r>
      <w:r>
        <w:rPr>
          <w:rFonts w:ascii="仿宋_GB2312" w:eastAsia="仿宋_GB2312" w:hint="eastAsia"/>
          <w:sz w:val="32"/>
          <w:szCs w:val="32"/>
        </w:rPr>
        <w:t>综合核算等统计专业年、季、月报表</w:t>
      </w:r>
      <w:proofErr w:type="gramStart"/>
      <w:r>
        <w:rPr>
          <w:rFonts w:ascii="仿宋_GB2312" w:eastAsia="仿宋_GB2312" w:hint="eastAsia"/>
          <w:sz w:val="32"/>
          <w:szCs w:val="32"/>
        </w:rPr>
        <w:t>的报统工作</w:t>
      </w:r>
      <w:proofErr w:type="gramEnd"/>
      <w:r>
        <w:rPr>
          <w:rFonts w:ascii="仿宋_GB2312" w:eastAsia="仿宋_GB2312" w:hint="eastAsia"/>
          <w:sz w:val="32"/>
          <w:szCs w:val="32"/>
        </w:rPr>
        <w:t>。</w:t>
      </w:r>
    </w:p>
    <w:p w:rsidR="007A33B2" w:rsidRDefault="003B1B89">
      <w:pPr>
        <w:spacing w:line="560" w:lineRule="exact"/>
        <w:ind w:firstLineChars="200" w:firstLine="643"/>
        <w:rPr>
          <w:rFonts w:ascii="仿宋_GB2312" w:eastAsia="仿宋_GB2312"/>
          <w:b/>
          <w:sz w:val="32"/>
          <w:szCs w:val="32"/>
        </w:rPr>
      </w:pPr>
      <w:r>
        <w:rPr>
          <w:rFonts w:ascii="仿宋_GB2312" w:eastAsia="仿宋_GB2312" w:hint="eastAsia"/>
          <w:b/>
          <w:sz w:val="32"/>
          <w:szCs w:val="32"/>
        </w:rPr>
        <w:t>行政服务中心主要职责：</w:t>
      </w:r>
    </w:p>
    <w:p w:rsidR="007A33B2" w:rsidRDefault="003B1B89">
      <w:pPr>
        <w:spacing w:line="560" w:lineRule="exact"/>
        <w:ind w:firstLineChars="200" w:firstLine="640"/>
        <w:rPr>
          <w:rFonts w:ascii="仿宋_GB2312" w:eastAsia="仿宋_GB2312"/>
          <w:sz w:val="32"/>
          <w:szCs w:val="32"/>
        </w:rPr>
      </w:pPr>
      <w:r>
        <w:rPr>
          <w:rFonts w:ascii="仿宋_GB2312" w:eastAsia="仿宋_GB2312" w:hint="eastAsia"/>
          <w:sz w:val="32"/>
          <w:szCs w:val="32"/>
        </w:rPr>
        <w:t>项目投资建设、市场监督管理、社会事业服务、政府采购、投资服务。</w:t>
      </w:r>
    </w:p>
    <w:p w:rsidR="007A33B2" w:rsidRDefault="003B1B89">
      <w:pPr>
        <w:spacing w:line="560" w:lineRule="exact"/>
        <w:ind w:firstLineChars="200" w:firstLine="643"/>
        <w:rPr>
          <w:rFonts w:ascii="宋体"/>
          <w:b/>
          <w:sz w:val="32"/>
          <w:szCs w:val="32"/>
        </w:rPr>
      </w:pPr>
      <w:r>
        <w:rPr>
          <w:rFonts w:ascii="宋体" w:hAnsi="宋体" w:hint="eastAsia"/>
          <w:b/>
          <w:sz w:val="32"/>
          <w:szCs w:val="32"/>
        </w:rPr>
        <w:t>二、部门预算总体情况及预算收支增减变化情况说明</w:t>
      </w:r>
    </w:p>
    <w:p w:rsidR="007A33B2" w:rsidRDefault="003B1B89">
      <w:pPr>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发改局</w:t>
      </w:r>
      <w:proofErr w:type="gramEnd"/>
      <w:r>
        <w:rPr>
          <w:rFonts w:ascii="仿宋_GB2312" w:eastAsia="仿宋_GB2312" w:hAnsi="仿宋_GB2312" w:cs="仿宋_GB2312" w:hint="eastAsia"/>
          <w:sz w:val="32"/>
          <w:szCs w:val="32"/>
        </w:rPr>
        <w:t>（部门）2018年收入预算：1206.2万元，其中一般公共预算拨款1206.2万元。</w:t>
      </w:r>
    </w:p>
    <w:p w:rsidR="007A33B2" w:rsidRPr="00A86CD4" w:rsidRDefault="003B1B89">
      <w:pPr>
        <w:ind w:firstLineChars="176" w:firstLine="563"/>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sz w:val="32"/>
          <w:szCs w:val="32"/>
        </w:rPr>
        <w:lastRenderedPageBreak/>
        <w:t>发改局</w:t>
      </w:r>
      <w:proofErr w:type="gramEnd"/>
      <w:r>
        <w:rPr>
          <w:rFonts w:ascii="仿宋_GB2312" w:eastAsia="仿宋_GB2312" w:hAnsi="仿宋_GB2312" w:cs="仿宋_GB2312" w:hint="eastAsia"/>
          <w:sz w:val="32"/>
          <w:szCs w:val="32"/>
        </w:rPr>
        <w:t>（部门</w:t>
      </w:r>
      <w:r w:rsidRPr="00A86CD4">
        <w:rPr>
          <w:rFonts w:ascii="仿宋_GB2312" w:eastAsia="仿宋_GB2312" w:hAnsi="仿宋_GB2312" w:cs="仿宋_GB2312" w:hint="eastAsia"/>
          <w:sz w:val="32"/>
          <w:szCs w:val="32"/>
        </w:rPr>
        <w:t>）2018年支出预算：人员经费516.72万元，日常公用经费43.48万元，项目支出</w:t>
      </w:r>
      <w:r w:rsidRPr="00A86CD4">
        <w:rPr>
          <w:rFonts w:ascii="仿宋_GB2312" w:eastAsia="仿宋_GB2312" w:hAnsi="仿宋_GB2312" w:cs="仿宋_GB2312" w:hint="eastAsia"/>
          <w:color w:val="000000"/>
          <w:sz w:val="32"/>
          <w:szCs w:val="32"/>
        </w:rPr>
        <w:t>646万元</w:t>
      </w:r>
      <w:r w:rsidR="00A500DC" w:rsidRPr="00A86CD4">
        <w:rPr>
          <w:rFonts w:ascii="仿宋_GB2312" w:eastAsia="仿宋_GB2312" w:hAnsi="仿宋_GB2312" w:cs="仿宋_GB2312" w:hint="eastAsia"/>
          <w:color w:val="000000"/>
          <w:sz w:val="32"/>
          <w:szCs w:val="32"/>
        </w:rPr>
        <w:t>，合计总支出1206.2万元</w:t>
      </w:r>
      <w:r w:rsidRPr="00A86CD4">
        <w:rPr>
          <w:rFonts w:ascii="仿宋_GB2312" w:eastAsia="仿宋_GB2312" w:hAnsi="仿宋_GB2312" w:cs="仿宋_GB2312" w:hint="eastAsia"/>
          <w:color w:val="000000"/>
          <w:sz w:val="32"/>
          <w:szCs w:val="32"/>
        </w:rPr>
        <w:t>。与2017年相比减少73.49%，原因：上级提前下达的转移支付资金减少。</w:t>
      </w:r>
    </w:p>
    <w:p w:rsidR="007A33B2" w:rsidRPr="00A86CD4" w:rsidRDefault="003B1B89">
      <w:pPr>
        <w:spacing w:line="560" w:lineRule="exact"/>
        <w:ind w:firstLineChars="200" w:firstLine="643"/>
        <w:rPr>
          <w:rFonts w:ascii="仿宋_GB2312" w:eastAsia="仿宋_GB2312" w:hAnsi="仿宋_GB2312" w:cs="仿宋_GB2312"/>
          <w:color w:val="000000"/>
          <w:sz w:val="32"/>
          <w:szCs w:val="32"/>
        </w:rPr>
      </w:pPr>
      <w:r w:rsidRPr="00A86CD4">
        <w:rPr>
          <w:rFonts w:ascii="仿宋_GB2312" w:eastAsia="仿宋_GB2312" w:hAnsi="仿宋_GB2312" w:cs="仿宋_GB2312" w:hint="eastAsia"/>
          <w:b/>
          <w:color w:val="000000"/>
          <w:sz w:val="32"/>
          <w:szCs w:val="32"/>
        </w:rPr>
        <w:t>三、机关运行经费情况说明</w:t>
      </w:r>
    </w:p>
    <w:p w:rsidR="007A33B2" w:rsidRPr="00A86CD4" w:rsidRDefault="003B1B89">
      <w:pPr>
        <w:ind w:firstLineChars="200" w:firstLine="640"/>
        <w:rPr>
          <w:rFonts w:ascii="仿宋_GB2312" w:eastAsia="仿宋_GB2312" w:hAnsi="仿宋_GB2312" w:cs="仿宋_GB2312"/>
          <w:color w:val="000000"/>
          <w:sz w:val="32"/>
          <w:szCs w:val="32"/>
        </w:rPr>
      </w:pPr>
      <w:r w:rsidRPr="00A86CD4">
        <w:rPr>
          <w:rFonts w:ascii="仿宋_GB2312" w:eastAsia="仿宋_GB2312" w:hAnsi="仿宋_GB2312" w:cs="仿宋_GB2312" w:hint="eastAsia"/>
          <w:color w:val="000000"/>
          <w:sz w:val="32"/>
          <w:szCs w:val="32"/>
        </w:rPr>
        <w:t>为保障</w:t>
      </w:r>
      <w:proofErr w:type="gramStart"/>
      <w:r w:rsidRPr="00A86CD4">
        <w:rPr>
          <w:rFonts w:ascii="仿宋_GB2312" w:eastAsia="仿宋_GB2312" w:hAnsi="仿宋_GB2312" w:cs="仿宋_GB2312" w:hint="eastAsia"/>
          <w:color w:val="000000"/>
          <w:sz w:val="32"/>
          <w:szCs w:val="32"/>
        </w:rPr>
        <w:t>发改局</w:t>
      </w:r>
      <w:proofErr w:type="gramEnd"/>
      <w:r w:rsidRPr="00A86CD4">
        <w:rPr>
          <w:rFonts w:ascii="仿宋_GB2312" w:eastAsia="仿宋_GB2312" w:hAnsi="仿宋_GB2312" w:cs="仿宋_GB2312" w:hint="eastAsia"/>
          <w:color w:val="000000"/>
          <w:sz w:val="32"/>
          <w:szCs w:val="32"/>
        </w:rPr>
        <w:t>（部门）正常运行，2018年安排机关运行经费43.48万元。其中</w:t>
      </w:r>
      <w:proofErr w:type="gramStart"/>
      <w:r w:rsidRPr="00A86CD4">
        <w:rPr>
          <w:rFonts w:ascii="仿宋_GB2312" w:eastAsia="仿宋_GB2312" w:hAnsi="仿宋_GB2312" w:cs="仿宋_GB2312" w:hint="eastAsia"/>
          <w:color w:val="000000"/>
          <w:sz w:val="32"/>
          <w:szCs w:val="32"/>
        </w:rPr>
        <w:t>发改局</w:t>
      </w:r>
      <w:proofErr w:type="gramEnd"/>
      <w:r w:rsidRPr="00A86CD4">
        <w:rPr>
          <w:rFonts w:ascii="仿宋_GB2312" w:eastAsia="仿宋_GB2312" w:hAnsi="仿宋_GB2312" w:cs="仿宋_GB2312" w:hint="eastAsia"/>
          <w:color w:val="000000"/>
          <w:sz w:val="32"/>
          <w:szCs w:val="32"/>
        </w:rPr>
        <w:t>（单位）23.32万元；行政服务中心20.16万元。对比2017年减少</w:t>
      </w:r>
      <w:r w:rsidR="00A86F93" w:rsidRPr="00A86CD4">
        <w:rPr>
          <w:rFonts w:ascii="仿宋_GB2312" w:eastAsia="仿宋_GB2312" w:hAnsi="仿宋_GB2312" w:cs="仿宋_GB2312" w:hint="eastAsia"/>
          <w:color w:val="000000"/>
          <w:sz w:val="32"/>
          <w:szCs w:val="32"/>
        </w:rPr>
        <w:t>41.93%</w:t>
      </w:r>
      <w:r w:rsidRPr="00A86CD4">
        <w:rPr>
          <w:rFonts w:ascii="仿宋_GB2312" w:eastAsia="仿宋_GB2312" w:hAnsi="仿宋_GB2312" w:cs="仿宋_GB2312" w:hint="eastAsia"/>
          <w:color w:val="000000"/>
          <w:sz w:val="32"/>
          <w:szCs w:val="32"/>
        </w:rPr>
        <w:t>，主要原因：减少动监所和农林推广站。具体情况如下：</w:t>
      </w:r>
    </w:p>
    <w:p w:rsidR="007A33B2" w:rsidRPr="00A86CD4" w:rsidRDefault="003B1B89">
      <w:pPr>
        <w:ind w:firstLineChars="200" w:firstLine="640"/>
        <w:rPr>
          <w:rFonts w:ascii="仿宋_GB2312" w:eastAsia="仿宋_GB2312" w:hAnsi="仿宋_GB2312" w:cs="仿宋_GB2312"/>
          <w:color w:val="000000"/>
          <w:sz w:val="32"/>
          <w:szCs w:val="32"/>
        </w:rPr>
      </w:pPr>
      <w:proofErr w:type="gramStart"/>
      <w:r w:rsidRPr="00A86CD4">
        <w:rPr>
          <w:rFonts w:ascii="仿宋_GB2312" w:eastAsia="仿宋_GB2312" w:hAnsi="仿宋_GB2312" w:cs="仿宋_GB2312" w:hint="eastAsia"/>
          <w:color w:val="000000"/>
          <w:sz w:val="32"/>
          <w:szCs w:val="32"/>
        </w:rPr>
        <w:t>发改局</w:t>
      </w:r>
      <w:proofErr w:type="gramEnd"/>
      <w:r w:rsidRPr="00A86CD4">
        <w:rPr>
          <w:rFonts w:ascii="仿宋_GB2312" w:eastAsia="仿宋_GB2312" w:hAnsi="仿宋_GB2312" w:cs="仿宋_GB2312" w:hint="eastAsia"/>
          <w:color w:val="000000"/>
          <w:sz w:val="32"/>
          <w:szCs w:val="32"/>
        </w:rPr>
        <w:t>（单位）2018年安排机关运行经费23.32万元（其中办公费3.3万元、邮电费3.2万元、差旅费3.8万元、维修费0.5万元、会议费0.5万元、公务用车运行维护费4.5、印刷费2万元、培训费1.5万元、公务接待费1.5万元、工会经费2.3万元、其他业务费0.22万元），对比2017年增加28.48%，主要原因：新增执法执勤用车1辆。</w:t>
      </w:r>
    </w:p>
    <w:p w:rsidR="007A33B2" w:rsidRPr="00A86CD4" w:rsidRDefault="003B1B89">
      <w:pPr>
        <w:ind w:firstLineChars="176" w:firstLine="563"/>
        <w:rPr>
          <w:rFonts w:ascii="仿宋_GB2312" w:eastAsia="仿宋_GB2312" w:hAnsi="仿宋_GB2312" w:cs="仿宋_GB2312"/>
          <w:sz w:val="32"/>
          <w:szCs w:val="32"/>
        </w:rPr>
      </w:pPr>
      <w:r w:rsidRPr="00A86CD4">
        <w:rPr>
          <w:rFonts w:ascii="仿宋_GB2312" w:eastAsia="仿宋_GB2312" w:hAnsi="仿宋_GB2312" w:cs="仿宋_GB2312" w:hint="eastAsia"/>
          <w:sz w:val="32"/>
          <w:szCs w:val="32"/>
        </w:rPr>
        <w:t>行政服务中心安排机关运行经费支出20.16万元，（其中办公费用2.40万元、水费1万元、电费9万元、邮电费1.8万元、差旅费2万元、会议费0.3万元、办公设备购置费0.5万元、其他费用0.16万元、培训费1万元、公务接待费1万元、工会经费1.5万元），对比2017年增加8.06万元，主要原因：按照管委会统一部署，行政服务中心2018年整体搬迁至新闻中心办公，</w:t>
      </w:r>
      <w:proofErr w:type="gramStart"/>
      <w:r w:rsidRPr="00A86CD4">
        <w:rPr>
          <w:rFonts w:ascii="仿宋_GB2312" w:eastAsia="仿宋_GB2312" w:hAnsi="仿宋_GB2312" w:cs="仿宋_GB2312" w:hint="eastAsia"/>
          <w:sz w:val="32"/>
          <w:szCs w:val="32"/>
        </w:rPr>
        <w:t>需中心</w:t>
      </w:r>
      <w:proofErr w:type="gramEnd"/>
      <w:r w:rsidRPr="00A86CD4">
        <w:rPr>
          <w:rFonts w:ascii="仿宋_GB2312" w:eastAsia="仿宋_GB2312" w:hAnsi="仿宋_GB2312" w:cs="仿宋_GB2312" w:hint="eastAsia"/>
          <w:sz w:val="32"/>
          <w:szCs w:val="32"/>
        </w:rPr>
        <w:t>缴纳水、电、物业等费用，经费有所增加。</w:t>
      </w:r>
    </w:p>
    <w:p w:rsidR="007A33B2" w:rsidRDefault="003B1B89">
      <w:pPr>
        <w:spacing w:line="560" w:lineRule="exact"/>
        <w:ind w:firstLineChars="200" w:firstLine="643"/>
        <w:rPr>
          <w:rFonts w:ascii="仿宋_GB2312" w:eastAsia="仿宋_GB2312" w:hAnsi="仿宋_GB2312" w:cs="仿宋_GB2312"/>
          <w:sz w:val="32"/>
          <w:szCs w:val="32"/>
        </w:rPr>
      </w:pPr>
      <w:r w:rsidRPr="00A86CD4">
        <w:rPr>
          <w:rFonts w:ascii="仿宋_GB2312" w:eastAsia="仿宋_GB2312" w:hAnsi="仿宋_GB2312" w:cs="仿宋_GB2312" w:hint="eastAsia"/>
          <w:b/>
          <w:sz w:val="32"/>
          <w:szCs w:val="32"/>
        </w:rPr>
        <w:lastRenderedPageBreak/>
        <w:t>四、“三公”经费情况及增减变化说明</w:t>
      </w:r>
    </w:p>
    <w:p w:rsidR="007A33B2" w:rsidRPr="003B1B89" w:rsidRDefault="003B1B89">
      <w:pPr>
        <w:ind w:firstLineChars="200" w:firstLine="64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2018年</w:t>
      </w:r>
      <w:proofErr w:type="gramStart"/>
      <w:r w:rsidRPr="003B1B89">
        <w:rPr>
          <w:rFonts w:ascii="仿宋_GB2312" w:eastAsia="仿宋_GB2312" w:hAnsi="仿宋_GB2312" w:cs="仿宋_GB2312" w:hint="eastAsia"/>
          <w:color w:val="000000"/>
          <w:sz w:val="32"/>
          <w:szCs w:val="32"/>
        </w:rPr>
        <w:t>我部门</w:t>
      </w:r>
      <w:proofErr w:type="gramEnd"/>
      <w:r w:rsidRPr="003B1B89">
        <w:rPr>
          <w:rFonts w:ascii="仿宋_GB2312" w:eastAsia="仿宋_GB2312" w:hAnsi="仿宋_GB2312" w:cs="仿宋_GB2312" w:hint="eastAsia"/>
          <w:color w:val="000000"/>
          <w:sz w:val="32"/>
          <w:szCs w:val="32"/>
        </w:rPr>
        <w:t>“三公”经费预算安排</w:t>
      </w:r>
      <w:r w:rsidR="00E004B7">
        <w:rPr>
          <w:rFonts w:ascii="仿宋_GB2312" w:eastAsia="仿宋_GB2312" w:hAnsi="仿宋_GB2312" w:cs="仿宋_GB2312" w:hint="eastAsia"/>
          <w:color w:val="000000"/>
          <w:sz w:val="32"/>
          <w:szCs w:val="32"/>
        </w:rPr>
        <w:t>10</w:t>
      </w:r>
      <w:r w:rsidRPr="003B1B89">
        <w:rPr>
          <w:rFonts w:ascii="仿宋_GB2312" w:eastAsia="仿宋_GB2312" w:hAnsi="仿宋_GB2312" w:cs="仿宋_GB2312" w:hint="eastAsia"/>
          <w:color w:val="000000"/>
          <w:sz w:val="32"/>
          <w:szCs w:val="32"/>
        </w:rPr>
        <w:t>万元，较上年预算减少</w:t>
      </w:r>
      <w:r w:rsidR="00CC2894">
        <w:rPr>
          <w:rFonts w:ascii="仿宋_GB2312" w:eastAsia="仿宋_GB2312" w:hAnsi="仿宋_GB2312" w:cs="仿宋_GB2312" w:hint="eastAsia"/>
          <w:color w:val="000000"/>
          <w:sz w:val="32"/>
          <w:szCs w:val="32"/>
        </w:rPr>
        <w:t>6.1</w:t>
      </w:r>
      <w:r w:rsidRPr="003B1B89">
        <w:rPr>
          <w:rFonts w:ascii="仿宋_GB2312" w:eastAsia="仿宋_GB2312" w:hAnsi="仿宋_GB2312" w:cs="仿宋_GB2312" w:hint="eastAsia"/>
          <w:color w:val="000000"/>
          <w:sz w:val="32"/>
          <w:szCs w:val="32"/>
        </w:rPr>
        <w:t>万元。主要原因：减少动监所和农林推广站。具体情况如下：</w:t>
      </w:r>
    </w:p>
    <w:p w:rsidR="007A33B2" w:rsidRPr="003B1B89" w:rsidRDefault="003B1B89">
      <w:pPr>
        <w:ind w:firstLineChars="200" w:firstLine="640"/>
        <w:rPr>
          <w:rFonts w:ascii="仿宋_GB2312" w:eastAsia="仿宋_GB2312" w:hAnsi="仿宋_GB2312" w:cs="仿宋_GB2312"/>
          <w:color w:val="000000"/>
          <w:sz w:val="32"/>
          <w:szCs w:val="32"/>
        </w:rPr>
      </w:pPr>
      <w:proofErr w:type="gramStart"/>
      <w:r w:rsidRPr="003B1B89">
        <w:rPr>
          <w:rFonts w:ascii="仿宋_GB2312" w:eastAsia="仿宋_GB2312" w:hAnsi="仿宋_GB2312" w:cs="仿宋_GB2312" w:hint="eastAsia"/>
          <w:color w:val="000000"/>
          <w:sz w:val="32"/>
          <w:szCs w:val="32"/>
        </w:rPr>
        <w:t>发改局</w:t>
      </w:r>
      <w:proofErr w:type="gramEnd"/>
      <w:r w:rsidR="00A86F93" w:rsidRPr="00A86F93">
        <w:rPr>
          <w:rFonts w:ascii="仿宋_GB2312" w:eastAsia="仿宋_GB2312" w:hAnsi="仿宋_GB2312" w:cs="仿宋_GB2312" w:hint="eastAsia"/>
          <w:color w:val="000000"/>
          <w:sz w:val="32"/>
          <w:szCs w:val="32"/>
        </w:rPr>
        <w:t>“三公”经费预算安排</w:t>
      </w:r>
      <w:r w:rsidRPr="003B1B89">
        <w:rPr>
          <w:rFonts w:ascii="仿宋_GB2312" w:eastAsia="仿宋_GB2312" w:hAnsi="仿宋_GB2312" w:cs="仿宋_GB2312" w:hint="eastAsia"/>
          <w:color w:val="000000"/>
          <w:sz w:val="32"/>
          <w:szCs w:val="32"/>
        </w:rPr>
        <w:t>如下：</w:t>
      </w:r>
    </w:p>
    <w:p w:rsidR="007A33B2" w:rsidRPr="003B1B89" w:rsidRDefault="003B1B89">
      <w:pPr>
        <w:ind w:firstLineChars="200" w:firstLine="64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（一）公务用车购置及运行费，共计安排4.5万元，较上年预算减少3万元。</w:t>
      </w:r>
    </w:p>
    <w:p w:rsidR="007A33B2" w:rsidRPr="003B1B89" w:rsidRDefault="003B1B89">
      <w:pPr>
        <w:ind w:firstLineChars="200" w:firstLine="64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1.公务用车购置安排0万元，与上年持平。</w:t>
      </w:r>
    </w:p>
    <w:p w:rsidR="007A33B2" w:rsidRPr="003B1B89" w:rsidRDefault="003B1B89">
      <w:pPr>
        <w:ind w:firstLineChars="200" w:firstLine="64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2.公务用车运行维护经费安排4.5万元，较上年减少3万元。因公车改革后，</w:t>
      </w:r>
      <w:proofErr w:type="gramStart"/>
      <w:r w:rsidRPr="003B1B89">
        <w:rPr>
          <w:rFonts w:ascii="仿宋_GB2312" w:eastAsia="仿宋_GB2312" w:hAnsi="仿宋_GB2312" w:cs="仿宋_GB2312" w:hint="eastAsia"/>
          <w:color w:val="000000"/>
          <w:sz w:val="32"/>
          <w:szCs w:val="32"/>
        </w:rPr>
        <w:t>我部门</w:t>
      </w:r>
      <w:proofErr w:type="gramEnd"/>
      <w:r w:rsidRPr="003B1B89">
        <w:rPr>
          <w:rFonts w:ascii="仿宋_GB2312" w:eastAsia="仿宋_GB2312" w:hAnsi="仿宋_GB2312" w:cs="仿宋_GB2312" w:hint="eastAsia"/>
          <w:color w:val="000000"/>
          <w:sz w:val="32"/>
          <w:szCs w:val="32"/>
        </w:rPr>
        <w:t>减少一辆无公务用车,合计减少运行维护费3万元。</w:t>
      </w:r>
    </w:p>
    <w:p w:rsidR="007A33B2" w:rsidRPr="003B1B89" w:rsidRDefault="003B1B89">
      <w:pPr>
        <w:ind w:firstLineChars="200" w:firstLine="64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（二）公务接待费。安排1.5万元，与上年持平。</w:t>
      </w:r>
    </w:p>
    <w:p w:rsidR="007A33B2" w:rsidRDefault="003B1B89">
      <w:pPr>
        <w:ind w:firstLine="630"/>
        <w:rPr>
          <w:rFonts w:ascii="仿宋_GB2312" w:eastAsia="仿宋_GB2312" w:hAnsi="仿宋_GB2312" w:cs="仿宋_GB2312"/>
          <w:color w:val="000000"/>
          <w:sz w:val="32"/>
          <w:szCs w:val="32"/>
        </w:rPr>
      </w:pPr>
      <w:r w:rsidRPr="003B1B89">
        <w:rPr>
          <w:rFonts w:ascii="仿宋_GB2312" w:eastAsia="仿宋_GB2312" w:hAnsi="仿宋_GB2312" w:cs="仿宋_GB2312" w:hint="eastAsia"/>
          <w:color w:val="000000"/>
          <w:sz w:val="32"/>
          <w:szCs w:val="32"/>
        </w:rPr>
        <w:t>（三）因公出国（境）</w:t>
      </w:r>
      <w:proofErr w:type="gramStart"/>
      <w:r w:rsidRPr="003B1B89">
        <w:rPr>
          <w:rFonts w:ascii="仿宋_GB2312" w:eastAsia="仿宋_GB2312" w:hAnsi="仿宋_GB2312" w:cs="仿宋_GB2312" w:hint="eastAsia"/>
          <w:color w:val="000000"/>
          <w:sz w:val="32"/>
          <w:szCs w:val="32"/>
        </w:rPr>
        <w:t>费安排</w:t>
      </w:r>
      <w:proofErr w:type="gramEnd"/>
      <w:r w:rsidRPr="003B1B89">
        <w:rPr>
          <w:rFonts w:ascii="仿宋_GB2312" w:eastAsia="仿宋_GB2312" w:hAnsi="仿宋_GB2312" w:cs="仿宋_GB2312" w:hint="eastAsia"/>
          <w:color w:val="000000"/>
          <w:sz w:val="32"/>
          <w:szCs w:val="32"/>
        </w:rPr>
        <w:t>0万元，与上年持平。</w:t>
      </w:r>
    </w:p>
    <w:p w:rsidR="00253B33" w:rsidRDefault="00253B33">
      <w:pPr>
        <w:ind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（四）会议费。安排</w:t>
      </w:r>
      <w:r w:rsidR="00E004B7">
        <w:rPr>
          <w:rFonts w:ascii="仿宋_GB2312" w:eastAsia="仿宋_GB2312" w:hAnsi="仿宋_GB2312" w:cs="仿宋_GB2312" w:hint="eastAsia"/>
          <w:color w:val="000000"/>
          <w:sz w:val="32"/>
          <w:szCs w:val="32"/>
        </w:rPr>
        <w:t>0.5</w:t>
      </w:r>
      <w:r w:rsidR="00A500DC">
        <w:rPr>
          <w:rFonts w:ascii="仿宋_GB2312" w:eastAsia="仿宋_GB2312" w:hAnsi="仿宋_GB2312" w:cs="仿宋_GB2312" w:hint="eastAsia"/>
          <w:color w:val="000000"/>
          <w:sz w:val="32"/>
          <w:szCs w:val="32"/>
        </w:rPr>
        <w:t>万元，较上年减少1万元</w:t>
      </w:r>
      <w:r>
        <w:rPr>
          <w:rFonts w:ascii="仿宋_GB2312" w:eastAsia="仿宋_GB2312" w:hAnsi="仿宋_GB2312" w:cs="仿宋_GB2312" w:hint="eastAsia"/>
          <w:color w:val="000000"/>
          <w:sz w:val="32"/>
          <w:szCs w:val="32"/>
        </w:rPr>
        <w:t>。</w:t>
      </w:r>
      <w:r w:rsidR="00A00FB4">
        <w:rPr>
          <w:rFonts w:ascii="仿宋_GB2312" w:eastAsia="仿宋_GB2312" w:hAnsi="仿宋_GB2312" w:cs="仿宋_GB2312" w:hint="eastAsia"/>
          <w:color w:val="000000"/>
          <w:sz w:val="32"/>
          <w:szCs w:val="32"/>
        </w:rPr>
        <w:t>按上级要求，压缩会议开支。</w:t>
      </w:r>
    </w:p>
    <w:p w:rsidR="00253B33" w:rsidRPr="00253B33" w:rsidRDefault="00253B33">
      <w:pPr>
        <w:ind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（五）培训费。安排</w:t>
      </w:r>
      <w:r w:rsidR="00E004B7">
        <w:rPr>
          <w:rFonts w:ascii="仿宋_GB2312" w:eastAsia="仿宋_GB2312" w:hAnsi="仿宋_GB2312" w:cs="仿宋_GB2312" w:hint="eastAsia"/>
          <w:color w:val="000000"/>
          <w:sz w:val="32"/>
          <w:szCs w:val="32"/>
        </w:rPr>
        <w:t>1.5</w:t>
      </w:r>
      <w:r w:rsidR="00A500DC">
        <w:rPr>
          <w:rFonts w:ascii="仿宋_GB2312" w:eastAsia="仿宋_GB2312" w:hAnsi="仿宋_GB2312" w:cs="仿宋_GB2312" w:hint="eastAsia"/>
          <w:color w:val="000000"/>
          <w:sz w:val="32"/>
          <w:szCs w:val="32"/>
        </w:rPr>
        <w:t>万元，较上年增加1万元。</w:t>
      </w:r>
      <w:r w:rsidR="00A00FB4">
        <w:rPr>
          <w:rFonts w:ascii="仿宋_GB2312" w:eastAsia="仿宋_GB2312" w:hAnsi="仿宋_GB2312" w:cs="仿宋_GB2312" w:hint="eastAsia"/>
          <w:color w:val="000000"/>
          <w:sz w:val="32"/>
          <w:szCs w:val="32"/>
        </w:rPr>
        <w:t>按上级要求，</w:t>
      </w:r>
      <w:r w:rsidR="00A00FB4">
        <w:rPr>
          <w:rFonts w:ascii="仿宋_GB2312" w:eastAsia="仿宋_GB2312" w:hAnsi="仿宋_GB2312" w:cs="仿宋_GB2312" w:hint="eastAsia"/>
          <w:color w:val="000000"/>
          <w:sz w:val="32"/>
          <w:szCs w:val="32"/>
        </w:rPr>
        <w:t>专项业务培训增加</w:t>
      </w:r>
      <w:r w:rsidR="00A00FB4">
        <w:rPr>
          <w:rFonts w:ascii="仿宋_GB2312" w:eastAsia="仿宋_GB2312" w:hAnsi="仿宋_GB2312" w:cs="仿宋_GB2312" w:hint="eastAsia"/>
          <w:color w:val="000000"/>
          <w:sz w:val="32"/>
          <w:szCs w:val="32"/>
        </w:rPr>
        <w:t>。</w:t>
      </w:r>
    </w:p>
    <w:p w:rsidR="00A86F93" w:rsidRDefault="00A86F93">
      <w:pPr>
        <w:ind w:firstLine="63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t>行政服务中心“三公”经费预算安排</w:t>
      </w:r>
      <w:r>
        <w:rPr>
          <w:rFonts w:ascii="仿宋_GB2312" w:eastAsia="仿宋_GB2312" w:hAnsi="仿宋_GB2312" w:cs="仿宋_GB2312" w:hint="eastAsia"/>
          <w:color w:val="000000"/>
          <w:sz w:val="32"/>
          <w:szCs w:val="32"/>
        </w:rPr>
        <w:t>如下：</w:t>
      </w:r>
    </w:p>
    <w:p w:rsidR="00A86F93" w:rsidRPr="00A86F93" w:rsidRDefault="00A86F93" w:rsidP="00A86F93">
      <w:pPr>
        <w:ind w:firstLineChars="200" w:firstLine="64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t>（一）公务用车购置及运行费，共计安排</w:t>
      </w:r>
      <w:r>
        <w:rPr>
          <w:rFonts w:ascii="仿宋_GB2312" w:eastAsia="仿宋_GB2312" w:hAnsi="仿宋_GB2312" w:cs="仿宋_GB2312" w:hint="eastAsia"/>
          <w:color w:val="000000"/>
          <w:sz w:val="32"/>
          <w:szCs w:val="32"/>
        </w:rPr>
        <w:t>0</w:t>
      </w:r>
      <w:r w:rsidRPr="00A86F93">
        <w:rPr>
          <w:rFonts w:ascii="仿宋_GB2312" w:eastAsia="仿宋_GB2312" w:hAnsi="仿宋_GB2312" w:cs="仿宋_GB2312" w:hint="eastAsia"/>
          <w:color w:val="000000"/>
          <w:sz w:val="32"/>
          <w:szCs w:val="32"/>
        </w:rPr>
        <w:t>万元，与上年持平。。</w:t>
      </w:r>
    </w:p>
    <w:p w:rsidR="00A86F93" w:rsidRPr="00A86F93" w:rsidRDefault="00A86F93" w:rsidP="00A86F93">
      <w:pPr>
        <w:ind w:firstLineChars="200" w:firstLine="64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t>1.公务用车购置安排0万元，与上年持平。</w:t>
      </w:r>
    </w:p>
    <w:p w:rsidR="00A86F93" w:rsidRPr="00A86F93" w:rsidRDefault="00A86F93" w:rsidP="00A86F93">
      <w:pPr>
        <w:ind w:firstLineChars="200" w:firstLine="64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t>2.公务用车运行维护经费安排</w:t>
      </w:r>
      <w:r>
        <w:rPr>
          <w:rFonts w:ascii="仿宋_GB2312" w:eastAsia="仿宋_GB2312" w:hAnsi="仿宋_GB2312" w:cs="仿宋_GB2312" w:hint="eastAsia"/>
          <w:color w:val="000000"/>
          <w:sz w:val="32"/>
          <w:szCs w:val="32"/>
        </w:rPr>
        <w:t>0</w:t>
      </w:r>
      <w:r w:rsidRPr="00A86F93">
        <w:rPr>
          <w:rFonts w:ascii="仿宋_GB2312" w:eastAsia="仿宋_GB2312" w:hAnsi="仿宋_GB2312" w:cs="仿宋_GB2312" w:hint="eastAsia"/>
          <w:color w:val="000000"/>
          <w:sz w:val="32"/>
          <w:szCs w:val="32"/>
        </w:rPr>
        <w:t>万元，与上年持平。</w:t>
      </w:r>
    </w:p>
    <w:p w:rsidR="00A86F93" w:rsidRPr="00A86F93" w:rsidRDefault="00A86F93" w:rsidP="00A86F93">
      <w:pPr>
        <w:ind w:firstLineChars="200" w:firstLine="64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lastRenderedPageBreak/>
        <w:t>（二）公务接待费。安排1万元，较上年预算减少1万元。原因：</w:t>
      </w:r>
      <w:proofErr w:type="gramStart"/>
      <w:r w:rsidRPr="00A86F93">
        <w:rPr>
          <w:rFonts w:ascii="仿宋_GB2312" w:eastAsia="仿宋_GB2312" w:hAnsi="仿宋_GB2312" w:cs="仿宋_GB2312" w:hint="eastAsia"/>
          <w:color w:val="000000"/>
          <w:sz w:val="32"/>
          <w:szCs w:val="32"/>
        </w:rPr>
        <w:t>我部门</w:t>
      </w:r>
      <w:proofErr w:type="gramEnd"/>
      <w:r w:rsidRPr="00A86F93">
        <w:rPr>
          <w:rFonts w:ascii="仿宋_GB2312" w:eastAsia="仿宋_GB2312" w:hAnsi="仿宋_GB2312" w:cs="仿宋_GB2312" w:hint="eastAsia"/>
          <w:color w:val="000000"/>
          <w:sz w:val="32"/>
          <w:szCs w:val="32"/>
        </w:rPr>
        <w:t>一贯严格按照中央八项规定、省政府有关厉行勤俭节约反对铺张浪费的要求，科学合理编制年初预算，严格控制“三公”经费等一般性支出。</w:t>
      </w:r>
    </w:p>
    <w:p w:rsidR="007A33B2" w:rsidRDefault="00A86F93" w:rsidP="00A86F93">
      <w:pPr>
        <w:ind w:firstLine="630"/>
        <w:rPr>
          <w:rFonts w:ascii="仿宋_GB2312" w:eastAsia="仿宋_GB2312" w:hAnsi="仿宋_GB2312" w:cs="仿宋_GB2312"/>
          <w:color w:val="000000"/>
          <w:sz w:val="32"/>
          <w:szCs w:val="32"/>
        </w:rPr>
      </w:pPr>
      <w:r w:rsidRPr="00A86F93">
        <w:rPr>
          <w:rFonts w:ascii="仿宋_GB2312" w:eastAsia="仿宋_GB2312" w:hAnsi="仿宋_GB2312" w:cs="仿宋_GB2312" w:hint="eastAsia"/>
          <w:color w:val="000000"/>
          <w:sz w:val="32"/>
          <w:szCs w:val="32"/>
        </w:rPr>
        <w:t>（三）因公出国（境）</w:t>
      </w:r>
      <w:proofErr w:type="gramStart"/>
      <w:r w:rsidRPr="00A86F93">
        <w:rPr>
          <w:rFonts w:ascii="仿宋_GB2312" w:eastAsia="仿宋_GB2312" w:hAnsi="仿宋_GB2312" w:cs="仿宋_GB2312" w:hint="eastAsia"/>
          <w:color w:val="000000"/>
          <w:sz w:val="32"/>
          <w:szCs w:val="32"/>
        </w:rPr>
        <w:t>费安排</w:t>
      </w:r>
      <w:proofErr w:type="gramEnd"/>
      <w:r w:rsidRPr="00A86F93">
        <w:rPr>
          <w:rFonts w:ascii="仿宋_GB2312" w:eastAsia="仿宋_GB2312" w:hAnsi="仿宋_GB2312" w:cs="仿宋_GB2312" w:hint="eastAsia"/>
          <w:color w:val="000000"/>
          <w:sz w:val="32"/>
          <w:szCs w:val="32"/>
        </w:rPr>
        <w:t>0万元，与上年持平。</w:t>
      </w:r>
    </w:p>
    <w:p w:rsidR="00E004B7" w:rsidRDefault="00E004B7" w:rsidP="00A86F93">
      <w:pPr>
        <w:ind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（四）会议费。安排0.5</w:t>
      </w:r>
      <w:r w:rsidR="00A500DC">
        <w:rPr>
          <w:rFonts w:ascii="仿宋_GB2312" w:eastAsia="仿宋_GB2312" w:hAnsi="仿宋_GB2312" w:cs="仿宋_GB2312" w:hint="eastAsia"/>
          <w:color w:val="000000"/>
          <w:sz w:val="32"/>
          <w:szCs w:val="32"/>
        </w:rPr>
        <w:t>万元，与上年持平。</w:t>
      </w:r>
      <w:bookmarkStart w:id="0" w:name="_GoBack"/>
      <w:bookmarkEnd w:id="0"/>
    </w:p>
    <w:p w:rsidR="00E004B7" w:rsidRPr="00E004B7" w:rsidRDefault="00E004B7" w:rsidP="00A86F93">
      <w:pPr>
        <w:ind w:firstLine="630"/>
        <w:rPr>
          <w:rFonts w:ascii="仿宋_GB2312" w:eastAsia="仿宋_GB2312" w:hAnsi="仿宋_GB2312" w:cs="仿宋_GB2312"/>
          <w:color w:val="000000"/>
          <w:sz w:val="32"/>
          <w:szCs w:val="32"/>
          <w:highlight w:val="yellow"/>
        </w:rPr>
      </w:pPr>
      <w:r>
        <w:rPr>
          <w:rFonts w:ascii="仿宋_GB2312" w:eastAsia="仿宋_GB2312" w:hAnsi="仿宋_GB2312" w:cs="仿宋_GB2312" w:hint="eastAsia"/>
          <w:color w:val="000000"/>
          <w:sz w:val="32"/>
          <w:szCs w:val="32"/>
        </w:rPr>
        <w:t>（五）培训费。安排</w:t>
      </w:r>
      <w:r w:rsidR="00A500DC">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万元</w:t>
      </w:r>
      <w:r w:rsidR="00A500DC">
        <w:rPr>
          <w:rFonts w:ascii="仿宋_GB2312" w:eastAsia="仿宋_GB2312" w:hAnsi="仿宋_GB2312" w:cs="仿宋_GB2312" w:hint="eastAsia"/>
          <w:color w:val="000000"/>
          <w:sz w:val="32"/>
          <w:szCs w:val="32"/>
        </w:rPr>
        <w:t>，较上年减少0.5万元。</w:t>
      </w:r>
      <w:r w:rsidR="00A00FB4">
        <w:rPr>
          <w:rFonts w:ascii="仿宋_GB2312" w:eastAsia="仿宋_GB2312" w:hAnsi="仿宋_GB2312" w:cs="仿宋_GB2312" w:hint="eastAsia"/>
          <w:color w:val="000000"/>
          <w:sz w:val="32"/>
          <w:szCs w:val="32"/>
        </w:rPr>
        <w:t>按上级要求，专项业务</w:t>
      </w:r>
      <w:r w:rsidR="00A00FB4">
        <w:rPr>
          <w:rFonts w:ascii="仿宋_GB2312" w:eastAsia="仿宋_GB2312" w:hAnsi="仿宋_GB2312" w:cs="仿宋_GB2312" w:hint="eastAsia"/>
          <w:color w:val="000000"/>
          <w:sz w:val="32"/>
          <w:szCs w:val="32"/>
        </w:rPr>
        <w:t>培训减少</w:t>
      </w:r>
      <w:r w:rsidR="00A00FB4">
        <w:rPr>
          <w:rFonts w:ascii="仿宋_GB2312" w:eastAsia="仿宋_GB2312" w:hAnsi="仿宋_GB2312" w:cs="仿宋_GB2312" w:hint="eastAsia"/>
          <w:color w:val="000000"/>
          <w:sz w:val="32"/>
          <w:szCs w:val="32"/>
        </w:rPr>
        <w:t>。</w:t>
      </w:r>
    </w:p>
    <w:p w:rsidR="007A33B2" w:rsidRDefault="003B1B89">
      <w:pPr>
        <w:spacing w:line="560" w:lineRule="exact"/>
        <w:ind w:firstLineChars="200" w:firstLine="643"/>
        <w:rPr>
          <w:rFonts w:ascii="宋体"/>
          <w:b/>
          <w:sz w:val="32"/>
          <w:szCs w:val="32"/>
        </w:rPr>
      </w:pPr>
      <w:r>
        <w:rPr>
          <w:rFonts w:ascii="宋体" w:hAnsi="宋体" w:hint="eastAsia"/>
          <w:b/>
          <w:sz w:val="32"/>
          <w:szCs w:val="32"/>
        </w:rPr>
        <w:t>五、绩效信息</w:t>
      </w:r>
    </w:p>
    <w:p w:rsidR="007A33B2" w:rsidRDefault="003B1B89">
      <w:pPr>
        <w:ind w:firstLineChars="200" w:firstLine="640"/>
        <w:rPr>
          <w:rFonts w:ascii="仿宋" w:eastAsia="仿宋" w:hAnsi="仿宋" w:cs="仿宋"/>
          <w:sz w:val="32"/>
          <w:szCs w:val="32"/>
        </w:rPr>
      </w:pPr>
      <w:r>
        <w:rPr>
          <w:rFonts w:ascii="仿宋" w:eastAsia="仿宋" w:hAnsi="仿宋" w:cs="仿宋" w:hint="eastAsia"/>
          <w:sz w:val="32"/>
          <w:szCs w:val="32"/>
        </w:rPr>
        <w:t>研究全区经济体制改革和对外开放的重大问题，组织拟订综合性经济体制改革和对外开放方案。有效引导行业健康发展，提升全区产业和行业竞争力。保障发展改革一般性日常业务开展和机关事务的基本运转。推动中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民营经济持续、健康发展。提高农产品产量和产量，优化农业产业结构，提高经济效益，增加农民收入。规范流转行为，优化资源配置，促进农民专业合作经济组织健康发展，加快新农村建设和城镇化进程。研究制定资料开发应用计划，进行业务培训，组织开展深层次课题研究，发布普查主要数据公报，完成普查工作总结和表彰。</w:t>
      </w:r>
    </w:p>
    <w:p w:rsidR="007A33B2" w:rsidRDefault="003B1B89">
      <w:pPr>
        <w:jc w:val="center"/>
        <w:outlineLvl w:val="0"/>
        <w:rPr>
          <w:rFonts w:ascii="方正小标宋_GBK" w:eastAsia="方正小标宋_GBK"/>
          <w:sz w:val="32"/>
        </w:rPr>
      </w:pPr>
      <w:bookmarkStart w:id="1" w:name="_Toc486490984"/>
      <w:r>
        <w:rPr>
          <w:rFonts w:ascii="方正小标宋_GBK" w:eastAsia="方正小标宋_GBK" w:hint="eastAsia"/>
          <w:sz w:val="32"/>
        </w:rPr>
        <w:t>部门职责</w:t>
      </w:r>
      <w:r>
        <w:rPr>
          <w:rFonts w:ascii="方正小标宋_GBK" w:eastAsia="方正小标宋_GBK"/>
          <w:sz w:val="32"/>
        </w:rPr>
        <w:t>-</w:t>
      </w:r>
      <w:r>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7A33B2">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7A33B2" w:rsidRDefault="003B1B89">
            <w:pPr>
              <w:spacing w:line="300" w:lineRule="exact"/>
              <w:jc w:val="left"/>
              <w:rPr>
                <w:rFonts w:ascii="方正小标宋_GBK" w:eastAsia="方正小标宋_GBK"/>
                <w:sz w:val="24"/>
              </w:rPr>
            </w:pPr>
            <w:proofErr w:type="gramStart"/>
            <w:r>
              <w:rPr>
                <w:rFonts w:ascii="方正小标宋_GBK" w:eastAsia="方正小标宋_GBK"/>
                <w:sz w:val="24"/>
              </w:rPr>
              <w:t>107</w:t>
            </w:r>
            <w:r>
              <w:rPr>
                <w:rFonts w:ascii="方正小标宋_GBK" w:eastAsia="方正小标宋_GBK" w:hint="eastAsia"/>
                <w:sz w:val="24"/>
              </w:rPr>
              <w:t>发改局</w:t>
            </w:r>
            <w:proofErr w:type="gramEnd"/>
          </w:p>
        </w:tc>
        <w:tc>
          <w:tcPr>
            <w:tcW w:w="2948" w:type="dxa"/>
            <w:gridSpan w:val="4"/>
            <w:tcBorders>
              <w:top w:val="single" w:sz="6" w:space="0" w:color="FFFFFF"/>
              <w:left w:val="single" w:sz="6" w:space="0" w:color="FFFFFF"/>
              <w:right w:val="single" w:sz="6" w:space="0" w:color="FFFFFF"/>
            </w:tcBorders>
            <w:vAlign w:val="center"/>
          </w:tcPr>
          <w:p w:rsidR="007A33B2" w:rsidRDefault="003B1B89">
            <w:pPr>
              <w:spacing w:line="300" w:lineRule="exact"/>
              <w:jc w:val="right"/>
              <w:rPr>
                <w:rFonts w:ascii="方正书宋_GBK" w:eastAsia="方正书宋_GBK"/>
                <w:sz w:val="24"/>
              </w:rPr>
            </w:pPr>
            <w:r>
              <w:rPr>
                <w:rFonts w:ascii="方正书宋_GBK" w:eastAsia="方正书宋_GBK" w:hint="eastAsia"/>
                <w:sz w:val="24"/>
              </w:rPr>
              <w:t>单位：万元</w:t>
            </w:r>
          </w:p>
        </w:tc>
      </w:tr>
      <w:tr w:rsidR="007A33B2">
        <w:trPr>
          <w:trHeight w:val="227"/>
          <w:tblHeader/>
          <w:jc w:val="center"/>
        </w:trPr>
        <w:tc>
          <w:tcPr>
            <w:tcW w:w="2341"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评价标准</w:t>
            </w:r>
          </w:p>
        </w:tc>
      </w:tr>
      <w:tr w:rsidR="007A33B2">
        <w:trPr>
          <w:trHeight w:val="227"/>
          <w:tblHeader/>
          <w:jc w:val="center"/>
        </w:trPr>
        <w:tc>
          <w:tcPr>
            <w:tcW w:w="2341" w:type="dxa"/>
            <w:vMerge/>
            <w:vAlign w:val="center"/>
          </w:tcPr>
          <w:p w:rsidR="007A33B2" w:rsidRDefault="007A33B2">
            <w:pPr>
              <w:spacing w:line="300" w:lineRule="exact"/>
              <w:jc w:val="left"/>
              <w:outlineLvl w:val="0"/>
            </w:pPr>
          </w:p>
        </w:tc>
        <w:tc>
          <w:tcPr>
            <w:tcW w:w="1276" w:type="dxa"/>
            <w:vMerge/>
            <w:vAlign w:val="center"/>
          </w:tcPr>
          <w:p w:rsidR="007A33B2" w:rsidRDefault="007A33B2">
            <w:pPr>
              <w:spacing w:line="300" w:lineRule="exact"/>
              <w:jc w:val="left"/>
              <w:outlineLvl w:val="0"/>
            </w:pPr>
          </w:p>
        </w:tc>
        <w:tc>
          <w:tcPr>
            <w:tcW w:w="2976" w:type="dxa"/>
            <w:vMerge/>
            <w:vAlign w:val="center"/>
          </w:tcPr>
          <w:p w:rsidR="007A33B2" w:rsidRDefault="007A33B2">
            <w:pPr>
              <w:spacing w:line="300" w:lineRule="exact"/>
              <w:jc w:val="left"/>
              <w:outlineLvl w:val="0"/>
            </w:pPr>
          </w:p>
        </w:tc>
        <w:tc>
          <w:tcPr>
            <w:tcW w:w="2976" w:type="dxa"/>
            <w:vMerge/>
            <w:vAlign w:val="center"/>
          </w:tcPr>
          <w:p w:rsidR="007A33B2" w:rsidRDefault="007A33B2">
            <w:pPr>
              <w:spacing w:line="300" w:lineRule="exact"/>
              <w:jc w:val="left"/>
              <w:outlineLvl w:val="0"/>
            </w:pPr>
          </w:p>
        </w:tc>
        <w:tc>
          <w:tcPr>
            <w:tcW w:w="1417" w:type="dxa"/>
            <w:vMerge/>
            <w:vAlign w:val="center"/>
          </w:tcPr>
          <w:p w:rsidR="007A33B2" w:rsidRDefault="007A33B2">
            <w:pPr>
              <w:spacing w:line="300" w:lineRule="exact"/>
              <w:jc w:val="left"/>
              <w:outlineLvl w:val="0"/>
            </w:pPr>
          </w:p>
        </w:tc>
        <w:tc>
          <w:tcPr>
            <w:tcW w:w="737"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差</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组织编制经济社会发展规划和计划</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30.00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组织拟订本级经济社会发展规划。</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增强规划和计划的前瞻性、科学性、可操作性；规划目标全面、先进、可行；组织落实措施得力，调度有序。</w:t>
            </w: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严格落实各项措施</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经济社会发展中长期规划编制</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30.00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组织拟定本级经济社会发展中长期规划统筹协调县级专项规划和区域规划。</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落实规划措施</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组织全区改革开放和经济技术合作</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研究全区经济体制改革，组织指导和综合协调推进经济体制改革。</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研究全区经济体制改革和对外开放的重大问题，组织拟订综合性经济体制改革和对外开放方案。</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widowControl/>
              <w:jc w:val="center"/>
              <w:textAlignment w:val="center"/>
              <w:rPr>
                <w:rFonts w:ascii="方正书宋_GBK" w:eastAsia="方正书宋_GBK"/>
              </w:rPr>
            </w:pPr>
          </w:p>
        </w:tc>
        <w:tc>
          <w:tcPr>
            <w:tcW w:w="737" w:type="dxa"/>
            <w:vAlign w:val="center"/>
          </w:tcPr>
          <w:p w:rsidR="007A33B2" w:rsidRDefault="007A33B2">
            <w:pPr>
              <w:widowControl/>
              <w:jc w:val="center"/>
              <w:textAlignment w:val="center"/>
              <w:rPr>
                <w:rFonts w:ascii="方正书宋_GBK" w:eastAsia="方正书宋_GBK"/>
              </w:rPr>
            </w:pPr>
          </w:p>
        </w:tc>
        <w:tc>
          <w:tcPr>
            <w:tcW w:w="737" w:type="dxa"/>
            <w:vAlign w:val="center"/>
          </w:tcPr>
          <w:p w:rsidR="007A33B2" w:rsidRDefault="007A33B2">
            <w:pPr>
              <w:widowControl/>
              <w:jc w:val="center"/>
              <w:textAlignment w:val="center"/>
              <w:rPr>
                <w:rFonts w:ascii="方正书宋_GBK" w:eastAsia="方正书宋_GBK"/>
              </w:rPr>
            </w:pPr>
          </w:p>
        </w:tc>
        <w:tc>
          <w:tcPr>
            <w:tcW w:w="737" w:type="dxa"/>
            <w:vAlign w:val="center"/>
          </w:tcPr>
          <w:p w:rsidR="007A33B2" w:rsidRDefault="007A33B2">
            <w:pPr>
              <w:widowControl/>
              <w:jc w:val="center"/>
              <w:textAlignment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利用外资和境外投资管理</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研究本级利用外资、境外投资和国外贷款工作；组织开展对外经贸洽谈和招商活动，组织项目谋划发布、洽谈等活动。</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促进县级区域经济发展</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研究提出区域经济协调发展、加快城镇化发展的政策建议；负责区域经济合作统筹协调。</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促进沿海地区实现率先发展</w:t>
            </w:r>
            <w:r>
              <w:rPr>
                <w:rFonts w:ascii="方正书宋_GBK" w:eastAsia="方正书宋_GBK"/>
              </w:rPr>
              <w:t>,</w:t>
            </w:r>
            <w:r>
              <w:rPr>
                <w:rFonts w:ascii="方正书宋_GBK" w:eastAsia="方正书宋_GBK" w:hint="eastAsia"/>
              </w:rPr>
              <w:t>推动京津冀协同发展。</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推动京津冀协同发展</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配合国家首都经济圈发展规划，做好与国家规划的有效衔接；组织争取国家政策、资金等支持。</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推进产业结构调整和转型升级</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组织实施综合性产业政策，负责协调县级第一、二、三产业发展，推进经济结构战略性调整。按照经济和社会发展要求，引导产业升级和转型，支持重点领域和行业建设。</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有效引导行业健康发展，提升全县产业和行业竞争力。</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促进节能降耗、资</w:t>
            </w:r>
            <w:r>
              <w:rPr>
                <w:rFonts w:ascii="方正书宋_GBK" w:eastAsia="方正书宋_GBK" w:hint="eastAsia"/>
                <w:b/>
              </w:rPr>
              <w:lastRenderedPageBreak/>
              <w:t>源综合利用和生态建设</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推进可持续发展战略，组织发</w:t>
            </w:r>
            <w:r>
              <w:rPr>
                <w:rFonts w:ascii="方正书宋_GBK" w:eastAsia="方正书宋_GBK" w:hint="eastAsia"/>
              </w:rPr>
              <w:lastRenderedPageBreak/>
              <w:t>展循环经济、全社会资源节约和综合利用；协调生态建设、能源资源节约和综合利用、环保产业和清洁生产促进等工作；推进综合协调节能减排工作，利用专项资金对节能技改、合同能源管理、重点用电行业（领域）和项目电力需求</w:t>
            </w:r>
            <w:proofErr w:type="gramStart"/>
            <w:r>
              <w:rPr>
                <w:rFonts w:ascii="方正书宋_GBK" w:eastAsia="方正书宋_GBK" w:hint="eastAsia"/>
              </w:rPr>
              <w:t>侧管理</w:t>
            </w:r>
            <w:proofErr w:type="gramEnd"/>
            <w:r>
              <w:rPr>
                <w:rFonts w:ascii="方正书宋_GBK" w:eastAsia="方正书宋_GBK" w:hint="eastAsia"/>
              </w:rPr>
              <w:t>实施引导和扶持；开展节能监察、监测，加强节能宣传培训，建立碳排放报告、核算、考核</w:t>
            </w:r>
            <w:proofErr w:type="gramStart"/>
            <w:r>
              <w:rPr>
                <w:rFonts w:ascii="方正书宋_GBK" w:eastAsia="方正书宋_GBK" w:hint="eastAsia"/>
              </w:rPr>
              <w:t>及碳排</w:t>
            </w:r>
            <w:proofErr w:type="gramEnd"/>
            <w:r>
              <w:rPr>
                <w:rFonts w:ascii="方正书宋_GBK" w:eastAsia="方正书宋_GBK" w:hint="eastAsia"/>
              </w:rPr>
              <w:t>放权交易制度，确保完成节能、削煤、</w:t>
            </w:r>
            <w:proofErr w:type="gramStart"/>
            <w:r>
              <w:rPr>
                <w:rFonts w:ascii="方正书宋_GBK" w:eastAsia="方正书宋_GBK" w:hint="eastAsia"/>
              </w:rPr>
              <w:t>降碳约束性</w:t>
            </w:r>
            <w:proofErr w:type="gramEnd"/>
            <w:r>
              <w:rPr>
                <w:rFonts w:ascii="方正书宋_GBK" w:eastAsia="方正书宋_GBK" w:hint="eastAsia"/>
              </w:rPr>
              <w:t>指标；加强散装水泥、新型墙</w:t>
            </w:r>
            <w:proofErr w:type="gramStart"/>
            <w:r>
              <w:rPr>
                <w:rFonts w:ascii="方正书宋_GBK" w:eastAsia="方正书宋_GBK" w:hint="eastAsia"/>
              </w:rPr>
              <w:t>体材</w:t>
            </w:r>
            <w:proofErr w:type="gramEnd"/>
            <w:r>
              <w:rPr>
                <w:rFonts w:ascii="方正书宋_GBK" w:eastAsia="方正书宋_GBK" w:hint="eastAsia"/>
              </w:rPr>
              <w:t>料和冶金矿产资源管理。</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 xml:space="preserve">　　促进投资基金和企业债券融资发展</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牵头推进本级产业（股权）投资基金和创业投资发展及政策的制定</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发展和改革政务管理</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70.78</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保障发展改革一般性日常业务开展和机关事务的基本运转。</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保障发展改革一般性日常业务开展和机关事务的基本运转。</w:t>
            </w: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保障各项业务正常运转</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综合业务管理</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70.78</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负责本级依法必须招标项目的招标投标公告发布、方案核准以及评标专家库、招标代理机构等实施监督管理；按照县政府政策要求，加强行业协会管理和指导，负责县级行业协会发展规划、布局调整、相关政策制定、监督和协调管理，组</w:t>
            </w:r>
            <w:r>
              <w:rPr>
                <w:rFonts w:ascii="方正书宋_GBK" w:eastAsia="方正书宋_GBK" w:hint="eastAsia"/>
              </w:rPr>
              <w:lastRenderedPageBreak/>
              <w:t>织实施县级政府购买行业协会服务的管理。</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保障各项业务正常运转</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支持新型工业化发展</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2100.00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全区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加大我省工业转型升级步伐，提升工业发展的质量和效益。</w:t>
            </w: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落实各项政策要求，符合产业结构调成和升级政策</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研究提出</w:t>
            </w:r>
            <w:proofErr w:type="gramStart"/>
            <w:r>
              <w:rPr>
                <w:rFonts w:ascii="方正书宋_GBK" w:eastAsia="方正书宋_GBK" w:hint="eastAsia"/>
                <w:b/>
              </w:rPr>
              <w:t>全区新型</w:t>
            </w:r>
            <w:proofErr w:type="gramEnd"/>
            <w:r>
              <w:rPr>
                <w:rFonts w:ascii="方正书宋_GBK" w:eastAsia="方正书宋_GBK" w:hint="eastAsia"/>
                <w:b/>
              </w:rPr>
              <w:t>工业和信息化发展战略和政策</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加强全区工业和信息化发展战略、规划、法规、政策等研究制定和实施；制定并组织实施全区工业产业政策。</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扶持企业技术创新</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2100.00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组织实施全区工业行业技术基础工作，加快以企业为主体的技术创新体系建设。</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落实各项政策要求，符合产业结构调成和升级政策</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推进工业行业淘汰落后产能、压减过剩产能</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指导全区工业行业淘汰落后产能和化解过剩产能工作，制定下达年度淘汰落后和过剩产能计划并组织实施，开展监督检查。</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实施工业和信息化运行监测管理</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监测分析全县工业运行；负责全县钢铁、石化、建材、装备、纺织、医药、轻工食品、电子信息、软件信息服务业等工业行业管理。</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提升行业管理水平，促进行业健康发展</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 xml:space="preserve">　　组织开展工业和信息化对外交流与合作</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开展对外经济交流与合作，指导和推动工业企业参加展洽活动，积极开拓国内、国外市场，促进贸易成交和技术交流，追踪前沿动态。</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指导工业行业安全生产、应急管理</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指导全县工业加强安全管理和重点行业排查治理隐患，负责工业安全生产信息管理和宣传教育工作，负责烟花爆竹企业的新建、扩建、改建审批等；负责应急管理、医药储备、产业安全和国防动员相关工作。</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促进中小企业和民营经济发展</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加强对中小</w:t>
            </w:r>
            <w:proofErr w:type="gramStart"/>
            <w:r>
              <w:rPr>
                <w:rFonts w:ascii="方正书宋_GBK" w:eastAsia="方正书宋_GBK" w:hint="eastAsia"/>
              </w:rPr>
              <w:t>微企业</w:t>
            </w:r>
            <w:proofErr w:type="gramEnd"/>
            <w:r>
              <w:rPr>
                <w:rFonts w:ascii="方正书宋_GBK" w:eastAsia="方正书宋_GBK" w:hint="eastAsia"/>
              </w:rPr>
              <w:t>和民营经济的宏观指导、综合协调，优化发展环境，激活市场主体，破解要素制约，强化公共服务，加强督导、检查和考核，提高民营经济和中小</w:t>
            </w:r>
            <w:proofErr w:type="gramStart"/>
            <w:r>
              <w:rPr>
                <w:rFonts w:ascii="方正书宋_GBK" w:eastAsia="方正书宋_GBK" w:hint="eastAsia"/>
              </w:rPr>
              <w:t>微企业</w:t>
            </w:r>
            <w:proofErr w:type="gramEnd"/>
            <w:r>
              <w:rPr>
                <w:rFonts w:ascii="方正书宋_GBK" w:eastAsia="方正书宋_GBK" w:hint="eastAsia"/>
              </w:rPr>
              <w:t>发展质量和水平。</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推动中小</w:t>
            </w:r>
            <w:proofErr w:type="gramStart"/>
            <w:r>
              <w:rPr>
                <w:rFonts w:ascii="方正书宋_GBK" w:eastAsia="方正书宋_GBK" w:hint="eastAsia"/>
              </w:rPr>
              <w:t>微企业</w:t>
            </w:r>
            <w:proofErr w:type="gramEnd"/>
            <w:r>
              <w:rPr>
                <w:rFonts w:ascii="方正书宋_GBK" w:eastAsia="方正书宋_GBK" w:hint="eastAsia"/>
              </w:rPr>
              <w:t>和民营经济持续、健康发展</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w:t>
            </w:r>
            <w:proofErr w:type="gramStart"/>
            <w:r>
              <w:rPr>
                <w:rFonts w:ascii="方正书宋_GBK" w:eastAsia="方正书宋_GBK" w:hint="eastAsia"/>
                <w:b/>
              </w:rPr>
              <w:t>中小和</w:t>
            </w:r>
            <w:proofErr w:type="gramEnd"/>
            <w:r>
              <w:rPr>
                <w:rFonts w:ascii="方正书宋_GBK" w:eastAsia="方正书宋_GBK" w:hint="eastAsia"/>
                <w:b/>
              </w:rPr>
              <w:t>民营企业公共服务体系建设</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推动</w:t>
            </w:r>
            <w:proofErr w:type="gramStart"/>
            <w:r>
              <w:rPr>
                <w:rFonts w:ascii="方正书宋_GBK" w:eastAsia="方正书宋_GBK" w:hint="eastAsia"/>
              </w:rPr>
              <w:t>中小和</w:t>
            </w:r>
            <w:proofErr w:type="gramEnd"/>
            <w:r>
              <w:rPr>
                <w:rFonts w:ascii="方正书宋_GBK" w:eastAsia="方正书宋_GBK" w:hint="eastAsia"/>
              </w:rPr>
              <w:t>民营企业公共服务平台网络建设，为中小企业提供融资担保（包括金融机构风险补偿）、人才引进与培养、诚信评价、法律服务等公共服务。</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开展中小企业和民营经济运行监测</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开展中小企业、民营经济运行统计监测分析，统计并提供分析相关信息；组织开展全县中小企业和民营经济的宏观指导、发展规划、综合协调和宣</w:t>
            </w:r>
            <w:r>
              <w:rPr>
                <w:rFonts w:ascii="方正书宋_GBK" w:eastAsia="方正书宋_GBK" w:hint="eastAsia"/>
              </w:rPr>
              <w:lastRenderedPageBreak/>
              <w:t>传工作。开展民营经济重大问题研究和评估，加强对民营经济考核。</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工信政务管理</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负责系统（内部）综合业务管理和机关（内部）综合事务管理。</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提升工业和信息化综合事务管理水平。</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综合业务管理</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制定部门发展战略和规划、指导系统业务活动和事业发展；加强行政许可管理；指导行业体制改革；行政复议及行政应诉工作；信访接待、业务宣传、政务信息公开、网上行政服务、依法行政等。着重做好申报、评审和实施国家工业和信息化重大专项项目，工业和信息化专家管理，相关领导小组办公室工作，</w:t>
            </w:r>
            <w:proofErr w:type="gramStart"/>
            <w:r>
              <w:rPr>
                <w:rFonts w:ascii="方正书宋_GBK" w:eastAsia="方正书宋_GBK" w:hint="eastAsia"/>
              </w:rPr>
              <w:t>开展政银合作</w:t>
            </w:r>
            <w:proofErr w:type="gramEnd"/>
            <w:r>
              <w:rPr>
                <w:rFonts w:ascii="方正书宋_GBK" w:eastAsia="方正书宋_GBK" w:hint="eastAsia"/>
              </w:rPr>
              <w:t>，职业技能鉴定以及全县履行禁止化学武器公约和专项资金监管等工作。</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国民经济核算</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在全区开展</w:t>
            </w:r>
            <w:r>
              <w:rPr>
                <w:rFonts w:ascii="方正书宋_GBK" w:eastAsia="方正书宋_GBK"/>
              </w:rPr>
              <w:t>GDP</w:t>
            </w:r>
            <w:r>
              <w:rPr>
                <w:rFonts w:ascii="方正书宋_GBK" w:eastAsia="方正书宋_GBK" w:hint="eastAsia"/>
              </w:rPr>
              <w:t>核算、资产负债核算、资金流量核算工作。</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完成全区年度数据的测算审核认定工作</w:t>
            </w:r>
            <w:r>
              <w:rPr>
                <w:rFonts w:ascii="方正书宋_GBK" w:eastAsia="方正书宋_GBK"/>
              </w:rPr>
              <w:t>;</w:t>
            </w:r>
            <w:r>
              <w:rPr>
                <w:rFonts w:ascii="方正书宋_GBK" w:eastAsia="方正书宋_GBK" w:hint="eastAsia"/>
              </w:rPr>
              <w:t>完成必要分析，对相关经济决策提供重要依据。</w:t>
            </w: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国民经济核算</w:t>
            </w:r>
          </w:p>
        </w:tc>
        <w:tc>
          <w:tcPr>
            <w:tcW w:w="1276" w:type="dxa"/>
            <w:vAlign w:val="center"/>
          </w:tcPr>
          <w:p w:rsidR="007A33B2" w:rsidRDefault="007A33B2">
            <w:pPr>
              <w:spacing w:line="300" w:lineRule="exact"/>
              <w:jc w:val="left"/>
              <w:rPr>
                <w:rFonts w:ascii="方正书宋_GBK" w:eastAsia="方正书宋_GBK"/>
              </w:rPr>
            </w:pP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贯彻执行国家国民经济核算制度，组织实施全区国民经济核算制度和投入产出调查，核算全县生产总值，整理、测算和提供国民经济核算资料，监督管理全县国民经济核算工作。</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c>
          <w:tcPr>
            <w:tcW w:w="737" w:type="dxa"/>
            <w:vAlign w:val="center"/>
          </w:tcPr>
          <w:p w:rsidR="007A33B2" w:rsidRDefault="007A33B2">
            <w:pPr>
              <w:spacing w:line="300" w:lineRule="exact"/>
              <w:jc w:val="center"/>
              <w:rPr>
                <w:rFonts w:ascii="方正书宋_GBK" w:eastAsia="方正书宋_GBK"/>
              </w:rPr>
            </w:pP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lastRenderedPageBreak/>
              <w:t>统计调查</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5.00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组织国情国力普查和工业、农业、社会、教育、节能、卫生等涉及相关行业的专项统计调查监测，收集、整理统计数据，提供咨询建议。</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研究制定资料开发应用计划，进行业务培训，组织开展深层次课题研究，发布普查主要数据公报，完成普查工作总结和表彰。</w:t>
            </w:r>
          </w:p>
        </w:tc>
        <w:tc>
          <w:tcPr>
            <w:tcW w:w="1417"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做好普查工作，完善相关数据</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Default="003B1B89">
            <w:pPr>
              <w:spacing w:line="300" w:lineRule="exact"/>
              <w:jc w:val="left"/>
              <w:rPr>
                <w:rFonts w:ascii="方正书宋_GBK" w:eastAsia="方正书宋_GBK"/>
                <w:b/>
              </w:rPr>
            </w:pPr>
            <w:r>
              <w:rPr>
                <w:rFonts w:ascii="方正书宋_GBK" w:eastAsia="方正书宋_GBK" w:hint="eastAsia"/>
                <w:b/>
              </w:rPr>
              <w:t xml:space="preserve">　　统计数据采集调查</w:t>
            </w:r>
          </w:p>
        </w:tc>
        <w:tc>
          <w:tcPr>
            <w:tcW w:w="1276" w:type="dxa"/>
            <w:vAlign w:val="center"/>
          </w:tcPr>
          <w:p w:rsidR="007A33B2" w:rsidRDefault="003B1B89">
            <w:pPr>
              <w:spacing w:line="300" w:lineRule="exact"/>
              <w:jc w:val="left"/>
              <w:rPr>
                <w:rFonts w:ascii="方正书宋_GBK" w:eastAsia="方正书宋_GBK"/>
              </w:rPr>
            </w:pPr>
            <w:r>
              <w:rPr>
                <w:rFonts w:ascii="方正书宋_GBK" w:eastAsia="方正书宋_GBK"/>
              </w:rPr>
              <w:t>5.00</w:t>
            </w:r>
          </w:p>
        </w:tc>
        <w:tc>
          <w:tcPr>
            <w:tcW w:w="2976"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根据部门职责及《中华人民共和国统计法》和国家统计局、县政府有关文件要求，组织实</w:t>
            </w:r>
          </w:p>
        </w:tc>
        <w:tc>
          <w:tcPr>
            <w:tcW w:w="2976" w:type="dxa"/>
            <w:vAlign w:val="center"/>
          </w:tcPr>
          <w:p w:rsidR="007A33B2" w:rsidRDefault="007A33B2">
            <w:pPr>
              <w:spacing w:line="300" w:lineRule="exact"/>
              <w:jc w:val="left"/>
              <w:rPr>
                <w:rFonts w:ascii="方正书宋_GBK" w:eastAsia="方正书宋_GBK"/>
              </w:rPr>
            </w:pPr>
          </w:p>
        </w:tc>
        <w:tc>
          <w:tcPr>
            <w:tcW w:w="1417" w:type="dxa"/>
            <w:vAlign w:val="center"/>
          </w:tcPr>
          <w:p w:rsidR="007A33B2" w:rsidRDefault="007A33B2">
            <w:pPr>
              <w:spacing w:line="300" w:lineRule="exact"/>
              <w:jc w:val="left"/>
              <w:rPr>
                <w:rFonts w:ascii="方正书宋_GBK" w:eastAsia="方正书宋_GBK"/>
              </w:rPr>
            </w:pP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18"/>
                <w:szCs w:val="18"/>
              </w:rPr>
              <w:t>100%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95%</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hint="eastAsia"/>
                <w:color w:val="000000"/>
                <w:kern w:val="0"/>
                <w:sz w:val="18"/>
                <w:szCs w:val="18"/>
              </w:rPr>
              <w:t>≥</w:t>
            </w:r>
            <w:r>
              <w:rPr>
                <w:rFonts w:ascii="宋体" w:hAnsi="宋体" w:cs="宋体"/>
                <w:color w:val="000000"/>
                <w:kern w:val="0"/>
                <w:sz w:val="18"/>
                <w:szCs w:val="18"/>
              </w:rPr>
              <w:t>90%</w:t>
            </w:r>
          </w:p>
        </w:tc>
        <w:tc>
          <w:tcPr>
            <w:tcW w:w="737" w:type="dxa"/>
            <w:vAlign w:val="center"/>
          </w:tcPr>
          <w:p w:rsidR="007A33B2" w:rsidRDefault="003B1B89">
            <w:pPr>
              <w:widowControl/>
              <w:jc w:val="center"/>
              <w:textAlignment w:val="center"/>
              <w:rPr>
                <w:rFonts w:ascii="方正书宋_GBK" w:eastAsia="方正书宋_GBK"/>
              </w:rPr>
            </w:pPr>
            <w:r>
              <w:rPr>
                <w:rFonts w:ascii="宋体" w:hAnsi="宋体" w:cs="宋体"/>
                <w:color w:val="000000"/>
                <w:kern w:val="0"/>
                <w:sz w:val="20"/>
                <w:szCs w:val="20"/>
              </w:rPr>
              <w:t>&lt;90%</w:t>
            </w:r>
          </w:p>
        </w:tc>
      </w:tr>
      <w:tr w:rsidR="007A33B2">
        <w:trPr>
          <w:trHeight w:val="227"/>
          <w:jc w:val="center"/>
        </w:trPr>
        <w:tc>
          <w:tcPr>
            <w:tcW w:w="2341" w:type="dxa"/>
            <w:vAlign w:val="center"/>
          </w:tcPr>
          <w:p w:rsidR="007A33B2" w:rsidRPr="003B1B89" w:rsidRDefault="003B1B89">
            <w:pPr>
              <w:spacing w:line="300" w:lineRule="exact"/>
              <w:jc w:val="left"/>
              <w:rPr>
                <w:rFonts w:ascii="方正书宋_GBK" w:eastAsia="方正书宋_GBK"/>
                <w:b/>
                <w:color w:val="000000"/>
              </w:rPr>
            </w:pPr>
            <w:r w:rsidRPr="003B1B89">
              <w:rPr>
                <w:rFonts w:ascii="方正书宋_GBK" w:eastAsia="方正书宋_GBK" w:hint="eastAsia"/>
                <w:b/>
                <w:color w:val="000000"/>
              </w:rPr>
              <w:t>项目可</w:t>
            </w:r>
            <w:proofErr w:type="gramStart"/>
            <w:r w:rsidRPr="003B1B89">
              <w:rPr>
                <w:rFonts w:ascii="方正书宋_GBK" w:eastAsia="方正书宋_GBK" w:hint="eastAsia"/>
                <w:b/>
                <w:color w:val="000000"/>
              </w:rPr>
              <w:t>研</w:t>
            </w:r>
            <w:proofErr w:type="gramEnd"/>
            <w:r w:rsidRPr="003B1B89">
              <w:rPr>
                <w:rFonts w:ascii="方正书宋_GBK" w:eastAsia="方正书宋_GBK" w:hint="eastAsia"/>
                <w:b/>
                <w:color w:val="000000"/>
              </w:rPr>
              <w:t>、社稳、项目评估、初步设计等审批手续中的委托评估费</w:t>
            </w:r>
          </w:p>
        </w:tc>
        <w:tc>
          <w:tcPr>
            <w:tcW w:w="12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color w:val="000000"/>
              </w:rPr>
              <w:t>30</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项目可</w:t>
            </w:r>
            <w:proofErr w:type="gramStart"/>
            <w:r w:rsidRPr="003B1B89">
              <w:rPr>
                <w:rFonts w:ascii="方正书宋_GBK" w:eastAsia="方正书宋_GBK" w:hint="eastAsia"/>
                <w:color w:val="000000"/>
              </w:rPr>
              <w:t>研</w:t>
            </w:r>
            <w:proofErr w:type="gramEnd"/>
            <w:r w:rsidRPr="003B1B89">
              <w:rPr>
                <w:rFonts w:ascii="方正书宋_GBK" w:eastAsia="方正书宋_GBK" w:hint="eastAsia"/>
                <w:color w:val="000000"/>
              </w:rPr>
              <w:t>、社稳、项目评估、初步设计等审批手续中的委托评估费。</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保证高新区项目可</w:t>
            </w:r>
            <w:proofErr w:type="gramStart"/>
            <w:r w:rsidRPr="003B1B89">
              <w:rPr>
                <w:rFonts w:ascii="方正书宋_GBK" w:eastAsia="方正书宋_GBK" w:hint="eastAsia"/>
                <w:color w:val="000000"/>
              </w:rPr>
              <w:t>研</w:t>
            </w:r>
            <w:proofErr w:type="gramEnd"/>
            <w:r w:rsidRPr="003B1B89">
              <w:rPr>
                <w:rFonts w:ascii="方正书宋_GBK" w:eastAsia="方正书宋_GBK" w:hint="eastAsia"/>
                <w:color w:val="000000"/>
              </w:rPr>
              <w:t>、社稳、项目评估、初步设计等审批手续顺利开展。</w:t>
            </w:r>
          </w:p>
        </w:tc>
        <w:tc>
          <w:tcPr>
            <w:tcW w:w="1417"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保证高新区项目可</w:t>
            </w:r>
            <w:proofErr w:type="gramStart"/>
            <w:r w:rsidRPr="003B1B89">
              <w:rPr>
                <w:rFonts w:ascii="方正书宋_GBK" w:eastAsia="方正书宋_GBK" w:hint="eastAsia"/>
                <w:color w:val="000000"/>
              </w:rPr>
              <w:t>研</w:t>
            </w:r>
            <w:proofErr w:type="gramEnd"/>
            <w:r w:rsidRPr="003B1B89">
              <w:rPr>
                <w:rFonts w:ascii="方正书宋_GBK" w:eastAsia="方正书宋_GBK" w:hint="eastAsia"/>
                <w:color w:val="000000"/>
              </w:rPr>
              <w:t>、社稳、项目评估、初步设计等审批手续顺利开展。</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18"/>
                <w:szCs w:val="18"/>
              </w:rPr>
              <w:t>100%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95%</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20"/>
                <w:szCs w:val="20"/>
              </w:rPr>
              <w:t>&lt;90%</w:t>
            </w:r>
          </w:p>
        </w:tc>
      </w:tr>
      <w:tr w:rsidR="007A33B2">
        <w:trPr>
          <w:trHeight w:val="227"/>
          <w:jc w:val="center"/>
        </w:trPr>
        <w:tc>
          <w:tcPr>
            <w:tcW w:w="2341" w:type="dxa"/>
            <w:vAlign w:val="center"/>
          </w:tcPr>
          <w:p w:rsidR="007A33B2" w:rsidRPr="003B1B89" w:rsidRDefault="003B1B89">
            <w:pPr>
              <w:spacing w:line="300" w:lineRule="exact"/>
              <w:jc w:val="left"/>
              <w:rPr>
                <w:rFonts w:ascii="方正书宋_GBK" w:eastAsia="方正书宋_GBK"/>
                <w:b/>
                <w:color w:val="000000"/>
              </w:rPr>
            </w:pPr>
            <w:r w:rsidRPr="003B1B89">
              <w:rPr>
                <w:rFonts w:ascii="方正书宋_GBK" w:eastAsia="方正书宋_GBK" w:hint="eastAsia"/>
                <w:b/>
                <w:color w:val="000000"/>
              </w:rPr>
              <w:t xml:space="preserve">　　网络线路及系统运行维护费</w:t>
            </w:r>
          </w:p>
        </w:tc>
        <w:tc>
          <w:tcPr>
            <w:tcW w:w="12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color w:val="000000"/>
              </w:rPr>
              <w:t>5</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中心网络系统运行、维修、维护费用</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保证中心网络系统运行正常</w:t>
            </w:r>
          </w:p>
        </w:tc>
        <w:tc>
          <w:tcPr>
            <w:tcW w:w="1417"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保证中心网络系统运行正常</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18"/>
                <w:szCs w:val="18"/>
              </w:rPr>
              <w:t>100%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95%</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20"/>
                <w:szCs w:val="20"/>
              </w:rPr>
              <w:t>&lt;90%</w:t>
            </w:r>
          </w:p>
        </w:tc>
      </w:tr>
      <w:tr w:rsidR="007A33B2">
        <w:trPr>
          <w:trHeight w:val="227"/>
          <w:jc w:val="center"/>
        </w:trPr>
        <w:tc>
          <w:tcPr>
            <w:tcW w:w="2341" w:type="dxa"/>
            <w:vAlign w:val="center"/>
          </w:tcPr>
          <w:p w:rsidR="007A33B2" w:rsidRPr="003B1B89" w:rsidRDefault="003B1B89">
            <w:pPr>
              <w:spacing w:line="300" w:lineRule="exact"/>
              <w:jc w:val="left"/>
              <w:rPr>
                <w:rFonts w:ascii="方正书宋_GBK" w:eastAsia="方正书宋_GBK"/>
                <w:b/>
                <w:color w:val="000000"/>
              </w:rPr>
            </w:pPr>
            <w:r w:rsidRPr="003B1B89">
              <w:rPr>
                <w:rFonts w:ascii="方正书宋_GBK" w:eastAsia="方正书宋_GBK" w:hint="eastAsia"/>
                <w:b/>
                <w:color w:val="000000"/>
              </w:rPr>
              <w:t>招投标专家评审费用</w:t>
            </w:r>
          </w:p>
        </w:tc>
        <w:tc>
          <w:tcPr>
            <w:tcW w:w="12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color w:val="000000"/>
              </w:rPr>
              <w:t>6</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采购中心专家评审劳务费用</w:t>
            </w:r>
          </w:p>
        </w:tc>
        <w:tc>
          <w:tcPr>
            <w:tcW w:w="29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完成政府采购中心专家评审工作</w:t>
            </w:r>
          </w:p>
        </w:tc>
        <w:tc>
          <w:tcPr>
            <w:tcW w:w="1417"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hint="eastAsia"/>
                <w:color w:val="000000"/>
              </w:rPr>
              <w:t>完成政府采购中心专家评审工作</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18"/>
                <w:szCs w:val="18"/>
              </w:rPr>
              <w:t>100%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95%</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hint="eastAsia"/>
                <w:color w:val="000000"/>
                <w:kern w:val="0"/>
                <w:sz w:val="18"/>
                <w:szCs w:val="18"/>
              </w:rPr>
              <w:t>≥</w:t>
            </w:r>
            <w:r w:rsidRPr="003B1B89">
              <w:rPr>
                <w:rFonts w:ascii="宋体" w:hAnsi="宋体" w:cs="宋体"/>
                <w:color w:val="000000"/>
                <w:kern w:val="0"/>
                <w:sz w:val="18"/>
                <w:szCs w:val="18"/>
              </w:rPr>
              <w:t>90%</w:t>
            </w:r>
          </w:p>
        </w:tc>
        <w:tc>
          <w:tcPr>
            <w:tcW w:w="737" w:type="dxa"/>
            <w:vAlign w:val="center"/>
          </w:tcPr>
          <w:p w:rsidR="007A33B2" w:rsidRPr="003B1B89" w:rsidRDefault="003B1B89">
            <w:pPr>
              <w:widowControl/>
              <w:jc w:val="center"/>
              <w:textAlignment w:val="center"/>
              <w:rPr>
                <w:rFonts w:ascii="方正书宋_GBK" w:eastAsia="方正书宋_GBK"/>
                <w:color w:val="000000"/>
              </w:rPr>
            </w:pPr>
            <w:r w:rsidRPr="003B1B89">
              <w:rPr>
                <w:rFonts w:ascii="宋体" w:hAnsi="宋体" w:cs="宋体"/>
                <w:color w:val="000000"/>
                <w:kern w:val="0"/>
                <w:sz w:val="20"/>
                <w:szCs w:val="20"/>
              </w:rPr>
              <w:t>&lt;90%</w:t>
            </w:r>
          </w:p>
        </w:tc>
      </w:tr>
      <w:tr w:rsidR="007A33B2">
        <w:trPr>
          <w:trHeight w:val="227"/>
          <w:jc w:val="center"/>
        </w:trPr>
        <w:tc>
          <w:tcPr>
            <w:tcW w:w="2341" w:type="dxa"/>
            <w:vAlign w:val="center"/>
          </w:tcPr>
          <w:p w:rsidR="007A33B2" w:rsidRPr="003B1B89" w:rsidRDefault="003B1B89">
            <w:pPr>
              <w:spacing w:line="300" w:lineRule="exact"/>
              <w:jc w:val="left"/>
              <w:rPr>
                <w:rFonts w:ascii="方正书宋_GBK" w:eastAsia="方正书宋_GBK"/>
                <w:b/>
                <w:color w:val="000000"/>
              </w:rPr>
            </w:pPr>
            <w:r w:rsidRPr="003B1B89">
              <w:rPr>
                <w:rFonts w:ascii="方正书宋_GBK" w:eastAsia="方正书宋_GBK" w:hint="eastAsia"/>
                <w:b/>
                <w:color w:val="000000"/>
              </w:rPr>
              <w:t xml:space="preserve">　　搬迁费、家具设备及物业、中央空调等费用</w:t>
            </w:r>
          </w:p>
        </w:tc>
        <w:tc>
          <w:tcPr>
            <w:tcW w:w="1276" w:type="dxa"/>
            <w:vAlign w:val="center"/>
          </w:tcPr>
          <w:p w:rsidR="007A33B2" w:rsidRPr="003B1B89" w:rsidRDefault="003B1B89">
            <w:pPr>
              <w:spacing w:line="300" w:lineRule="exact"/>
              <w:jc w:val="left"/>
              <w:rPr>
                <w:rFonts w:ascii="方正书宋_GBK" w:eastAsia="方正书宋_GBK"/>
                <w:color w:val="000000"/>
              </w:rPr>
            </w:pPr>
            <w:r w:rsidRPr="003B1B89">
              <w:rPr>
                <w:rFonts w:ascii="方正书宋_GBK" w:eastAsia="方正书宋_GBK"/>
                <w:color w:val="000000"/>
              </w:rPr>
              <w:t>20</w:t>
            </w:r>
          </w:p>
        </w:tc>
        <w:tc>
          <w:tcPr>
            <w:tcW w:w="2976" w:type="dxa"/>
            <w:vAlign w:val="center"/>
          </w:tcPr>
          <w:p w:rsidR="007A33B2" w:rsidRPr="003B1B89" w:rsidRDefault="007A33B2">
            <w:pPr>
              <w:spacing w:line="300" w:lineRule="exact"/>
              <w:jc w:val="left"/>
              <w:rPr>
                <w:rFonts w:ascii="方正书宋_GBK" w:eastAsia="方正书宋_GBK"/>
                <w:color w:val="000000"/>
              </w:rPr>
            </w:pPr>
          </w:p>
        </w:tc>
        <w:tc>
          <w:tcPr>
            <w:tcW w:w="2976" w:type="dxa"/>
            <w:vAlign w:val="center"/>
          </w:tcPr>
          <w:p w:rsidR="007A33B2" w:rsidRPr="003B1B89" w:rsidRDefault="007A33B2">
            <w:pPr>
              <w:spacing w:line="300" w:lineRule="exact"/>
              <w:jc w:val="left"/>
              <w:rPr>
                <w:rFonts w:ascii="方正书宋_GBK" w:eastAsia="方正书宋_GBK"/>
                <w:color w:val="000000"/>
              </w:rPr>
            </w:pPr>
          </w:p>
        </w:tc>
        <w:tc>
          <w:tcPr>
            <w:tcW w:w="1417" w:type="dxa"/>
            <w:vAlign w:val="center"/>
          </w:tcPr>
          <w:p w:rsidR="007A33B2" w:rsidRPr="003B1B89" w:rsidRDefault="007A33B2">
            <w:pPr>
              <w:spacing w:line="300" w:lineRule="exact"/>
              <w:jc w:val="left"/>
              <w:rPr>
                <w:rFonts w:ascii="方正书宋_GBK" w:eastAsia="方正书宋_GBK"/>
                <w:color w:val="000000"/>
              </w:rPr>
            </w:pPr>
          </w:p>
        </w:tc>
        <w:tc>
          <w:tcPr>
            <w:tcW w:w="737" w:type="dxa"/>
            <w:vAlign w:val="center"/>
          </w:tcPr>
          <w:p w:rsidR="007A33B2" w:rsidRPr="003B1B89" w:rsidRDefault="007A33B2">
            <w:pPr>
              <w:widowControl/>
              <w:jc w:val="center"/>
              <w:textAlignment w:val="center"/>
              <w:rPr>
                <w:rFonts w:ascii="方正书宋_GBK" w:eastAsia="方正书宋_GBK"/>
                <w:color w:val="000000"/>
              </w:rPr>
            </w:pPr>
          </w:p>
        </w:tc>
        <w:tc>
          <w:tcPr>
            <w:tcW w:w="737" w:type="dxa"/>
            <w:vAlign w:val="center"/>
          </w:tcPr>
          <w:p w:rsidR="007A33B2" w:rsidRPr="003B1B89" w:rsidRDefault="007A33B2">
            <w:pPr>
              <w:widowControl/>
              <w:jc w:val="center"/>
              <w:textAlignment w:val="center"/>
              <w:rPr>
                <w:rFonts w:ascii="方正书宋_GBK" w:eastAsia="方正书宋_GBK"/>
                <w:color w:val="000000"/>
              </w:rPr>
            </w:pPr>
          </w:p>
        </w:tc>
        <w:tc>
          <w:tcPr>
            <w:tcW w:w="737" w:type="dxa"/>
            <w:vAlign w:val="center"/>
          </w:tcPr>
          <w:p w:rsidR="007A33B2" w:rsidRPr="003B1B89" w:rsidRDefault="007A33B2">
            <w:pPr>
              <w:widowControl/>
              <w:jc w:val="center"/>
              <w:textAlignment w:val="center"/>
              <w:rPr>
                <w:rFonts w:ascii="方正书宋_GBK" w:eastAsia="方正书宋_GBK"/>
                <w:color w:val="000000"/>
              </w:rPr>
            </w:pPr>
          </w:p>
        </w:tc>
        <w:tc>
          <w:tcPr>
            <w:tcW w:w="737" w:type="dxa"/>
            <w:vAlign w:val="center"/>
          </w:tcPr>
          <w:p w:rsidR="007A33B2" w:rsidRPr="003B1B89" w:rsidRDefault="007A33B2">
            <w:pPr>
              <w:widowControl/>
              <w:jc w:val="center"/>
              <w:textAlignment w:val="center"/>
              <w:rPr>
                <w:rFonts w:ascii="方正书宋_GBK" w:eastAsia="方正书宋_GBK"/>
                <w:color w:val="000000"/>
              </w:rPr>
            </w:pPr>
          </w:p>
        </w:tc>
      </w:tr>
    </w:tbl>
    <w:p w:rsidR="007A33B2" w:rsidRDefault="007A33B2">
      <w:pPr>
        <w:spacing w:line="300" w:lineRule="exact"/>
        <w:jc w:val="left"/>
        <w:outlineLvl w:val="0"/>
        <w:sectPr w:rsidR="007A33B2">
          <w:headerReference w:type="default" r:id="rId8"/>
          <w:pgSz w:w="16839" w:h="11907" w:orient="landscape"/>
          <w:pgMar w:top="1020" w:right="1361" w:bottom="1020" w:left="1361" w:header="851" w:footer="992" w:gutter="0"/>
          <w:cols w:space="425"/>
          <w:docGrid w:type="lines" w:linePitch="312"/>
        </w:sectPr>
      </w:pPr>
    </w:p>
    <w:p w:rsidR="007A33B2" w:rsidRDefault="007A33B2">
      <w:pPr>
        <w:rPr>
          <w:rFonts w:ascii="??_GB2312" w:eastAsia="Times New Roman" w:hAnsi="??_GB2312" w:cs="??_GB2312"/>
          <w:sz w:val="32"/>
          <w:szCs w:val="32"/>
        </w:rPr>
      </w:pPr>
    </w:p>
    <w:p w:rsidR="007A33B2" w:rsidRDefault="003B1B89">
      <w:pPr>
        <w:spacing w:line="560" w:lineRule="exact"/>
        <w:ind w:firstLineChars="200" w:firstLine="643"/>
      </w:pPr>
      <w:r>
        <w:rPr>
          <w:rFonts w:ascii="宋体" w:hAnsi="宋体" w:hint="eastAsia"/>
          <w:b/>
          <w:sz w:val="32"/>
          <w:szCs w:val="32"/>
        </w:rPr>
        <w:t>六、政府采购预算情况</w:t>
      </w:r>
    </w:p>
    <w:p w:rsidR="007A33B2" w:rsidRDefault="003B1B89">
      <w:pPr>
        <w:ind w:firstLineChars="200" w:firstLine="640"/>
        <w:jc w:val="left"/>
        <w:outlineLvl w:val="0"/>
        <w:rPr>
          <w:rFonts w:ascii="仿宋" w:eastAsia="仿宋" w:hAnsi="仿宋" w:cs="仿宋"/>
          <w:sz w:val="32"/>
        </w:rPr>
      </w:pPr>
      <w:bookmarkStart w:id="2" w:name="_Toc486490989"/>
      <w:r>
        <w:rPr>
          <w:rFonts w:ascii="仿宋" w:eastAsia="仿宋" w:hAnsi="仿宋" w:cs="仿宋" w:hint="eastAsia"/>
          <w:sz w:val="32"/>
        </w:rPr>
        <w:t>2018年</w:t>
      </w:r>
      <w:proofErr w:type="gramStart"/>
      <w:r>
        <w:rPr>
          <w:rFonts w:ascii="仿宋" w:eastAsia="仿宋" w:hAnsi="仿宋" w:cs="仿宋" w:hint="eastAsia"/>
          <w:sz w:val="32"/>
        </w:rPr>
        <w:t>我部门</w:t>
      </w:r>
      <w:proofErr w:type="gramEnd"/>
      <w:r>
        <w:rPr>
          <w:rFonts w:ascii="仿宋" w:eastAsia="仿宋" w:hAnsi="仿宋" w:cs="仿宋" w:hint="eastAsia"/>
          <w:sz w:val="32"/>
        </w:rPr>
        <w:t>有1个项目列入政府采购预算，总金额为0.9万元，具体情况详见下表：</w:t>
      </w:r>
    </w:p>
    <w:p w:rsidR="007A33B2" w:rsidRDefault="003B1B89">
      <w:pPr>
        <w:jc w:val="center"/>
        <w:outlineLvl w:val="0"/>
        <w:rPr>
          <w:rFonts w:ascii="方正小标宋_GBK" w:eastAsia="方正小标宋_GBK"/>
          <w:sz w:val="32"/>
        </w:rPr>
      </w:pPr>
      <w:r>
        <w:rPr>
          <w:rFonts w:ascii="方正小标宋_GBK" w:eastAsia="方正小标宋_GBK" w:hint="eastAsia"/>
          <w:sz w:val="32"/>
        </w:rPr>
        <w:t>部门政府采购预算</w:t>
      </w:r>
      <w:bookmarkEnd w:id="2"/>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3"/>
        <w:gridCol w:w="1136"/>
        <w:gridCol w:w="940"/>
        <w:gridCol w:w="1371"/>
        <w:gridCol w:w="940"/>
        <w:gridCol w:w="940"/>
        <w:gridCol w:w="962"/>
        <w:gridCol w:w="940"/>
        <w:gridCol w:w="940"/>
        <w:gridCol w:w="940"/>
        <w:gridCol w:w="940"/>
        <w:gridCol w:w="940"/>
        <w:gridCol w:w="940"/>
        <w:gridCol w:w="885"/>
      </w:tblGrid>
      <w:tr w:rsidR="007A33B2">
        <w:trPr>
          <w:tblHeader/>
          <w:jc w:val="center"/>
        </w:trPr>
        <w:tc>
          <w:tcPr>
            <w:tcW w:w="8832" w:type="dxa"/>
            <w:gridSpan w:val="7"/>
            <w:tcBorders>
              <w:top w:val="single" w:sz="6" w:space="0" w:color="FFFFFF"/>
              <w:left w:val="single" w:sz="6" w:space="0" w:color="FFFFFF"/>
              <w:right w:val="single" w:sz="6" w:space="0" w:color="FFFFFF"/>
            </w:tcBorders>
            <w:vAlign w:val="center"/>
          </w:tcPr>
          <w:p w:rsidR="007A33B2" w:rsidRDefault="003B1B89">
            <w:pPr>
              <w:spacing w:line="300" w:lineRule="exact"/>
              <w:jc w:val="left"/>
              <w:rPr>
                <w:rFonts w:ascii="方正小标宋_GBK" w:eastAsia="方正小标宋_GBK"/>
                <w:sz w:val="24"/>
              </w:rPr>
            </w:pPr>
            <w:proofErr w:type="gramStart"/>
            <w:r>
              <w:rPr>
                <w:rFonts w:ascii="方正小标宋_GBK" w:eastAsia="方正小标宋_GBK"/>
                <w:sz w:val="24"/>
              </w:rPr>
              <w:t>107</w:t>
            </w:r>
            <w:r>
              <w:rPr>
                <w:rFonts w:ascii="方正小标宋_GBK" w:eastAsia="方正小标宋_GBK" w:hint="eastAsia"/>
                <w:sz w:val="24"/>
              </w:rPr>
              <w:t>发改局</w:t>
            </w:r>
            <w:proofErr w:type="gramEnd"/>
          </w:p>
        </w:tc>
        <w:tc>
          <w:tcPr>
            <w:tcW w:w="6525" w:type="dxa"/>
            <w:gridSpan w:val="7"/>
            <w:tcBorders>
              <w:top w:val="single" w:sz="6" w:space="0" w:color="FFFFFF"/>
              <w:left w:val="single" w:sz="6" w:space="0" w:color="FFFFFF"/>
              <w:right w:val="single" w:sz="6" w:space="0" w:color="FFFFFF"/>
            </w:tcBorders>
            <w:vAlign w:val="center"/>
          </w:tcPr>
          <w:p w:rsidR="007A33B2" w:rsidRDefault="003B1B89">
            <w:pPr>
              <w:spacing w:line="300" w:lineRule="exact"/>
              <w:jc w:val="right"/>
              <w:rPr>
                <w:rFonts w:ascii="方正书宋_GBK" w:eastAsia="方正书宋_GBK"/>
                <w:sz w:val="24"/>
              </w:rPr>
            </w:pPr>
            <w:r>
              <w:rPr>
                <w:rFonts w:ascii="方正书宋_GBK" w:eastAsia="方正书宋_GBK" w:hint="eastAsia"/>
                <w:sz w:val="24"/>
              </w:rPr>
              <w:t>单位：万元</w:t>
            </w:r>
          </w:p>
        </w:tc>
      </w:tr>
      <w:tr w:rsidR="007A33B2">
        <w:trPr>
          <w:tblHeader/>
          <w:jc w:val="center"/>
        </w:trPr>
        <w:tc>
          <w:tcPr>
            <w:tcW w:w="3679" w:type="dxa"/>
            <w:gridSpan w:val="2"/>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政府采购项目来源</w:t>
            </w:r>
          </w:p>
        </w:tc>
        <w:tc>
          <w:tcPr>
            <w:tcW w:w="940"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采购物品名称</w:t>
            </w:r>
          </w:p>
        </w:tc>
        <w:tc>
          <w:tcPr>
            <w:tcW w:w="1371"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政府采购目录序号</w:t>
            </w:r>
          </w:p>
        </w:tc>
        <w:tc>
          <w:tcPr>
            <w:tcW w:w="940"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40"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数量</w:t>
            </w:r>
          </w:p>
        </w:tc>
        <w:tc>
          <w:tcPr>
            <w:tcW w:w="962"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单价</w:t>
            </w:r>
          </w:p>
        </w:tc>
        <w:tc>
          <w:tcPr>
            <w:tcW w:w="6525" w:type="dxa"/>
            <w:gridSpan w:val="7"/>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政府采购金额</w:t>
            </w:r>
          </w:p>
        </w:tc>
      </w:tr>
      <w:tr w:rsidR="007A33B2">
        <w:trPr>
          <w:tblHeader/>
          <w:jc w:val="center"/>
        </w:trPr>
        <w:tc>
          <w:tcPr>
            <w:tcW w:w="2543"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项目名称</w:t>
            </w:r>
          </w:p>
        </w:tc>
        <w:tc>
          <w:tcPr>
            <w:tcW w:w="1136"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预算资金</w:t>
            </w:r>
          </w:p>
        </w:tc>
        <w:tc>
          <w:tcPr>
            <w:tcW w:w="940" w:type="dxa"/>
            <w:vMerge/>
            <w:vAlign w:val="center"/>
          </w:tcPr>
          <w:p w:rsidR="007A33B2" w:rsidRDefault="007A33B2">
            <w:pPr>
              <w:spacing w:line="300" w:lineRule="exact"/>
              <w:jc w:val="left"/>
              <w:outlineLvl w:val="0"/>
            </w:pPr>
          </w:p>
        </w:tc>
        <w:tc>
          <w:tcPr>
            <w:tcW w:w="1371"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962" w:type="dxa"/>
            <w:vMerge/>
            <w:vAlign w:val="center"/>
          </w:tcPr>
          <w:p w:rsidR="007A33B2" w:rsidRDefault="007A33B2">
            <w:pPr>
              <w:spacing w:line="300" w:lineRule="exact"/>
              <w:jc w:val="left"/>
              <w:outlineLvl w:val="0"/>
            </w:pPr>
          </w:p>
        </w:tc>
        <w:tc>
          <w:tcPr>
            <w:tcW w:w="940"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总计</w:t>
            </w:r>
          </w:p>
        </w:tc>
        <w:tc>
          <w:tcPr>
            <w:tcW w:w="4700" w:type="dxa"/>
            <w:gridSpan w:val="5"/>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当年部门预算安排资金</w:t>
            </w:r>
          </w:p>
        </w:tc>
        <w:tc>
          <w:tcPr>
            <w:tcW w:w="885" w:type="dxa"/>
            <w:vMerge w:val="restart"/>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其他渠道资金</w:t>
            </w:r>
          </w:p>
        </w:tc>
      </w:tr>
      <w:tr w:rsidR="007A33B2">
        <w:trPr>
          <w:tblHeader/>
          <w:jc w:val="center"/>
        </w:trPr>
        <w:tc>
          <w:tcPr>
            <w:tcW w:w="2543" w:type="dxa"/>
            <w:vMerge/>
            <w:vAlign w:val="center"/>
          </w:tcPr>
          <w:p w:rsidR="007A33B2" w:rsidRDefault="007A33B2">
            <w:pPr>
              <w:spacing w:line="300" w:lineRule="exact"/>
              <w:jc w:val="left"/>
              <w:outlineLvl w:val="0"/>
            </w:pPr>
          </w:p>
        </w:tc>
        <w:tc>
          <w:tcPr>
            <w:tcW w:w="1136"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1371"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962" w:type="dxa"/>
            <w:vMerge/>
            <w:vAlign w:val="center"/>
          </w:tcPr>
          <w:p w:rsidR="007A33B2" w:rsidRDefault="007A33B2">
            <w:pPr>
              <w:spacing w:line="300" w:lineRule="exact"/>
              <w:jc w:val="left"/>
              <w:outlineLvl w:val="0"/>
            </w:pPr>
          </w:p>
        </w:tc>
        <w:tc>
          <w:tcPr>
            <w:tcW w:w="940" w:type="dxa"/>
            <w:vMerge/>
            <w:vAlign w:val="center"/>
          </w:tcPr>
          <w:p w:rsidR="007A33B2" w:rsidRDefault="007A33B2">
            <w:pPr>
              <w:spacing w:line="300" w:lineRule="exact"/>
              <w:jc w:val="left"/>
              <w:outlineLvl w:val="0"/>
            </w:pPr>
          </w:p>
        </w:tc>
        <w:tc>
          <w:tcPr>
            <w:tcW w:w="940"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合计</w:t>
            </w:r>
          </w:p>
        </w:tc>
        <w:tc>
          <w:tcPr>
            <w:tcW w:w="940"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一般公共预算拨款</w:t>
            </w:r>
          </w:p>
        </w:tc>
        <w:tc>
          <w:tcPr>
            <w:tcW w:w="940"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基金预算拨款</w:t>
            </w:r>
          </w:p>
        </w:tc>
        <w:tc>
          <w:tcPr>
            <w:tcW w:w="940"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财政专户核拨</w:t>
            </w:r>
          </w:p>
        </w:tc>
        <w:tc>
          <w:tcPr>
            <w:tcW w:w="940"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其他来源收入</w:t>
            </w:r>
          </w:p>
        </w:tc>
        <w:tc>
          <w:tcPr>
            <w:tcW w:w="885" w:type="dxa"/>
            <w:vMerge/>
            <w:vAlign w:val="center"/>
          </w:tcPr>
          <w:p w:rsidR="007A33B2" w:rsidRDefault="007A33B2">
            <w:pPr>
              <w:spacing w:line="300" w:lineRule="exact"/>
              <w:jc w:val="left"/>
              <w:outlineLvl w:val="0"/>
            </w:pPr>
          </w:p>
        </w:tc>
      </w:tr>
      <w:tr w:rsidR="007A33B2">
        <w:trPr>
          <w:jc w:val="center"/>
        </w:trPr>
        <w:tc>
          <w:tcPr>
            <w:tcW w:w="2543" w:type="dxa"/>
            <w:vAlign w:val="center"/>
          </w:tcPr>
          <w:p w:rsidR="007A33B2" w:rsidRDefault="003B1B89">
            <w:pPr>
              <w:spacing w:line="300" w:lineRule="exact"/>
              <w:jc w:val="center"/>
              <w:rPr>
                <w:rFonts w:ascii="方正书宋_GBK" w:eastAsia="方正书宋_GBK"/>
                <w:b/>
              </w:rPr>
            </w:pPr>
            <w:r>
              <w:rPr>
                <w:rFonts w:ascii="方正书宋_GBK" w:eastAsia="方正书宋_GBK" w:hint="eastAsia"/>
                <w:b/>
              </w:rPr>
              <w:t>合　计</w:t>
            </w:r>
          </w:p>
        </w:tc>
        <w:tc>
          <w:tcPr>
            <w:tcW w:w="1136"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left"/>
              <w:rPr>
                <w:rFonts w:ascii="方正书宋_GBK" w:eastAsia="方正书宋_GBK"/>
                <w:b/>
              </w:rPr>
            </w:pPr>
          </w:p>
        </w:tc>
        <w:tc>
          <w:tcPr>
            <w:tcW w:w="1371" w:type="dxa"/>
            <w:vAlign w:val="center"/>
          </w:tcPr>
          <w:p w:rsidR="007A33B2" w:rsidRDefault="007A33B2">
            <w:pPr>
              <w:spacing w:line="300" w:lineRule="exact"/>
              <w:jc w:val="left"/>
              <w:rPr>
                <w:rFonts w:ascii="方正书宋_GBK" w:eastAsia="方正书宋_GBK"/>
                <w:b/>
              </w:rPr>
            </w:pPr>
          </w:p>
        </w:tc>
        <w:tc>
          <w:tcPr>
            <w:tcW w:w="940" w:type="dxa"/>
            <w:vAlign w:val="center"/>
          </w:tcPr>
          <w:p w:rsidR="007A33B2" w:rsidRDefault="007A33B2">
            <w:pPr>
              <w:spacing w:line="300" w:lineRule="exact"/>
              <w:jc w:val="lef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962"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885" w:type="dxa"/>
            <w:vAlign w:val="center"/>
          </w:tcPr>
          <w:p w:rsidR="007A33B2" w:rsidRDefault="007A33B2">
            <w:pPr>
              <w:spacing w:line="300" w:lineRule="exact"/>
              <w:jc w:val="right"/>
              <w:rPr>
                <w:rFonts w:ascii="方正书宋_GBK" w:eastAsia="方正书宋_GBK"/>
                <w:b/>
              </w:rPr>
            </w:pPr>
          </w:p>
        </w:tc>
      </w:tr>
      <w:tr w:rsidR="007A33B2">
        <w:trPr>
          <w:jc w:val="center"/>
        </w:trPr>
        <w:tc>
          <w:tcPr>
            <w:tcW w:w="2543" w:type="dxa"/>
            <w:vAlign w:val="center"/>
          </w:tcPr>
          <w:p w:rsidR="007A33B2" w:rsidRDefault="003B1B89">
            <w:pPr>
              <w:spacing w:line="300" w:lineRule="exact"/>
              <w:jc w:val="center"/>
              <w:rPr>
                <w:rFonts w:ascii="方正书宋_GBK" w:eastAsia="方正书宋_GBK"/>
                <w:b/>
              </w:rPr>
            </w:pPr>
            <w:proofErr w:type="gramStart"/>
            <w:r>
              <w:rPr>
                <w:rFonts w:ascii="方正书宋_GBK" w:eastAsia="方正书宋_GBK" w:hint="eastAsia"/>
                <w:b/>
              </w:rPr>
              <w:t>发改局</w:t>
            </w:r>
            <w:proofErr w:type="gramEnd"/>
            <w:r>
              <w:rPr>
                <w:rFonts w:ascii="方正书宋_GBK" w:eastAsia="方正书宋_GBK" w:hint="eastAsia"/>
                <w:b/>
              </w:rPr>
              <w:t>小计</w:t>
            </w:r>
          </w:p>
        </w:tc>
        <w:tc>
          <w:tcPr>
            <w:tcW w:w="1136"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left"/>
              <w:rPr>
                <w:rFonts w:ascii="方正书宋_GBK" w:eastAsia="方正书宋_GBK"/>
                <w:b/>
              </w:rPr>
            </w:pPr>
          </w:p>
        </w:tc>
        <w:tc>
          <w:tcPr>
            <w:tcW w:w="1371" w:type="dxa"/>
            <w:vAlign w:val="center"/>
          </w:tcPr>
          <w:p w:rsidR="007A33B2" w:rsidRDefault="007A33B2">
            <w:pPr>
              <w:spacing w:line="300" w:lineRule="exact"/>
              <w:jc w:val="left"/>
              <w:rPr>
                <w:rFonts w:ascii="方正书宋_GBK" w:eastAsia="方正书宋_GBK"/>
                <w:b/>
              </w:rPr>
            </w:pPr>
          </w:p>
        </w:tc>
        <w:tc>
          <w:tcPr>
            <w:tcW w:w="940" w:type="dxa"/>
            <w:vAlign w:val="center"/>
          </w:tcPr>
          <w:p w:rsidR="007A33B2" w:rsidRDefault="007A33B2">
            <w:pPr>
              <w:spacing w:line="300" w:lineRule="exact"/>
              <w:jc w:val="lef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962"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3B1B89">
            <w:pPr>
              <w:spacing w:line="300" w:lineRule="exact"/>
              <w:jc w:val="right"/>
              <w:rPr>
                <w:rFonts w:ascii="方正书宋_GBK" w:eastAsia="方正书宋_GBK"/>
                <w:b/>
              </w:rPr>
            </w:pPr>
            <w:r>
              <w:rPr>
                <w:rFonts w:ascii="方正书宋_GBK" w:eastAsia="方正书宋_GBK" w:hint="eastAsia"/>
                <w:b/>
              </w:rPr>
              <w:t>0.9</w:t>
            </w:r>
          </w:p>
        </w:tc>
        <w:tc>
          <w:tcPr>
            <w:tcW w:w="940"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940" w:type="dxa"/>
            <w:vAlign w:val="center"/>
          </w:tcPr>
          <w:p w:rsidR="007A33B2" w:rsidRDefault="007A33B2">
            <w:pPr>
              <w:spacing w:line="300" w:lineRule="exact"/>
              <w:jc w:val="right"/>
              <w:rPr>
                <w:rFonts w:ascii="方正书宋_GBK" w:eastAsia="方正书宋_GBK"/>
                <w:b/>
              </w:rPr>
            </w:pPr>
          </w:p>
        </w:tc>
        <w:tc>
          <w:tcPr>
            <w:tcW w:w="885" w:type="dxa"/>
            <w:vAlign w:val="center"/>
          </w:tcPr>
          <w:p w:rsidR="007A33B2" w:rsidRDefault="007A33B2">
            <w:pPr>
              <w:spacing w:line="300" w:lineRule="exact"/>
              <w:jc w:val="right"/>
              <w:rPr>
                <w:rFonts w:ascii="方正书宋_GBK" w:eastAsia="方正书宋_GBK"/>
                <w:b/>
              </w:rPr>
            </w:pPr>
          </w:p>
        </w:tc>
      </w:tr>
      <w:tr w:rsidR="007A33B2">
        <w:trPr>
          <w:jc w:val="center"/>
        </w:trPr>
        <w:tc>
          <w:tcPr>
            <w:tcW w:w="2543"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项目投资咨询评估专项费用</w:t>
            </w:r>
          </w:p>
        </w:tc>
        <w:tc>
          <w:tcPr>
            <w:tcW w:w="1136"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0.9</w:t>
            </w:r>
          </w:p>
        </w:tc>
        <w:tc>
          <w:tcPr>
            <w:tcW w:w="940" w:type="dxa"/>
            <w:vAlign w:val="center"/>
          </w:tcPr>
          <w:p w:rsidR="007A33B2" w:rsidRDefault="003B1B89">
            <w:pPr>
              <w:spacing w:line="300" w:lineRule="exact"/>
              <w:jc w:val="left"/>
              <w:rPr>
                <w:rFonts w:ascii="方正书宋_GBK" w:eastAsia="方正书宋_GBK"/>
              </w:rPr>
            </w:pPr>
            <w:r>
              <w:rPr>
                <w:rFonts w:ascii="方正书宋_GBK" w:eastAsia="方正书宋_GBK" w:hint="eastAsia"/>
              </w:rPr>
              <w:t>计算机设备</w:t>
            </w:r>
          </w:p>
        </w:tc>
        <w:tc>
          <w:tcPr>
            <w:tcW w:w="1371" w:type="dxa"/>
            <w:vAlign w:val="center"/>
          </w:tcPr>
          <w:p w:rsidR="007A33B2" w:rsidRDefault="007A33B2">
            <w:pPr>
              <w:spacing w:line="300" w:lineRule="exact"/>
              <w:jc w:val="left"/>
              <w:rPr>
                <w:rFonts w:ascii="方正书宋_GBK" w:eastAsia="方正书宋_GBK"/>
              </w:rPr>
            </w:pPr>
          </w:p>
        </w:tc>
        <w:tc>
          <w:tcPr>
            <w:tcW w:w="940" w:type="dxa"/>
            <w:vAlign w:val="center"/>
          </w:tcPr>
          <w:p w:rsidR="007A33B2" w:rsidRDefault="007A33B2">
            <w:pPr>
              <w:spacing w:line="300" w:lineRule="exact"/>
              <w:jc w:val="left"/>
              <w:rPr>
                <w:rFonts w:ascii="方正书宋_GBK" w:eastAsia="方正书宋_GBK"/>
              </w:rPr>
            </w:pPr>
          </w:p>
        </w:tc>
        <w:tc>
          <w:tcPr>
            <w:tcW w:w="940"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2</w:t>
            </w:r>
          </w:p>
        </w:tc>
        <w:tc>
          <w:tcPr>
            <w:tcW w:w="962"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0.9</w:t>
            </w:r>
          </w:p>
        </w:tc>
        <w:tc>
          <w:tcPr>
            <w:tcW w:w="940"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0.9</w:t>
            </w:r>
          </w:p>
        </w:tc>
        <w:tc>
          <w:tcPr>
            <w:tcW w:w="940"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0.9</w:t>
            </w:r>
          </w:p>
        </w:tc>
        <w:tc>
          <w:tcPr>
            <w:tcW w:w="940" w:type="dxa"/>
            <w:vAlign w:val="center"/>
          </w:tcPr>
          <w:p w:rsidR="007A33B2" w:rsidRDefault="003B1B89">
            <w:pPr>
              <w:spacing w:line="300" w:lineRule="exact"/>
              <w:jc w:val="right"/>
              <w:rPr>
                <w:rFonts w:ascii="方正书宋_GBK" w:eastAsia="方正书宋_GBK"/>
              </w:rPr>
            </w:pPr>
            <w:r>
              <w:rPr>
                <w:rFonts w:ascii="方正书宋_GBK" w:eastAsia="方正书宋_GBK" w:hint="eastAsia"/>
              </w:rPr>
              <w:t>0.9</w:t>
            </w:r>
          </w:p>
        </w:tc>
        <w:tc>
          <w:tcPr>
            <w:tcW w:w="940" w:type="dxa"/>
            <w:vAlign w:val="center"/>
          </w:tcPr>
          <w:p w:rsidR="007A33B2" w:rsidRDefault="007A33B2">
            <w:pPr>
              <w:spacing w:line="300" w:lineRule="exact"/>
              <w:jc w:val="right"/>
              <w:rPr>
                <w:rFonts w:ascii="方正书宋_GBK" w:eastAsia="方正书宋_GBK"/>
              </w:rPr>
            </w:pPr>
          </w:p>
        </w:tc>
        <w:tc>
          <w:tcPr>
            <w:tcW w:w="940" w:type="dxa"/>
            <w:vAlign w:val="center"/>
          </w:tcPr>
          <w:p w:rsidR="007A33B2" w:rsidRDefault="007A33B2">
            <w:pPr>
              <w:spacing w:line="300" w:lineRule="exact"/>
              <w:jc w:val="right"/>
              <w:rPr>
                <w:rFonts w:ascii="方正书宋_GBK" w:eastAsia="方正书宋_GBK"/>
              </w:rPr>
            </w:pPr>
          </w:p>
        </w:tc>
        <w:tc>
          <w:tcPr>
            <w:tcW w:w="940" w:type="dxa"/>
            <w:vAlign w:val="center"/>
          </w:tcPr>
          <w:p w:rsidR="007A33B2" w:rsidRDefault="007A33B2">
            <w:pPr>
              <w:spacing w:line="300" w:lineRule="exact"/>
              <w:jc w:val="right"/>
              <w:rPr>
                <w:rFonts w:ascii="方正书宋_GBK" w:eastAsia="方正书宋_GBK"/>
              </w:rPr>
            </w:pPr>
          </w:p>
        </w:tc>
        <w:tc>
          <w:tcPr>
            <w:tcW w:w="885" w:type="dxa"/>
            <w:vAlign w:val="center"/>
          </w:tcPr>
          <w:p w:rsidR="007A33B2" w:rsidRDefault="007A33B2">
            <w:pPr>
              <w:spacing w:line="300" w:lineRule="exact"/>
              <w:jc w:val="right"/>
              <w:rPr>
                <w:rFonts w:ascii="方正书宋_GBK" w:eastAsia="方正书宋_GBK"/>
              </w:rPr>
            </w:pPr>
          </w:p>
        </w:tc>
      </w:tr>
    </w:tbl>
    <w:p w:rsidR="007A33B2" w:rsidRDefault="007A33B2">
      <w:pPr>
        <w:spacing w:line="300" w:lineRule="exact"/>
        <w:jc w:val="left"/>
        <w:outlineLvl w:val="0"/>
        <w:sectPr w:rsidR="007A33B2">
          <w:headerReference w:type="even" r:id="rId9"/>
          <w:headerReference w:type="default" r:id="rId10"/>
          <w:footerReference w:type="even" r:id="rId11"/>
          <w:footerReference w:type="default" r:id="rId12"/>
          <w:headerReference w:type="first" r:id="rId13"/>
          <w:footerReference w:type="first" r:id="rId14"/>
          <w:pgSz w:w="16839" w:h="11907" w:orient="landscape"/>
          <w:pgMar w:top="1361" w:right="1020" w:bottom="1361" w:left="1020" w:header="851" w:footer="992" w:gutter="0"/>
          <w:cols w:space="425"/>
          <w:docGrid w:type="lines" w:linePitch="312"/>
        </w:sectPr>
      </w:pPr>
    </w:p>
    <w:p w:rsidR="007A33B2" w:rsidRDefault="003B1B89">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7A33B2">
        <w:trPr>
          <w:trHeight w:val="705"/>
        </w:trPr>
        <w:tc>
          <w:tcPr>
            <w:tcW w:w="13680" w:type="dxa"/>
            <w:gridSpan w:val="3"/>
            <w:tcBorders>
              <w:top w:val="nil"/>
              <w:left w:val="nil"/>
              <w:bottom w:val="nil"/>
              <w:right w:val="nil"/>
            </w:tcBorders>
            <w:vAlign w:val="center"/>
          </w:tcPr>
          <w:p w:rsidR="007A33B2" w:rsidRDefault="003B1B89">
            <w:pPr>
              <w:widowControl/>
              <w:jc w:val="center"/>
              <w:rPr>
                <w:rFonts w:ascii="??_GB2312" w:eastAsia="Times New Roman" w:hAnsi="仿宋" w:cs="宋体"/>
                <w:b/>
                <w:bCs/>
                <w:kern w:val="0"/>
                <w:sz w:val="32"/>
                <w:szCs w:val="30"/>
              </w:rPr>
            </w:pPr>
            <w:r>
              <w:rPr>
                <w:rFonts w:ascii="??_GB2312" w:eastAsia="Times New Roman" w:hAnsi="宋体" w:cs="宋体"/>
                <w:b/>
                <w:bCs/>
                <w:kern w:val="0"/>
                <w:sz w:val="32"/>
                <w:szCs w:val="30"/>
              </w:rPr>
              <w:t>固定资产占用情况表</w:t>
            </w:r>
          </w:p>
        </w:tc>
      </w:tr>
      <w:tr w:rsidR="007A33B2">
        <w:trPr>
          <w:trHeight w:val="510"/>
        </w:trPr>
        <w:tc>
          <w:tcPr>
            <w:tcW w:w="7488" w:type="dxa"/>
            <w:gridSpan w:val="2"/>
            <w:tcBorders>
              <w:top w:val="nil"/>
              <w:left w:val="nil"/>
              <w:bottom w:val="nil"/>
              <w:right w:val="nil"/>
            </w:tcBorders>
            <w:vAlign w:val="center"/>
          </w:tcPr>
          <w:p w:rsidR="007A33B2" w:rsidRDefault="003B1B89">
            <w:pPr>
              <w:widowControl/>
              <w:jc w:val="left"/>
              <w:rPr>
                <w:rFonts w:ascii="??_GB2312" w:eastAsia="Times New Roman" w:hAnsi="宋体" w:cs="宋体"/>
                <w:kern w:val="0"/>
                <w:sz w:val="32"/>
                <w:szCs w:val="30"/>
              </w:rPr>
            </w:pPr>
            <w:r>
              <w:rPr>
                <w:rFonts w:ascii="??_GB2312" w:eastAsia="Times New Roman" w:hAnsi="宋体" w:cs="宋体"/>
                <w:kern w:val="0"/>
                <w:sz w:val="32"/>
                <w:szCs w:val="30"/>
              </w:rPr>
              <w:t>编制部门：</w:t>
            </w:r>
            <w:proofErr w:type="gramStart"/>
            <w:r>
              <w:rPr>
                <w:rFonts w:ascii="??_GB2312" w:eastAsia="Times New Roman" w:hAnsi="宋体" w:cs="宋体"/>
                <w:kern w:val="0"/>
                <w:sz w:val="32"/>
                <w:szCs w:val="30"/>
              </w:rPr>
              <w:t>发改局</w:t>
            </w:r>
            <w:proofErr w:type="gramEnd"/>
          </w:p>
        </w:tc>
        <w:tc>
          <w:tcPr>
            <w:tcW w:w="6192" w:type="dxa"/>
            <w:tcBorders>
              <w:top w:val="nil"/>
              <w:left w:val="nil"/>
              <w:bottom w:val="nil"/>
              <w:right w:val="nil"/>
            </w:tcBorders>
            <w:vAlign w:val="center"/>
          </w:tcPr>
          <w:p w:rsidR="007A33B2" w:rsidRDefault="003B1B89">
            <w:pPr>
              <w:widowControl/>
              <w:jc w:val="left"/>
              <w:rPr>
                <w:rFonts w:ascii="??_GB2312" w:eastAsia="Times New Roman" w:cs="宋体"/>
                <w:kern w:val="0"/>
                <w:sz w:val="32"/>
                <w:szCs w:val="30"/>
              </w:rPr>
            </w:pPr>
            <w:r>
              <w:rPr>
                <w:rFonts w:ascii="??_GB2312" w:eastAsia="Times New Roman" w:hAnsi="宋体" w:cs="宋体"/>
                <w:kern w:val="0"/>
                <w:sz w:val="32"/>
                <w:szCs w:val="30"/>
              </w:rPr>
              <w:t>截止时间</w:t>
            </w:r>
            <w:r>
              <w:rPr>
                <w:rFonts w:ascii="仿宋_GB2312" w:eastAsia="仿宋_GB2312" w:hAnsi="仿宋_GB2312" w:cs="仿宋_GB2312" w:hint="eastAsia"/>
                <w:kern w:val="0"/>
                <w:sz w:val="32"/>
                <w:szCs w:val="30"/>
              </w:rPr>
              <w:t>：2017年12月31日</w:t>
            </w:r>
            <w:r>
              <w:rPr>
                <w:rFonts w:ascii="??_GB2312" w:eastAsia="Times New Roman" w:hAnsi="宋体" w:cs="宋体"/>
                <w:kern w:val="0"/>
                <w:sz w:val="32"/>
                <w:szCs w:val="30"/>
              </w:rPr>
              <w:t xml:space="preserve">  </w:t>
            </w:r>
          </w:p>
        </w:tc>
      </w:tr>
      <w:tr w:rsidR="007A33B2">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7A33B2" w:rsidRDefault="003B1B89">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项</w:t>
            </w:r>
            <w:r>
              <w:rPr>
                <w:rFonts w:ascii="??_GB2312" w:eastAsia="Times New Roman" w:hAnsi="宋体" w:cs="宋体"/>
                <w:b/>
                <w:bCs/>
                <w:kern w:val="0"/>
                <w:sz w:val="32"/>
                <w:szCs w:val="30"/>
              </w:rPr>
              <w:t xml:space="preserve">   </w:t>
            </w:r>
            <w:r>
              <w:rPr>
                <w:rFonts w:ascii="??_GB2312" w:eastAsia="Times New Roman" w:hAnsi="宋体" w:cs="宋体"/>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7A33B2" w:rsidRDefault="003B1B89">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7A33B2" w:rsidRDefault="003B1B89">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价值（金额单位：万元）</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合计　　</w:t>
            </w:r>
            <w:proofErr w:type="gramStart"/>
            <w:r>
              <w:rPr>
                <w:rFonts w:ascii="??_GB2312" w:eastAsia="Times New Roman"/>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103.3845</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一、土地房屋及构筑物</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其中：房屋</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二、通用设备</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121.00</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77.2035</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其中：汽车</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rFonts w:ascii="宋体" w:cs="宋体"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rFonts w:ascii="宋体" w:cs="宋体" w:hint="eastAsia"/>
                <w:color w:val="000000"/>
                <w:sz w:val="22"/>
                <w:szCs w:val="22"/>
              </w:rPr>
              <w:t>27.1363</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三、专用设备</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26.00</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14.2940</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四、文物与陈列品</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819"/>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其中：文物</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五、图书档案</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sz w:val="20"/>
                <w:szCs w:val="20"/>
              </w:rPr>
            </w:pPr>
            <w:r>
              <w:rPr>
                <w:rFonts w:hint="eastAsia"/>
                <w:sz w:val="20"/>
                <w:szCs w:val="20"/>
              </w:rPr>
              <w:t xml:space="preserve">　</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六、家具、用具、装具及动植物</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143.00</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11.8870</w:t>
            </w:r>
          </w:p>
        </w:tc>
      </w:tr>
      <w:tr w:rsidR="007A33B2">
        <w:trPr>
          <w:trHeight w:val="645"/>
        </w:trPr>
        <w:tc>
          <w:tcPr>
            <w:tcW w:w="4788" w:type="dxa"/>
            <w:tcBorders>
              <w:top w:val="nil"/>
              <w:left w:val="single" w:sz="4" w:space="0" w:color="auto"/>
              <w:bottom w:val="single" w:sz="4" w:space="0" w:color="auto"/>
              <w:right w:val="single" w:sz="4" w:space="0" w:color="auto"/>
            </w:tcBorders>
            <w:vAlign w:val="center"/>
          </w:tcPr>
          <w:p w:rsidR="007A33B2" w:rsidRDefault="003B1B89">
            <w:pPr>
              <w:rPr>
                <w:rFonts w:ascii="??_GB2312" w:eastAsia="Times New Roman" w:hAnsi="宋体" w:cs="宋体"/>
                <w:sz w:val="32"/>
                <w:szCs w:val="32"/>
              </w:rPr>
            </w:pPr>
            <w:r>
              <w:rPr>
                <w:rFonts w:ascii="??_GB2312" w:eastAsia="Times New Roman"/>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143.00</w:t>
            </w:r>
          </w:p>
        </w:tc>
        <w:tc>
          <w:tcPr>
            <w:tcW w:w="6192" w:type="dxa"/>
            <w:tcBorders>
              <w:top w:val="nil"/>
              <w:left w:val="nil"/>
              <w:bottom w:val="single" w:sz="4" w:space="0" w:color="auto"/>
              <w:right w:val="single" w:sz="4" w:space="0" w:color="auto"/>
            </w:tcBorders>
            <w:vAlign w:val="center"/>
          </w:tcPr>
          <w:p w:rsidR="007A33B2" w:rsidRDefault="003B1B89">
            <w:pPr>
              <w:jc w:val="right"/>
              <w:rPr>
                <w:rFonts w:ascii="宋体" w:cs="宋体"/>
                <w:color w:val="000000"/>
                <w:sz w:val="22"/>
                <w:szCs w:val="22"/>
              </w:rPr>
            </w:pPr>
            <w:r>
              <w:rPr>
                <w:color w:val="000000"/>
                <w:sz w:val="22"/>
                <w:szCs w:val="22"/>
              </w:rPr>
              <w:t>11.8870</w:t>
            </w:r>
          </w:p>
        </w:tc>
      </w:tr>
    </w:tbl>
    <w:p w:rsidR="007A33B2" w:rsidRDefault="003B1B89">
      <w:pPr>
        <w:spacing w:line="560" w:lineRule="exact"/>
        <w:ind w:firstLineChars="200" w:firstLine="640"/>
        <w:rPr>
          <w:rFonts w:ascii="??_GB2312" w:eastAsia="Times New Roman"/>
          <w:sz w:val="32"/>
          <w:szCs w:val="32"/>
        </w:rPr>
      </w:pPr>
      <w:proofErr w:type="gramStart"/>
      <w:r>
        <w:rPr>
          <w:rFonts w:ascii="??_GB2312" w:eastAsia="Times New Roman"/>
          <w:sz w:val="32"/>
          <w:szCs w:val="32"/>
        </w:rPr>
        <w:t>我部门</w:t>
      </w:r>
      <w:r>
        <w:rPr>
          <w:rFonts w:ascii="仿宋_GB2312" w:eastAsia="仿宋_GB2312" w:hAnsi="仿宋_GB2312" w:cs="仿宋_GB2312" w:hint="eastAsia"/>
          <w:sz w:val="32"/>
          <w:szCs w:val="32"/>
        </w:rPr>
        <w:t>201</w:t>
      </w:r>
      <w:r w:rsidR="00C3087F">
        <w:rPr>
          <w:rFonts w:ascii="仿宋_GB2312" w:eastAsia="仿宋_GB2312" w:hAnsi="仿宋_GB2312" w:cs="仿宋_GB2312" w:hint="eastAsia"/>
          <w:sz w:val="32"/>
          <w:szCs w:val="32"/>
        </w:rPr>
        <w:t>8</w:t>
      </w:r>
      <w:r>
        <w:rPr>
          <w:rFonts w:ascii="??_GB2312" w:eastAsia="Times New Roman"/>
          <w:sz w:val="32"/>
          <w:szCs w:val="32"/>
        </w:rPr>
        <w:t>年无</w:t>
      </w:r>
      <w:r w:rsidR="00BB0CBC" w:rsidRPr="00116568">
        <w:rPr>
          <w:rFonts w:ascii="??_GB2312" w:hint="eastAsia"/>
          <w:sz w:val="32"/>
          <w:szCs w:val="32"/>
        </w:rPr>
        <w:t>拟</w:t>
      </w:r>
      <w:proofErr w:type="gramEnd"/>
      <w:r>
        <w:rPr>
          <w:rFonts w:ascii="??_GB2312" w:eastAsia="Times New Roman"/>
          <w:sz w:val="32"/>
          <w:szCs w:val="32"/>
        </w:rPr>
        <w:t>购置情况</w:t>
      </w:r>
    </w:p>
    <w:p w:rsidR="007A33B2" w:rsidRDefault="003B1B89">
      <w:pPr>
        <w:spacing w:line="560" w:lineRule="exact"/>
        <w:ind w:firstLineChars="200" w:firstLine="643"/>
      </w:pPr>
      <w:r>
        <w:rPr>
          <w:rFonts w:ascii="宋体" w:hAnsi="宋体" w:hint="eastAsia"/>
          <w:b/>
          <w:sz w:val="32"/>
          <w:szCs w:val="32"/>
        </w:rPr>
        <w:t>八、名词解释</w:t>
      </w:r>
    </w:p>
    <w:p w:rsidR="007A33B2" w:rsidRDefault="003B1B8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1．基本支出：是指为保障机构正常运转，完成日常工作任务而发生的人员支出和公用支出。</w:t>
      </w:r>
    </w:p>
    <w:p w:rsidR="007A33B2" w:rsidRDefault="003B1B8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2．项目支出：指在基本支出之外为完成特定行政任务和事业发展目标所发生的支出。</w:t>
      </w:r>
    </w:p>
    <w:p w:rsidR="007A33B2" w:rsidRDefault="003B1B8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_GB2312" w:eastAsia="Times New Roman"/>
          <w:sz w:val="32"/>
          <w:szCs w:val="32"/>
        </w:rPr>
        <w:t>．</w:t>
      </w:r>
      <w:r>
        <w:rPr>
          <w:rFonts w:ascii="仿宋" w:eastAsia="仿宋" w:hAnsi="仿宋" w:cs="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7A33B2" w:rsidRDefault="003B1B89">
      <w:pPr>
        <w:spacing w:line="560" w:lineRule="exact"/>
        <w:ind w:firstLineChars="200" w:firstLine="643"/>
      </w:pPr>
      <w:r>
        <w:rPr>
          <w:rFonts w:ascii="宋体" w:hAnsi="宋体" w:hint="eastAsia"/>
          <w:b/>
          <w:sz w:val="32"/>
          <w:szCs w:val="32"/>
        </w:rPr>
        <w:t>九、其他情况说明</w:t>
      </w:r>
    </w:p>
    <w:p w:rsidR="007A33B2" w:rsidRDefault="003B1B8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2018年部门预算无国有资本经营预算财政拨款收支，因此相关表格数据为零。</w:t>
      </w:r>
    </w:p>
    <w:p w:rsidR="007A33B2" w:rsidRDefault="007A33B2">
      <w:pPr>
        <w:spacing w:line="560" w:lineRule="exact"/>
        <w:ind w:firstLineChars="200" w:firstLine="640"/>
        <w:rPr>
          <w:rFonts w:ascii="仿宋" w:eastAsia="仿宋" w:hAnsi="仿宋" w:cs="仿宋"/>
          <w:kern w:val="0"/>
          <w:sz w:val="32"/>
          <w:szCs w:val="32"/>
        </w:rPr>
      </w:pPr>
    </w:p>
    <w:p w:rsidR="007A33B2" w:rsidRDefault="007A33B2">
      <w:pPr>
        <w:spacing w:line="560" w:lineRule="exact"/>
        <w:ind w:firstLineChars="200" w:firstLine="640"/>
        <w:rPr>
          <w:rFonts w:ascii="??_GB2312" w:eastAsia="Times New Roman" w:hAnsi="宋体" w:cs="宋体"/>
          <w:kern w:val="0"/>
          <w:sz w:val="32"/>
          <w:szCs w:val="32"/>
        </w:rPr>
      </w:pPr>
    </w:p>
    <w:sectPr w:rsidR="007A33B2">
      <w:headerReference w:type="even" r:id="rId15"/>
      <w:headerReference w:type="default" r:id="rId16"/>
      <w:footerReference w:type="even" r:id="rId17"/>
      <w:footerReference w:type="default" r:id="rId18"/>
      <w:headerReference w:type="first" r:id="rId19"/>
      <w:foot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9A" w:rsidRDefault="0095169A">
      <w:r>
        <w:separator/>
      </w:r>
    </w:p>
  </w:endnote>
  <w:endnote w:type="continuationSeparator" w:id="0">
    <w:p w:rsidR="0095169A" w:rsidRDefault="0095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9A" w:rsidRDefault="0095169A">
      <w:r>
        <w:separator/>
      </w:r>
    </w:p>
  </w:footnote>
  <w:footnote w:type="continuationSeparator" w:id="0">
    <w:p w:rsidR="0095169A" w:rsidRDefault="00951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B2" w:rsidRDefault="007A33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737"/>
    <w:rsid w:val="00014737"/>
    <w:rsid w:val="00017A18"/>
    <w:rsid w:val="0006414F"/>
    <w:rsid w:val="00105000"/>
    <w:rsid w:val="00116568"/>
    <w:rsid w:val="0016429D"/>
    <w:rsid w:val="00184DD7"/>
    <w:rsid w:val="00196418"/>
    <w:rsid w:val="001C2835"/>
    <w:rsid w:val="001D6224"/>
    <w:rsid w:val="0021729A"/>
    <w:rsid w:val="00230946"/>
    <w:rsid w:val="00253B33"/>
    <w:rsid w:val="00275A35"/>
    <w:rsid w:val="00276BD7"/>
    <w:rsid w:val="00280D85"/>
    <w:rsid w:val="002A277E"/>
    <w:rsid w:val="002A33C4"/>
    <w:rsid w:val="002A6B40"/>
    <w:rsid w:val="002F5E2B"/>
    <w:rsid w:val="0030191A"/>
    <w:rsid w:val="00336235"/>
    <w:rsid w:val="00347A95"/>
    <w:rsid w:val="003515C4"/>
    <w:rsid w:val="00357941"/>
    <w:rsid w:val="00381A44"/>
    <w:rsid w:val="003B1B89"/>
    <w:rsid w:val="003B4146"/>
    <w:rsid w:val="003E193F"/>
    <w:rsid w:val="00400997"/>
    <w:rsid w:val="00401CE6"/>
    <w:rsid w:val="00446047"/>
    <w:rsid w:val="00462197"/>
    <w:rsid w:val="004D0488"/>
    <w:rsid w:val="004D11BD"/>
    <w:rsid w:val="004F0CCA"/>
    <w:rsid w:val="004F5B9A"/>
    <w:rsid w:val="00516D19"/>
    <w:rsid w:val="00567FCA"/>
    <w:rsid w:val="005A649C"/>
    <w:rsid w:val="005F4C50"/>
    <w:rsid w:val="00611EBB"/>
    <w:rsid w:val="00632280"/>
    <w:rsid w:val="0065336B"/>
    <w:rsid w:val="00662E32"/>
    <w:rsid w:val="00665DD3"/>
    <w:rsid w:val="006827F7"/>
    <w:rsid w:val="006C4061"/>
    <w:rsid w:val="006C4438"/>
    <w:rsid w:val="006E578E"/>
    <w:rsid w:val="006F03B6"/>
    <w:rsid w:val="00701D23"/>
    <w:rsid w:val="00706399"/>
    <w:rsid w:val="00722FDF"/>
    <w:rsid w:val="0073311C"/>
    <w:rsid w:val="007468B6"/>
    <w:rsid w:val="00761F04"/>
    <w:rsid w:val="00785993"/>
    <w:rsid w:val="00786FB9"/>
    <w:rsid w:val="007A33B2"/>
    <w:rsid w:val="007C179B"/>
    <w:rsid w:val="007D7FEE"/>
    <w:rsid w:val="007E09EA"/>
    <w:rsid w:val="007E38A3"/>
    <w:rsid w:val="007F3A76"/>
    <w:rsid w:val="0082122E"/>
    <w:rsid w:val="00864DF4"/>
    <w:rsid w:val="0087413C"/>
    <w:rsid w:val="008948B4"/>
    <w:rsid w:val="008D2BF4"/>
    <w:rsid w:val="00940B48"/>
    <w:rsid w:val="0095169A"/>
    <w:rsid w:val="009726AD"/>
    <w:rsid w:val="009B2B7C"/>
    <w:rsid w:val="009B6875"/>
    <w:rsid w:val="009C2F95"/>
    <w:rsid w:val="00A00FB4"/>
    <w:rsid w:val="00A500DC"/>
    <w:rsid w:val="00A86CD4"/>
    <w:rsid w:val="00A86F93"/>
    <w:rsid w:val="00A921F0"/>
    <w:rsid w:val="00AA67EB"/>
    <w:rsid w:val="00AB5240"/>
    <w:rsid w:val="00AC711B"/>
    <w:rsid w:val="00AD4E52"/>
    <w:rsid w:val="00AF6B04"/>
    <w:rsid w:val="00B4038E"/>
    <w:rsid w:val="00B94482"/>
    <w:rsid w:val="00BA59BB"/>
    <w:rsid w:val="00BB0CBC"/>
    <w:rsid w:val="00BB204C"/>
    <w:rsid w:val="00BB5F81"/>
    <w:rsid w:val="00BF415D"/>
    <w:rsid w:val="00C02760"/>
    <w:rsid w:val="00C3087F"/>
    <w:rsid w:val="00C44E5F"/>
    <w:rsid w:val="00C4729B"/>
    <w:rsid w:val="00C5116E"/>
    <w:rsid w:val="00C60BD7"/>
    <w:rsid w:val="00CC2894"/>
    <w:rsid w:val="00CF10E0"/>
    <w:rsid w:val="00CF49ED"/>
    <w:rsid w:val="00D04703"/>
    <w:rsid w:val="00D10F0F"/>
    <w:rsid w:val="00D248C2"/>
    <w:rsid w:val="00D31BEF"/>
    <w:rsid w:val="00DC503B"/>
    <w:rsid w:val="00DC67B7"/>
    <w:rsid w:val="00E004B7"/>
    <w:rsid w:val="00EB622C"/>
    <w:rsid w:val="00EC2AF3"/>
    <w:rsid w:val="00F0528D"/>
    <w:rsid w:val="00F2557F"/>
    <w:rsid w:val="00F92E69"/>
    <w:rsid w:val="00FD1091"/>
    <w:rsid w:val="00FD2A2A"/>
    <w:rsid w:val="00FD4620"/>
    <w:rsid w:val="012D045D"/>
    <w:rsid w:val="03F13AA5"/>
    <w:rsid w:val="2691430C"/>
    <w:rsid w:val="26AC59BB"/>
    <w:rsid w:val="29706FBB"/>
    <w:rsid w:val="43DD79AA"/>
    <w:rsid w:val="44A97B84"/>
    <w:rsid w:val="4682378A"/>
    <w:rsid w:val="4AEB569D"/>
    <w:rsid w:val="52CA72CE"/>
    <w:rsid w:val="53E11419"/>
    <w:rsid w:val="5CC80BB7"/>
    <w:rsid w:val="5D3C655A"/>
    <w:rsid w:val="5D5F417B"/>
    <w:rsid w:val="6DA95A83"/>
    <w:rsid w:val="6FDF7758"/>
    <w:rsid w:val="71857875"/>
    <w:rsid w:val="71E96FF9"/>
    <w:rsid w:val="722E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
    <w:name w:val="页脚 Char"/>
    <w:link w:val="a3"/>
    <w:uiPriority w:val="99"/>
    <w:semiHidden/>
    <w:qFormat/>
    <w:locked/>
    <w:rPr>
      <w:rFonts w:cs="Times New Roman"/>
      <w:sz w:val="18"/>
      <w:szCs w:val="18"/>
    </w:rPr>
  </w:style>
  <w:style w:type="character" w:customStyle="1" w:styleId="Char0">
    <w:name w:val="页眉 Char"/>
    <w:link w:val="a4"/>
    <w:uiPriority w:val="99"/>
    <w:semiHidden/>
    <w:qFormat/>
    <w:locked/>
    <w:rPr>
      <w:rFonts w:cs="Times New Roman"/>
      <w:sz w:val="18"/>
      <w:szCs w:val="18"/>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66</cp:revision>
  <dcterms:created xsi:type="dcterms:W3CDTF">2017-06-19T00:49:00Z</dcterms:created>
  <dcterms:modified xsi:type="dcterms:W3CDTF">2019-01-28T03:14:00Z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