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B8" w:rsidRDefault="00A4227E">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9D05B8" w:rsidRDefault="009D05B8">
      <w:pPr>
        <w:spacing w:line="560" w:lineRule="exact"/>
        <w:jc w:val="left"/>
        <w:rPr>
          <w:rFonts w:ascii="方正小标宋简体" w:eastAsia="方正小标宋简体"/>
          <w:sz w:val="40"/>
          <w:szCs w:val="40"/>
        </w:rPr>
      </w:pPr>
    </w:p>
    <w:p w:rsidR="009D05B8" w:rsidRDefault="00A4227E">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9D05B8" w:rsidRDefault="00A4227E">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9D05B8" w:rsidRDefault="00A4227E">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机关运行经费情况及增减变化说明说明</w:t>
      </w:r>
    </w:p>
    <w:p w:rsidR="009D05B8" w:rsidRDefault="00A4227E">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9D05B8" w:rsidRDefault="00A4227E">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9D05B8" w:rsidRDefault="00A4227E">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9D05B8" w:rsidRDefault="00A4227E">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9D05B8" w:rsidRDefault="00A4227E">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9D05B8" w:rsidRDefault="00A4227E">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9D05B8" w:rsidRDefault="009D05B8">
      <w:pPr>
        <w:spacing w:line="560" w:lineRule="exact"/>
        <w:jc w:val="center"/>
        <w:rPr>
          <w:rFonts w:ascii="方正小标宋简体" w:eastAsia="方正小标宋简体"/>
          <w:sz w:val="40"/>
          <w:szCs w:val="40"/>
        </w:rPr>
      </w:pPr>
    </w:p>
    <w:p w:rsidR="009D05B8" w:rsidRDefault="009D05B8">
      <w:pPr>
        <w:spacing w:line="560" w:lineRule="exact"/>
        <w:jc w:val="center"/>
        <w:rPr>
          <w:rFonts w:ascii="方正小标宋简体" w:eastAsia="方正小标宋简体"/>
          <w:sz w:val="40"/>
          <w:szCs w:val="40"/>
        </w:rPr>
      </w:pPr>
    </w:p>
    <w:p w:rsidR="009D05B8" w:rsidRDefault="009D05B8">
      <w:pPr>
        <w:spacing w:line="560" w:lineRule="exact"/>
        <w:jc w:val="center"/>
        <w:rPr>
          <w:rFonts w:ascii="方正小标宋简体" w:eastAsia="方正小标宋简体"/>
          <w:sz w:val="40"/>
          <w:szCs w:val="40"/>
        </w:rPr>
      </w:pPr>
    </w:p>
    <w:p w:rsidR="009D05B8" w:rsidRDefault="009D05B8">
      <w:pPr>
        <w:spacing w:line="560" w:lineRule="exact"/>
        <w:jc w:val="center"/>
        <w:rPr>
          <w:rFonts w:ascii="方正小标宋简体" w:eastAsia="方正小标宋简体"/>
          <w:sz w:val="40"/>
          <w:szCs w:val="40"/>
        </w:rPr>
      </w:pPr>
    </w:p>
    <w:p w:rsidR="009D05B8" w:rsidRDefault="009D05B8">
      <w:pPr>
        <w:spacing w:line="560" w:lineRule="exact"/>
        <w:jc w:val="center"/>
        <w:rPr>
          <w:rFonts w:ascii="方正小标宋简体" w:eastAsia="方正小标宋简体"/>
          <w:sz w:val="40"/>
          <w:szCs w:val="40"/>
        </w:rPr>
      </w:pPr>
    </w:p>
    <w:p w:rsidR="009D05B8" w:rsidRDefault="009D05B8">
      <w:pPr>
        <w:spacing w:line="560" w:lineRule="exact"/>
        <w:jc w:val="center"/>
        <w:rPr>
          <w:rFonts w:ascii="方正小标宋简体" w:eastAsia="方正小标宋简体"/>
          <w:sz w:val="40"/>
          <w:szCs w:val="40"/>
        </w:rPr>
      </w:pPr>
    </w:p>
    <w:p w:rsidR="009D05B8" w:rsidRDefault="00A4227E">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创业中心部门预算情况说明</w:t>
      </w:r>
    </w:p>
    <w:p w:rsidR="009D05B8" w:rsidRDefault="00A4227E">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9901C8" w:rsidRDefault="009901C8">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我单位部门级别为正科级单位，性质为全额拨款事业单位，经费形式为财政性资金基本保证。</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我单位共下设5个部门，分别是综合业务部、企业服务部、对外合作部、物业服务部、招商业务部。</w:t>
      </w:r>
    </w:p>
    <w:p w:rsidR="009D05B8" w:rsidRDefault="00A4227E">
      <w:pPr>
        <w:pStyle w:val="1"/>
        <w:ind w:firstLine="643"/>
        <w:jc w:val="left"/>
        <w:rPr>
          <w:rFonts w:ascii="仿宋" w:eastAsia="仿宋" w:hAnsi="仿宋" w:cs="仿宋"/>
          <w:sz w:val="32"/>
          <w:szCs w:val="32"/>
        </w:rPr>
      </w:pPr>
      <w:r>
        <w:rPr>
          <w:rFonts w:ascii="仿宋_GB2312" w:eastAsia="仿宋_GB2312" w:hint="eastAsia"/>
          <w:b/>
          <w:bCs/>
          <w:sz w:val="32"/>
          <w:szCs w:val="32"/>
        </w:rPr>
        <w:t>综合业务部</w:t>
      </w:r>
      <w:r>
        <w:rPr>
          <w:rFonts w:ascii="仿宋_GB2312" w:eastAsia="仿宋_GB2312" w:hint="eastAsia"/>
          <w:sz w:val="32"/>
          <w:szCs w:val="32"/>
        </w:rPr>
        <w:t>：</w:t>
      </w:r>
      <w:r>
        <w:rPr>
          <w:rFonts w:ascii="仿宋" w:eastAsia="仿宋" w:hAnsi="仿宋" w:cs="仿宋" w:hint="eastAsia"/>
          <w:sz w:val="32"/>
          <w:szCs w:val="32"/>
        </w:rPr>
        <w:t>负责中心日常行政事务，接待外来人员来访，协调中心各部门行政管理工作；</w:t>
      </w:r>
    </w:p>
    <w:p w:rsidR="009D05B8" w:rsidRDefault="00A4227E">
      <w:pPr>
        <w:pStyle w:val="1"/>
        <w:ind w:firstLineChars="0" w:firstLine="0"/>
        <w:jc w:val="left"/>
        <w:rPr>
          <w:rFonts w:ascii="仿宋" w:eastAsia="仿宋" w:hAnsi="仿宋" w:cs="仿宋"/>
          <w:sz w:val="32"/>
          <w:szCs w:val="32"/>
        </w:rPr>
      </w:pPr>
      <w:r>
        <w:rPr>
          <w:rFonts w:ascii="仿宋" w:eastAsia="仿宋" w:hAnsi="仿宋" w:cs="仿宋" w:hint="eastAsia"/>
          <w:sz w:val="32"/>
          <w:szCs w:val="32"/>
        </w:rPr>
        <w:t>根据中心主任、副主任安排，通知和召集各种会议，负责会议的准备和记录，整理会议纪要，检查会议决议的实施；负责编写、修订和保管中心各项规章制度和文件，组织规章制度的培训，检查各项制度的贯彻落实情况；负责中心各项工作的规划、总结及报告、文件、通知的打印、上报、发放、存档和保管；负责上级机关文件及各部门文件的传递、保管和存档；负责中心档案资料的保管；负责中心印章的使用和保管；负责中心财务和保险工作；负责中心宣传和信息收集与交流工作，负责报刊订阅；负责中心办公用品的采购和办公设备的保修；负责中心固定资产账务；负责公务用车的管理；负责中心考勤表、值班表的编制报送；负责中心证照的年检；</w:t>
      </w:r>
    </w:p>
    <w:p w:rsidR="009D05B8" w:rsidRDefault="00A4227E">
      <w:pPr>
        <w:ind w:firstLineChars="200" w:firstLine="643"/>
        <w:rPr>
          <w:rFonts w:ascii="仿宋" w:eastAsia="仿宋" w:hAnsi="仿宋" w:cs="仿宋"/>
          <w:sz w:val="32"/>
          <w:szCs w:val="32"/>
        </w:rPr>
      </w:pPr>
      <w:r>
        <w:rPr>
          <w:rFonts w:ascii="仿宋_GB2312" w:eastAsia="仿宋_GB2312" w:hint="eastAsia"/>
          <w:b/>
          <w:bCs/>
          <w:sz w:val="32"/>
          <w:szCs w:val="32"/>
        </w:rPr>
        <w:t>企业服务部</w:t>
      </w:r>
      <w:r>
        <w:rPr>
          <w:rFonts w:ascii="仿宋_GB2312" w:eastAsia="仿宋_GB2312" w:hint="eastAsia"/>
          <w:sz w:val="32"/>
          <w:szCs w:val="32"/>
        </w:rPr>
        <w:t>：</w:t>
      </w:r>
      <w:r>
        <w:rPr>
          <w:rFonts w:ascii="仿宋" w:eastAsia="仿宋" w:hAnsi="仿宋" w:cs="仿宋" w:hint="eastAsia"/>
          <w:sz w:val="32"/>
          <w:szCs w:val="32"/>
        </w:rPr>
        <w:t>协助入驻企业做好高新技术企业、软件企业、科技型中小企业的认定、复审工作；了解入驻企业的经营情况，组织企业填报科技部火炬中心统计报表，并做好收集、汇总、上报工作； 组织入驻企业申报各级、各类计划项目；协助入驻企业做好科技成果鉴定、专利申请、检索查询工作；</w:t>
      </w:r>
      <w:r>
        <w:rPr>
          <w:rFonts w:ascii="仿宋" w:eastAsia="仿宋" w:hAnsi="仿宋" w:cs="仿宋" w:hint="eastAsia"/>
          <w:sz w:val="32"/>
          <w:szCs w:val="32"/>
        </w:rPr>
        <w:lastRenderedPageBreak/>
        <w:t>组织入驻企业参加培训、银企对接、参展等活动；协助入驻企业与政府及相关部门的沟通联系；</w:t>
      </w:r>
    </w:p>
    <w:p w:rsidR="009D05B8" w:rsidRDefault="00A4227E">
      <w:pPr>
        <w:rPr>
          <w:rFonts w:ascii="仿宋" w:eastAsia="仿宋" w:hAnsi="仿宋" w:cs="仿宋"/>
          <w:sz w:val="32"/>
          <w:szCs w:val="32"/>
        </w:rPr>
      </w:pPr>
      <w:r>
        <w:rPr>
          <w:rFonts w:ascii="仿宋" w:eastAsia="仿宋" w:hAnsi="仿宋" w:cs="仿宋" w:hint="eastAsia"/>
          <w:sz w:val="32"/>
          <w:szCs w:val="32"/>
        </w:rPr>
        <w:t xml:space="preserve">    </w:t>
      </w:r>
      <w:r>
        <w:rPr>
          <w:rFonts w:ascii="仿宋_GB2312" w:eastAsia="仿宋_GB2312" w:hint="eastAsia"/>
          <w:b/>
          <w:bCs/>
          <w:sz w:val="32"/>
          <w:szCs w:val="32"/>
        </w:rPr>
        <w:t>对外合作部</w:t>
      </w:r>
      <w:r>
        <w:rPr>
          <w:rFonts w:ascii="仿宋_GB2312" w:eastAsia="仿宋_GB2312" w:hint="eastAsia"/>
          <w:sz w:val="32"/>
          <w:szCs w:val="32"/>
        </w:rPr>
        <w:t>：</w:t>
      </w:r>
      <w:r>
        <w:rPr>
          <w:rFonts w:ascii="仿宋" w:eastAsia="仿宋" w:hAnsi="仿宋" w:cs="仿宋" w:hint="eastAsia"/>
          <w:sz w:val="32"/>
          <w:szCs w:val="32"/>
        </w:rPr>
        <w:t>引导企业、高校的存量设施和场地建设创新创业孵化载体。辅导区内孵化器、</w:t>
      </w:r>
      <w:proofErr w:type="gramStart"/>
      <w:r>
        <w:rPr>
          <w:rFonts w:ascii="仿宋" w:eastAsia="仿宋" w:hAnsi="仿宋" w:cs="仿宋" w:hint="eastAsia"/>
          <w:sz w:val="32"/>
          <w:szCs w:val="32"/>
        </w:rPr>
        <w:t>众创空间</w:t>
      </w:r>
      <w:proofErr w:type="gramEnd"/>
      <w:r>
        <w:rPr>
          <w:rFonts w:ascii="仿宋" w:eastAsia="仿宋" w:hAnsi="仿宋" w:cs="仿宋" w:hint="eastAsia"/>
          <w:sz w:val="32"/>
          <w:szCs w:val="32"/>
        </w:rPr>
        <w:t>扩大服务范围，提升服务质量，积极申报更高级载体称号。</w:t>
      </w:r>
    </w:p>
    <w:p w:rsidR="009D05B8" w:rsidRDefault="00A4227E">
      <w:pPr>
        <w:ind w:firstLineChars="200" w:firstLine="643"/>
        <w:rPr>
          <w:rFonts w:ascii="仿宋" w:eastAsia="仿宋" w:hAnsi="仿宋" w:cs="仿宋"/>
          <w:sz w:val="32"/>
          <w:szCs w:val="32"/>
        </w:rPr>
      </w:pPr>
      <w:r>
        <w:rPr>
          <w:rFonts w:ascii="仿宋_GB2312" w:eastAsia="仿宋_GB2312" w:hint="eastAsia"/>
          <w:b/>
          <w:bCs/>
          <w:sz w:val="32"/>
          <w:szCs w:val="32"/>
        </w:rPr>
        <w:t>物业服务部</w:t>
      </w:r>
      <w:r>
        <w:rPr>
          <w:rFonts w:ascii="仿宋_GB2312" w:eastAsia="仿宋_GB2312" w:hint="eastAsia"/>
          <w:sz w:val="32"/>
          <w:szCs w:val="32"/>
        </w:rPr>
        <w:t>:</w:t>
      </w:r>
      <w:r>
        <w:rPr>
          <w:rFonts w:ascii="仿宋" w:eastAsia="仿宋" w:hAnsi="仿宋" w:cs="仿宋" w:hint="eastAsia"/>
          <w:sz w:val="32"/>
          <w:szCs w:val="32"/>
        </w:rPr>
        <w:t>负责按合同规定的时间、标准将出租房屋交给承租人，并会同承租人检查该房屋及附属设施；负责维修房屋内、外设施；负责孵化场地公用设施的卫生保洁及公用设备维护、运行和检测管理，建立设备设施档案；负责维修人员、保洁人员、保安人员的培训与管理，负责卫生、防火、安保工作；负责孵化场地内、外围环境建设；负责停车场的管理；负责为入驻企业提供会议、展示场地和相应配套设施及相关工作；负责毕业企业或中途退出企业归还房屋的接受和检查；负责通知入驻企业交付房屋、物业、水、电费用。</w:t>
      </w:r>
    </w:p>
    <w:p w:rsidR="009D05B8" w:rsidRDefault="00A4227E">
      <w:pPr>
        <w:widowControl/>
        <w:ind w:firstLineChars="200" w:firstLine="643"/>
        <w:jc w:val="left"/>
      </w:pPr>
      <w:r>
        <w:rPr>
          <w:rFonts w:ascii="仿宋_GB2312" w:eastAsia="仿宋_GB2312" w:hint="eastAsia"/>
          <w:b/>
          <w:bCs/>
          <w:sz w:val="32"/>
          <w:szCs w:val="32"/>
        </w:rPr>
        <w:t>招商业务部</w:t>
      </w:r>
      <w:r>
        <w:rPr>
          <w:rFonts w:ascii="仿宋_GB2312" w:eastAsia="仿宋_GB2312" w:hint="eastAsia"/>
          <w:sz w:val="32"/>
          <w:szCs w:val="32"/>
        </w:rPr>
        <w:t>：</w:t>
      </w:r>
      <w:r>
        <w:rPr>
          <w:rFonts w:ascii="仿宋" w:eastAsia="仿宋" w:hAnsi="仿宋" w:cs="仿宋" w:hint="eastAsia"/>
          <w:kern w:val="0"/>
          <w:sz w:val="32"/>
          <w:szCs w:val="32"/>
          <w:lang w:bidi="ar"/>
        </w:rPr>
        <w:t>负责创业中心招商工作，筛选符合创业中心入驻标准的企业进驻；负责入驻创业中心的项目洽谈和进驻企业的指导性管理；组织审核入驻中心的孵化项目，协助企业办理工商注册、税务登记、银行开户、企业代码、年检、变更等；负责与进驻企业</w:t>
      </w:r>
      <w:proofErr w:type="gramStart"/>
      <w:r>
        <w:rPr>
          <w:rFonts w:ascii="仿宋" w:eastAsia="仿宋" w:hAnsi="仿宋" w:cs="仿宋" w:hint="eastAsia"/>
          <w:kern w:val="0"/>
          <w:sz w:val="32"/>
          <w:szCs w:val="32"/>
          <w:lang w:bidi="ar"/>
        </w:rPr>
        <w:t>签定</w:t>
      </w:r>
      <w:proofErr w:type="gramEnd"/>
      <w:r>
        <w:rPr>
          <w:rFonts w:ascii="仿宋" w:eastAsia="仿宋" w:hAnsi="仿宋" w:cs="仿宋" w:hint="eastAsia"/>
          <w:kern w:val="0"/>
          <w:sz w:val="32"/>
          <w:szCs w:val="32"/>
          <w:lang w:bidi="ar"/>
        </w:rPr>
        <w:t>房屋租赁合同，工商合同及签订孵化管理协议；建立并管理入驻企业和项目的资料及档案；负责协助企业办理毕业和退出的工作；</w:t>
      </w:r>
    </w:p>
    <w:p w:rsidR="009D05B8" w:rsidRDefault="00A4227E">
      <w:pPr>
        <w:spacing w:line="560" w:lineRule="exact"/>
        <w:ind w:firstLineChars="200" w:firstLine="643"/>
        <w:rPr>
          <w:rFonts w:ascii="宋体" w:hAnsi="宋体"/>
          <w:b/>
          <w:sz w:val="32"/>
          <w:szCs w:val="32"/>
        </w:rPr>
      </w:pPr>
      <w:r>
        <w:rPr>
          <w:rFonts w:ascii="宋体" w:hAnsi="宋体" w:hint="eastAsia"/>
          <w:b/>
          <w:sz w:val="32"/>
          <w:szCs w:val="32"/>
        </w:rPr>
        <w:t>二、</w:t>
      </w:r>
      <w:r>
        <w:rPr>
          <w:rFonts w:eastAsia="仿宋_GB2312" w:hint="eastAsia"/>
          <w:b/>
          <w:sz w:val="36"/>
          <w:szCs w:val="36"/>
        </w:rPr>
        <w:t>部门预算总体情况及预算收支增减变化情况说明</w:t>
      </w:r>
    </w:p>
    <w:p w:rsidR="009D05B8" w:rsidRDefault="00A4227E">
      <w:pPr>
        <w:spacing w:line="560" w:lineRule="exact"/>
        <w:ind w:firstLineChars="200" w:firstLine="600"/>
        <w:rPr>
          <w:rFonts w:ascii="仿宋_GB2312" w:eastAsia="仿宋_GB2312"/>
          <w:sz w:val="32"/>
          <w:szCs w:val="32"/>
        </w:rPr>
      </w:pPr>
      <w:r>
        <w:rPr>
          <w:rFonts w:hint="eastAsia"/>
          <w:sz w:val="30"/>
          <w:szCs w:val="30"/>
        </w:rPr>
        <w:t xml:space="preserve"> </w:t>
      </w:r>
      <w:r>
        <w:rPr>
          <w:rFonts w:hint="eastAsia"/>
          <w:sz w:val="30"/>
          <w:szCs w:val="30"/>
        </w:rPr>
        <w:t>收入预算：高</w:t>
      </w:r>
      <w:r>
        <w:rPr>
          <w:rFonts w:ascii="仿宋_GB2312" w:eastAsia="仿宋_GB2312" w:hint="eastAsia"/>
          <w:sz w:val="32"/>
          <w:szCs w:val="32"/>
        </w:rPr>
        <w:t>新区创业中心2018年预算收入629.66万元。</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支出预算：合计629.66万元，其中：人员经费支出313.83万元，日常公用经费支出288.83万元，</w:t>
      </w:r>
      <w:r>
        <w:rPr>
          <w:rFonts w:ascii="仿宋_GB2312" w:eastAsia="仿宋_GB2312" w:hint="eastAsia"/>
          <w:sz w:val="32"/>
          <w:szCs w:val="32"/>
        </w:rPr>
        <w:lastRenderedPageBreak/>
        <w:t>项目支出27万元。</w:t>
      </w:r>
    </w:p>
    <w:p w:rsidR="009D05B8" w:rsidRDefault="00A4227E">
      <w:pPr>
        <w:spacing w:line="560" w:lineRule="exact"/>
        <w:ind w:firstLineChars="200" w:firstLine="640"/>
        <w:rPr>
          <w:sz w:val="30"/>
          <w:szCs w:val="30"/>
        </w:rPr>
      </w:pPr>
      <w:r>
        <w:rPr>
          <w:rFonts w:ascii="仿宋_GB2312" w:eastAsia="仿宋_GB2312" w:hAnsi="宋体" w:hint="eastAsia"/>
          <w:sz w:val="32"/>
          <w:szCs w:val="32"/>
        </w:rPr>
        <w:t>与2017年相比减少40.89%，原因：</w:t>
      </w:r>
      <w:r>
        <w:rPr>
          <w:rFonts w:ascii="仿宋_GB2312" w:eastAsia="仿宋_GB2312" w:hint="eastAsia"/>
          <w:sz w:val="32"/>
          <w:szCs w:val="32"/>
        </w:rPr>
        <w:t>项目经费减少</w:t>
      </w:r>
      <w:r>
        <w:rPr>
          <w:rFonts w:ascii="仿宋_GB2312" w:eastAsia="仿宋_GB2312" w:hAnsi="宋体" w:hint="eastAsia"/>
          <w:sz w:val="32"/>
          <w:szCs w:val="32"/>
        </w:rPr>
        <w:t>。</w:t>
      </w:r>
    </w:p>
    <w:p w:rsidR="009D05B8" w:rsidRDefault="00A4227E">
      <w:pPr>
        <w:spacing w:line="560" w:lineRule="exact"/>
        <w:ind w:firstLineChars="200" w:firstLine="643"/>
        <w:rPr>
          <w:rFonts w:ascii="仿宋_GB2312" w:eastAsia="仿宋_GB2312"/>
          <w:sz w:val="32"/>
          <w:szCs w:val="32"/>
        </w:rPr>
      </w:pPr>
      <w:r>
        <w:rPr>
          <w:rFonts w:ascii="宋体" w:hAnsi="宋体" w:hint="eastAsia"/>
          <w:b/>
          <w:sz w:val="32"/>
          <w:szCs w:val="32"/>
        </w:rPr>
        <w:t>三、</w:t>
      </w:r>
      <w:r>
        <w:rPr>
          <w:rFonts w:eastAsia="仿宋_GB2312"/>
          <w:b/>
          <w:sz w:val="36"/>
          <w:szCs w:val="36"/>
        </w:rPr>
        <w:t>机关运行经费情况及增减变化说明说明</w:t>
      </w:r>
    </w:p>
    <w:p w:rsidR="009D05B8" w:rsidRDefault="00A4227E">
      <w:pPr>
        <w:ind w:firstLineChars="200" w:firstLine="640"/>
        <w:rPr>
          <w:rFonts w:ascii="仿宋_GB2312" w:eastAsia="仿宋_GB2312"/>
          <w:sz w:val="32"/>
          <w:szCs w:val="32"/>
        </w:rPr>
      </w:pPr>
      <w:r>
        <w:rPr>
          <w:rFonts w:ascii="仿宋_GB2312" w:eastAsia="仿宋_GB2312" w:hint="eastAsia"/>
          <w:sz w:val="32"/>
          <w:szCs w:val="32"/>
        </w:rPr>
        <w:t>机关运行经费预算情况：</w:t>
      </w:r>
      <w:bookmarkStart w:id="0" w:name="c1_1"/>
      <w:bookmarkEnd w:id="0"/>
      <w:r>
        <w:rPr>
          <w:rFonts w:ascii="仿宋_GB2312" w:eastAsia="仿宋_GB2312" w:hint="eastAsia"/>
          <w:sz w:val="32"/>
          <w:szCs w:val="32"/>
        </w:rPr>
        <w:t>2018年本部门履行一般行政事业管理职能、维持机关运行，日常公用经费预算安排，合计288.83万元，对比2017年减少1.33万元。主要原因：按照《预算法》和机关运行费用节支要求，减少各项运行费用。</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机关运行经费预算的内容：本部门机关运行经费包括办公费3.15万元、水费20万元、电费92.5万元、邮电费2.3万元、办公取暖费157.5万元、差旅费3.3万元、维修费0.5万元、会议费0.46万元、公务用车运行维护费4.5万元、其他0.21万元、培训费1.84万元、工会经费2.57万元。共计288.83万元。</w:t>
      </w:r>
    </w:p>
    <w:p w:rsidR="009D05B8" w:rsidRDefault="00A4227E">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9D05B8" w:rsidRDefault="00A4227E">
      <w:pPr>
        <w:ind w:firstLineChars="200" w:firstLine="640"/>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A76C5A">
        <w:rPr>
          <w:rFonts w:ascii="仿宋_GB2312" w:eastAsia="仿宋_GB2312" w:hint="eastAsia"/>
          <w:sz w:val="32"/>
          <w:szCs w:val="32"/>
        </w:rPr>
        <w:t>11.8</w:t>
      </w:r>
      <w:r>
        <w:rPr>
          <w:rFonts w:ascii="仿宋_GB2312" w:eastAsia="仿宋_GB2312" w:hint="eastAsia"/>
          <w:sz w:val="32"/>
          <w:szCs w:val="32"/>
        </w:rPr>
        <w:t>万元，较上年预算增加3.95万元。具体情况如下：</w:t>
      </w:r>
    </w:p>
    <w:p w:rsidR="009D05B8" w:rsidRDefault="00A4227E">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（一）公务用车购置及运行费，共计安排4.5万元，与上年持平。</w:t>
      </w:r>
    </w:p>
    <w:p w:rsidR="009D05B8" w:rsidRDefault="00A4227E">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2.公务用车运行维护经费安排4.5万元，与上年持平。</w:t>
      </w:r>
    </w:p>
    <w:p w:rsidR="009D05B8" w:rsidRDefault="00A4227E">
      <w:pPr>
        <w:ind w:firstLine="630"/>
        <w:rPr>
          <w:rFonts w:ascii="仿宋_GB2312" w:eastAsia="仿宋_GB2312"/>
          <w:sz w:val="32"/>
          <w:szCs w:val="32"/>
        </w:rPr>
      </w:pPr>
      <w:r>
        <w:rPr>
          <w:rFonts w:ascii="仿宋_GB2312" w:eastAsia="仿宋_GB2312" w:hint="eastAsia"/>
          <w:sz w:val="32"/>
          <w:szCs w:val="32"/>
        </w:rPr>
        <w:t>（二）公务接待费。安排5万元，较上年预算增加3.95万元。原因：公用部分公务接待费为0元，</w:t>
      </w:r>
      <w:r>
        <w:rPr>
          <w:rFonts w:ascii="仿宋_GB2312" w:eastAsia="仿宋_GB2312" w:hint="eastAsia"/>
          <w:sz w:val="32"/>
          <w:szCs w:val="32"/>
        </w:rPr>
        <w:lastRenderedPageBreak/>
        <w:t>较上年预算减少1.05万元；项目部分公务接待</w:t>
      </w:r>
      <w:proofErr w:type="gramStart"/>
      <w:r>
        <w:rPr>
          <w:rFonts w:ascii="仿宋_GB2312" w:eastAsia="仿宋_GB2312" w:hint="eastAsia"/>
          <w:sz w:val="32"/>
          <w:szCs w:val="32"/>
        </w:rPr>
        <w:t>费安排</w:t>
      </w:r>
      <w:proofErr w:type="gramEnd"/>
      <w:r>
        <w:rPr>
          <w:rFonts w:ascii="仿宋_GB2312" w:eastAsia="仿宋_GB2312" w:hint="eastAsia"/>
          <w:sz w:val="32"/>
          <w:szCs w:val="32"/>
        </w:rPr>
        <w:t>5万元，用于招商工作。</w:t>
      </w:r>
    </w:p>
    <w:p w:rsidR="009D05B8" w:rsidRDefault="00A4227E">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A76C5A" w:rsidRDefault="00A76C5A">
      <w:pPr>
        <w:ind w:firstLine="630"/>
        <w:rPr>
          <w:rFonts w:ascii="仿宋" w:eastAsia="仿宋" w:hAnsi="仿宋" w:cs="仿宋_GB2312" w:hint="eastAsia"/>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0.46万元，与上年持平。</w:t>
      </w:r>
    </w:p>
    <w:p w:rsidR="00A76C5A" w:rsidRPr="00A76C5A" w:rsidRDefault="00A76C5A">
      <w:pPr>
        <w:ind w:firstLine="630"/>
        <w:rPr>
          <w:rFonts w:ascii="仿宋_GB2312" w:eastAsia="仿宋_GB2312"/>
          <w:sz w:val="32"/>
          <w:szCs w:val="32"/>
        </w:rPr>
      </w:pPr>
      <w:r>
        <w:rPr>
          <w:rFonts w:ascii="仿宋" w:eastAsia="仿宋" w:hAnsi="仿宋" w:cs="仿宋_GB2312" w:hint="eastAsia"/>
          <w:sz w:val="32"/>
          <w:szCs w:val="32"/>
        </w:rPr>
        <w:t>（五）培训费安排1.84万元，与上年持平。</w:t>
      </w:r>
      <w:bookmarkStart w:id="1" w:name="_GoBack"/>
      <w:bookmarkEnd w:id="1"/>
    </w:p>
    <w:p w:rsidR="009D05B8" w:rsidRDefault="00A4227E">
      <w:pPr>
        <w:spacing w:line="560" w:lineRule="exact"/>
        <w:ind w:firstLineChars="200" w:firstLine="643"/>
        <w:rPr>
          <w:rFonts w:ascii="宋体" w:hAnsi="宋体"/>
          <w:b/>
          <w:sz w:val="32"/>
          <w:szCs w:val="32"/>
        </w:rPr>
      </w:pPr>
      <w:r>
        <w:rPr>
          <w:rFonts w:ascii="宋体" w:hAnsi="宋体" w:hint="eastAsia"/>
          <w:b/>
          <w:sz w:val="32"/>
          <w:szCs w:val="32"/>
        </w:rPr>
        <w:t>五、绩效信息</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唐山高新技术创业中心的为中小科技企业提供创新创业服务的公益型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rsidR="009D05B8" w:rsidRDefault="00A4227E">
      <w:pPr>
        <w:jc w:val="center"/>
        <w:outlineLvl w:val="0"/>
        <w:rPr>
          <w:rFonts w:ascii="方正小标宋_GBK" w:eastAsia="方正小标宋_GBK"/>
          <w:sz w:val="32"/>
        </w:rPr>
      </w:pPr>
      <w:bookmarkStart w:id="2" w:name="_Toc486492115"/>
      <w:r>
        <w:rPr>
          <w:rFonts w:ascii="方正小标宋_GBK" w:eastAsia="方正小标宋_GBK" w:hint="eastAsia"/>
          <w:sz w:val="32"/>
        </w:rPr>
        <w:t>部门职责-工作活动绩效目标</w:t>
      </w:r>
      <w:bookmarkEnd w:id="2"/>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9D05B8">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9D05B8" w:rsidRDefault="00A4227E">
            <w:pPr>
              <w:spacing w:line="300" w:lineRule="exact"/>
              <w:jc w:val="left"/>
              <w:rPr>
                <w:rFonts w:ascii="方正小标宋_GBK" w:eastAsia="方正小标宋_GBK"/>
                <w:sz w:val="24"/>
              </w:rPr>
            </w:pPr>
            <w:r>
              <w:rPr>
                <w:rFonts w:ascii="方正小标宋_GBK" w:eastAsia="方正小标宋_GBK"/>
                <w:sz w:val="24"/>
              </w:rPr>
              <w:t>115</w:t>
            </w:r>
            <w:r>
              <w:rPr>
                <w:rFonts w:ascii="方正小标宋_GBK" w:eastAsia="方正小标宋_GBK" w:hint="eastAsia"/>
                <w:sz w:val="24"/>
              </w:rPr>
              <w:t>创业中心</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9D05B8" w:rsidRDefault="00A4227E">
            <w:pPr>
              <w:spacing w:line="300" w:lineRule="exact"/>
              <w:jc w:val="right"/>
              <w:rPr>
                <w:rFonts w:ascii="方正书宋_GBK" w:eastAsia="方正书宋_GBK"/>
                <w:sz w:val="24"/>
              </w:rPr>
            </w:pPr>
            <w:r>
              <w:rPr>
                <w:rFonts w:ascii="方正书宋_GBK" w:eastAsia="方正书宋_GBK" w:hint="eastAsia"/>
                <w:sz w:val="24"/>
              </w:rPr>
              <w:t>单位：万元</w:t>
            </w:r>
          </w:p>
        </w:tc>
      </w:tr>
      <w:tr w:rsidR="009D05B8">
        <w:trPr>
          <w:trHeight w:val="227"/>
          <w:tblHeader/>
          <w:jc w:val="center"/>
        </w:trPr>
        <w:tc>
          <w:tcPr>
            <w:tcW w:w="2341" w:type="dxa"/>
            <w:vMerge w:val="restart"/>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评价标准</w:t>
            </w:r>
          </w:p>
        </w:tc>
      </w:tr>
      <w:tr w:rsidR="009D05B8">
        <w:trPr>
          <w:trHeight w:val="227"/>
          <w:tblHeader/>
          <w:jc w:val="center"/>
        </w:trPr>
        <w:tc>
          <w:tcPr>
            <w:tcW w:w="2341" w:type="dxa"/>
            <w:vMerge/>
            <w:shd w:val="clear" w:color="auto" w:fill="auto"/>
            <w:vAlign w:val="center"/>
          </w:tcPr>
          <w:p w:rsidR="009D05B8" w:rsidRDefault="009D05B8">
            <w:pPr>
              <w:spacing w:line="300" w:lineRule="exact"/>
              <w:jc w:val="left"/>
              <w:outlineLvl w:val="0"/>
            </w:pPr>
          </w:p>
        </w:tc>
        <w:tc>
          <w:tcPr>
            <w:tcW w:w="1276" w:type="dxa"/>
            <w:vMerge/>
            <w:shd w:val="clear" w:color="auto" w:fill="auto"/>
            <w:vAlign w:val="center"/>
          </w:tcPr>
          <w:p w:rsidR="009D05B8" w:rsidRDefault="009D05B8">
            <w:pPr>
              <w:spacing w:line="300" w:lineRule="exact"/>
              <w:jc w:val="left"/>
              <w:outlineLvl w:val="0"/>
            </w:pPr>
          </w:p>
        </w:tc>
        <w:tc>
          <w:tcPr>
            <w:tcW w:w="2976" w:type="dxa"/>
            <w:vMerge/>
            <w:shd w:val="clear" w:color="auto" w:fill="auto"/>
            <w:vAlign w:val="center"/>
          </w:tcPr>
          <w:p w:rsidR="009D05B8" w:rsidRDefault="009D05B8">
            <w:pPr>
              <w:spacing w:line="300" w:lineRule="exact"/>
              <w:jc w:val="left"/>
              <w:outlineLvl w:val="0"/>
            </w:pPr>
          </w:p>
        </w:tc>
        <w:tc>
          <w:tcPr>
            <w:tcW w:w="2976" w:type="dxa"/>
            <w:vMerge/>
            <w:shd w:val="clear" w:color="auto" w:fill="auto"/>
            <w:vAlign w:val="center"/>
          </w:tcPr>
          <w:p w:rsidR="009D05B8" w:rsidRDefault="009D05B8">
            <w:pPr>
              <w:spacing w:line="300" w:lineRule="exact"/>
              <w:jc w:val="left"/>
              <w:outlineLvl w:val="0"/>
            </w:pPr>
          </w:p>
        </w:tc>
        <w:tc>
          <w:tcPr>
            <w:tcW w:w="1417" w:type="dxa"/>
            <w:vMerge/>
            <w:shd w:val="clear" w:color="auto" w:fill="auto"/>
            <w:vAlign w:val="center"/>
          </w:tcPr>
          <w:p w:rsidR="009D05B8" w:rsidRDefault="009D05B8">
            <w:pPr>
              <w:spacing w:line="300" w:lineRule="exact"/>
              <w:jc w:val="left"/>
              <w:outlineLvl w:val="0"/>
            </w:pPr>
          </w:p>
        </w:tc>
        <w:tc>
          <w:tcPr>
            <w:tcW w:w="737"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差</w:t>
            </w:r>
          </w:p>
        </w:tc>
      </w:tr>
      <w:tr w:rsidR="009D05B8">
        <w:trPr>
          <w:trHeight w:val="227"/>
          <w:jc w:val="center"/>
        </w:trPr>
        <w:tc>
          <w:tcPr>
            <w:tcW w:w="2341" w:type="dxa"/>
            <w:shd w:val="clear" w:color="auto" w:fill="auto"/>
            <w:vAlign w:val="center"/>
          </w:tcPr>
          <w:p w:rsidR="009D05B8" w:rsidRDefault="00A4227E">
            <w:pPr>
              <w:spacing w:line="300" w:lineRule="exact"/>
              <w:jc w:val="left"/>
              <w:rPr>
                <w:rFonts w:ascii="方正书宋_GBK" w:eastAsia="方正书宋_GBK"/>
                <w:b/>
              </w:rPr>
            </w:pPr>
            <w:r>
              <w:rPr>
                <w:rFonts w:ascii="方正书宋_GBK" w:eastAsia="方正书宋_GBK" w:hint="eastAsia"/>
                <w:b/>
              </w:rPr>
              <w:t>招商和宣传</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做好招商和宣传工作，吸引优质产业化项目和科技企业入驻创业中心及区内孵化器</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提升创业中心知名度，完成中心年度招商指标任务</w:t>
            </w:r>
          </w:p>
        </w:tc>
        <w:tc>
          <w:tcPr>
            <w:tcW w:w="1417" w:type="dxa"/>
            <w:shd w:val="clear" w:color="auto" w:fill="auto"/>
            <w:vAlign w:val="center"/>
          </w:tcPr>
          <w:p w:rsidR="009D05B8" w:rsidRDefault="009D05B8">
            <w:pPr>
              <w:spacing w:line="300" w:lineRule="exact"/>
              <w:jc w:val="left"/>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r>
      <w:tr w:rsidR="009D05B8">
        <w:trPr>
          <w:trHeight w:val="227"/>
          <w:jc w:val="center"/>
        </w:trPr>
        <w:tc>
          <w:tcPr>
            <w:tcW w:w="2341" w:type="dxa"/>
            <w:shd w:val="clear" w:color="auto" w:fill="auto"/>
            <w:vAlign w:val="center"/>
          </w:tcPr>
          <w:p w:rsidR="009D05B8" w:rsidRDefault="00A4227E">
            <w:pPr>
              <w:spacing w:line="300" w:lineRule="exact"/>
              <w:jc w:val="left"/>
              <w:rPr>
                <w:rFonts w:ascii="方正书宋_GBK" w:eastAsia="方正书宋_GBK"/>
                <w:b/>
              </w:rPr>
            </w:pPr>
            <w:r>
              <w:rPr>
                <w:rFonts w:ascii="方正书宋_GBK" w:eastAsia="方正书宋_GBK" w:hint="eastAsia"/>
                <w:b/>
              </w:rPr>
              <w:t xml:space="preserve">　　招商和宣传</w:t>
            </w:r>
          </w:p>
        </w:tc>
        <w:tc>
          <w:tcPr>
            <w:tcW w:w="1276"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20</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做好招商和宣传工作，吸引优质产业化项目和科技企业入驻</w:t>
            </w:r>
            <w:r>
              <w:rPr>
                <w:rFonts w:ascii="方正书宋_GBK" w:eastAsia="方正书宋_GBK" w:hint="eastAsia"/>
              </w:rPr>
              <w:lastRenderedPageBreak/>
              <w:t>创业中心及区内孵化器</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lastRenderedPageBreak/>
              <w:t>提升创业中心知名度，完成中心年度招商指标任务</w:t>
            </w:r>
          </w:p>
        </w:tc>
        <w:tc>
          <w:tcPr>
            <w:tcW w:w="1417"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完成率情况</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≥70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≥50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微软雅黑" w:eastAsia="微软雅黑" w:hAnsi="微软雅黑" w:cs="微软雅黑" w:hint="eastAsia"/>
              </w:rPr>
              <w:t>&lt;</w:t>
            </w:r>
            <w:r>
              <w:rPr>
                <w:rFonts w:ascii="方正书宋_GBK" w:eastAsia="方正书宋_GBK" w:hint="eastAsia"/>
              </w:rPr>
              <w:t>50</w:t>
            </w:r>
            <w:r>
              <w:rPr>
                <w:rFonts w:ascii="方正书宋_GBK" w:eastAsia="方正书宋_GBK"/>
              </w:rPr>
              <w:t>%</w:t>
            </w:r>
          </w:p>
        </w:tc>
      </w:tr>
      <w:tr w:rsidR="009D05B8">
        <w:trPr>
          <w:trHeight w:val="825"/>
          <w:jc w:val="center"/>
        </w:trPr>
        <w:tc>
          <w:tcPr>
            <w:tcW w:w="2341" w:type="dxa"/>
            <w:shd w:val="clear" w:color="auto" w:fill="auto"/>
            <w:vAlign w:val="center"/>
          </w:tcPr>
          <w:p w:rsidR="009D05B8" w:rsidRDefault="009D05B8">
            <w:pPr>
              <w:spacing w:line="300" w:lineRule="exact"/>
              <w:jc w:val="left"/>
              <w:rPr>
                <w:rFonts w:ascii="方正书宋_GBK" w:eastAsia="方正书宋_GBK"/>
                <w:b/>
              </w:rPr>
            </w:pPr>
          </w:p>
          <w:p w:rsidR="009D05B8" w:rsidRDefault="00A4227E">
            <w:pPr>
              <w:spacing w:line="300" w:lineRule="exact"/>
              <w:jc w:val="left"/>
              <w:rPr>
                <w:rFonts w:ascii="方正书宋_GBK" w:eastAsia="方正书宋_GBK"/>
                <w:b/>
              </w:rPr>
            </w:pPr>
            <w:r>
              <w:rPr>
                <w:rFonts w:ascii="方正书宋_GBK" w:eastAsia="方正书宋_GBK" w:hint="eastAsia"/>
                <w:b/>
              </w:rPr>
              <w:t>企业孵化服务</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开展各种培训交流、推动创新创业文化建设、争取各类对企业支持的政府资金，加强项目申报组织工作</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通过开展各类培训交流、推动创新创业文化建设、争取各类对企业支持的政府资金，加强项目申报组织工作，提升中心服务水平。</w:t>
            </w:r>
          </w:p>
        </w:tc>
        <w:tc>
          <w:tcPr>
            <w:tcW w:w="1417" w:type="dxa"/>
            <w:shd w:val="clear" w:color="auto" w:fill="auto"/>
            <w:vAlign w:val="center"/>
          </w:tcPr>
          <w:p w:rsidR="009D05B8" w:rsidRDefault="009D05B8">
            <w:pPr>
              <w:spacing w:line="300" w:lineRule="exact"/>
              <w:jc w:val="left"/>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微软雅黑" w:eastAsia="微软雅黑" w:hAnsi="微软雅黑" w:cs="微软雅黑"/>
              </w:rPr>
            </w:pPr>
          </w:p>
        </w:tc>
      </w:tr>
      <w:tr w:rsidR="009D05B8">
        <w:trPr>
          <w:trHeight w:val="825"/>
          <w:jc w:val="center"/>
        </w:trPr>
        <w:tc>
          <w:tcPr>
            <w:tcW w:w="2341" w:type="dxa"/>
            <w:shd w:val="clear" w:color="auto" w:fill="auto"/>
            <w:vAlign w:val="center"/>
          </w:tcPr>
          <w:p w:rsidR="009D05B8" w:rsidRDefault="009D05B8">
            <w:pPr>
              <w:spacing w:line="300" w:lineRule="exact"/>
              <w:jc w:val="left"/>
              <w:rPr>
                <w:rFonts w:ascii="方正书宋_GBK" w:eastAsia="方正书宋_GBK"/>
                <w:b/>
              </w:rPr>
            </w:pPr>
          </w:p>
          <w:p w:rsidR="009D05B8" w:rsidRDefault="00A4227E">
            <w:pPr>
              <w:spacing w:line="300" w:lineRule="exact"/>
              <w:jc w:val="center"/>
              <w:rPr>
                <w:rFonts w:ascii="方正书宋_GBK" w:eastAsia="方正书宋_GBK"/>
                <w:b/>
              </w:rPr>
            </w:pPr>
            <w:r>
              <w:rPr>
                <w:rFonts w:ascii="方正书宋_GBK" w:eastAsia="方正书宋_GBK" w:hint="eastAsia"/>
                <w:b/>
              </w:rPr>
              <w:t>企业孵化服务</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开展各种培训交流、推动创新创业文化建设、争取各类对企业支持的政府资金，加强项目申报组织工作</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通过开展各类培训交流、推动创新创业文化建设、争取各类对企业支持的政府资金，加强项目申报组织工作，提升中心服务水平。</w:t>
            </w:r>
          </w:p>
        </w:tc>
        <w:tc>
          <w:tcPr>
            <w:tcW w:w="1417"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完成率情况</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≥70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≥50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微软雅黑" w:eastAsia="微软雅黑" w:hAnsi="微软雅黑" w:cs="微软雅黑" w:hint="eastAsia"/>
              </w:rPr>
              <w:t>&lt;</w:t>
            </w:r>
            <w:r>
              <w:rPr>
                <w:rFonts w:ascii="方正书宋_GBK" w:eastAsia="方正书宋_GBK" w:hint="eastAsia"/>
              </w:rPr>
              <w:t>50</w:t>
            </w:r>
            <w:r>
              <w:rPr>
                <w:rFonts w:ascii="方正书宋_GBK" w:eastAsia="方正书宋_GBK"/>
              </w:rPr>
              <w:t>%</w:t>
            </w:r>
          </w:p>
        </w:tc>
      </w:tr>
      <w:tr w:rsidR="009D05B8">
        <w:trPr>
          <w:trHeight w:val="735"/>
          <w:jc w:val="center"/>
        </w:trPr>
        <w:tc>
          <w:tcPr>
            <w:tcW w:w="2341" w:type="dxa"/>
            <w:shd w:val="clear" w:color="auto" w:fill="auto"/>
            <w:vAlign w:val="center"/>
          </w:tcPr>
          <w:p w:rsidR="009D05B8" w:rsidRDefault="00A4227E">
            <w:pPr>
              <w:spacing w:line="300" w:lineRule="exact"/>
              <w:jc w:val="left"/>
              <w:rPr>
                <w:rFonts w:ascii="方正书宋_GBK" w:eastAsia="方正书宋_GBK"/>
                <w:b/>
              </w:rPr>
            </w:pPr>
            <w:r>
              <w:rPr>
                <w:rFonts w:ascii="方正书宋_GBK" w:eastAsia="方正书宋_GBK" w:hint="eastAsia"/>
                <w:b/>
              </w:rPr>
              <w:t>孵化服务平台建设、投融资服务</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建立技术、产业、市场等要素平台，推进企业快速发展。以创投公司作为中小科技企业投融资平台，为其提供投融资服务</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通过建立技术、产业、市场等要素平台，推进企业快速发展。通过增加创投公司实收资本，扩充其股权投资业务资金实力和天使基金募集能力，向区内科技企业加大股权融资服务</w:t>
            </w:r>
          </w:p>
        </w:tc>
        <w:tc>
          <w:tcPr>
            <w:tcW w:w="1417" w:type="dxa"/>
            <w:shd w:val="clear" w:color="auto" w:fill="auto"/>
            <w:vAlign w:val="center"/>
          </w:tcPr>
          <w:p w:rsidR="009D05B8" w:rsidRDefault="009D05B8">
            <w:pPr>
              <w:spacing w:line="300" w:lineRule="exact"/>
              <w:jc w:val="left"/>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r>
      <w:tr w:rsidR="009D05B8">
        <w:trPr>
          <w:trHeight w:val="735"/>
          <w:jc w:val="center"/>
        </w:trPr>
        <w:tc>
          <w:tcPr>
            <w:tcW w:w="2341"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孵化服务平台建设、投融资服务</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建立技术、产业、市场等要素平台，推进企业快速发展。以创投公司作为中小科技企业投融资平台，为其提供投融资服务</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通过建立技术、产业、市场等要素平台，推进企业快速发展。通过增加创投公司实收资本，扩充其股权投资业务资金实力和天使基金募集能力，向区内科技企业加大股权融资服务</w:t>
            </w:r>
          </w:p>
        </w:tc>
        <w:tc>
          <w:tcPr>
            <w:tcW w:w="1417"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完成率情况</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≥70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≥50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微软雅黑" w:eastAsia="微软雅黑" w:hAnsi="微软雅黑" w:cs="微软雅黑" w:hint="eastAsia"/>
              </w:rPr>
              <w:t>&lt;</w:t>
            </w:r>
            <w:r>
              <w:rPr>
                <w:rFonts w:ascii="方正书宋_GBK" w:eastAsia="方正书宋_GBK" w:hint="eastAsia"/>
              </w:rPr>
              <w:t>50</w:t>
            </w:r>
            <w:r>
              <w:rPr>
                <w:rFonts w:ascii="方正书宋_GBK" w:eastAsia="方正书宋_GBK"/>
              </w:rPr>
              <w:t>%</w:t>
            </w:r>
          </w:p>
        </w:tc>
      </w:tr>
      <w:tr w:rsidR="009D05B8">
        <w:trPr>
          <w:trHeight w:val="705"/>
          <w:jc w:val="center"/>
        </w:trPr>
        <w:tc>
          <w:tcPr>
            <w:tcW w:w="2341" w:type="dxa"/>
            <w:shd w:val="clear" w:color="auto" w:fill="auto"/>
            <w:vAlign w:val="center"/>
          </w:tcPr>
          <w:p w:rsidR="009D05B8" w:rsidRDefault="00A4227E">
            <w:pPr>
              <w:spacing w:line="300" w:lineRule="exact"/>
              <w:jc w:val="left"/>
              <w:rPr>
                <w:rFonts w:ascii="方正书宋_GBK" w:eastAsia="方正书宋_GBK"/>
                <w:b/>
              </w:rPr>
            </w:pPr>
            <w:r>
              <w:rPr>
                <w:rFonts w:ascii="方正书宋_GBK" w:eastAsia="方正书宋_GBK" w:hint="eastAsia"/>
                <w:b/>
              </w:rPr>
              <w:t>优化硬件环境</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保障孵化场地正常运营，加大安全生产监管力度，不断提升物业挂历服务水平</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保障孵化场地正常运营，加大安全生产监管力度，不断提升物业挂历服务水平</w:t>
            </w:r>
          </w:p>
        </w:tc>
        <w:tc>
          <w:tcPr>
            <w:tcW w:w="1417" w:type="dxa"/>
            <w:shd w:val="clear" w:color="auto" w:fill="auto"/>
            <w:vAlign w:val="center"/>
          </w:tcPr>
          <w:p w:rsidR="009D05B8" w:rsidRDefault="009D05B8">
            <w:pPr>
              <w:spacing w:line="300" w:lineRule="exact"/>
              <w:jc w:val="left"/>
              <w:rPr>
                <w:rFonts w:ascii="方正书宋_GBK" w:eastAsia="方正书宋_GBK"/>
              </w:rPr>
            </w:pPr>
          </w:p>
        </w:tc>
        <w:tc>
          <w:tcPr>
            <w:tcW w:w="737" w:type="dxa"/>
            <w:shd w:val="clear" w:color="auto" w:fill="auto"/>
            <w:vAlign w:val="center"/>
          </w:tcPr>
          <w:p w:rsidR="009D05B8" w:rsidRDefault="009D05B8">
            <w:pPr>
              <w:spacing w:line="300" w:lineRule="exact"/>
              <w:rPr>
                <w:rFonts w:ascii="方正书宋_GBK" w:eastAsia="方正书宋_GBK"/>
              </w:rPr>
            </w:pPr>
          </w:p>
        </w:tc>
        <w:tc>
          <w:tcPr>
            <w:tcW w:w="737" w:type="dxa"/>
            <w:shd w:val="clear" w:color="auto" w:fill="auto"/>
            <w:vAlign w:val="center"/>
          </w:tcPr>
          <w:p w:rsidR="009D05B8" w:rsidRDefault="009D05B8">
            <w:pPr>
              <w:spacing w:line="300" w:lineRule="exact"/>
              <w:rPr>
                <w:rFonts w:ascii="方正书宋_GBK" w:eastAsia="方正书宋_GBK"/>
              </w:rPr>
            </w:pPr>
          </w:p>
        </w:tc>
        <w:tc>
          <w:tcPr>
            <w:tcW w:w="737" w:type="dxa"/>
            <w:shd w:val="clear" w:color="auto" w:fill="auto"/>
            <w:vAlign w:val="center"/>
          </w:tcPr>
          <w:p w:rsidR="009D05B8" w:rsidRDefault="009D05B8">
            <w:pPr>
              <w:spacing w:line="300" w:lineRule="exact"/>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r>
      <w:tr w:rsidR="009D05B8">
        <w:trPr>
          <w:trHeight w:val="735"/>
          <w:jc w:val="center"/>
        </w:trPr>
        <w:tc>
          <w:tcPr>
            <w:tcW w:w="2341"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优化硬件环境</w:t>
            </w:r>
          </w:p>
        </w:tc>
        <w:tc>
          <w:tcPr>
            <w:tcW w:w="1276" w:type="dxa"/>
            <w:shd w:val="clear" w:color="auto" w:fill="auto"/>
            <w:vAlign w:val="center"/>
          </w:tcPr>
          <w:p w:rsidR="009D05B8" w:rsidRDefault="00A4227E">
            <w:pPr>
              <w:spacing w:line="300" w:lineRule="exact"/>
              <w:jc w:val="center"/>
              <w:rPr>
                <w:rFonts w:ascii="方正书宋_GBK" w:eastAsia="方正书宋_GBK"/>
                <w:color w:val="FF0000"/>
              </w:rPr>
            </w:pPr>
            <w:r>
              <w:rPr>
                <w:rFonts w:ascii="方正书宋_GBK" w:eastAsia="方正书宋_GBK" w:hint="eastAsia"/>
              </w:rPr>
              <w:t>7</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保障孵化场地正常运营，加大安全生产监管力度，不断提升物业挂历服务水平</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保障孵化场地正常运营，加大安全生产监管力度，不断提升物业挂历服务水平</w:t>
            </w:r>
          </w:p>
        </w:tc>
        <w:tc>
          <w:tcPr>
            <w:tcW w:w="1417"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完成率情况</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≥70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≥60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微软雅黑" w:eastAsia="微软雅黑" w:hAnsi="微软雅黑" w:cs="微软雅黑" w:hint="eastAsia"/>
              </w:rPr>
              <w:t>&lt;</w:t>
            </w:r>
            <w:r>
              <w:rPr>
                <w:rFonts w:ascii="方正书宋_GBK" w:eastAsia="方正书宋_GBK" w:hint="eastAsia"/>
              </w:rPr>
              <w:t>60</w:t>
            </w:r>
            <w:r>
              <w:rPr>
                <w:rFonts w:ascii="方正书宋_GBK" w:eastAsia="方正书宋_GBK"/>
              </w:rPr>
              <w:t>%</w:t>
            </w:r>
          </w:p>
        </w:tc>
      </w:tr>
      <w:tr w:rsidR="009D05B8">
        <w:trPr>
          <w:trHeight w:val="705"/>
          <w:jc w:val="center"/>
        </w:trPr>
        <w:tc>
          <w:tcPr>
            <w:tcW w:w="2341" w:type="dxa"/>
            <w:shd w:val="clear" w:color="auto" w:fill="auto"/>
            <w:vAlign w:val="center"/>
          </w:tcPr>
          <w:p w:rsidR="009D05B8" w:rsidRDefault="00A4227E">
            <w:pPr>
              <w:spacing w:line="300" w:lineRule="exact"/>
              <w:jc w:val="left"/>
              <w:rPr>
                <w:rFonts w:ascii="方正书宋_GBK" w:eastAsia="方正书宋_GBK"/>
                <w:b/>
              </w:rPr>
            </w:pPr>
            <w:r>
              <w:rPr>
                <w:rFonts w:ascii="方正书宋_GBK" w:eastAsia="方正书宋_GBK" w:hint="eastAsia"/>
                <w:b/>
              </w:rPr>
              <w:lastRenderedPageBreak/>
              <w:t>非公党群组织建设</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发展新的党、团支部及工会、积极开展各类活动，充分发挥党、团组织及工会的先进作用，切实提高基层组织的综合能力</w:t>
            </w:r>
          </w:p>
        </w:tc>
        <w:tc>
          <w:tcPr>
            <w:tcW w:w="2976" w:type="dxa"/>
            <w:shd w:val="clear" w:color="auto" w:fill="auto"/>
            <w:vAlign w:val="center"/>
          </w:tcPr>
          <w:p w:rsidR="009D05B8" w:rsidRDefault="009D05B8">
            <w:pPr>
              <w:spacing w:line="300" w:lineRule="exact"/>
              <w:jc w:val="left"/>
              <w:rPr>
                <w:rFonts w:ascii="方正书宋_GBK" w:eastAsia="方正书宋_GBK"/>
              </w:rPr>
            </w:pPr>
          </w:p>
        </w:tc>
        <w:tc>
          <w:tcPr>
            <w:tcW w:w="1417" w:type="dxa"/>
            <w:shd w:val="clear" w:color="auto" w:fill="auto"/>
            <w:vAlign w:val="center"/>
          </w:tcPr>
          <w:p w:rsidR="009D05B8" w:rsidRDefault="009D05B8">
            <w:pPr>
              <w:spacing w:line="300" w:lineRule="exact"/>
              <w:jc w:val="left"/>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c>
          <w:tcPr>
            <w:tcW w:w="737" w:type="dxa"/>
            <w:shd w:val="clear" w:color="auto" w:fill="auto"/>
            <w:vAlign w:val="center"/>
          </w:tcPr>
          <w:p w:rsidR="009D05B8" w:rsidRDefault="009D05B8">
            <w:pPr>
              <w:spacing w:line="300" w:lineRule="exact"/>
              <w:jc w:val="center"/>
              <w:rPr>
                <w:rFonts w:ascii="方正书宋_GBK" w:eastAsia="方正书宋_GBK"/>
              </w:rPr>
            </w:pPr>
          </w:p>
        </w:tc>
      </w:tr>
      <w:tr w:rsidR="009D05B8">
        <w:trPr>
          <w:trHeight w:val="765"/>
          <w:jc w:val="center"/>
        </w:trPr>
        <w:tc>
          <w:tcPr>
            <w:tcW w:w="2341"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非公党群组织建设</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发展新的党、团支部及工会、积极开展各类活动，充分发挥党、团组织及工会的先进作用，切实提高基层组织的综合能力</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积极开展各类活动，充分发挥党组织的先进作用</w:t>
            </w:r>
          </w:p>
        </w:tc>
        <w:tc>
          <w:tcPr>
            <w:tcW w:w="1417"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走访党支部满意度调查</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≥70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≥60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微软雅黑" w:eastAsia="微软雅黑" w:hAnsi="微软雅黑" w:cs="微软雅黑" w:hint="eastAsia"/>
              </w:rPr>
              <w:t>&lt;</w:t>
            </w:r>
            <w:r>
              <w:rPr>
                <w:rFonts w:ascii="方正书宋_GBK" w:eastAsia="方正书宋_GBK" w:hint="eastAsia"/>
              </w:rPr>
              <w:t>60</w:t>
            </w:r>
            <w:r>
              <w:rPr>
                <w:rFonts w:ascii="方正书宋_GBK" w:eastAsia="方正书宋_GBK"/>
              </w:rPr>
              <w:t>%</w:t>
            </w:r>
          </w:p>
        </w:tc>
      </w:tr>
      <w:tr w:rsidR="009D05B8">
        <w:trPr>
          <w:trHeight w:val="825"/>
          <w:jc w:val="center"/>
        </w:trPr>
        <w:tc>
          <w:tcPr>
            <w:tcW w:w="2341" w:type="dxa"/>
            <w:shd w:val="clear" w:color="auto" w:fill="auto"/>
            <w:vAlign w:val="center"/>
          </w:tcPr>
          <w:p w:rsidR="009D05B8" w:rsidRDefault="00A4227E">
            <w:pPr>
              <w:spacing w:line="300" w:lineRule="exact"/>
              <w:jc w:val="center"/>
              <w:rPr>
                <w:rFonts w:ascii="方正书宋_GBK" w:eastAsia="方正书宋_GBK"/>
                <w:b/>
              </w:rPr>
            </w:pPr>
            <w:r>
              <w:rPr>
                <w:rFonts w:ascii="方正书宋_GBK" w:eastAsia="方正书宋_GBK" w:hint="eastAsia"/>
                <w:b/>
              </w:rPr>
              <w:t>非公党群组织建设</w:t>
            </w:r>
          </w:p>
        </w:tc>
        <w:tc>
          <w:tcPr>
            <w:tcW w:w="1276" w:type="dxa"/>
            <w:shd w:val="clear" w:color="auto" w:fill="auto"/>
            <w:vAlign w:val="center"/>
          </w:tcPr>
          <w:p w:rsidR="009D05B8" w:rsidRDefault="009D05B8">
            <w:pPr>
              <w:spacing w:line="300" w:lineRule="exact"/>
              <w:jc w:val="left"/>
              <w:rPr>
                <w:rFonts w:ascii="方正书宋_GBK" w:eastAsia="方正书宋_GBK"/>
              </w:rPr>
            </w:pP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发展新的党、团支部及工会、积极开展各类活动，充分发挥党、团组织及工会的先进作用，切实提高基层组织的综合能力</w:t>
            </w:r>
          </w:p>
        </w:tc>
        <w:tc>
          <w:tcPr>
            <w:tcW w:w="2976"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积极开</w:t>
            </w:r>
            <w:proofErr w:type="gramStart"/>
            <w:r>
              <w:rPr>
                <w:rFonts w:ascii="方正书宋_GBK" w:eastAsia="方正书宋_GBK" w:hint="eastAsia"/>
              </w:rPr>
              <w:t>展团口各项</w:t>
            </w:r>
            <w:proofErr w:type="gramEnd"/>
            <w:r>
              <w:rPr>
                <w:rFonts w:ascii="方正书宋_GBK" w:eastAsia="方正书宋_GBK" w:hint="eastAsia"/>
              </w:rPr>
              <w:t>活动，充分发挥团组织的凝聚作用</w:t>
            </w:r>
          </w:p>
        </w:tc>
        <w:tc>
          <w:tcPr>
            <w:tcW w:w="1417" w:type="dxa"/>
            <w:shd w:val="clear" w:color="auto" w:fill="auto"/>
            <w:vAlign w:val="center"/>
          </w:tcPr>
          <w:p w:rsidR="009D05B8" w:rsidRDefault="00A4227E">
            <w:pPr>
              <w:spacing w:line="300" w:lineRule="exact"/>
              <w:jc w:val="left"/>
              <w:rPr>
                <w:rFonts w:ascii="方正书宋_GBK" w:eastAsia="方正书宋_GBK"/>
              </w:rPr>
            </w:pPr>
            <w:r>
              <w:rPr>
                <w:rFonts w:ascii="方正书宋_GBK" w:eastAsia="方正书宋_GBK" w:hint="eastAsia"/>
              </w:rPr>
              <w:t>走访团支部满意度调查</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r>
              <w:rPr>
                <w:rFonts w:ascii="方正书宋_GBK" w:eastAsia="方正书宋_GBK" w:hint="eastAsia"/>
              </w:rPr>
              <w:t>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≥70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方正书宋_GBK" w:eastAsia="方正书宋_GBK" w:hint="eastAsia"/>
              </w:rPr>
              <w:t>≥60</w:t>
            </w:r>
            <w:r>
              <w:rPr>
                <w:rFonts w:ascii="方正书宋_GBK" w:eastAsia="方正书宋_GBK"/>
              </w:rPr>
              <w:t>%</w:t>
            </w:r>
          </w:p>
        </w:tc>
        <w:tc>
          <w:tcPr>
            <w:tcW w:w="737" w:type="dxa"/>
            <w:shd w:val="clear" w:color="auto" w:fill="auto"/>
            <w:vAlign w:val="center"/>
          </w:tcPr>
          <w:p w:rsidR="009D05B8" w:rsidRDefault="00A4227E">
            <w:pPr>
              <w:spacing w:line="300" w:lineRule="exact"/>
              <w:jc w:val="center"/>
              <w:rPr>
                <w:rFonts w:ascii="方正书宋_GBK" w:eastAsia="方正书宋_GBK"/>
              </w:rPr>
            </w:pPr>
            <w:r>
              <w:rPr>
                <w:rFonts w:ascii="微软雅黑" w:eastAsia="微软雅黑" w:hAnsi="微软雅黑" w:cs="微软雅黑" w:hint="eastAsia"/>
              </w:rPr>
              <w:t>&lt;</w:t>
            </w:r>
            <w:r>
              <w:rPr>
                <w:rFonts w:ascii="方正书宋_GBK" w:eastAsia="方正书宋_GBK" w:hint="eastAsia"/>
              </w:rPr>
              <w:t>60</w:t>
            </w:r>
            <w:r>
              <w:rPr>
                <w:rFonts w:ascii="方正书宋_GBK" w:eastAsia="方正书宋_GBK"/>
              </w:rPr>
              <w:t>%</w:t>
            </w:r>
          </w:p>
        </w:tc>
      </w:tr>
    </w:tbl>
    <w:p w:rsidR="009D05B8" w:rsidRDefault="009D05B8">
      <w:pPr>
        <w:spacing w:line="300" w:lineRule="exact"/>
        <w:jc w:val="left"/>
        <w:outlineLvl w:val="0"/>
        <w:sectPr w:rsidR="009D05B8">
          <w:headerReference w:type="default" r:id="rId8"/>
          <w:pgSz w:w="16839" w:h="11907" w:orient="landscape"/>
          <w:pgMar w:top="1020" w:right="1361" w:bottom="1020" w:left="1361" w:header="851" w:footer="992" w:gutter="0"/>
          <w:cols w:space="425"/>
          <w:docGrid w:type="lines" w:linePitch="312"/>
        </w:sectPr>
      </w:pPr>
    </w:p>
    <w:p w:rsidR="009D05B8" w:rsidRDefault="009D05B8">
      <w:pPr>
        <w:spacing w:line="560" w:lineRule="exact"/>
        <w:ind w:firstLineChars="200" w:firstLine="640"/>
        <w:rPr>
          <w:rFonts w:ascii="仿宋_GB2312" w:eastAsia="仿宋_GB2312"/>
          <w:sz w:val="32"/>
          <w:szCs w:val="32"/>
        </w:rPr>
      </w:pPr>
    </w:p>
    <w:p w:rsidR="009D05B8" w:rsidRDefault="00A4227E">
      <w:pPr>
        <w:spacing w:line="560" w:lineRule="exact"/>
        <w:ind w:firstLineChars="200" w:firstLine="643"/>
      </w:pPr>
      <w:r>
        <w:rPr>
          <w:rFonts w:ascii="宋体" w:hAnsi="宋体" w:hint="eastAsia"/>
          <w:b/>
          <w:sz w:val="32"/>
          <w:szCs w:val="32"/>
        </w:rPr>
        <w:t>六、政府采购预算情况</w:t>
      </w:r>
    </w:p>
    <w:p w:rsidR="009D05B8" w:rsidRDefault="00A4227E">
      <w:pPr>
        <w:ind w:firstLineChars="200" w:firstLine="640"/>
        <w:jc w:val="left"/>
        <w:outlineLvl w:val="0"/>
        <w:rPr>
          <w:rFonts w:ascii="方正小标宋_GBK" w:eastAsia="方正小标宋_GBK"/>
          <w:sz w:val="32"/>
        </w:rPr>
      </w:pPr>
      <w:bookmarkStart w:id="3" w:name="_Toc486492120"/>
      <w:r>
        <w:rPr>
          <w:rFonts w:ascii="方正小标宋_GBK" w:eastAsiaTheme="minorEastAsia" w:hint="eastAsia"/>
          <w:sz w:val="32"/>
        </w:rPr>
        <w:t>2018</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无政府采购预算。</w:t>
      </w:r>
    </w:p>
    <w:bookmarkEnd w:id="3"/>
    <w:p w:rsidR="009D05B8" w:rsidRDefault="00A4227E">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9D05B8">
        <w:trPr>
          <w:trHeight w:val="705"/>
        </w:trPr>
        <w:tc>
          <w:tcPr>
            <w:tcW w:w="13680" w:type="dxa"/>
            <w:gridSpan w:val="3"/>
            <w:tcBorders>
              <w:top w:val="nil"/>
              <w:left w:val="nil"/>
              <w:bottom w:val="nil"/>
              <w:right w:val="nil"/>
            </w:tcBorders>
            <w:vAlign w:val="center"/>
          </w:tcPr>
          <w:p w:rsidR="009D05B8" w:rsidRDefault="00A4227E">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9D05B8">
        <w:trPr>
          <w:trHeight w:val="510"/>
        </w:trPr>
        <w:tc>
          <w:tcPr>
            <w:tcW w:w="7488" w:type="dxa"/>
            <w:gridSpan w:val="2"/>
            <w:tcBorders>
              <w:top w:val="nil"/>
              <w:left w:val="nil"/>
              <w:bottom w:val="nil"/>
              <w:right w:val="nil"/>
            </w:tcBorders>
            <w:vAlign w:val="center"/>
          </w:tcPr>
          <w:p w:rsidR="009D05B8" w:rsidRDefault="00A4227E">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编制部门：创业中心</w:t>
            </w:r>
          </w:p>
        </w:tc>
        <w:tc>
          <w:tcPr>
            <w:tcW w:w="6192" w:type="dxa"/>
            <w:tcBorders>
              <w:top w:val="nil"/>
              <w:left w:val="nil"/>
              <w:bottom w:val="nil"/>
              <w:right w:val="nil"/>
            </w:tcBorders>
            <w:vAlign w:val="center"/>
          </w:tcPr>
          <w:p w:rsidR="009D05B8" w:rsidRDefault="00A4227E">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9D05B8">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9D05B8" w:rsidRDefault="00A4227E">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9D05B8" w:rsidRDefault="00A4227E">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9D05B8" w:rsidRDefault="00A4227E">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9D05B8" w:rsidRDefault="00A4227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9D05B8" w:rsidRDefault="00A4227E">
            <w:pPr>
              <w:jc w:val="right"/>
              <w:rPr>
                <w:rFonts w:ascii="宋体" w:hAnsi="宋体" w:cs="宋体"/>
                <w:color w:val="000000"/>
                <w:sz w:val="22"/>
                <w:szCs w:val="22"/>
              </w:rPr>
            </w:pPr>
            <w:r>
              <w:rPr>
                <w:rFonts w:hint="eastAsia"/>
                <w:color w:val="000000"/>
                <w:sz w:val="22"/>
                <w:szCs w:val="22"/>
              </w:rPr>
              <w:t>287.9883</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9D05B8" w:rsidRDefault="00A4227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9D05B8" w:rsidRDefault="00A4227E">
            <w:pPr>
              <w:jc w:val="right"/>
              <w:rPr>
                <w:rFonts w:ascii="宋体" w:hAnsi="宋体" w:cs="宋体"/>
                <w:color w:val="000000"/>
                <w:sz w:val="22"/>
                <w:szCs w:val="22"/>
              </w:rPr>
            </w:pPr>
            <w:r>
              <w:rPr>
                <w:rFonts w:hint="eastAsia"/>
                <w:color w:val="000000"/>
                <w:sz w:val="22"/>
                <w:szCs w:val="22"/>
              </w:rPr>
              <w:t>583</w:t>
            </w:r>
          </w:p>
        </w:tc>
        <w:tc>
          <w:tcPr>
            <w:tcW w:w="6192" w:type="dxa"/>
            <w:tcBorders>
              <w:top w:val="nil"/>
              <w:left w:val="nil"/>
              <w:bottom w:val="single" w:sz="4" w:space="0" w:color="auto"/>
              <w:right w:val="single" w:sz="4" w:space="0" w:color="auto"/>
            </w:tcBorders>
            <w:vAlign w:val="center"/>
          </w:tcPr>
          <w:p w:rsidR="009D05B8" w:rsidRDefault="00A4227E">
            <w:pPr>
              <w:jc w:val="right"/>
              <w:rPr>
                <w:rFonts w:ascii="宋体" w:hAnsi="宋体" w:cs="宋体"/>
                <w:color w:val="000000"/>
                <w:sz w:val="22"/>
                <w:szCs w:val="22"/>
              </w:rPr>
            </w:pPr>
            <w:r>
              <w:rPr>
                <w:rFonts w:hint="eastAsia"/>
                <w:color w:val="000000"/>
                <w:sz w:val="22"/>
                <w:szCs w:val="22"/>
              </w:rPr>
              <w:t>253.0556</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9D05B8" w:rsidRDefault="00A4227E">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sz="4" w:space="0" w:color="auto"/>
              <w:right w:val="single" w:sz="4" w:space="0" w:color="auto"/>
            </w:tcBorders>
            <w:vAlign w:val="center"/>
          </w:tcPr>
          <w:p w:rsidR="009D05B8" w:rsidRDefault="00A4227E">
            <w:pPr>
              <w:jc w:val="right"/>
              <w:rPr>
                <w:rFonts w:ascii="宋体" w:hAnsi="宋体" w:cs="宋体"/>
                <w:color w:val="000000"/>
                <w:sz w:val="22"/>
                <w:szCs w:val="22"/>
              </w:rPr>
            </w:pPr>
            <w:r>
              <w:rPr>
                <w:rFonts w:hint="eastAsia"/>
                <w:color w:val="000000"/>
                <w:sz w:val="22"/>
                <w:szCs w:val="22"/>
              </w:rPr>
              <w:t>10.4300</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lastRenderedPageBreak/>
              <w:t>四、文物与陈列品</w:t>
            </w:r>
          </w:p>
        </w:tc>
        <w:tc>
          <w:tcPr>
            <w:tcW w:w="2700"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819"/>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9D05B8" w:rsidRDefault="00A4227E">
            <w:pPr>
              <w:rPr>
                <w:rFonts w:ascii="宋体" w:hAnsi="宋体" w:cs="宋体"/>
                <w:sz w:val="20"/>
                <w:szCs w:val="20"/>
              </w:rPr>
            </w:pPr>
            <w:r>
              <w:rPr>
                <w:rFonts w:hint="eastAsia"/>
                <w:sz w:val="20"/>
                <w:szCs w:val="20"/>
              </w:rPr>
              <w:t xml:space="preserve">　</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9D05B8" w:rsidRDefault="00A4227E">
            <w:pPr>
              <w:jc w:val="right"/>
              <w:rPr>
                <w:rFonts w:ascii="宋体" w:hAnsi="宋体" w:cs="宋体"/>
                <w:sz w:val="22"/>
                <w:szCs w:val="22"/>
              </w:rPr>
            </w:pPr>
            <w:r>
              <w:rPr>
                <w:rFonts w:hint="eastAsia"/>
                <w:sz w:val="22"/>
                <w:szCs w:val="22"/>
              </w:rPr>
              <w:t>4798</w:t>
            </w:r>
          </w:p>
        </w:tc>
        <w:tc>
          <w:tcPr>
            <w:tcW w:w="6192" w:type="dxa"/>
            <w:tcBorders>
              <w:top w:val="nil"/>
              <w:left w:val="nil"/>
              <w:bottom w:val="single" w:sz="4" w:space="0" w:color="auto"/>
              <w:right w:val="single" w:sz="4" w:space="0" w:color="auto"/>
            </w:tcBorders>
            <w:vAlign w:val="center"/>
          </w:tcPr>
          <w:p w:rsidR="009D05B8" w:rsidRDefault="00A4227E">
            <w:pPr>
              <w:jc w:val="right"/>
              <w:rPr>
                <w:rFonts w:ascii="宋体" w:hAnsi="宋体" w:cs="宋体"/>
                <w:color w:val="000000"/>
                <w:sz w:val="22"/>
                <w:szCs w:val="22"/>
              </w:rPr>
            </w:pPr>
            <w:r>
              <w:rPr>
                <w:rFonts w:hint="eastAsia"/>
                <w:color w:val="000000"/>
                <w:sz w:val="22"/>
                <w:szCs w:val="22"/>
              </w:rPr>
              <w:t>34.9327</w:t>
            </w:r>
          </w:p>
        </w:tc>
      </w:tr>
      <w:tr w:rsidR="009D05B8">
        <w:trPr>
          <w:trHeight w:val="645"/>
        </w:trPr>
        <w:tc>
          <w:tcPr>
            <w:tcW w:w="4788" w:type="dxa"/>
            <w:tcBorders>
              <w:top w:val="nil"/>
              <w:left w:val="single" w:sz="4" w:space="0" w:color="auto"/>
              <w:bottom w:val="single" w:sz="4" w:space="0" w:color="auto"/>
              <w:right w:val="single" w:sz="4" w:space="0" w:color="auto"/>
            </w:tcBorders>
            <w:vAlign w:val="center"/>
          </w:tcPr>
          <w:p w:rsidR="009D05B8" w:rsidRDefault="00A4227E">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9D05B8" w:rsidRDefault="00A4227E">
            <w:pPr>
              <w:jc w:val="right"/>
              <w:rPr>
                <w:rFonts w:ascii="宋体" w:hAnsi="宋体" w:cs="宋体"/>
                <w:sz w:val="22"/>
                <w:szCs w:val="22"/>
              </w:rPr>
            </w:pPr>
            <w:r>
              <w:rPr>
                <w:rFonts w:hint="eastAsia"/>
                <w:sz w:val="22"/>
                <w:szCs w:val="22"/>
              </w:rPr>
              <w:t>4798</w:t>
            </w:r>
          </w:p>
        </w:tc>
        <w:tc>
          <w:tcPr>
            <w:tcW w:w="6192" w:type="dxa"/>
            <w:tcBorders>
              <w:top w:val="nil"/>
              <w:left w:val="nil"/>
              <w:bottom w:val="single" w:sz="4" w:space="0" w:color="auto"/>
              <w:right w:val="single" w:sz="4" w:space="0" w:color="auto"/>
            </w:tcBorders>
            <w:vAlign w:val="center"/>
          </w:tcPr>
          <w:p w:rsidR="009D05B8" w:rsidRDefault="00A4227E">
            <w:pPr>
              <w:jc w:val="right"/>
              <w:rPr>
                <w:rFonts w:ascii="宋体" w:hAnsi="宋体" w:cs="宋体"/>
                <w:color w:val="000000"/>
                <w:sz w:val="22"/>
                <w:szCs w:val="22"/>
              </w:rPr>
            </w:pPr>
            <w:r>
              <w:rPr>
                <w:rFonts w:hint="eastAsia"/>
                <w:color w:val="000000"/>
                <w:sz w:val="22"/>
                <w:szCs w:val="22"/>
              </w:rPr>
              <w:t>34.9327</w:t>
            </w:r>
          </w:p>
        </w:tc>
      </w:tr>
    </w:tbl>
    <w:p w:rsidR="009D05B8" w:rsidRDefault="00A4227E">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我部门2018年无</w:t>
      </w:r>
      <w:r w:rsidR="00390476">
        <w:rPr>
          <w:rFonts w:ascii="仿宋_GB2312" w:eastAsia="仿宋_GB2312" w:hint="eastAsia"/>
          <w:sz w:val="32"/>
          <w:szCs w:val="32"/>
        </w:rPr>
        <w:t>拟</w:t>
      </w:r>
      <w:proofErr w:type="gramEnd"/>
      <w:r>
        <w:rPr>
          <w:rFonts w:ascii="仿宋_GB2312" w:eastAsia="仿宋_GB2312" w:hint="eastAsia"/>
          <w:sz w:val="32"/>
          <w:szCs w:val="32"/>
        </w:rPr>
        <w:t>购置情况</w:t>
      </w:r>
    </w:p>
    <w:p w:rsidR="009D05B8" w:rsidRDefault="00A4227E">
      <w:pPr>
        <w:spacing w:line="560" w:lineRule="exact"/>
        <w:ind w:firstLineChars="200" w:firstLine="643"/>
      </w:pPr>
      <w:r>
        <w:rPr>
          <w:rFonts w:ascii="宋体" w:hAnsi="宋体" w:hint="eastAsia"/>
          <w:b/>
          <w:sz w:val="32"/>
          <w:szCs w:val="32"/>
        </w:rPr>
        <w:t>八、名词解释</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w:t>
      </w:r>
      <w:r>
        <w:rPr>
          <w:rFonts w:ascii="仿宋_GB2312" w:eastAsia="仿宋_GB2312" w:hint="eastAsia"/>
          <w:sz w:val="32"/>
          <w:szCs w:val="32"/>
        </w:rPr>
        <w:lastRenderedPageBreak/>
        <w:t>物业服务费、公务车运行维护费等。</w:t>
      </w:r>
    </w:p>
    <w:p w:rsidR="009D05B8" w:rsidRDefault="00A4227E">
      <w:pPr>
        <w:spacing w:line="560" w:lineRule="exact"/>
        <w:ind w:firstLineChars="200" w:firstLine="643"/>
        <w:rPr>
          <w:rFonts w:ascii="宋体" w:hAnsi="宋体"/>
          <w:b/>
          <w:sz w:val="32"/>
          <w:szCs w:val="32"/>
        </w:rPr>
      </w:pPr>
      <w:r>
        <w:rPr>
          <w:rFonts w:ascii="宋体" w:hAnsi="宋体" w:hint="eastAsia"/>
          <w:b/>
          <w:sz w:val="32"/>
          <w:szCs w:val="32"/>
        </w:rPr>
        <w:t>九、其他情况说明</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2018年部门预算无政府性基金预算财政拨款收支，因此相关表格数据为零。</w:t>
      </w:r>
    </w:p>
    <w:p w:rsidR="009D05B8" w:rsidRDefault="00A4227E">
      <w:pPr>
        <w:spacing w:line="560" w:lineRule="exact"/>
        <w:ind w:firstLineChars="200" w:firstLine="640"/>
        <w:rPr>
          <w:rFonts w:ascii="仿宋_GB2312" w:eastAsia="仿宋_GB2312"/>
          <w:sz w:val="32"/>
          <w:szCs w:val="32"/>
        </w:rPr>
      </w:pPr>
      <w:r>
        <w:rPr>
          <w:rFonts w:ascii="仿宋_GB2312" w:eastAsia="仿宋_GB2312" w:hint="eastAsia"/>
          <w:sz w:val="32"/>
          <w:szCs w:val="32"/>
        </w:rPr>
        <w:t>2018年部门预算无国有资本经营预算财政拨款收支，因此相关表格数据为零。</w:t>
      </w:r>
    </w:p>
    <w:p w:rsidR="009D05B8" w:rsidRDefault="009D05B8">
      <w:pPr>
        <w:spacing w:line="560" w:lineRule="exact"/>
        <w:ind w:firstLineChars="200" w:firstLine="640"/>
        <w:rPr>
          <w:rFonts w:ascii="仿宋_GB2312" w:eastAsia="仿宋_GB2312" w:hAnsi="宋体" w:cs="宋体"/>
          <w:kern w:val="0"/>
          <w:sz w:val="32"/>
          <w:szCs w:val="32"/>
        </w:rPr>
      </w:pPr>
    </w:p>
    <w:p w:rsidR="009D05B8" w:rsidRDefault="009D05B8">
      <w:pPr>
        <w:spacing w:line="560" w:lineRule="exact"/>
        <w:ind w:firstLineChars="200" w:firstLine="640"/>
        <w:rPr>
          <w:rFonts w:ascii="仿宋_GB2312" w:eastAsia="仿宋_GB2312" w:hAnsi="宋体" w:cs="宋体"/>
          <w:kern w:val="0"/>
          <w:sz w:val="32"/>
          <w:szCs w:val="32"/>
        </w:rPr>
      </w:pPr>
    </w:p>
    <w:p w:rsidR="009D05B8" w:rsidRDefault="009D05B8"/>
    <w:sectPr w:rsidR="009D05B8">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A1" w:rsidRDefault="00A370A1">
      <w:r>
        <w:separator/>
      </w:r>
    </w:p>
  </w:endnote>
  <w:endnote w:type="continuationSeparator" w:id="0">
    <w:p w:rsidR="00A370A1" w:rsidRDefault="00A3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B8" w:rsidRDefault="009D05B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B8" w:rsidRDefault="009D05B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B8" w:rsidRDefault="009D05B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A1" w:rsidRDefault="00A370A1">
      <w:r>
        <w:separator/>
      </w:r>
    </w:p>
  </w:footnote>
  <w:footnote w:type="continuationSeparator" w:id="0">
    <w:p w:rsidR="00A370A1" w:rsidRDefault="00A37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B8" w:rsidRDefault="009D05B8">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B8" w:rsidRDefault="009D05B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B8" w:rsidRDefault="009D05B8">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B8" w:rsidRDefault="009D05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38C7"/>
    <w:rsid w:val="0000303C"/>
    <w:rsid w:val="002528B5"/>
    <w:rsid w:val="00351F95"/>
    <w:rsid w:val="00390476"/>
    <w:rsid w:val="003C41FD"/>
    <w:rsid w:val="00407A8F"/>
    <w:rsid w:val="00714227"/>
    <w:rsid w:val="00794F22"/>
    <w:rsid w:val="007C19FA"/>
    <w:rsid w:val="0087639C"/>
    <w:rsid w:val="008B741F"/>
    <w:rsid w:val="009901C8"/>
    <w:rsid w:val="009D05B8"/>
    <w:rsid w:val="00A370A1"/>
    <w:rsid w:val="00A4227E"/>
    <w:rsid w:val="00A542BC"/>
    <w:rsid w:val="00A76C5A"/>
    <w:rsid w:val="00C03328"/>
    <w:rsid w:val="00C138C7"/>
    <w:rsid w:val="00C71711"/>
    <w:rsid w:val="00CC09C4"/>
    <w:rsid w:val="01AA1BD3"/>
    <w:rsid w:val="09563532"/>
    <w:rsid w:val="0A2A71EC"/>
    <w:rsid w:val="0B317ABB"/>
    <w:rsid w:val="0D031816"/>
    <w:rsid w:val="11507EA5"/>
    <w:rsid w:val="125D422D"/>
    <w:rsid w:val="19817A48"/>
    <w:rsid w:val="1D0A4516"/>
    <w:rsid w:val="1FE67D33"/>
    <w:rsid w:val="249C246B"/>
    <w:rsid w:val="25776AAA"/>
    <w:rsid w:val="2E3646E1"/>
    <w:rsid w:val="3511718C"/>
    <w:rsid w:val="36222ADB"/>
    <w:rsid w:val="3C456D4A"/>
    <w:rsid w:val="4259047F"/>
    <w:rsid w:val="42B1500C"/>
    <w:rsid w:val="460E6B21"/>
    <w:rsid w:val="4B4C612F"/>
    <w:rsid w:val="4E24230C"/>
    <w:rsid w:val="50542515"/>
    <w:rsid w:val="52A564A2"/>
    <w:rsid w:val="58BF7BF5"/>
    <w:rsid w:val="5A026AF4"/>
    <w:rsid w:val="5C687B85"/>
    <w:rsid w:val="5D117E65"/>
    <w:rsid w:val="5E4C7FC5"/>
    <w:rsid w:val="5F930F3C"/>
    <w:rsid w:val="6DCE228A"/>
    <w:rsid w:val="6F600CE2"/>
    <w:rsid w:val="6FF67F41"/>
    <w:rsid w:val="70283A8F"/>
    <w:rsid w:val="72C6492E"/>
    <w:rsid w:val="79A57C15"/>
    <w:rsid w:val="7C332305"/>
    <w:rsid w:val="7F857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10</cp:revision>
  <dcterms:created xsi:type="dcterms:W3CDTF">2017-04-16T07:06:00Z</dcterms:created>
  <dcterms:modified xsi:type="dcterms:W3CDTF">2019-01-28T08:05:00Z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