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A97D3">
      <w:pPr>
        <w:ind w:left="0" w:leftChars="0" w:firstLine="0" w:firstLineChars="0"/>
        <w:rPr>
          <w:rFonts w:ascii="仿宋_GB2312" w:hAnsi="仿宋_GB2312" w:eastAsia="仿宋_GB2312" w:cs="仿宋_GB2312"/>
          <w:sz w:val="30"/>
          <w:szCs w:val="30"/>
        </w:rPr>
      </w:pPr>
      <w:bookmarkStart w:id="3" w:name="_GoBack"/>
      <w:bookmarkEnd w:id="3"/>
    </w:p>
    <w:p w14:paraId="0B8B22B4">
      <w:pPr>
        <w:ind w:left="0" w:leftChars="0" w:firstLine="0" w:firstLineChars="0"/>
        <w:rPr>
          <w:rFonts w:ascii="仿宋_GB2312" w:hAnsi="仿宋_GB2312" w:eastAsia="仿宋_GB2312" w:cs="仿宋_GB2312"/>
          <w:sz w:val="36"/>
          <w:szCs w:val="36"/>
        </w:rPr>
      </w:pPr>
    </w:p>
    <w:p w14:paraId="71B5BAEE">
      <w:pPr>
        <w:ind w:left="0" w:leftChars="0" w:firstLine="0" w:firstLineChars="0"/>
        <w:rPr>
          <w:rFonts w:ascii="仿宋_GB2312" w:hAnsi="仿宋_GB2312" w:eastAsia="仿宋_GB2312" w:cs="仿宋_GB2312"/>
          <w:sz w:val="36"/>
          <w:szCs w:val="36"/>
        </w:rPr>
      </w:pPr>
    </w:p>
    <w:p w14:paraId="297682D0">
      <w:pPr>
        <w:ind w:left="0" w:leftChars="0" w:firstLine="0" w:firstLineChars="0"/>
        <w:rPr>
          <w:rFonts w:ascii="仿宋_GB2312" w:hAnsi="仿宋_GB2312" w:eastAsia="仿宋_GB2312" w:cs="仿宋_GB2312"/>
          <w:sz w:val="36"/>
          <w:szCs w:val="36"/>
        </w:rPr>
      </w:pPr>
    </w:p>
    <w:p w14:paraId="2998C342">
      <w:pPr>
        <w:pStyle w:val="26"/>
        <w:bidi w:val="0"/>
        <w:rPr>
          <w:rFonts w:hint="eastAsia"/>
        </w:rPr>
      </w:pPr>
      <w:r>
        <w:rPr>
          <w:rFonts w:hint="eastAsia"/>
        </w:rPr>
        <w:t>建设项目环境影响报告表</w:t>
      </w:r>
    </w:p>
    <w:p w14:paraId="325F5006">
      <w:pPr>
        <w:keepNext w:val="0"/>
        <w:keepLines w:val="0"/>
        <w:pageBreakBefore w:val="0"/>
        <w:widowControl w:val="0"/>
        <w:kinsoku/>
        <w:wordWrap/>
        <w:overflowPunct/>
        <w:topLinePunct w:val="0"/>
        <w:autoSpaceDE/>
        <w:autoSpaceDN/>
        <w:bidi w:val="0"/>
        <w:adjustRightInd w:val="0"/>
        <w:snapToGrid w:val="0"/>
        <w:spacing w:before="192" w:beforeLines="80"/>
        <w:ind w:firstLine="0" w:firstLineChars="0"/>
        <w:jc w:val="center"/>
        <w:textAlignment w:val="auto"/>
        <w:rPr>
          <w:rFonts w:hint="eastAsia" w:ascii="楷体_GB2312" w:eastAsia="楷体_GB2312"/>
          <w:bCs/>
          <w:sz w:val="48"/>
          <w:szCs w:val="48"/>
        </w:rPr>
      </w:pPr>
      <w:r>
        <w:rPr>
          <w:rFonts w:hint="eastAsia" w:ascii="楷体_GB2312" w:eastAsia="楷体_GB2312"/>
          <w:bCs/>
          <w:sz w:val="48"/>
          <w:szCs w:val="48"/>
        </w:rPr>
        <w:t>（污染影响类）</w:t>
      </w:r>
    </w:p>
    <w:p w14:paraId="2865429B">
      <w:pPr>
        <w:adjustRightInd w:val="0"/>
        <w:snapToGrid w:val="0"/>
        <w:spacing w:line="288" w:lineRule="auto"/>
        <w:ind w:left="0" w:leftChars="0" w:firstLine="0" w:firstLineChars="0"/>
        <w:jc w:val="both"/>
        <w:outlineLvl w:val="0"/>
        <w:rPr>
          <w:rFonts w:ascii="华文仿宋" w:hAnsi="华文仿宋" w:eastAsia="华文仿宋" w:cs="华文仿宋"/>
          <w:color w:val="000000"/>
          <w:kern w:val="44"/>
          <w:sz w:val="44"/>
          <w:szCs w:val="44"/>
        </w:rPr>
      </w:pPr>
    </w:p>
    <w:p w14:paraId="3F9EFC04">
      <w:pPr>
        <w:ind w:left="0" w:leftChars="0" w:firstLine="0" w:firstLineChars="0"/>
        <w:jc w:val="both"/>
        <w:rPr>
          <w:rFonts w:eastAsia="仿宋"/>
          <w:sz w:val="52"/>
          <w:szCs w:val="52"/>
        </w:rPr>
      </w:pPr>
    </w:p>
    <w:p w14:paraId="49CF89E5">
      <w:pPr>
        <w:ind w:left="0" w:leftChars="0" w:firstLine="0" w:firstLineChars="0"/>
        <w:rPr>
          <w:rFonts w:eastAsia="仿宋"/>
          <w:sz w:val="44"/>
          <w:szCs w:val="44"/>
        </w:rPr>
      </w:pPr>
    </w:p>
    <w:p w14:paraId="5A3A652B">
      <w:pPr>
        <w:ind w:left="0" w:leftChars="0" w:firstLine="0" w:firstLineChars="0"/>
        <w:rPr>
          <w:rFonts w:eastAsia="仿宋"/>
          <w:sz w:val="44"/>
          <w:szCs w:val="44"/>
        </w:rPr>
      </w:pPr>
    </w:p>
    <w:p w14:paraId="04D5222E">
      <w:pPr>
        <w:pStyle w:val="13"/>
        <w:ind w:left="0" w:leftChars="0" w:firstLine="0" w:firstLineChars="0"/>
        <w:rPr>
          <w:rFonts w:eastAsia="仿宋"/>
          <w:sz w:val="44"/>
          <w:szCs w:val="44"/>
        </w:rPr>
      </w:pPr>
    </w:p>
    <w:p w14:paraId="51F14943">
      <w:pPr>
        <w:ind w:left="0" w:leftChars="0" w:firstLine="0" w:firstLineChars="0"/>
      </w:pPr>
    </w:p>
    <w:p w14:paraId="000E4A9F">
      <w:pPr>
        <w:ind w:left="0" w:leftChars="0" w:firstLine="0" w:firstLineChars="0"/>
        <w:rPr>
          <w:rFonts w:eastAsia="仿宋"/>
          <w:sz w:val="44"/>
          <w:szCs w:val="44"/>
        </w:rPr>
      </w:pPr>
    </w:p>
    <w:p w14:paraId="4B071D12">
      <w:pPr>
        <w:ind w:left="0" w:leftChars="0" w:firstLine="0" w:firstLineChars="0"/>
        <w:rPr>
          <w:rFonts w:eastAsia="仿宋"/>
          <w:sz w:val="44"/>
          <w:szCs w:val="44"/>
        </w:rPr>
      </w:pPr>
    </w:p>
    <w:p w14:paraId="741DAA5D">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0" w:firstLineChars="0"/>
        <w:jc w:val="both"/>
        <w:textAlignment w:val="auto"/>
        <w:rPr>
          <w:rFonts w:hint="eastAsia" w:ascii="仿宋_GB2312" w:eastAsia="仿宋_GB2312"/>
          <w:sz w:val="36"/>
          <w:szCs w:val="36"/>
          <w:u w:val="none"/>
          <w:lang w:val="en-US" w:eastAsia="zh-CN"/>
        </w:rPr>
      </w:pPr>
    </w:p>
    <w:p w14:paraId="0E528298">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0" w:firstLineChars="0"/>
        <w:jc w:val="both"/>
        <w:textAlignment w:val="auto"/>
        <w:rPr>
          <w:rFonts w:hint="eastAsia" w:ascii="仿宋_GB2312" w:eastAsia="仿宋_GB2312"/>
          <w:sz w:val="36"/>
          <w:szCs w:val="36"/>
          <w:u w:val="none"/>
          <w:vertAlign w:val="baseline"/>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3A0EA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14:paraId="649BF2A5">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0" w:firstLineChars="0"/>
              <w:jc w:val="left"/>
              <w:textAlignment w:val="auto"/>
              <w:rPr>
                <w:rFonts w:hint="default" w:ascii="仿宋_GB2312" w:eastAsia="仿宋_GB2312"/>
                <w:sz w:val="36"/>
                <w:szCs w:val="36"/>
                <w:u w:val="single"/>
                <w:lang w:val="en-US" w:eastAsia="zh-CN"/>
              </w:rPr>
            </w:pPr>
            <w:r>
              <w:rPr>
                <w:rFonts w:hint="eastAsia" w:ascii="仿宋_GB2312" w:eastAsia="仿宋_GB2312"/>
                <w:sz w:val="36"/>
                <w:szCs w:val="36"/>
                <w:u w:val="none"/>
              </w:rPr>
              <w:t>项</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目</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名</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称：</w:t>
            </w:r>
            <w:r>
              <w:rPr>
                <w:rFonts w:hint="eastAsia" w:ascii="仿宋_GB2312" w:eastAsia="仿宋_GB2312"/>
                <w:sz w:val="36"/>
                <w:szCs w:val="36"/>
                <w:u w:val="single"/>
                <w:lang w:val="en-US" w:eastAsia="zh-CN"/>
              </w:rPr>
              <w:t xml:space="preserve"> 唐山市聚弛环保科技有限责任公司  </w:t>
            </w:r>
          </w:p>
          <w:p w14:paraId="63992882">
            <w:pPr>
              <w:keepNext w:val="0"/>
              <w:keepLines w:val="0"/>
              <w:pageBreakBefore w:val="0"/>
              <w:widowControl w:val="0"/>
              <w:kinsoku/>
              <w:wordWrap w:val="0"/>
              <w:overflowPunct/>
              <w:topLinePunct/>
              <w:autoSpaceDE/>
              <w:autoSpaceDN/>
              <w:bidi w:val="0"/>
              <w:adjustRightInd w:val="0"/>
              <w:snapToGrid w:val="0"/>
              <w:spacing w:line="288" w:lineRule="auto"/>
              <w:ind w:firstLine="2880" w:firstLineChars="800"/>
              <w:jc w:val="left"/>
              <w:textAlignment w:val="auto"/>
              <w:rPr>
                <w:rFonts w:hint="default" w:ascii="仿宋_GB2312" w:eastAsia="仿宋_GB2312"/>
                <w:sz w:val="36"/>
                <w:szCs w:val="36"/>
                <w:u w:val="none"/>
                <w:vertAlign w:val="baseline"/>
                <w:lang w:val="en-US"/>
              </w:rPr>
            </w:pPr>
            <w:r>
              <w:rPr>
                <w:rFonts w:hint="eastAsia" w:ascii="仿宋_GB2312" w:eastAsia="仿宋_GB2312"/>
                <w:sz w:val="36"/>
                <w:szCs w:val="36"/>
                <w:u w:val="single"/>
                <w:lang w:val="en-US" w:eastAsia="zh-CN"/>
              </w:rPr>
              <w:t xml:space="preserve">     通用设备及零部件制造项目    </w:t>
            </w:r>
          </w:p>
        </w:tc>
      </w:tr>
      <w:tr w14:paraId="1F35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14:paraId="63C862CC">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0" w:firstLineChars="0"/>
              <w:jc w:val="both"/>
              <w:textAlignment w:val="auto"/>
              <w:rPr>
                <w:rFonts w:hint="default" w:ascii="仿宋_GB2312" w:eastAsia="仿宋_GB2312"/>
                <w:sz w:val="36"/>
                <w:szCs w:val="36"/>
                <w:u w:val="none"/>
                <w:vertAlign w:val="baseline"/>
                <w:lang w:val="en-US"/>
              </w:rPr>
            </w:pPr>
            <w:r>
              <w:rPr>
                <w:rFonts w:hint="eastAsia" w:ascii="仿宋_GB2312" w:eastAsia="仿宋_GB2312"/>
                <w:sz w:val="36"/>
                <w:szCs w:val="36"/>
                <w:u w:val="none"/>
              </w:rPr>
              <w:t>建设单位（盖章）：</w:t>
            </w:r>
            <w:r>
              <w:rPr>
                <w:rFonts w:hint="eastAsia" w:ascii="仿宋_GB2312" w:eastAsia="仿宋_GB2312"/>
                <w:sz w:val="36"/>
                <w:szCs w:val="36"/>
                <w:u w:val="single"/>
                <w:lang w:val="en-US" w:eastAsia="zh-CN"/>
              </w:rPr>
              <w:t xml:space="preserve">唐山市聚弛环保科技有限责任公司 </w:t>
            </w:r>
          </w:p>
        </w:tc>
      </w:tr>
      <w:tr w14:paraId="512A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14:paraId="3A176866">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0" w:firstLineChars="0"/>
              <w:jc w:val="left"/>
              <w:textAlignment w:val="auto"/>
              <w:rPr>
                <w:rFonts w:hint="default" w:ascii="仿宋_GB2312" w:eastAsia="仿宋_GB2312"/>
                <w:sz w:val="36"/>
                <w:szCs w:val="36"/>
                <w:u w:val="none"/>
                <w:vertAlign w:val="baseline"/>
                <w:lang w:val="en-US"/>
              </w:rPr>
            </w:pPr>
            <w:r>
              <w:rPr>
                <w:rFonts w:hint="eastAsia" w:ascii="仿宋_GB2312" w:eastAsia="仿宋_GB2312"/>
                <w:sz w:val="36"/>
                <w:szCs w:val="36"/>
                <w:u w:val="none"/>
              </w:rPr>
              <w:t>编</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制</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日</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lang w:val="en-US" w:eastAsia="zh-CN"/>
              </w:rPr>
              <w:t xml:space="preserve">         2022年1月          </w:t>
            </w:r>
          </w:p>
        </w:tc>
      </w:tr>
    </w:tbl>
    <w:p w14:paraId="63CB6406">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0" w:firstLineChars="0"/>
        <w:jc w:val="both"/>
        <w:textAlignment w:val="auto"/>
        <w:rPr>
          <w:rFonts w:hint="default" w:ascii="仿宋_GB2312" w:eastAsia="仿宋_GB2312"/>
          <w:sz w:val="36"/>
          <w:szCs w:val="36"/>
          <w:u w:val="single"/>
          <w:lang w:val="en-US" w:eastAsia="zh-CN"/>
        </w:rPr>
      </w:pPr>
      <w:bookmarkStart w:id="0" w:name="_Hlk57884087"/>
    </w:p>
    <w:p w14:paraId="4FAB6667">
      <w:pPr>
        <w:adjustRightInd w:val="0"/>
        <w:snapToGrid w:val="0"/>
        <w:spacing w:line="288" w:lineRule="auto"/>
        <w:ind w:left="0" w:leftChars="0" w:firstLine="0" w:firstLineChars="0"/>
        <w:rPr>
          <w:rFonts w:ascii="仿宋_GB2312" w:eastAsia="仿宋_GB2312"/>
          <w:sz w:val="36"/>
          <w:szCs w:val="36"/>
        </w:rPr>
      </w:pPr>
    </w:p>
    <w:p w14:paraId="6DCABBF2">
      <w:pPr>
        <w:adjustRightInd w:val="0"/>
        <w:snapToGrid w:val="0"/>
        <w:spacing w:line="288" w:lineRule="auto"/>
        <w:ind w:left="0" w:leftChars="0" w:firstLine="0" w:firstLineChars="0"/>
        <w:rPr>
          <w:rFonts w:hint="eastAsia" w:ascii="仿宋_GB2312" w:eastAsia="仿宋_GB2312"/>
          <w:sz w:val="36"/>
          <w:szCs w:val="36"/>
        </w:rPr>
      </w:pPr>
    </w:p>
    <w:bookmarkEnd w:id="0"/>
    <w:p w14:paraId="78B673FB">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楷体_GB2312" w:eastAsia="楷体_GB2312"/>
          <w:sz w:val="36"/>
          <w:szCs w:val="36"/>
        </w:rPr>
      </w:pPr>
      <w:r>
        <w:rPr>
          <w:rFonts w:hint="eastAsia" w:ascii="楷体_GB2312" w:eastAsia="楷体_GB2312"/>
          <w:sz w:val="36"/>
          <w:szCs w:val="36"/>
        </w:rPr>
        <w:t>中华人民共和国生态环境部制</w:t>
      </w:r>
    </w:p>
    <w:p w14:paraId="4BC116D7">
      <w:pPr>
        <w:rPr>
          <w:rFonts w:hint="eastAsia" w:ascii="楷体_GB2312" w:eastAsia="楷体_GB2312"/>
          <w:sz w:val="36"/>
          <w:szCs w:val="36"/>
        </w:rPr>
      </w:pPr>
      <w:r>
        <w:rPr>
          <w:rFonts w:hint="eastAsia" w:ascii="楷体_GB2312" w:eastAsia="楷体_GB2312"/>
          <w:sz w:val="36"/>
          <w:szCs w:val="36"/>
        </w:rPr>
        <w:br w:type="page"/>
      </w:r>
    </w:p>
    <w:p w14:paraId="0B61FD65">
      <w:pPr>
        <w:adjustRightInd w:val="0"/>
        <w:snapToGrid w:val="0"/>
        <w:spacing w:line="288" w:lineRule="auto"/>
        <w:jc w:val="center"/>
        <w:rPr>
          <w:rFonts w:ascii="仿宋_GB2312" w:eastAsia="仿宋_GB2312"/>
          <w:sz w:val="36"/>
          <w:szCs w:val="36"/>
        </w:rPr>
        <w:sectPr>
          <w:footerReference r:id="rId5" w:type="default"/>
          <w:footerReference r:id="rId6" w:type="even"/>
          <w:pgSz w:w="11906" w:h="16838"/>
          <w:pgMar w:top="1417" w:right="1247" w:bottom="1417"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ascii="仿宋_GB2312" w:eastAsia="仿宋_GB2312"/>
          <w:sz w:val="36"/>
          <w:szCs w:val="36"/>
        </w:rPr>
        <w:br w:type="page"/>
      </w:r>
    </w:p>
    <w:p w14:paraId="2C2FF6C8">
      <w:pPr>
        <w:pStyle w:val="18"/>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20"/>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71"/>
        <w:gridCol w:w="2018"/>
        <w:gridCol w:w="2168"/>
        <w:gridCol w:w="3314"/>
      </w:tblGrid>
      <w:tr w14:paraId="03A68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571" w:type="dxa"/>
            <w:noWrap w:val="0"/>
            <w:tcMar>
              <w:top w:w="16" w:type="dxa"/>
              <w:left w:w="16" w:type="dxa"/>
              <w:right w:w="16" w:type="dxa"/>
            </w:tcMar>
            <w:vAlign w:val="center"/>
          </w:tcPr>
          <w:p w14:paraId="14F49CDC">
            <w:pPr>
              <w:pStyle w:val="27"/>
              <w:bidi w:val="0"/>
              <w:rPr>
                <w:color w:val="auto"/>
                <w:sz w:val="24"/>
                <w:szCs w:val="24"/>
                <w:highlight w:val="none"/>
              </w:rPr>
            </w:pPr>
            <w:r>
              <w:rPr>
                <w:rFonts w:hint="eastAsia"/>
                <w:color w:val="auto"/>
                <w:sz w:val="24"/>
                <w:szCs w:val="24"/>
                <w:highlight w:val="none"/>
              </w:rPr>
              <w:t>建设项目名称</w:t>
            </w:r>
          </w:p>
        </w:tc>
        <w:tc>
          <w:tcPr>
            <w:tcW w:w="7500" w:type="dxa"/>
            <w:gridSpan w:val="3"/>
            <w:noWrap w:val="0"/>
            <w:vAlign w:val="center"/>
          </w:tcPr>
          <w:p w14:paraId="3AD5912C">
            <w:pPr>
              <w:pStyle w:val="27"/>
              <w:bidi w:val="0"/>
              <w:rPr>
                <w:rFonts w:hint="default"/>
                <w:color w:val="auto"/>
                <w:sz w:val="24"/>
                <w:szCs w:val="24"/>
                <w:highlight w:val="none"/>
                <w:lang w:val="en-US" w:eastAsia="zh-CN"/>
              </w:rPr>
            </w:pPr>
            <w:r>
              <w:rPr>
                <w:rFonts w:hint="eastAsia" w:cs="Times New Roman"/>
                <w:color w:val="auto"/>
                <w:sz w:val="24"/>
                <w:szCs w:val="24"/>
                <w:highlight w:val="none"/>
                <w:lang w:val="en-US" w:eastAsia="zh-CN"/>
              </w:rPr>
              <w:t>唐山市聚弛环保科技有限责任公司通用设备及零部件制造项目</w:t>
            </w:r>
          </w:p>
        </w:tc>
      </w:tr>
      <w:tr w14:paraId="02A77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1571" w:type="dxa"/>
            <w:noWrap w:val="0"/>
            <w:tcMar>
              <w:top w:w="16" w:type="dxa"/>
              <w:left w:w="16" w:type="dxa"/>
              <w:right w:w="16" w:type="dxa"/>
            </w:tcMar>
            <w:vAlign w:val="center"/>
          </w:tcPr>
          <w:p w14:paraId="3D00145E">
            <w:pPr>
              <w:pStyle w:val="27"/>
              <w:bidi w:val="0"/>
              <w:rPr>
                <w:color w:val="auto"/>
                <w:sz w:val="24"/>
                <w:szCs w:val="24"/>
                <w:highlight w:val="none"/>
              </w:rPr>
            </w:pPr>
            <w:r>
              <w:rPr>
                <w:rFonts w:hint="eastAsia"/>
                <w:color w:val="auto"/>
                <w:sz w:val="24"/>
                <w:szCs w:val="24"/>
                <w:highlight w:val="none"/>
              </w:rPr>
              <w:t>项目代码</w:t>
            </w:r>
          </w:p>
        </w:tc>
        <w:tc>
          <w:tcPr>
            <w:tcW w:w="7500" w:type="dxa"/>
            <w:gridSpan w:val="3"/>
            <w:noWrap w:val="0"/>
            <w:vAlign w:val="center"/>
          </w:tcPr>
          <w:p w14:paraId="1DEFE8D9">
            <w:pPr>
              <w:pStyle w:val="27"/>
              <w:bidi w:val="0"/>
              <w:rPr>
                <w:rFonts w:hint="default"/>
                <w:color w:val="auto"/>
                <w:sz w:val="24"/>
                <w:szCs w:val="24"/>
                <w:highlight w:val="none"/>
                <w:lang w:val="en-US" w:eastAsia="zh-CN"/>
              </w:rPr>
            </w:pPr>
            <w:r>
              <w:rPr>
                <w:rFonts w:hint="eastAsia"/>
                <w:color w:val="auto"/>
                <w:sz w:val="24"/>
                <w:szCs w:val="24"/>
                <w:highlight w:val="none"/>
                <w:lang w:val="en-US" w:eastAsia="zh-CN"/>
              </w:rPr>
              <w:t>2112-130273-89-01-443437</w:t>
            </w:r>
          </w:p>
        </w:tc>
      </w:tr>
      <w:tr w14:paraId="6F80A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1571" w:type="dxa"/>
            <w:noWrap w:val="0"/>
            <w:tcMar>
              <w:top w:w="16" w:type="dxa"/>
              <w:left w:w="16" w:type="dxa"/>
              <w:right w:w="16" w:type="dxa"/>
            </w:tcMar>
            <w:vAlign w:val="center"/>
          </w:tcPr>
          <w:p w14:paraId="07A2A311">
            <w:pPr>
              <w:pStyle w:val="27"/>
              <w:bidi w:val="0"/>
              <w:rPr>
                <w:rFonts w:hint="eastAsia"/>
                <w:color w:val="auto"/>
                <w:sz w:val="24"/>
                <w:szCs w:val="24"/>
              </w:rPr>
            </w:pPr>
            <w:r>
              <w:rPr>
                <w:rFonts w:hint="eastAsia"/>
                <w:color w:val="auto"/>
                <w:sz w:val="24"/>
                <w:szCs w:val="24"/>
              </w:rPr>
              <w:t>建设单位联系人</w:t>
            </w:r>
          </w:p>
        </w:tc>
        <w:tc>
          <w:tcPr>
            <w:tcW w:w="2018" w:type="dxa"/>
            <w:noWrap w:val="0"/>
            <w:vAlign w:val="center"/>
          </w:tcPr>
          <w:p w14:paraId="78D07590">
            <w:pPr>
              <w:pStyle w:val="27"/>
              <w:bidi w:val="0"/>
              <w:rPr>
                <w:rFonts w:hint="default"/>
                <w:color w:val="auto"/>
                <w:sz w:val="24"/>
                <w:szCs w:val="24"/>
                <w:lang w:val="en-US" w:eastAsia="zh-CN"/>
              </w:rPr>
            </w:pPr>
            <w:r>
              <w:rPr>
                <w:rFonts w:hint="eastAsia"/>
                <w:color w:val="auto"/>
                <w:sz w:val="24"/>
                <w:szCs w:val="24"/>
                <w:lang w:val="en-US" w:eastAsia="zh-CN"/>
              </w:rPr>
              <w:t>何龙</w:t>
            </w:r>
          </w:p>
        </w:tc>
        <w:tc>
          <w:tcPr>
            <w:tcW w:w="2168" w:type="dxa"/>
            <w:noWrap w:val="0"/>
            <w:vAlign w:val="center"/>
          </w:tcPr>
          <w:p w14:paraId="2DF43DD4">
            <w:pPr>
              <w:pStyle w:val="27"/>
              <w:bidi w:val="0"/>
              <w:rPr>
                <w:color w:val="auto"/>
                <w:sz w:val="24"/>
                <w:szCs w:val="24"/>
              </w:rPr>
            </w:pPr>
            <w:r>
              <w:rPr>
                <w:rFonts w:hint="eastAsia"/>
                <w:color w:val="auto"/>
                <w:sz w:val="24"/>
                <w:szCs w:val="24"/>
              </w:rPr>
              <w:t>联系方式</w:t>
            </w:r>
          </w:p>
        </w:tc>
        <w:tc>
          <w:tcPr>
            <w:tcW w:w="3314" w:type="dxa"/>
            <w:noWrap w:val="0"/>
            <w:vAlign w:val="center"/>
          </w:tcPr>
          <w:p w14:paraId="7A0CDF63">
            <w:pPr>
              <w:pStyle w:val="27"/>
              <w:bidi w:val="0"/>
              <w:rPr>
                <w:rFonts w:hint="default" w:eastAsia="宋体"/>
                <w:color w:val="auto"/>
                <w:sz w:val="24"/>
                <w:szCs w:val="24"/>
                <w:lang w:val="en-US" w:eastAsia="zh-CN"/>
              </w:rPr>
            </w:pPr>
            <w:r>
              <w:rPr>
                <w:rFonts w:hint="eastAsia" w:cs="Times New Roman"/>
                <w:color w:val="auto"/>
                <w:sz w:val="24"/>
                <w:szCs w:val="24"/>
                <w:lang w:val="en-US" w:eastAsia="zh-CN"/>
              </w:rPr>
              <w:t>19931529392</w:t>
            </w:r>
          </w:p>
        </w:tc>
      </w:tr>
      <w:tr w14:paraId="13530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571" w:type="dxa"/>
            <w:noWrap w:val="0"/>
            <w:tcMar>
              <w:top w:w="16" w:type="dxa"/>
              <w:left w:w="16" w:type="dxa"/>
              <w:right w:w="16" w:type="dxa"/>
            </w:tcMar>
            <w:vAlign w:val="center"/>
          </w:tcPr>
          <w:p w14:paraId="582521B0">
            <w:pPr>
              <w:pStyle w:val="27"/>
              <w:bidi w:val="0"/>
              <w:rPr>
                <w:color w:val="auto"/>
                <w:sz w:val="24"/>
                <w:szCs w:val="24"/>
              </w:rPr>
            </w:pPr>
            <w:r>
              <w:rPr>
                <w:rFonts w:hint="eastAsia"/>
                <w:color w:val="auto"/>
                <w:sz w:val="24"/>
                <w:szCs w:val="24"/>
              </w:rPr>
              <w:t>建设地点</w:t>
            </w:r>
          </w:p>
        </w:tc>
        <w:tc>
          <w:tcPr>
            <w:tcW w:w="7500" w:type="dxa"/>
            <w:gridSpan w:val="3"/>
            <w:noWrap w:val="0"/>
            <w:vAlign w:val="center"/>
          </w:tcPr>
          <w:p w14:paraId="67DDCA69">
            <w:pPr>
              <w:pStyle w:val="27"/>
              <w:bidi w:val="0"/>
              <w:rPr>
                <w:rFonts w:hint="default"/>
                <w:color w:val="0000FF"/>
                <w:sz w:val="24"/>
                <w:szCs w:val="24"/>
                <w:lang w:val="en-US"/>
              </w:rPr>
            </w:pPr>
            <w:r>
              <w:rPr>
                <w:rFonts w:hint="eastAsia" w:cs="Times New Roman"/>
                <w:color w:val="auto"/>
                <w:sz w:val="24"/>
                <w:szCs w:val="24"/>
                <w:highlight w:val="none"/>
                <w:lang w:val="en-US" w:eastAsia="zh-CN"/>
              </w:rPr>
              <w:t>唐山市高新区郑庄子乡梁各庄村螺丝厂院内北侧车间</w:t>
            </w:r>
          </w:p>
        </w:tc>
      </w:tr>
      <w:tr w14:paraId="55313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1571" w:type="dxa"/>
            <w:noWrap w:val="0"/>
            <w:tcMar>
              <w:top w:w="16" w:type="dxa"/>
              <w:left w:w="16" w:type="dxa"/>
              <w:right w:w="16" w:type="dxa"/>
            </w:tcMar>
            <w:vAlign w:val="center"/>
          </w:tcPr>
          <w:p w14:paraId="600050C0">
            <w:pPr>
              <w:pStyle w:val="27"/>
              <w:bidi w:val="0"/>
              <w:rPr>
                <w:color w:val="auto"/>
                <w:sz w:val="24"/>
                <w:szCs w:val="24"/>
              </w:rPr>
            </w:pPr>
            <w:r>
              <w:rPr>
                <w:rFonts w:hint="eastAsia"/>
                <w:color w:val="auto"/>
                <w:sz w:val="24"/>
                <w:szCs w:val="24"/>
              </w:rPr>
              <w:t>地理坐标</w:t>
            </w:r>
          </w:p>
        </w:tc>
        <w:tc>
          <w:tcPr>
            <w:tcW w:w="7500" w:type="dxa"/>
            <w:gridSpan w:val="3"/>
            <w:noWrap w:val="0"/>
            <w:vAlign w:val="center"/>
          </w:tcPr>
          <w:p w14:paraId="4D59D834">
            <w:pPr>
              <w:pStyle w:val="27"/>
              <w:bidi w:val="0"/>
              <w:rPr>
                <w:rFonts w:hint="default"/>
                <w:color w:val="0000FF"/>
                <w:sz w:val="24"/>
                <w:szCs w:val="24"/>
                <w:lang w:val="en-US" w:eastAsia="zh-CN"/>
              </w:rPr>
            </w:pPr>
            <w:r>
              <w:rPr>
                <w:rFonts w:hint="default"/>
                <w:color w:val="auto"/>
                <w:sz w:val="24"/>
                <w:szCs w:val="24"/>
                <w:highlight w:val="none"/>
                <w:lang w:val="en-US" w:eastAsia="zh-CN"/>
              </w:rPr>
              <w:t>东经：</w:t>
            </w:r>
            <w:r>
              <w:rPr>
                <w:rFonts w:hint="eastAsia"/>
                <w:color w:val="auto"/>
                <w:sz w:val="24"/>
                <w:szCs w:val="24"/>
                <w:highlight w:val="none"/>
                <w:lang w:val="en-US" w:eastAsia="zh-CN"/>
              </w:rPr>
              <w:t>118</w:t>
            </w:r>
            <w:r>
              <w:rPr>
                <w:rFonts w:hint="default"/>
                <w:color w:val="auto"/>
                <w:sz w:val="24"/>
                <w:szCs w:val="24"/>
                <w:highlight w:val="none"/>
              </w:rPr>
              <w:t>°</w:t>
            </w:r>
            <w:r>
              <w:rPr>
                <w:rFonts w:hint="eastAsia"/>
                <w:color w:val="auto"/>
                <w:sz w:val="24"/>
                <w:szCs w:val="24"/>
                <w:highlight w:val="none"/>
                <w:lang w:val="en-US" w:eastAsia="zh-CN"/>
              </w:rPr>
              <w:t>11</w:t>
            </w:r>
            <w:r>
              <w:rPr>
                <w:rFonts w:hint="default"/>
                <w:color w:val="auto"/>
                <w:sz w:val="24"/>
                <w:szCs w:val="24"/>
                <w:highlight w:val="none"/>
              </w:rPr>
              <w:t>'</w:t>
            </w:r>
            <w:r>
              <w:rPr>
                <w:rFonts w:hint="eastAsia"/>
                <w:color w:val="auto"/>
                <w:sz w:val="24"/>
                <w:szCs w:val="24"/>
                <w:highlight w:val="none"/>
                <w:lang w:val="en-US" w:eastAsia="zh-CN"/>
              </w:rPr>
              <w:t>13.707</w:t>
            </w:r>
            <w:r>
              <w:rPr>
                <w:rFonts w:hint="default"/>
                <w:color w:val="auto"/>
                <w:sz w:val="24"/>
                <w:szCs w:val="24"/>
                <w:highlight w:val="none"/>
              </w:rPr>
              <w:t>"</w:t>
            </w:r>
            <w:r>
              <w:rPr>
                <w:rFonts w:hint="default"/>
                <w:color w:val="auto"/>
                <w:sz w:val="24"/>
                <w:szCs w:val="24"/>
                <w:highlight w:val="none"/>
                <w:lang w:eastAsia="zh-CN"/>
              </w:rPr>
              <w:t>；</w:t>
            </w:r>
            <w:r>
              <w:rPr>
                <w:rFonts w:hint="default"/>
                <w:color w:val="auto"/>
                <w:sz w:val="24"/>
                <w:szCs w:val="24"/>
                <w:highlight w:val="none"/>
                <w:lang w:val="en-US" w:eastAsia="zh-CN"/>
              </w:rPr>
              <w:t>北纬：</w:t>
            </w:r>
            <w:r>
              <w:rPr>
                <w:rFonts w:hint="default"/>
                <w:color w:val="auto"/>
                <w:sz w:val="24"/>
                <w:szCs w:val="24"/>
                <w:highlight w:val="none"/>
              </w:rPr>
              <w:t>39°</w:t>
            </w:r>
            <w:r>
              <w:rPr>
                <w:rFonts w:hint="eastAsia"/>
                <w:color w:val="auto"/>
                <w:sz w:val="24"/>
                <w:szCs w:val="24"/>
                <w:highlight w:val="none"/>
                <w:lang w:val="en-US" w:eastAsia="zh-CN"/>
              </w:rPr>
              <w:t>43</w:t>
            </w:r>
            <w:r>
              <w:rPr>
                <w:rFonts w:hint="default"/>
                <w:color w:val="auto"/>
                <w:sz w:val="24"/>
                <w:szCs w:val="24"/>
                <w:highlight w:val="none"/>
              </w:rPr>
              <w:t>'</w:t>
            </w:r>
            <w:r>
              <w:rPr>
                <w:rFonts w:hint="eastAsia"/>
                <w:color w:val="auto"/>
                <w:sz w:val="24"/>
                <w:szCs w:val="24"/>
                <w:highlight w:val="none"/>
                <w:lang w:val="en-US" w:eastAsia="zh-CN"/>
              </w:rPr>
              <w:t>30.313</w:t>
            </w:r>
            <w:r>
              <w:rPr>
                <w:rFonts w:hint="default"/>
                <w:color w:val="auto"/>
                <w:sz w:val="24"/>
                <w:szCs w:val="24"/>
                <w:highlight w:val="none"/>
              </w:rPr>
              <w:t>"</w:t>
            </w:r>
          </w:p>
        </w:tc>
      </w:tr>
      <w:tr w14:paraId="78DFA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7" w:hRule="atLeast"/>
          <w:jc w:val="center"/>
        </w:trPr>
        <w:tc>
          <w:tcPr>
            <w:tcW w:w="1571" w:type="dxa"/>
            <w:noWrap w:val="0"/>
            <w:tcMar>
              <w:top w:w="16" w:type="dxa"/>
              <w:left w:w="16" w:type="dxa"/>
              <w:right w:w="16" w:type="dxa"/>
            </w:tcMar>
            <w:vAlign w:val="center"/>
          </w:tcPr>
          <w:p w14:paraId="521B6334">
            <w:pPr>
              <w:pStyle w:val="27"/>
              <w:bidi w:val="0"/>
              <w:rPr>
                <w:rFonts w:hint="eastAsia"/>
                <w:color w:val="auto"/>
                <w:sz w:val="24"/>
                <w:szCs w:val="24"/>
              </w:rPr>
            </w:pPr>
            <w:r>
              <w:rPr>
                <w:rFonts w:hint="eastAsia"/>
                <w:color w:val="auto"/>
                <w:sz w:val="24"/>
                <w:szCs w:val="24"/>
              </w:rPr>
              <w:t>国民经济</w:t>
            </w:r>
          </w:p>
          <w:p w14:paraId="46640D39">
            <w:pPr>
              <w:pStyle w:val="27"/>
              <w:bidi w:val="0"/>
              <w:rPr>
                <w:color w:val="auto"/>
                <w:sz w:val="24"/>
                <w:szCs w:val="24"/>
              </w:rPr>
            </w:pPr>
            <w:r>
              <w:rPr>
                <w:rFonts w:hint="eastAsia"/>
                <w:color w:val="auto"/>
                <w:sz w:val="24"/>
                <w:szCs w:val="24"/>
              </w:rPr>
              <w:t>行业类别</w:t>
            </w:r>
          </w:p>
        </w:tc>
        <w:tc>
          <w:tcPr>
            <w:tcW w:w="2018" w:type="dxa"/>
            <w:noWrap w:val="0"/>
            <w:vAlign w:val="center"/>
          </w:tcPr>
          <w:p w14:paraId="2E2C4A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lang w:val="en-US" w:eastAsia="zh-CN"/>
              </w:rPr>
            </w:pPr>
            <w:r>
              <w:rPr>
                <w:rFonts w:hint="eastAsia" w:cs="Times New Roman"/>
                <w:lang w:val="en-US" w:eastAsia="zh-CN"/>
              </w:rPr>
              <w:t>C34通用设备制造业</w:t>
            </w:r>
          </w:p>
        </w:tc>
        <w:tc>
          <w:tcPr>
            <w:tcW w:w="2168" w:type="dxa"/>
            <w:noWrap w:val="0"/>
            <w:vAlign w:val="center"/>
          </w:tcPr>
          <w:p w14:paraId="464A9151">
            <w:pPr>
              <w:pStyle w:val="27"/>
              <w:bidi w:val="0"/>
              <w:rPr>
                <w:rFonts w:hint="default" w:ascii="Times New Roman" w:hAnsi="Times New Roman" w:cs="Times New Roman"/>
                <w:color w:val="auto"/>
                <w:sz w:val="24"/>
                <w:szCs w:val="24"/>
              </w:rPr>
            </w:pPr>
            <w:bookmarkStart w:id="1" w:name="_Hlk49843745"/>
            <w:r>
              <w:rPr>
                <w:rFonts w:hint="default" w:ascii="Times New Roman" w:hAnsi="Times New Roman" w:cs="Times New Roman"/>
                <w:color w:val="auto"/>
                <w:sz w:val="24"/>
                <w:szCs w:val="24"/>
              </w:rPr>
              <w:t>建设项目</w:t>
            </w:r>
          </w:p>
          <w:p w14:paraId="79EA7A22">
            <w:pPr>
              <w:pStyle w:val="27"/>
              <w:bidi w:val="0"/>
              <w:rPr>
                <w:rFonts w:hint="default" w:ascii="Times New Roman" w:hAnsi="Times New Roman" w:cs="Times New Roman"/>
                <w:color w:val="0000FF"/>
                <w:sz w:val="24"/>
                <w:szCs w:val="24"/>
              </w:rPr>
            </w:pPr>
            <w:r>
              <w:rPr>
                <w:rFonts w:hint="default" w:ascii="Times New Roman" w:hAnsi="Times New Roman" w:cs="Times New Roman"/>
                <w:color w:val="auto"/>
                <w:sz w:val="24"/>
                <w:szCs w:val="24"/>
              </w:rPr>
              <w:t>行业类别</w:t>
            </w:r>
            <w:bookmarkEnd w:id="1"/>
          </w:p>
        </w:tc>
        <w:tc>
          <w:tcPr>
            <w:tcW w:w="3314" w:type="dxa"/>
            <w:noWrap w:val="0"/>
            <w:vAlign w:val="center"/>
          </w:tcPr>
          <w:p w14:paraId="6A1365C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lang w:val="en-US" w:eastAsia="zh-CN"/>
              </w:rPr>
            </w:pPr>
            <w:r>
              <w:rPr>
                <w:rFonts w:hint="eastAsia"/>
                <w:color w:val="auto"/>
                <w:sz w:val="24"/>
                <w:szCs w:val="24"/>
                <w:lang w:val="en-US" w:eastAsia="zh-CN"/>
              </w:rPr>
              <w:t>三十一、通用设备制造业34-通用零部件制造348；其他通用设备制造业349-其他</w:t>
            </w:r>
          </w:p>
        </w:tc>
      </w:tr>
      <w:tr w14:paraId="6C0E0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1571" w:type="dxa"/>
            <w:noWrap w:val="0"/>
            <w:tcMar>
              <w:top w:w="16" w:type="dxa"/>
              <w:left w:w="16" w:type="dxa"/>
              <w:right w:w="16" w:type="dxa"/>
            </w:tcMar>
            <w:vAlign w:val="center"/>
          </w:tcPr>
          <w:p w14:paraId="70336616">
            <w:pPr>
              <w:pStyle w:val="27"/>
              <w:bidi w:val="0"/>
              <w:rPr>
                <w:b w:val="0"/>
                <w:bCs w:val="0"/>
                <w:color w:val="auto"/>
                <w:sz w:val="24"/>
                <w:szCs w:val="24"/>
              </w:rPr>
            </w:pPr>
            <w:r>
              <w:rPr>
                <w:rFonts w:hint="eastAsia"/>
                <w:b w:val="0"/>
                <w:bCs w:val="0"/>
                <w:color w:val="auto"/>
                <w:sz w:val="24"/>
                <w:szCs w:val="24"/>
              </w:rPr>
              <w:t>建设性质</w:t>
            </w:r>
          </w:p>
        </w:tc>
        <w:tc>
          <w:tcPr>
            <w:tcW w:w="2018" w:type="dxa"/>
            <w:noWrap w:val="0"/>
            <w:vAlign w:val="center"/>
          </w:tcPr>
          <w:p w14:paraId="3D9E6883">
            <w:pPr>
              <w:pStyle w:val="27"/>
              <w:bidi w:val="0"/>
              <w:jc w:val="left"/>
              <w:rPr>
                <w:b w:val="0"/>
                <w:bCs w:val="0"/>
                <w:color w:val="auto"/>
                <w:sz w:val="24"/>
                <w:szCs w:val="24"/>
              </w:rPr>
            </w:pPr>
            <w:r>
              <w:rPr>
                <w:rFonts w:hint="default" w:ascii="Times New Roman" w:hAnsi="Times New Roman" w:cs="Times New Roman"/>
                <w:b w:val="0"/>
                <w:bCs w:val="0"/>
                <w:color w:val="auto"/>
                <w:sz w:val="24"/>
                <w:szCs w:val="24"/>
              </w:rPr>
              <w:sym w:font="Wingdings" w:char="00FE"/>
            </w:r>
            <w:r>
              <w:rPr>
                <w:rFonts w:hint="eastAsia"/>
                <w:b w:val="0"/>
                <w:bCs w:val="0"/>
                <w:color w:val="auto"/>
                <w:sz w:val="24"/>
                <w:szCs w:val="24"/>
              </w:rPr>
              <w:t>新建（迁建）</w:t>
            </w:r>
          </w:p>
          <w:p w14:paraId="7F9CF57C">
            <w:pPr>
              <w:pStyle w:val="27"/>
              <w:bidi w:val="0"/>
              <w:jc w:val="left"/>
              <w:rPr>
                <w:rFonts w:hint="eastAsia"/>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改建</w:t>
            </w:r>
          </w:p>
          <w:p w14:paraId="6EC324F9">
            <w:pPr>
              <w:pStyle w:val="27"/>
              <w:bidi w:val="0"/>
              <w:jc w:val="left"/>
              <w:rPr>
                <w:rFonts w:hint="eastAsia"/>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扩建</w:t>
            </w:r>
          </w:p>
          <w:p w14:paraId="7786E83D">
            <w:pPr>
              <w:pStyle w:val="27"/>
              <w:bidi w:val="0"/>
              <w:jc w:val="left"/>
              <w:rPr>
                <w:b w:val="0"/>
                <w:bCs w:val="0"/>
                <w:color w:val="0000FF"/>
                <w:sz w:val="24"/>
                <w:szCs w:val="24"/>
              </w:rPr>
            </w:pPr>
            <w:r>
              <w:rPr>
                <w:rFonts w:hint="eastAsia"/>
                <w:b w:val="0"/>
                <w:bCs w:val="0"/>
                <w:color w:val="auto"/>
                <w:sz w:val="24"/>
                <w:szCs w:val="24"/>
              </w:rPr>
              <w:sym w:font="Wingdings" w:char="00A8"/>
            </w:r>
            <w:r>
              <w:rPr>
                <w:rFonts w:hint="eastAsia"/>
                <w:b w:val="0"/>
                <w:bCs w:val="0"/>
                <w:color w:val="auto"/>
                <w:sz w:val="24"/>
                <w:szCs w:val="24"/>
              </w:rPr>
              <w:t>技术改造</w:t>
            </w:r>
          </w:p>
        </w:tc>
        <w:tc>
          <w:tcPr>
            <w:tcW w:w="2168" w:type="dxa"/>
            <w:noWrap w:val="0"/>
            <w:vAlign w:val="center"/>
          </w:tcPr>
          <w:p w14:paraId="3E6626FF">
            <w:pPr>
              <w:pStyle w:val="27"/>
              <w:bidi w:val="0"/>
              <w:rPr>
                <w:rFonts w:hint="eastAsia"/>
                <w:b w:val="0"/>
                <w:bCs w:val="0"/>
                <w:color w:val="auto"/>
                <w:sz w:val="24"/>
                <w:szCs w:val="24"/>
              </w:rPr>
            </w:pPr>
            <w:r>
              <w:rPr>
                <w:rFonts w:hint="eastAsia"/>
                <w:b w:val="0"/>
                <w:bCs w:val="0"/>
                <w:color w:val="auto"/>
                <w:sz w:val="24"/>
                <w:szCs w:val="24"/>
              </w:rPr>
              <w:t>建设项目</w:t>
            </w:r>
          </w:p>
          <w:p w14:paraId="1D0CE9AF">
            <w:pPr>
              <w:pStyle w:val="27"/>
              <w:bidi w:val="0"/>
              <w:rPr>
                <w:b w:val="0"/>
                <w:bCs w:val="0"/>
                <w:color w:val="auto"/>
                <w:sz w:val="24"/>
                <w:szCs w:val="24"/>
              </w:rPr>
            </w:pPr>
            <w:r>
              <w:rPr>
                <w:rFonts w:hint="eastAsia"/>
                <w:b w:val="0"/>
                <w:bCs w:val="0"/>
                <w:color w:val="auto"/>
                <w:sz w:val="24"/>
                <w:szCs w:val="24"/>
              </w:rPr>
              <w:t>申报情形</w:t>
            </w:r>
          </w:p>
        </w:tc>
        <w:tc>
          <w:tcPr>
            <w:tcW w:w="3314" w:type="dxa"/>
            <w:noWrap w:val="0"/>
            <w:vAlign w:val="center"/>
          </w:tcPr>
          <w:p w14:paraId="10E4FDCF">
            <w:pPr>
              <w:pStyle w:val="27"/>
              <w:bidi w:val="0"/>
              <w:jc w:val="left"/>
              <w:rPr>
                <w:b w:val="0"/>
                <w:bCs w:val="0"/>
                <w:color w:val="auto"/>
                <w:sz w:val="24"/>
                <w:szCs w:val="24"/>
              </w:rPr>
            </w:pPr>
            <w:r>
              <w:rPr>
                <w:rFonts w:hint="eastAsia"/>
                <w:b w:val="0"/>
                <w:bCs w:val="0"/>
                <w:color w:val="auto"/>
                <w:sz w:val="24"/>
                <w:szCs w:val="24"/>
              </w:rPr>
              <w:sym w:font="Wingdings" w:char="00FE"/>
            </w:r>
            <w:r>
              <w:rPr>
                <w:rFonts w:hint="eastAsia"/>
                <w:b w:val="0"/>
                <w:bCs w:val="0"/>
                <w:color w:val="auto"/>
                <w:sz w:val="24"/>
                <w:szCs w:val="24"/>
              </w:rPr>
              <w:t>首次申报项目</w:t>
            </w:r>
          </w:p>
          <w:p w14:paraId="0DDB3E49">
            <w:pPr>
              <w:pStyle w:val="27"/>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不予批准后再次申报项目</w:t>
            </w:r>
          </w:p>
          <w:p w14:paraId="7786AC0A">
            <w:pPr>
              <w:pStyle w:val="27"/>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超五年重新审核项目</w:t>
            </w:r>
          </w:p>
          <w:p w14:paraId="3E933B98">
            <w:pPr>
              <w:pStyle w:val="27"/>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重大变动重新报批项目</w:t>
            </w:r>
          </w:p>
        </w:tc>
      </w:tr>
      <w:tr w14:paraId="72393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84" w:hRule="atLeast"/>
          <w:jc w:val="center"/>
        </w:trPr>
        <w:tc>
          <w:tcPr>
            <w:tcW w:w="1571" w:type="dxa"/>
            <w:noWrap w:val="0"/>
            <w:tcMar>
              <w:top w:w="16" w:type="dxa"/>
              <w:left w:w="16" w:type="dxa"/>
              <w:right w:w="16" w:type="dxa"/>
            </w:tcMar>
            <w:vAlign w:val="center"/>
          </w:tcPr>
          <w:p w14:paraId="17BA27B5">
            <w:pPr>
              <w:pStyle w:val="27"/>
              <w:bidi w:val="0"/>
              <w:rPr>
                <w:color w:val="auto"/>
                <w:sz w:val="24"/>
                <w:szCs w:val="24"/>
              </w:rPr>
            </w:pPr>
            <w:r>
              <w:rPr>
                <w:rFonts w:hint="eastAsia"/>
                <w:color w:val="auto"/>
                <w:sz w:val="24"/>
                <w:szCs w:val="24"/>
              </w:rPr>
              <w:t>项目审批（核准</w:t>
            </w:r>
            <w:r>
              <w:rPr>
                <w:color w:val="auto"/>
                <w:sz w:val="24"/>
                <w:szCs w:val="24"/>
              </w:rPr>
              <w:t>/</w:t>
            </w:r>
            <w:r>
              <w:rPr>
                <w:rFonts w:hint="eastAsia"/>
                <w:color w:val="auto"/>
                <w:sz w:val="24"/>
                <w:szCs w:val="24"/>
              </w:rPr>
              <w:t>备案）部门（选填）</w:t>
            </w:r>
          </w:p>
        </w:tc>
        <w:tc>
          <w:tcPr>
            <w:tcW w:w="2018" w:type="dxa"/>
            <w:noWrap w:val="0"/>
            <w:vAlign w:val="center"/>
          </w:tcPr>
          <w:p w14:paraId="4F6A1D4A">
            <w:pPr>
              <w:pStyle w:val="27"/>
              <w:bidi w:val="0"/>
              <w:rPr>
                <w:rFonts w:hint="default"/>
                <w:color w:val="0000FF"/>
                <w:sz w:val="24"/>
                <w:szCs w:val="24"/>
                <w:lang w:val="en-US" w:eastAsia="zh-CN"/>
              </w:rPr>
            </w:pPr>
            <w:r>
              <w:rPr>
                <w:rFonts w:hint="eastAsia"/>
                <w:color w:val="auto"/>
                <w:sz w:val="24"/>
                <w:szCs w:val="24"/>
                <w:lang w:val="en-US" w:eastAsia="zh-CN"/>
              </w:rPr>
              <w:t>唐山高新技术产业开发区行政审批局</w:t>
            </w:r>
          </w:p>
        </w:tc>
        <w:tc>
          <w:tcPr>
            <w:tcW w:w="2168" w:type="dxa"/>
            <w:noWrap w:val="0"/>
            <w:vAlign w:val="center"/>
          </w:tcPr>
          <w:p w14:paraId="3134348F">
            <w:pPr>
              <w:pStyle w:val="27"/>
              <w:bidi w:val="0"/>
              <w:rPr>
                <w:rFonts w:hint="eastAsia"/>
                <w:color w:val="auto"/>
                <w:sz w:val="24"/>
                <w:szCs w:val="24"/>
              </w:rPr>
            </w:pPr>
            <w:r>
              <w:rPr>
                <w:rFonts w:hint="eastAsia"/>
                <w:color w:val="auto"/>
                <w:sz w:val="24"/>
                <w:szCs w:val="24"/>
              </w:rPr>
              <w:t>项目审批（核准</w:t>
            </w:r>
            <w:r>
              <w:rPr>
                <w:color w:val="auto"/>
                <w:sz w:val="24"/>
                <w:szCs w:val="24"/>
              </w:rPr>
              <w:t>/</w:t>
            </w:r>
          </w:p>
          <w:p w14:paraId="02799C78">
            <w:pPr>
              <w:pStyle w:val="27"/>
              <w:bidi w:val="0"/>
              <w:rPr>
                <w:rFonts w:hint="eastAsia"/>
                <w:color w:val="auto"/>
                <w:sz w:val="24"/>
                <w:szCs w:val="24"/>
              </w:rPr>
            </w:pPr>
            <w:r>
              <w:rPr>
                <w:rFonts w:hint="eastAsia"/>
                <w:color w:val="auto"/>
                <w:sz w:val="24"/>
                <w:szCs w:val="24"/>
              </w:rPr>
              <w:t>备案）文号（选填）</w:t>
            </w:r>
          </w:p>
        </w:tc>
        <w:tc>
          <w:tcPr>
            <w:tcW w:w="3314" w:type="dxa"/>
            <w:noWrap w:val="0"/>
            <w:vAlign w:val="center"/>
          </w:tcPr>
          <w:p w14:paraId="2B570CEF">
            <w:pPr>
              <w:pStyle w:val="27"/>
              <w:bidi w:val="0"/>
              <w:rPr>
                <w:rFonts w:hint="default"/>
                <w:color w:val="auto"/>
                <w:sz w:val="24"/>
                <w:szCs w:val="24"/>
                <w:lang w:val="en-US" w:eastAsia="zh-CN"/>
              </w:rPr>
            </w:pPr>
            <w:r>
              <w:rPr>
                <w:rFonts w:hint="eastAsia"/>
                <w:color w:val="auto"/>
                <w:sz w:val="24"/>
                <w:szCs w:val="24"/>
                <w:lang w:val="en-US" w:eastAsia="zh-CN"/>
              </w:rPr>
              <w:t>唐高备字</w:t>
            </w:r>
            <w:r>
              <w:rPr>
                <w:rFonts w:hint="eastAsia" w:ascii="宋体" w:hAnsi="宋体" w:eastAsia="宋体" w:cs="宋体"/>
                <w:color w:val="auto"/>
                <w:sz w:val="24"/>
                <w:szCs w:val="24"/>
                <w:lang w:val="en-US" w:eastAsia="zh-CN"/>
              </w:rPr>
              <w:t>〔</w:t>
            </w:r>
            <w:r>
              <w:rPr>
                <w:rFonts w:hint="eastAsia"/>
                <w:color w:val="auto"/>
                <w:sz w:val="24"/>
                <w:szCs w:val="24"/>
                <w:lang w:val="en-US" w:eastAsia="zh-CN"/>
              </w:rPr>
              <w:t>2022</w:t>
            </w:r>
            <w:r>
              <w:rPr>
                <w:rFonts w:hint="eastAsia" w:ascii="宋体" w:hAnsi="宋体" w:eastAsia="宋体" w:cs="宋体"/>
                <w:color w:val="auto"/>
                <w:sz w:val="24"/>
                <w:szCs w:val="24"/>
                <w:lang w:val="en-US" w:eastAsia="zh-CN"/>
              </w:rPr>
              <w:t>〕</w:t>
            </w:r>
            <w:r>
              <w:rPr>
                <w:rFonts w:hint="eastAsia"/>
                <w:color w:val="auto"/>
                <w:sz w:val="24"/>
                <w:szCs w:val="24"/>
                <w:lang w:val="en-US" w:eastAsia="zh-CN"/>
              </w:rPr>
              <w:t>1号</w:t>
            </w:r>
          </w:p>
        </w:tc>
      </w:tr>
      <w:tr w14:paraId="36E0E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571" w:type="dxa"/>
            <w:noWrap w:val="0"/>
            <w:tcMar>
              <w:top w:w="16" w:type="dxa"/>
              <w:left w:w="16" w:type="dxa"/>
              <w:right w:w="16" w:type="dxa"/>
            </w:tcMar>
            <w:vAlign w:val="center"/>
          </w:tcPr>
          <w:p w14:paraId="64666718">
            <w:pPr>
              <w:pStyle w:val="27"/>
              <w:bidi w:val="0"/>
              <w:rPr>
                <w:color w:val="auto"/>
                <w:sz w:val="24"/>
                <w:szCs w:val="24"/>
                <w:highlight w:val="none"/>
              </w:rPr>
            </w:pPr>
            <w:r>
              <w:rPr>
                <w:rFonts w:hint="eastAsia"/>
                <w:color w:val="auto"/>
                <w:sz w:val="24"/>
                <w:szCs w:val="24"/>
                <w:highlight w:val="none"/>
              </w:rPr>
              <w:t>总投资（万元）</w:t>
            </w:r>
          </w:p>
        </w:tc>
        <w:tc>
          <w:tcPr>
            <w:tcW w:w="2018" w:type="dxa"/>
            <w:noWrap w:val="0"/>
            <w:vAlign w:val="center"/>
          </w:tcPr>
          <w:p w14:paraId="3EB3505C">
            <w:pPr>
              <w:pStyle w:val="27"/>
              <w:bidi w:val="0"/>
              <w:rPr>
                <w:rFonts w:hint="default"/>
                <w:color w:val="0000FF"/>
                <w:sz w:val="24"/>
                <w:szCs w:val="24"/>
                <w:highlight w:val="none"/>
                <w:lang w:val="en-US" w:eastAsia="zh-CN"/>
              </w:rPr>
            </w:pPr>
            <w:r>
              <w:rPr>
                <w:rFonts w:hint="eastAsia"/>
                <w:color w:val="auto"/>
                <w:sz w:val="24"/>
                <w:szCs w:val="24"/>
                <w:highlight w:val="none"/>
                <w:lang w:val="en-US" w:eastAsia="zh-CN"/>
              </w:rPr>
              <w:t>300</w:t>
            </w:r>
          </w:p>
        </w:tc>
        <w:tc>
          <w:tcPr>
            <w:tcW w:w="2168" w:type="dxa"/>
            <w:noWrap w:val="0"/>
            <w:tcMar>
              <w:top w:w="16" w:type="dxa"/>
              <w:left w:w="16" w:type="dxa"/>
              <w:right w:w="16" w:type="dxa"/>
            </w:tcMar>
            <w:vAlign w:val="center"/>
          </w:tcPr>
          <w:p w14:paraId="77821DB8">
            <w:pPr>
              <w:pStyle w:val="27"/>
              <w:bidi w:val="0"/>
              <w:rPr>
                <w:color w:val="0000FF"/>
                <w:sz w:val="24"/>
                <w:szCs w:val="24"/>
                <w:highlight w:val="none"/>
              </w:rPr>
            </w:pPr>
            <w:r>
              <w:rPr>
                <w:rFonts w:hint="eastAsia"/>
                <w:color w:val="auto"/>
                <w:sz w:val="24"/>
                <w:szCs w:val="24"/>
                <w:highlight w:val="none"/>
              </w:rPr>
              <w:t>环保投资（万元）</w:t>
            </w:r>
          </w:p>
        </w:tc>
        <w:tc>
          <w:tcPr>
            <w:tcW w:w="3314" w:type="dxa"/>
            <w:noWrap w:val="0"/>
            <w:vAlign w:val="center"/>
          </w:tcPr>
          <w:p w14:paraId="45B50494">
            <w:pPr>
              <w:pStyle w:val="27"/>
              <w:bidi w:val="0"/>
              <w:rPr>
                <w:rFonts w:hint="default"/>
                <w:color w:val="0000FF"/>
                <w:sz w:val="24"/>
                <w:szCs w:val="24"/>
                <w:highlight w:val="none"/>
                <w:lang w:val="en-US" w:eastAsia="zh-CN"/>
              </w:rPr>
            </w:pPr>
            <w:r>
              <w:rPr>
                <w:rFonts w:hint="eastAsia"/>
                <w:color w:val="auto"/>
                <w:sz w:val="24"/>
                <w:szCs w:val="24"/>
                <w:highlight w:val="none"/>
                <w:lang w:val="en-US" w:eastAsia="zh-CN"/>
              </w:rPr>
              <w:t>20</w:t>
            </w:r>
          </w:p>
        </w:tc>
      </w:tr>
      <w:tr w14:paraId="35C95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1571" w:type="dxa"/>
            <w:noWrap w:val="0"/>
            <w:tcMar>
              <w:top w:w="16" w:type="dxa"/>
              <w:left w:w="16" w:type="dxa"/>
              <w:right w:w="16" w:type="dxa"/>
            </w:tcMar>
            <w:vAlign w:val="center"/>
          </w:tcPr>
          <w:p w14:paraId="084364CF">
            <w:pPr>
              <w:pStyle w:val="27"/>
              <w:bidi w:val="0"/>
              <w:rPr>
                <w:color w:val="auto"/>
                <w:sz w:val="24"/>
                <w:szCs w:val="24"/>
                <w:highlight w:val="none"/>
              </w:rPr>
            </w:pPr>
            <w:r>
              <w:rPr>
                <w:rFonts w:hint="eastAsia"/>
                <w:color w:val="auto"/>
                <w:sz w:val="24"/>
                <w:szCs w:val="24"/>
                <w:highlight w:val="none"/>
              </w:rPr>
              <w:t>环保投资占比（</w:t>
            </w:r>
            <w:r>
              <w:rPr>
                <w:color w:val="auto"/>
                <w:sz w:val="24"/>
                <w:szCs w:val="24"/>
                <w:highlight w:val="none"/>
              </w:rPr>
              <w:t>%</w:t>
            </w:r>
            <w:r>
              <w:rPr>
                <w:rFonts w:hint="eastAsia"/>
                <w:color w:val="auto"/>
                <w:sz w:val="24"/>
                <w:szCs w:val="24"/>
                <w:highlight w:val="none"/>
              </w:rPr>
              <w:t>）</w:t>
            </w:r>
          </w:p>
        </w:tc>
        <w:tc>
          <w:tcPr>
            <w:tcW w:w="2018" w:type="dxa"/>
            <w:noWrap w:val="0"/>
            <w:vAlign w:val="center"/>
          </w:tcPr>
          <w:p w14:paraId="38EB8279">
            <w:pPr>
              <w:pStyle w:val="27"/>
              <w:bidi w:val="0"/>
              <w:rPr>
                <w:rFonts w:hint="default"/>
                <w:color w:val="auto"/>
                <w:sz w:val="24"/>
                <w:szCs w:val="24"/>
                <w:highlight w:val="none"/>
                <w:lang w:val="en-US" w:eastAsia="zh-CN"/>
              </w:rPr>
            </w:pPr>
            <w:r>
              <w:rPr>
                <w:rFonts w:hint="eastAsia"/>
                <w:color w:val="auto"/>
                <w:sz w:val="24"/>
                <w:szCs w:val="24"/>
                <w:highlight w:val="none"/>
                <w:lang w:val="en-US" w:eastAsia="zh-CN"/>
              </w:rPr>
              <w:t>6.67</w:t>
            </w:r>
          </w:p>
        </w:tc>
        <w:tc>
          <w:tcPr>
            <w:tcW w:w="2168" w:type="dxa"/>
            <w:noWrap w:val="0"/>
            <w:tcMar>
              <w:top w:w="16" w:type="dxa"/>
              <w:left w:w="16" w:type="dxa"/>
              <w:right w:w="16" w:type="dxa"/>
            </w:tcMar>
            <w:vAlign w:val="center"/>
          </w:tcPr>
          <w:p w14:paraId="73271D66">
            <w:pPr>
              <w:pStyle w:val="27"/>
              <w:bidi w:val="0"/>
              <w:rPr>
                <w:color w:val="auto"/>
                <w:sz w:val="24"/>
                <w:szCs w:val="24"/>
                <w:highlight w:val="none"/>
              </w:rPr>
            </w:pPr>
            <w:r>
              <w:rPr>
                <w:rFonts w:hint="eastAsia"/>
                <w:color w:val="auto"/>
                <w:sz w:val="24"/>
                <w:szCs w:val="24"/>
                <w:highlight w:val="none"/>
              </w:rPr>
              <w:t>施工工期</w:t>
            </w:r>
          </w:p>
        </w:tc>
        <w:tc>
          <w:tcPr>
            <w:tcW w:w="3314" w:type="dxa"/>
            <w:noWrap w:val="0"/>
            <w:vAlign w:val="center"/>
          </w:tcPr>
          <w:p w14:paraId="3C80ED56">
            <w:pPr>
              <w:pStyle w:val="27"/>
              <w:bidi w:val="0"/>
              <w:rPr>
                <w:rFonts w:hint="default"/>
                <w:color w:val="auto"/>
                <w:sz w:val="24"/>
                <w:szCs w:val="24"/>
                <w:highlight w:val="none"/>
                <w:lang w:val="en-US" w:eastAsia="zh-CN"/>
              </w:rPr>
            </w:pPr>
            <w:r>
              <w:rPr>
                <w:rFonts w:hint="eastAsia"/>
                <w:color w:val="auto"/>
                <w:sz w:val="24"/>
                <w:szCs w:val="24"/>
                <w:highlight w:val="none"/>
                <w:lang w:val="en-US" w:eastAsia="zh-CN"/>
              </w:rPr>
              <w:t>3</w:t>
            </w:r>
            <w:r>
              <w:rPr>
                <w:rFonts w:hint="default"/>
                <w:color w:val="auto"/>
                <w:sz w:val="24"/>
                <w:szCs w:val="24"/>
                <w:highlight w:val="none"/>
                <w:lang w:val="en-US" w:eastAsia="zh-CN"/>
              </w:rPr>
              <w:t>个月</w:t>
            </w:r>
          </w:p>
        </w:tc>
      </w:tr>
      <w:tr w14:paraId="0F3E4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1571" w:type="dxa"/>
            <w:noWrap w:val="0"/>
            <w:tcMar>
              <w:top w:w="16" w:type="dxa"/>
              <w:left w:w="16" w:type="dxa"/>
              <w:right w:w="16" w:type="dxa"/>
            </w:tcMar>
            <w:vAlign w:val="center"/>
          </w:tcPr>
          <w:p w14:paraId="5B07A573">
            <w:pPr>
              <w:pStyle w:val="27"/>
              <w:bidi w:val="0"/>
              <w:rPr>
                <w:rFonts w:hint="eastAsia"/>
                <w:color w:val="auto"/>
                <w:sz w:val="24"/>
                <w:szCs w:val="24"/>
              </w:rPr>
            </w:pPr>
            <w:r>
              <w:rPr>
                <w:rFonts w:hint="eastAsia"/>
                <w:color w:val="auto"/>
                <w:sz w:val="24"/>
                <w:szCs w:val="24"/>
              </w:rPr>
              <w:t>是否开工建设</w:t>
            </w:r>
          </w:p>
        </w:tc>
        <w:tc>
          <w:tcPr>
            <w:tcW w:w="2018" w:type="dxa"/>
            <w:noWrap w:val="0"/>
            <w:vAlign w:val="center"/>
          </w:tcPr>
          <w:p w14:paraId="799D198D">
            <w:pPr>
              <w:pStyle w:val="27"/>
              <w:bidi w:val="0"/>
              <w:jc w:val="left"/>
              <w:rPr>
                <w:color w:val="auto"/>
                <w:sz w:val="24"/>
                <w:szCs w:val="24"/>
              </w:rPr>
            </w:pPr>
            <w:r>
              <w:rPr>
                <w:rFonts w:hint="eastAsia"/>
                <w:color w:val="auto"/>
                <w:sz w:val="24"/>
                <w:szCs w:val="24"/>
              </w:rPr>
              <w:sym w:font="Wingdings" w:char="00FE"/>
            </w:r>
            <w:r>
              <w:rPr>
                <w:rFonts w:hint="eastAsia"/>
                <w:color w:val="auto"/>
                <w:sz w:val="24"/>
                <w:szCs w:val="24"/>
              </w:rPr>
              <w:t>否</w:t>
            </w:r>
          </w:p>
          <w:p w14:paraId="3F8B1F68">
            <w:pPr>
              <w:pStyle w:val="27"/>
              <w:bidi w:val="0"/>
              <w:jc w:val="left"/>
              <w:rPr>
                <w:color w:val="auto"/>
                <w:sz w:val="24"/>
                <w:szCs w:val="24"/>
              </w:rPr>
            </w:pPr>
            <w:r>
              <w:rPr>
                <w:rFonts w:hint="eastAsia"/>
                <w:color w:val="auto"/>
                <w:sz w:val="24"/>
                <w:szCs w:val="24"/>
              </w:rPr>
              <w:sym w:font="Wingdings" w:char="00A8"/>
            </w:r>
            <w:r>
              <w:rPr>
                <w:rFonts w:hint="eastAsia"/>
                <w:color w:val="auto"/>
                <w:sz w:val="24"/>
                <w:szCs w:val="24"/>
              </w:rPr>
              <w:t>是：</w:t>
            </w:r>
            <w:r>
              <w:rPr>
                <w:rFonts w:hint="eastAsia"/>
                <w:color w:val="auto"/>
                <w:sz w:val="24"/>
                <w:szCs w:val="24"/>
                <w:u w:val="single"/>
                <w:lang w:val="en-US" w:eastAsia="zh-CN"/>
              </w:rPr>
              <w:t xml:space="preserve">              </w:t>
            </w:r>
            <w:r>
              <w:rPr>
                <w:rFonts w:hint="eastAsia"/>
                <w:color w:val="auto"/>
                <w:sz w:val="24"/>
                <w:szCs w:val="24"/>
              </w:rPr>
              <w:t xml:space="preserve">             </w:t>
            </w:r>
          </w:p>
        </w:tc>
        <w:tc>
          <w:tcPr>
            <w:tcW w:w="2168" w:type="dxa"/>
            <w:noWrap w:val="0"/>
            <w:tcMar>
              <w:top w:w="16" w:type="dxa"/>
              <w:left w:w="16" w:type="dxa"/>
              <w:right w:w="16" w:type="dxa"/>
            </w:tcMar>
            <w:vAlign w:val="center"/>
          </w:tcPr>
          <w:p w14:paraId="2BB4F25E">
            <w:pPr>
              <w:pStyle w:val="27"/>
              <w:bidi w:val="0"/>
              <w:rPr>
                <w:color w:val="auto"/>
                <w:sz w:val="24"/>
                <w:szCs w:val="24"/>
              </w:rPr>
            </w:pPr>
            <w:r>
              <w:rPr>
                <w:rFonts w:hint="eastAsia"/>
                <w:color w:val="auto"/>
                <w:sz w:val="24"/>
                <w:szCs w:val="24"/>
              </w:rPr>
              <w:t>用地（用海）</w:t>
            </w:r>
          </w:p>
          <w:p w14:paraId="7A11BDC3">
            <w:pPr>
              <w:pStyle w:val="27"/>
              <w:bidi w:val="0"/>
              <w:rPr>
                <w:rFonts w:hint="eastAsia"/>
                <w:color w:val="auto"/>
                <w:sz w:val="24"/>
                <w:szCs w:val="24"/>
              </w:rPr>
            </w:pPr>
            <w:r>
              <w:rPr>
                <w:rFonts w:hint="eastAsia"/>
                <w:color w:val="auto"/>
                <w:sz w:val="24"/>
                <w:szCs w:val="24"/>
              </w:rPr>
              <w:t>面积</w:t>
            </w:r>
            <w:r>
              <w:rPr>
                <w:rFonts w:hint="default"/>
                <w:color w:val="auto"/>
                <w:sz w:val="24"/>
                <w:szCs w:val="24"/>
              </w:rPr>
              <w:t>（m</w:t>
            </w:r>
            <w:r>
              <w:rPr>
                <w:rFonts w:hint="default"/>
                <w:color w:val="auto"/>
                <w:sz w:val="24"/>
                <w:szCs w:val="24"/>
                <w:vertAlign w:val="superscript"/>
              </w:rPr>
              <w:t>2</w:t>
            </w:r>
            <w:r>
              <w:rPr>
                <w:rFonts w:hint="default"/>
                <w:color w:val="auto"/>
                <w:sz w:val="24"/>
                <w:szCs w:val="24"/>
              </w:rPr>
              <w:t>）</w:t>
            </w:r>
          </w:p>
        </w:tc>
        <w:tc>
          <w:tcPr>
            <w:tcW w:w="3314" w:type="dxa"/>
            <w:noWrap w:val="0"/>
            <w:vAlign w:val="center"/>
          </w:tcPr>
          <w:p w14:paraId="63C1795C">
            <w:pPr>
              <w:pStyle w:val="27"/>
              <w:bidi w:val="0"/>
              <w:rPr>
                <w:rFonts w:hint="default" w:eastAsia="宋体"/>
                <w:color w:val="auto"/>
                <w:sz w:val="24"/>
                <w:szCs w:val="24"/>
                <w:vertAlign w:val="baseline"/>
                <w:lang w:val="en-US" w:eastAsia="zh-CN"/>
              </w:rPr>
            </w:pPr>
            <w:r>
              <w:rPr>
                <w:rFonts w:hint="eastAsia"/>
                <w:color w:val="auto"/>
                <w:sz w:val="24"/>
                <w:szCs w:val="24"/>
                <w:lang w:val="en-US" w:eastAsia="zh-CN"/>
              </w:rPr>
              <w:t>1400</w:t>
            </w:r>
            <w:r>
              <w:rPr>
                <w:rFonts w:hint="default"/>
                <w:color w:val="auto"/>
                <w:sz w:val="24"/>
                <w:szCs w:val="24"/>
              </w:rPr>
              <w:t>m</w:t>
            </w:r>
            <w:r>
              <w:rPr>
                <w:rFonts w:hint="default"/>
                <w:color w:val="auto"/>
                <w:sz w:val="24"/>
                <w:szCs w:val="24"/>
                <w:vertAlign w:val="superscript"/>
              </w:rPr>
              <w:t>2</w:t>
            </w:r>
          </w:p>
        </w:tc>
      </w:tr>
      <w:tr w14:paraId="52D01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571" w:type="dxa"/>
            <w:noWrap w:val="0"/>
            <w:vAlign w:val="center"/>
          </w:tcPr>
          <w:p w14:paraId="4B6082BB">
            <w:pPr>
              <w:pStyle w:val="27"/>
              <w:bidi w:val="0"/>
              <w:rPr>
                <w:color w:val="auto"/>
                <w:sz w:val="24"/>
                <w:szCs w:val="24"/>
              </w:rPr>
            </w:pPr>
            <w:r>
              <w:rPr>
                <w:rFonts w:hint="eastAsia"/>
                <w:color w:val="auto"/>
                <w:sz w:val="24"/>
                <w:szCs w:val="24"/>
              </w:rPr>
              <w:t>专项评价设置情况</w:t>
            </w:r>
          </w:p>
        </w:tc>
        <w:tc>
          <w:tcPr>
            <w:tcW w:w="7500" w:type="dxa"/>
            <w:gridSpan w:val="3"/>
            <w:noWrap w:val="0"/>
            <w:vAlign w:val="center"/>
          </w:tcPr>
          <w:p w14:paraId="4DE46F84">
            <w:pPr>
              <w:pStyle w:val="2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24"/>
                <w:szCs w:val="24"/>
                <w:highlight w:val="yellow"/>
                <w:lang w:val="en-US" w:eastAsia="zh-CN"/>
              </w:rPr>
            </w:pPr>
            <w:r>
              <w:rPr>
                <w:rFonts w:hint="eastAsia"/>
                <w:color w:val="auto"/>
                <w:sz w:val="24"/>
                <w:szCs w:val="24"/>
                <w:highlight w:val="none"/>
                <w:lang w:val="en-US" w:eastAsia="zh-CN"/>
              </w:rPr>
              <w:t>无</w:t>
            </w:r>
          </w:p>
        </w:tc>
      </w:tr>
      <w:tr w14:paraId="7AD17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571" w:type="dxa"/>
            <w:noWrap w:val="0"/>
            <w:vAlign w:val="center"/>
          </w:tcPr>
          <w:p w14:paraId="422C1CD6">
            <w:pPr>
              <w:pStyle w:val="27"/>
              <w:bidi w:val="0"/>
              <w:rPr>
                <w:rFonts w:hint="eastAsia"/>
                <w:color w:val="auto"/>
                <w:sz w:val="24"/>
                <w:szCs w:val="24"/>
              </w:rPr>
            </w:pPr>
            <w:r>
              <w:rPr>
                <w:rFonts w:hint="eastAsia"/>
                <w:color w:val="auto"/>
                <w:sz w:val="24"/>
                <w:szCs w:val="24"/>
              </w:rPr>
              <w:t>规划情况</w:t>
            </w:r>
          </w:p>
        </w:tc>
        <w:tc>
          <w:tcPr>
            <w:tcW w:w="7500" w:type="dxa"/>
            <w:gridSpan w:val="3"/>
            <w:noWrap w:val="0"/>
            <w:vAlign w:val="center"/>
          </w:tcPr>
          <w:p w14:paraId="1D88C46A">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center"/>
              <w:textAlignment w:val="auto"/>
              <w:outlineLvl w:val="9"/>
              <w:rPr>
                <w:rFonts w:hint="eastAsia"/>
                <w:color w:val="auto"/>
                <w:sz w:val="24"/>
                <w:szCs w:val="24"/>
                <w:lang w:val="en-US" w:eastAsia="zh-CN"/>
              </w:rPr>
            </w:pPr>
            <w:r>
              <w:rPr>
                <w:rFonts w:hint="eastAsia" w:cs="Times New Roman"/>
                <w:color w:val="auto"/>
                <w:kern w:val="0"/>
                <w:sz w:val="24"/>
                <w:szCs w:val="24"/>
                <w:shd w:val="clear" w:color="auto" w:fill="auto"/>
                <w:lang w:val="en-US" w:eastAsia="zh-CN"/>
              </w:rPr>
              <w:t>唐山高新区北部拓展区规划</w:t>
            </w:r>
            <w:r>
              <w:rPr>
                <w:rFonts w:hint="eastAsia" w:ascii="Times New Roman" w:hAnsi="Times New Roman" w:eastAsia="宋体" w:cs="Times New Roman"/>
                <w:color w:val="auto"/>
                <w:kern w:val="0"/>
                <w:sz w:val="24"/>
                <w:szCs w:val="24"/>
                <w:shd w:val="clear" w:color="auto" w:fill="auto"/>
                <w:lang w:eastAsia="zh-CN"/>
              </w:rPr>
              <w:t>（</w:t>
            </w:r>
            <w:r>
              <w:rPr>
                <w:rFonts w:hint="default" w:ascii="Times New Roman" w:hAnsi="Times New Roman" w:eastAsia="宋体" w:cs="Times New Roman"/>
                <w:color w:val="auto"/>
                <w:kern w:val="0"/>
                <w:sz w:val="24"/>
                <w:szCs w:val="24"/>
                <w:shd w:val="clear" w:color="auto" w:fill="auto"/>
                <w:lang w:eastAsia="zh-CN"/>
              </w:rPr>
              <w:t>201</w:t>
            </w:r>
            <w:r>
              <w:rPr>
                <w:rFonts w:hint="eastAsia" w:cs="Times New Roman"/>
                <w:color w:val="auto"/>
                <w:kern w:val="0"/>
                <w:sz w:val="24"/>
                <w:szCs w:val="24"/>
                <w:shd w:val="clear" w:color="auto" w:fill="auto"/>
                <w:lang w:val="en-US" w:eastAsia="zh-CN"/>
              </w:rPr>
              <w:t>0</w:t>
            </w:r>
            <w:r>
              <w:rPr>
                <w:rFonts w:hint="default" w:ascii="Times New Roman" w:hAnsi="Times New Roman" w:eastAsia="宋体" w:cs="Times New Roman"/>
                <w:color w:val="auto"/>
                <w:kern w:val="0"/>
                <w:sz w:val="24"/>
                <w:szCs w:val="24"/>
                <w:shd w:val="clear" w:color="auto" w:fill="auto"/>
                <w:lang w:eastAsia="zh-CN"/>
              </w:rPr>
              <w:t>～20</w:t>
            </w:r>
            <w:r>
              <w:rPr>
                <w:rFonts w:hint="eastAsia" w:cs="Times New Roman"/>
                <w:color w:val="auto"/>
                <w:kern w:val="0"/>
                <w:sz w:val="24"/>
                <w:szCs w:val="24"/>
                <w:shd w:val="clear" w:color="auto" w:fill="auto"/>
                <w:lang w:val="en-US" w:eastAsia="zh-CN"/>
              </w:rPr>
              <w:t>2</w:t>
            </w:r>
            <w:r>
              <w:rPr>
                <w:rFonts w:hint="default" w:ascii="Times New Roman" w:hAnsi="Times New Roman" w:eastAsia="宋体" w:cs="Times New Roman"/>
                <w:color w:val="auto"/>
                <w:kern w:val="0"/>
                <w:sz w:val="24"/>
                <w:szCs w:val="24"/>
                <w:shd w:val="clear" w:color="auto" w:fill="auto"/>
                <w:lang w:eastAsia="zh-CN"/>
              </w:rPr>
              <w:t>0年</w:t>
            </w:r>
            <w:r>
              <w:rPr>
                <w:rFonts w:hint="eastAsia" w:ascii="Times New Roman" w:hAnsi="Times New Roman" w:eastAsia="宋体" w:cs="Times New Roman"/>
                <w:color w:val="auto"/>
                <w:kern w:val="0"/>
                <w:sz w:val="24"/>
                <w:szCs w:val="24"/>
                <w:shd w:val="clear" w:color="auto" w:fill="auto"/>
                <w:lang w:eastAsia="zh-CN"/>
              </w:rPr>
              <w:t>）</w:t>
            </w:r>
          </w:p>
        </w:tc>
      </w:tr>
      <w:tr w14:paraId="78427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1571" w:type="dxa"/>
            <w:noWrap w:val="0"/>
            <w:vAlign w:val="center"/>
          </w:tcPr>
          <w:p w14:paraId="3E4194C9">
            <w:pPr>
              <w:pStyle w:val="27"/>
              <w:bidi w:val="0"/>
              <w:rPr>
                <w:rFonts w:hint="eastAsia"/>
                <w:color w:val="auto"/>
                <w:sz w:val="24"/>
                <w:szCs w:val="24"/>
              </w:rPr>
            </w:pPr>
            <w:r>
              <w:rPr>
                <w:rFonts w:hint="eastAsia"/>
                <w:color w:val="auto"/>
                <w:sz w:val="24"/>
                <w:szCs w:val="24"/>
              </w:rPr>
              <w:t>规划环境影响评价情况</w:t>
            </w:r>
          </w:p>
        </w:tc>
        <w:tc>
          <w:tcPr>
            <w:tcW w:w="7500" w:type="dxa"/>
            <w:gridSpan w:val="3"/>
            <w:noWrap w:val="0"/>
            <w:vAlign w:val="center"/>
          </w:tcPr>
          <w:p w14:paraId="0369518E">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both"/>
              <w:textAlignment w:val="auto"/>
              <w:outlineLvl w:val="9"/>
              <w:rPr>
                <w:rFonts w:hint="default" w:ascii="Times New Roman" w:hAnsi="Times New Roman" w:eastAsia="宋体" w:cs="Times New Roman"/>
                <w:color w:val="auto"/>
                <w:kern w:val="0"/>
                <w:sz w:val="24"/>
                <w:szCs w:val="24"/>
                <w:shd w:val="clear" w:color="auto" w:fill="auto"/>
                <w:lang w:eastAsia="zh-CN"/>
              </w:rPr>
            </w:pPr>
            <w:r>
              <w:rPr>
                <w:rFonts w:hint="eastAsia" w:ascii="Times New Roman" w:hAnsi="Times New Roman" w:cs="Times New Roman"/>
                <w:color w:val="auto"/>
                <w:kern w:val="0"/>
                <w:sz w:val="24"/>
                <w:szCs w:val="24"/>
                <w:shd w:val="clear" w:color="auto" w:fill="auto"/>
                <w:lang w:val="en-US" w:eastAsia="zh-CN"/>
              </w:rPr>
              <w:t>文件名称：</w:t>
            </w:r>
            <w:r>
              <w:rPr>
                <w:rFonts w:hint="default" w:ascii="Times New Roman" w:hAnsi="Times New Roman" w:eastAsia="宋体" w:cs="Times New Roman"/>
                <w:color w:val="auto"/>
                <w:kern w:val="0"/>
                <w:sz w:val="24"/>
                <w:szCs w:val="24"/>
                <w:shd w:val="clear" w:color="auto" w:fill="auto"/>
                <w:lang w:eastAsia="zh-CN"/>
              </w:rPr>
              <w:t>《</w:t>
            </w:r>
            <w:r>
              <w:rPr>
                <w:rFonts w:hint="eastAsia" w:cs="Times New Roman"/>
                <w:color w:val="auto"/>
                <w:kern w:val="0"/>
                <w:sz w:val="24"/>
                <w:szCs w:val="24"/>
                <w:shd w:val="clear" w:color="auto" w:fill="auto"/>
                <w:lang w:val="en-US" w:eastAsia="zh-CN"/>
              </w:rPr>
              <w:t>唐山高新区北部拓展区规划</w:t>
            </w:r>
            <w:r>
              <w:rPr>
                <w:rFonts w:hint="default" w:ascii="Times New Roman" w:hAnsi="Times New Roman" w:eastAsia="宋体" w:cs="Times New Roman"/>
                <w:color w:val="auto"/>
                <w:kern w:val="0"/>
                <w:sz w:val="24"/>
                <w:szCs w:val="24"/>
                <w:shd w:val="clear" w:color="auto" w:fill="auto"/>
                <w:lang w:eastAsia="zh-CN"/>
              </w:rPr>
              <w:t>环境影响报告书》</w:t>
            </w:r>
          </w:p>
          <w:p w14:paraId="7C1B68FB">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both"/>
              <w:textAlignment w:val="auto"/>
              <w:outlineLvl w:val="9"/>
              <w:rPr>
                <w:rFonts w:hint="default" w:ascii="Times New Roman" w:hAnsi="Times New Roman" w:eastAsia="宋体" w:cs="Times New Roman"/>
                <w:color w:val="auto"/>
                <w:kern w:val="0"/>
                <w:sz w:val="24"/>
                <w:szCs w:val="24"/>
                <w:shd w:val="clear" w:color="auto" w:fill="auto"/>
                <w:lang w:eastAsia="zh-CN"/>
              </w:rPr>
            </w:pPr>
            <w:r>
              <w:rPr>
                <w:rFonts w:hint="eastAsia" w:ascii="Times New Roman" w:hAnsi="Times New Roman" w:cs="Times New Roman"/>
                <w:color w:val="auto"/>
                <w:kern w:val="0"/>
                <w:sz w:val="24"/>
                <w:szCs w:val="24"/>
                <w:shd w:val="clear" w:color="auto" w:fill="auto"/>
                <w:lang w:val="en-US" w:eastAsia="zh-CN"/>
              </w:rPr>
              <w:t>召集审查机关：</w:t>
            </w:r>
            <w:r>
              <w:rPr>
                <w:rFonts w:hint="default" w:ascii="Times New Roman" w:hAnsi="Times New Roman" w:eastAsia="宋体" w:cs="Times New Roman"/>
                <w:color w:val="auto"/>
                <w:kern w:val="0"/>
                <w:sz w:val="24"/>
                <w:szCs w:val="24"/>
                <w:shd w:val="clear" w:color="auto" w:fill="auto"/>
                <w:lang w:eastAsia="zh-CN"/>
              </w:rPr>
              <w:t>河北省</w:t>
            </w:r>
            <w:r>
              <w:rPr>
                <w:rFonts w:hint="eastAsia" w:cs="Times New Roman"/>
                <w:color w:val="auto"/>
                <w:kern w:val="0"/>
                <w:sz w:val="24"/>
                <w:szCs w:val="24"/>
                <w:shd w:val="clear" w:color="auto" w:fill="auto"/>
                <w:lang w:val="en-US" w:eastAsia="zh-CN"/>
              </w:rPr>
              <w:t>环境保护厅</w:t>
            </w:r>
          </w:p>
          <w:p w14:paraId="3FBF5328">
            <w:pPr>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both"/>
              <w:textAlignment w:val="auto"/>
              <w:outlineLvl w:val="9"/>
              <w:rPr>
                <w:rFonts w:hint="default"/>
                <w:color w:val="auto"/>
                <w:sz w:val="24"/>
                <w:szCs w:val="24"/>
                <w:lang w:val="en-US" w:eastAsia="zh-CN"/>
              </w:rPr>
            </w:pPr>
            <w:r>
              <w:rPr>
                <w:rFonts w:hint="eastAsia" w:ascii="Times New Roman" w:hAnsi="Times New Roman" w:cs="Times New Roman"/>
                <w:color w:val="auto"/>
                <w:kern w:val="0"/>
                <w:sz w:val="24"/>
                <w:szCs w:val="24"/>
                <w:shd w:val="clear" w:color="auto" w:fill="auto"/>
                <w:lang w:val="en-US" w:eastAsia="zh-CN"/>
              </w:rPr>
              <w:t>审查文件及文号：</w:t>
            </w:r>
            <w:r>
              <w:rPr>
                <w:rFonts w:hint="default" w:ascii="Times New Roman" w:hAnsi="Times New Roman" w:eastAsia="宋体" w:cs="Times New Roman"/>
                <w:color w:val="auto"/>
                <w:kern w:val="0"/>
                <w:sz w:val="24"/>
                <w:szCs w:val="24"/>
                <w:shd w:val="clear" w:color="auto" w:fill="auto"/>
                <w:lang w:eastAsia="zh-CN"/>
              </w:rPr>
              <w:t>《关于转送</w:t>
            </w:r>
            <w:r>
              <w:rPr>
                <w:rFonts w:hint="eastAsia" w:cs="Times New Roman"/>
                <w:color w:val="auto"/>
                <w:kern w:val="0"/>
                <w:sz w:val="24"/>
                <w:szCs w:val="24"/>
                <w:shd w:val="clear" w:color="auto" w:fill="auto"/>
                <w:lang w:val="en-US" w:eastAsia="zh-CN"/>
              </w:rPr>
              <w:t>唐山高新区北部拓展区规划环境影响报告书审查意见的函</w:t>
            </w:r>
            <w:r>
              <w:rPr>
                <w:rFonts w:hint="default" w:ascii="Times New Roman" w:hAnsi="Times New Roman" w:eastAsia="宋体" w:cs="Times New Roman"/>
                <w:color w:val="auto"/>
                <w:kern w:val="0"/>
                <w:sz w:val="24"/>
                <w:szCs w:val="24"/>
                <w:shd w:val="clear" w:color="auto" w:fill="auto"/>
                <w:lang w:eastAsia="zh-CN"/>
              </w:rPr>
              <w:t>》（冀环评函</w:t>
            </w:r>
            <w:r>
              <w:rPr>
                <w:rFonts w:hint="default" w:ascii="Times New Roman" w:hAnsi="Times New Roman" w:eastAsia="宋体" w:cs="Times New Roman"/>
                <w:color w:val="auto"/>
                <w:kern w:val="0"/>
                <w:sz w:val="24"/>
                <w:szCs w:val="24"/>
                <w:shd w:val="clear" w:color="auto" w:fill="auto"/>
                <w:lang w:val="en-US" w:eastAsia="zh-CN"/>
              </w:rPr>
              <w:t>[201</w:t>
            </w:r>
            <w:r>
              <w:rPr>
                <w:rFonts w:hint="eastAsia" w:cs="Times New Roman"/>
                <w:color w:val="auto"/>
                <w:kern w:val="0"/>
                <w:sz w:val="24"/>
                <w:szCs w:val="24"/>
                <w:shd w:val="clear" w:color="auto" w:fill="auto"/>
                <w:lang w:val="en-US" w:eastAsia="zh-CN"/>
              </w:rPr>
              <w:t>4</w:t>
            </w:r>
            <w:r>
              <w:rPr>
                <w:rFonts w:hint="default" w:ascii="Times New Roman" w:hAnsi="Times New Roman" w:eastAsia="宋体" w:cs="Times New Roman"/>
                <w:color w:val="auto"/>
                <w:kern w:val="0"/>
                <w:sz w:val="24"/>
                <w:szCs w:val="24"/>
                <w:shd w:val="clear" w:color="auto" w:fill="auto"/>
                <w:lang w:val="en-US" w:eastAsia="zh-CN"/>
              </w:rPr>
              <w:t>]1</w:t>
            </w:r>
            <w:r>
              <w:rPr>
                <w:rFonts w:hint="eastAsia" w:cs="Times New Roman"/>
                <w:color w:val="auto"/>
                <w:kern w:val="0"/>
                <w:sz w:val="24"/>
                <w:szCs w:val="24"/>
                <w:shd w:val="clear" w:color="auto" w:fill="auto"/>
                <w:lang w:val="en-US" w:eastAsia="zh-CN"/>
              </w:rPr>
              <w:t>011</w:t>
            </w:r>
            <w:r>
              <w:rPr>
                <w:rFonts w:hint="default" w:ascii="Times New Roman" w:hAnsi="Times New Roman" w:eastAsia="宋体" w:cs="Times New Roman"/>
                <w:color w:val="auto"/>
                <w:kern w:val="0"/>
                <w:sz w:val="24"/>
                <w:szCs w:val="24"/>
                <w:shd w:val="clear" w:color="auto" w:fill="auto"/>
                <w:lang w:val="en-US" w:eastAsia="zh-CN"/>
              </w:rPr>
              <w:t>号</w:t>
            </w:r>
            <w:r>
              <w:rPr>
                <w:rFonts w:hint="eastAsia" w:cs="Times New Roman"/>
                <w:color w:val="auto"/>
                <w:kern w:val="0"/>
                <w:sz w:val="24"/>
                <w:szCs w:val="24"/>
                <w:shd w:val="clear" w:color="auto" w:fill="auto"/>
                <w:lang w:val="en-US" w:eastAsia="zh-CN"/>
              </w:rPr>
              <w:t>）</w:t>
            </w:r>
          </w:p>
        </w:tc>
      </w:tr>
      <w:tr w14:paraId="7B207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1" w:type="dxa"/>
            <w:noWrap w:val="0"/>
            <w:vAlign w:val="center"/>
          </w:tcPr>
          <w:p w14:paraId="6F269A57">
            <w:pPr>
              <w:pStyle w:val="27"/>
              <w:bidi w:val="0"/>
              <w:rPr>
                <w:rFonts w:hint="eastAsia"/>
                <w:color w:val="auto"/>
                <w:sz w:val="24"/>
                <w:szCs w:val="24"/>
              </w:rPr>
            </w:pPr>
            <w:r>
              <w:rPr>
                <w:rFonts w:hint="eastAsia"/>
                <w:color w:val="auto"/>
                <w:sz w:val="24"/>
                <w:szCs w:val="24"/>
              </w:rPr>
              <w:t>规划及规划环境影响评价符合性分析</w:t>
            </w:r>
          </w:p>
        </w:tc>
        <w:tc>
          <w:tcPr>
            <w:tcW w:w="7500" w:type="dxa"/>
            <w:gridSpan w:val="3"/>
            <w:noWrap w:val="0"/>
            <w:vAlign w:val="center"/>
          </w:tcPr>
          <w:p w14:paraId="4EACBBD3">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both"/>
              <w:textAlignment w:val="auto"/>
              <w:outlineLvl w:val="9"/>
              <w:rPr>
                <w:rFonts w:hint="default" w:ascii="Times New Roman" w:hAnsi="Times New Roman" w:eastAsia="宋体" w:cs="Times New Roman"/>
                <w:b/>
                <w:bCs/>
                <w:color w:val="auto"/>
                <w:kern w:val="0"/>
                <w:sz w:val="24"/>
                <w:szCs w:val="24"/>
                <w:shd w:val="clear" w:color="auto" w:fill="auto"/>
                <w:lang w:val="en-US" w:eastAsia="zh-CN"/>
              </w:rPr>
            </w:pPr>
            <w:r>
              <w:rPr>
                <w:rFonts w:hint="eastAsia" w:cs="Times New Roman"/>
                <w:b/>
                <w:bCs/>
                <w:color w:val="auto"/>
                <w:kern w:val="0"/>
                <w:sz w:val="24"/>
                <w:szCs w:val="24"/>
                <w:shd w:val="clear" w:color="auto" w:fill="auto"/>
                <w:lang w:val="en-US" w:eastAsia="zh-CN"/>
              </w:rPr>
              <w:t>1、与规划的符合性分析</w:t>
            </w:r>
          </w:p>
          <w:p w14:paraId="5D855E05">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产业布局上遵循“区片多元，相对集中”的原则，</w:t>
            </w:r>
            <w:r>
              <w:rPr>
                <w:rFonts w:hint="default" w:ascii="Times New Roman" w:hAnsi="Times New Roman" w:eastAsia="宋体" w:cs="Times New Roman"/>
                <w:lang w:val="en-US" w:eastAsia="zh-CN"/>
              </w:rPr>
              <w:t>规划功能布局</w:t>
            </w:r>
            <w:r>
              <w:rPr>
                <w:rFonts w:hint="eastAsia" w:ascii="宋体" w:hAnsi="宋体" w:eastAsia="宋体" w:cs="宋体"/>
                <w:lang w:val="en-US" w:eastAsia="zh-CN"/>
              </w:rPr>
              <w:t>为“一</w:t>
            </w:r>
            <w:r>
              <w:rPr>
                <w:rFonts w:hint="default" w:ascii="Times New Roman" w:hAnsi="Times New Roman" w:eastAsia="宋体" w:cs="Times New Roman"/>
                <w:lang w:val="en-US" w:eastAsia="zh-CN"/>
              </w:rPr>
              <w:t>心一片</w:t>
            </w:r>
            <w:r>
              <w:rPr>
                <w:rFonts w:hint="eastAsia" w:ascii="宋体" w:hAnsi="宋体" w:eastAsia="宋体" w:cs="宋体"/>
                <w:lang w:val="en-US" w:eastAsia="zh-CN"/>
              </w:rPr>
              <w:t>区(</w:t>
            </w: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个组团</w:t>
            </w:r>
            <w:r>
              <w:rPr>
                <w:rFonts w:hint="eastAsia" w:ascii="宋体" w:hAnsi="宋体" w:eastAsia="宋体" w:cs="宋体"/>
                <w:lang w:val="en-US" w:eastAsia="zh-CN"/>
              </w:rPr>
              <w:t>)”</w:t>
            </w:r>
            <w:r>
              <w:rPr>
                <w:rFonts w:hint="default" w:ascii="Times New Roman" w:hAnsi="Times New Roman" w:eastAsia="宋体" w:cs="Times New Roman"/>
                <w:lang w:val="en-US" w:eastAsia="zh-CN"/>
              </w:rPr>
              <w:t>，北部拓展区中心：以行政中心、人民广场为核心，北部拓展区片区含北部、东部和西部产业组团。</w:t>
            </w:r>
          </w:p>
          <w:p w14:paraId="5BAE8D13">
            <w:pPr>
              <w:bidi w:val="0"/>
              <w:rPr>
                <w:rFonts w:hint="eastAsia"/>
                <w:sz w:val="24"/>
              </w:rPr>
            </w:pPr>
            <w:r>
              <w:rPr>
                <w:rFonts w:hint="eastAsia"/>
                <w:sz w:val="24"/>
              </w:rPr>
              <w:t>唐山高新区培育发展机器人产业、重型装备制造业、新能源产业、软件及信息服务产业及电动汽车产业五大战略性新兴产业。在装备制造业发展方向中，面向基础建设、注重节能环保、集成化和信息化是主要发展趋势。</w:t>
            </w:r>
          </w:p>
          <w:p w14:paraId="76761A81">
            <w:pPr>
              <w:bidi w:val="0"/>
              <w:rPr>
                <w:rFonts w:hint="eastAsia"/>
                <w:sz w:val="24"/>
                <w:lang w:val="en-US" w:eastAsia="zh-CN"/>
              </w:rPr>
            </w:pPr>
            <w:r>
              <w:rPr>
                <w:rFonts w:hint="eastAsia"/>
                <w:sz w:val="24"/>
                <w:lang w:val="en-US" w:eastAsia="zh-CN"/>
              </w:rPr>
              <w:t>园区的准入条件为：</w:t>
            </w:r>
            <w:r>
              <w:rPr>
                <w:sz w:val="24"/>
              </w:rPr>
              <w:t>入驻项目</w:t>
            </w:r>
            <w:r>
              <w:rPr>
                <w:rFonts w:hint="eastAsia"/>
                <w:sz w:val="24"/>
              </w:rPr>
              <w:t>以</w:t>
            </w:r>
            <w:r>
              <w:rPr>
                <w:sz w:val="24"/>
              </w:rPr>
              <w:t>环境友好型</w:t>
            </w:r>
            <w:r>
              <w:rPr>
                <w:rFonts w:hint="eastAsia"/>
                <w:sz w:val="24"/>
              </w:rPr>
              <w:t>为主</w:t>
            </w:r>
            <w:r>
              <w:rPr>
                <w:rFonts w:hint="eastAsia"/>
                <w:sz w:val="24"/>
                <w:lang w:eastAsia="zh-CN"/>
              </w:rPr>
              <w:t>，</w:t>
            </w:r>
            <w:r>
              <w:rPr>
                <w:rFonts w:hint="eastAsia"/>
                <w:sz w:val="24"/>
              </w:rPr>
              <w:t>建议园区产业项目的引进注重项目自身工艺的先进性、生产的清洁性和产品的可持续性。严格限制三类工业企业入驻，禁止产生恶臭污染物的企业入驻。园区</w:t>
            </w:r>
            <w:r>
              <w:rPr>
                <w:sz w:val="24"/>
              </w:rPr>
              <w:t>规划的行业大类中，</w:t>
            </w:r>
            <w:r>
              <w:rPr>
                <w:rFonts w:hint="eastAsia"/>
                <w:sz w:val="24"/>
              </w:rPr>
              <w:t>重污染</w:t>
            </w:r>
            <w:r>
              <w:rPr>
                <w:sz w:val="24"/>
              </w:rPr>
              <w:t>的子类行业不得入园。</w:t>
            </w:r>
            <w:r>
              <w:rPr>
                <w:rFonts w:hint="eastAsia"/>
                <w:sz w:val="24"/>
              </w:rPr>
              <w:t>入园企业</w:t>
            </w:r>
            <w:r>
              <w:rPr>
                <w:sz w:val="24"/>
              </w:rPr>
              <w:t>不得自建锅炉</w:t>
            </w:r>
            <w:r>
              <w:rPr>
                <w:rFonts w:hint="eastAsia"/>
                <w:sz w:val="24"/>
                <w:lang w:val="en-US" w:eastAsia="zh-CN"/>
              </w:rPr>
              <w:t>等。</w:t>
            </w:r>
          </w:p>
          <w:p w14:paraId="5812492E">
            <w:pPr>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w:t>
            </w:r>
            <w:r>
              <w:rPr>
                <w:rFonts w:hint="eastAsia" w:ascii="Times New Roman" w:hAnsi="Times New Roman" w:eastAsia="宋体" w:cs="Times New Roman"/>
                <w:color w:val="auto"/>
                <w:lang w:val="en-US" w:eastAsia="zh-CN"/>
              </w:rPr>
              <w:t>主要进行</w:t>
            </w:r>
            <w:r>
              <w:rPr>
                <w:rFonts w:hint="eastAsia" w:cs="Times New Roman"/>
                <w:color w:val="auto"/>
                <w:lang w:val="en-US" w:eastAsia="zh-CN"/>
              </w:rPr>
              <w:t>通用设备及零部件</w:t>
            </w:r>
            <w:r>
              <w:rPr>
                <w:rFonts w:hint="eastAsia" w:ascii="Times New Roman" w:hAnsi="Times New Roman" w:eastAsia="宋体" w:cs="Times New Roman"/>
                <w:color w:val="auto"/>
                <w:lang w:val="en-US" w:eastAsia="zh-CN"/>
              </w:rPr>
              <w:t>的生产</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为</w:t>
            </w:r>
            <w:r>
              <w:rPr>
                <w:rFonts w:hint="eastAsia" w:cs="Times New Roman"/>
                <w:color w:val="auto"/>
                <w:lang w:val="en-US" w:eastAsia="zh-CN"/>
              </w:rPr>
              <w:t>通用设备</w:t>
            </w:r>
            <w:r>
              <w:rPr>
                <w:rFonts w:hint="eastAsia" w:ascii="Times New Roman" w:hAnsi="Times New Roman" w:eastAsia="宋体" w:cs="Times New Roman"/>
                <w:color w:val="auto"/>
                <w:lang w:val="en-US" w:eastAsia="zh-CN"/>
              </w:rPr>
              <w:t>制造业</w:t>
            </w:r>
            <w:r>
              <w:rPr>
                <w:rFonts w:hint="eastAsia" w:cs="Times New Roman"/>
                <w:color w:val="auto"/>
                <w:lang w:val="en-US" w:eastAsia="zh-CN"/>
              </w:rPr>
              <w:t>，属于园区规划产业；同时本项目自身工艺具有先进性，不产生恶臭污染物，不属于重污染行业，不建设锅炉，满足园区准入条件。本项目已在</w:t>
            </w:r>
            <w:r>
              <w:rPr>
                <w:rFonts w:hint="eastAsia" w:ascii="Times New Roman" w:hAnsi="Times New Roman" w:eastAsia="宋体" w:cs="Times New Roman"/>
                <w:color w:val="auto"/>
                <w:lang w:val="en-US" w:eastAsia="zh-CN"/>
              </w:rPr>
              <w:t>唐山高新技术产业开发区行政审批局进行了备案，备案编号：唐高备字〔2022〕1号。</w:t>
            </w:r>
          </w:p>
          <w:p w14:paraId="0566012F">
            <w:pPr>
              <w:keepNext w:val="0"/>
              <w:keepLines w:val="0"/>
              <w:widowControl/>
              <w:suppressLineNumbers w:val="0"/>
              <w:ind w:left="0" w:leftChars="0" w:firstLine="0" w:firstLineChars="0"/>
              <w:jc w:val="left"/>
              <w:rPr>
                <w:rFonts w:hint="default"/>
                <w:b/>
                <w:bCs/>
                <w:lang w:val="en-US" w:eastAsia="zh-CN"/>
              </w:rPr>
            </w:pPr>
            <w:r>
              <w:rPr>
                <w:rFonts w:hint="eastAsia"/>
                <w:b/>
                <w:bCs/>
                <w:lang w:val="en-US" w:eastAsia="zh-CN"/>
              </w:rPr>
              <w:t>2、</w:t>
            </w:r>
            <w:r>
              <w:rPr>
                <w:rFonts w:hint="eastAsia" w:cs="Times New Roman"/>
                <w:b/>
                <w:bCs/>
                <w:color w:val="auto"/>
                <w:kern w:val="0"/>
                <w:sz w:val="24"/>
                <w:szCs w:val="24"/>
                <w:shd w:val="clear" w:color="auto" w:fill="auto"/>
                <w:lang w:val="en-US" w:eastAsia="zh-CN"/>
              </w:rPr>
              <w:t>与</w:t>
            </w:r>
            <w:r>
              <w:rPr>
                <w:rFonts w:hint="default" w:ascii="Times New Roman" w:hAnsi="Times New Roman" w:eastAsia="宋体" w:cs="Times New Roman"/>
                <w:b/>
                <w:bCs/>
                <w:lang w:val="en-US" w:eastAsia="zh-CN"/>
              </w:rPr>
              <w:t>规划环境影响评价结论</w:t>
            </w:r>
            <w:r>
              <w:rPr>
                <w:rFonts w:hint="eastAsia"/>
                <w:b/>
                <w:bCs/>
                <w:lang w:val="en-US" w:eastAsia="zh-CN"/>
              </w:rPr>
              <w:t>符合性分析</w:t>
            </w:r>
          </w:p>
          <w:p w14:paraId="426A2E85">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为方便今后高新区建设项目环境影响评价的环境管理，本评价对其提出简化建议以供参考，具体简化内容需得到环保行政主管部门的确认。</w:t>
            </w:r>
          </w:p>
          <w:p w14:paraId="76AEFEA6">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政策符合性：本规划符合唐山市城市总体规划，故今后凡是入园企业，城市总体规划符合性可简化；凡是入园单位符合工业用地性质，土地适宜性分析可简化；凡符合本规划产业定位的企业，产业政策符合性可简化。</w:t>
            </w:r>
          </w:p>
          <w:p w14:paraId="4386866A">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环境监测计划：建设项目环境影响评价监测计划常规因子可纳入高新区北部拓展区规划环境影响评价环境质量监测计划之中，监测计划可简化；对于建设项目特征因子，规划环境影响评价中没涉及的因子，应单独制定监测计划，不可简化。</w:t>
            </w:r>
          </w:p>
          <w:p w14:paraId="16F95144">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总量控制：自2001年起，高新区工业和生活污水全部达标后进入</w:t>
            </w:r>
            <w:r>
              <w:rPr>
                <w:rFonts w:hint="eastAsia" w:cs="Times New Roman"/>
                <w:lang w:val="en-US" w:eastAsia="zh-CN"/>
              </w:rPr>
              <w:t>唐山市北郊污水处理厂</w:t>
            </w:r>
            <w:r>
              <w:rPr>
                <w:rFonts w:hint="eastAsia" w:ascii="Times New Roman" w:hAnsi="Times New Roman" w:eastAsia="宋体" w:cs="Times New Roman"/>
                <w:lang w:val="en-US" w:eastAsia="zh-CN"/>
              </w:rPr>
              <w:t>，因此不再预测COD增加量；“十一五”期间，SO</w:t>
            </w:r>
            <w:r>
              <w:rPr>
                <w:rFonts w:hint="eastAsia" w:ascii="Times New Roman" w:hAnsi="Times New Roman" w:eastAsia="宋体" w:cs="Times New Roman"/>
                <w:vertAlign w:val="subscript"/>
                <w:lang w:val="en-US" w:eastAsia="zh-CN"/>
              </w:rPr>
              <w:t>2</w:t>
            </w:r>
            <w:r>
              <w:rPr>
                <w:rFonts w:hint="eastAsia" w:ascii="Times New Roman" w:hAnsi="Times New Roman" w:eastAsia="宋体" w:cs="Times New Roman"/>
                <w:lang w:val="en-US" w:eastAsia="zh-CN"/>
              </w:rPr>
              <w:t>排放总量满足总量控制要求。规划期间，逐步取消民用采暖锅炉和工业燃煤锅炉，逐步完成集中供热供暖、不新增燃煤锅炉、逐步淘汰已有燃煤锅炉、完善供电设施等方式。若建设项目产生的废水达标，可接入管网污水集中处置，则可不再分配COD、氨氮总量；入园企业采用电能、燃气锅炉、集中供热，且工艺过程不产生SO</w:t>
            </w:r>
            <w:r>
              <w:rPr>
                <w:rFonts w:hint="eastAsia" w:ascii="Times New Roman" w:hAnsi="Times New Roman" w:eastAsia="宋体" w:cs="Times New Roman"/>
                <w:vertAlign w:val="subscript"/>
                <w:lang w:val="en-US" w:eastAsia="zh-CN"/>
              </w:rPr>
              <w:t>2</w:t>
            </w:r>
            <w:r>
              <w:rPr>
                <w:rFonts w:hint="eastAsia" w:ascii="Times New Roman" w:hAnsi="Times New Roman" w:eastAsia="宋体" w:cs="Times New Roman"/>
                <w:lang w:val="en-US" w:eastAsia="zh-CN"/>
              </w:rPr>
              <w:t>，氮氧化物的，其总量控制可简化。</w:t>
            </w:r>
          </w:p>
          <w:p w14:paraId="099FA5AF">
            <w:pPr>
              <w:bidi w:val="0"/>
              <w:rPr>
                <w:rFonts w:hint="default" w:eastAsia="宋体"/>
                <w:b w:val="0"/>
                <w:bCs w:val="0"/>
                <w:lang w:val="en-US" w:eastAsia="zh-CN"/>
              </w:rPr>
            </w:pPr>
            <w:r>
              <w:rPr>
                <w:rFonts w:hint="eastAsia" w:ascii="Times New Roman" w:hAnsi="Times New Roman" w:eastAsia="宋体" w:cs="Times New Roman"/>
                <w:color w:val="auto"/>
                <w:highlight w:val="none"/>
                <w:lang w:val="en-US" w:eastAsia="zh-CN"/>
              </w:rPr>
              <w:t>本项目租用唐山市高新区梁各庄村闲置厂房，</w:t>
            </w:r>
            <w:r>
              <w:rPr>
                <w:rFonts w:hint="eastAsia" w:cs="Times New Roman"/>
                <w:color w:val="auto"/>
                <w:highlight w:val="none"/>
                <w:lang w:val="en-US" w:eastAsia="zh-CN"/>
              </w:rPr>
              <w:t>已签署租赁合同，</w:t>
            </w:r>
            <w:r>
              <w:rPr>
                <w:rFonts w:hint="eastAsia" w:ascii="Times New Roman" w:hAnsi="Times New Roman" w:eastAsia="宋体" w:cs="Times New Roman"/>
                <w:color w:val="auto"/>
                <w:highlight w:val="none"/>
                <w:lang w:val="en-US" w:eastAsia="zh-CN"/>
              </w:rPr>
              <w:t>根据用地手续可知，本项目用地为工业用地；</w:t>
            </w:r>
            <w:r>
              <w:rPr>
                <w:rFonts w:hint="eastAsia" w:cs="Times New Roman"/>
                <w:color w:val="auto"/>
                <w:highlight w:val="none"/>
                <w:lang w:val="en-US" w:eastAsia="zh-CN"/>
              </w:rPr>
              <w:t>根据规划环评中的“四区政策”可知，本项目位于适宜建设地区，项目位置见附图6。</w:t>
            </w:r>
            <w:r>
              <w:rPr>
                <w:rFonts w:hint="eastAsia" w:ascii="Times New Roman" w:hAnsi="Times New Roman" w:eastAsia="宋体" w:cs="Times New Roman"/>
                <w:color w:val="auto"/>
                <w:lang w:val="en-US" w:eastAsia="zh-CN"/>
              </w:rPr>
              <w:t>本项目依据《建设项目环境影响报告表编制技术指南》（污染影响类）（试行）对废气、噪声等制定了监测计划；本</w:t>
            </w:r>
            <w:r>
              <w:rPr>
                <w:rFonts w:hint="eastAsia" w:ascii="Times New Roman" w:hAnsi="Times New Roman" w:eastAsia="宋体" w:cs="Times New Roman"/>
                <w:lang w:val="en-US" w:eastAsia="zh-CN"/>
              </w:rPr>
              <w:t>项目为</w:t>
            </w:r>
            <w:r>
              <w:rPr>
                <w:rFonts w:hint="eastAsia" w:cs="Times New Roman"/>
                <w:lang w:val="en-US" w:eastAsia="zh-CN"/>
              </w:rPr>
              <w:t>通用设备制造业</w:t>
            </w:r>
            <w:r>
              <w:rPr>
                <w:rFonts w:hint="eastAsia" w:ascii="Times New Roman" w:hAnsi="Times New Roman" w:eastAsia="宋体" w:cs="Times New Roman"/>
                <w:lang w:val="en-US" w:eastAsia="zh-CN"/>
              </w:rPr>
              <w:t>，生产过程不使用锅炉、不涉及生产用水。综上，本项目与</w:t>
            </w:r>
            <w:r>
              <w:rPr>
                <w:rFonts w:hint="default" w:ascii="Times New Roman" w:hAnsi="Times New Roman" w:eastAsia="宋体" w:cs="Times New Roman"/>
                <w:lang w:val="en-US" w:eastAsia="zh-CN"/>
              </w:rPr>
              <w:t>规划环境影响评价结论</w:t>
            </w:r>
            <w:r>
              <w:rPr>
                <w:rFonts w:hint="eastAsia" w:ascii="Times New Roman" w:hAnsi="Times New Roman" w:eastAsia="宋体" w:cs="Times New Roman"/>
                <w:lang w:val="en-US" w:eastAsia="zh-CN"/>
              </w:rPr>
              <w:t>相符。</w:t>
            </w:r>
          </w:p>
          <w:p w14:paraId="2EB99A00">
            <w:pPr>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0" w:firstLineChars="0"/>
              <w:jc w:val="left"/>
              <w:textAlignment w:val="auto"/>
              <w:rPr>
                <w:rFonts w:hint="default"/>
                <w:b/>
                <w:bCs/>
                <w:lang w:val="en-US" w:eastAsia="zh-CN"/>
              </w:rPr>
            </w:pPr>
            <w:r>
              <w:rPr>
                <w:rFonts w:hint="eastAsia"/>
                <w:b/>
                <w:bCs/>
                <w:lang w:val="en-US" w:eastAsia="zh-CN"/>
              </w:rPr>
              <w:t>3、与规划环境影响评价审查意见符合性分析</w:t>
            </w:r>
          </w:p>
          <w:p w14:paraId="73391560">
            <w:pPr>
              <w:pStyle w:val="34"/>
              <w:bidi w:val="0"/>
              <w:rPr>
                <w:rFonts w:hint="default"/>
                <w:lang w:val="zh-CN"/>
              </w:rPr>
            </w:pPr>
            <w:r>
              <w:rPr>
                <w:rFonts w:hint="default"/>
                <w:sz w:val="21"/>
                <w:szCs w:val="21"/>
                <w:lang w:val="zh-CN"/>
              </w:rPr>
              <w:t>表</w:t>
            </w:r>
            <w:r>
              <w:rPr>
                <w:rFonts w:hint="eastAsia"/>
                <w:sz w:val="21"/>
                <w:szCs w:val="21"/>
                <w:lang w:val="en-US" w:eastAsia="zh-CN"/>
              </w:rPr>
              <w:t xml:space="preserve">1  </w:t>
            </w:r>
            <w:r>
              <w:rPr>
                <w:rFonts w:hint="eastAsia"/>
                <w:sz w:val="21"/>
                <w:szCs w:val="21"/>
              </w:rPr>
              <w:t>本项目</w:t>
            </w:r>
            <w:r>
              <w:rPr>
                <w:rFonts w:hint="eastAsia"/>
                <w:b/>
                <w:bCs/>
                <w:sz w:val="21"/>
                <w:szCs w:val="21"/>
                <w:lang w:val="en-US" w:eastAsia="zh-CN"/>
              </w:rPr>
              <w:t>与规划环境影响评价审查意见</w:t>
            </w:r>
            <w:r>
              <w:rPr>
                <w:rFonts w:hint="eastAsia"/>
                <w:sz w:val="21"/>
                <w:szCs w:val="21"/>
              </w:rPr>
              <w:t>符合性分析一览表</w:t>
            </w:r>
          </w:p>
          <w:tbl>
            <w:tblPr>
              <w:tblStyle w:val="21"/>
              <w:tblW w:w="73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55"/>
              <w:gridCol w:w="3159"/>
            </w:tblGrid>
            <w:tr w14:paraId="633C0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5" w:type="dxa"/>
                  <w:tcBorders>
                    <w:tl2br w:val="nil"/>
                    <w:tr2bl w:val="nil"/>
                  </w:tcBorders>
                  <w:noWrap w:val="0"/>
                  <w:vAlign w:val="center"/>
                </w:tcPr>
                <w:p w14:paraId="7A2E444D">
                  <w:pPr>
                    <w:pStyle w:val="27"/>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b w:val="0"/>
                      <w:bCs w:val="0"/>
                      <w:sz w:val="21"/>
                      <w:szCs w:val="21"/>
                      <w:lang w:val="en-US" w:eastAsia="zh-CN"/>
                    </w:rPr>
                    <w:t>规划环境影响评价审查意见</w:t>
                  </w:r>
                </w:p>
              </w:tc>
              <w:tc>
                <w:tcPr>
                  <w:tcW w:w="3159" w:type="dxa"/>
                  <w:tcBorders>
                    <w:tl2br w:val="nil"/>
                    <w:tr2bl w:val="nil"/>
                  </w:tcBorders>
                  <w:noWrap w:val="0"/>
                  <w:vAlign w:val="center"/>
                </w:tcPr>
                <w:p w14:paraId="07C2F9CF">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本项目符合性</w:t>
                  </w:r>
                </w:p>
              </w:tc>
            </w:tr>
            <w:tr w14:paraId="646FE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5" w:type="dxa"/>
                  <w:tcBorders>
                    <w:tl2br w:val="nil"/>
                    <w:tr2bl w:val="nil"/>
                  </w:tcBorders>
                  <w:noWrap w:val="0"/>
                  <w:vAlign w:val="center"/>
                </w:tcPr>
                <w:p w14:paraId="3FE75830">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严格项目准入，科学规划发展产业。开</w:t>
                  </w:r>
                  <w:r>
                    <w:rPr>
                      <w:rFonts w:hint="default"/>
                      <w:sz w:val="21"/>
                      <w:szCs w:val="21"/>
                      <w:lang w:val="en-US" w:eastAsia="zh-CN"/>
                    </w:rPr>
                    <w:t>发区要与区域生态功能相协调，符合国家产业政策。入区企业应符合《产业结构调整指导目录</w:t>
                  </w:r>
                  <w:r>
                    <w:rPr>
                      <w:rFonts w:hint="eastAsia"/>
                      <w:sz w:val="21"/>
                      <w:szCs w:val="21"/>
                      <w:lang w:val="en-US" w:eastAsia="zh-CN"/>
                    </w:rPr>
                    <w:t>(2011</w:t>
                  </w:r>
                  <w:r>
                    <w:rPr>
                      <w:rFonts w:hint="default"/>
                      <w:sz w:val="21"/>
                      <w:szCs w:val="21"/>
                      <w:lang w:val="en-US" w:eastAsia="zh-CN"/>
                    </w:rPr>
                    <w:t>年本</w:t>
                  </w:r>
                  <w:r>
                    <w:rPr>
                      <w:rFonts w:hint="eastAsia"/>
                      <w:sz w:val="21"/>
                      <w:szCs w:val="21"/>
                      <w:lang w:val="en-US" w:eastAsia="zh-CN"/>
                    </w:rPr>
                    <w:t>)</w:t>
                  </w:r>
                  <w:r>
                    <w:rPr>
                      <w:rFonts w:hint="default"/>
                      <w:sz w:val="21"/>
                      <w:szCs w:val="21"/>
                      <w:lang w:val="en-US" w:eastAsia="zh-CN"/>
                    </w:rPr>
                    <w:t>》、《关于抑制部分行业产能过剩和重复建设引导产业健康发展的若干意见》和《河北省人民政府关于河北省区域禁</w:t>
                  </w:r>
                  <w:r>
                    <w:rPr>
                      <w:rFonts w:hint="eastAsia"/>
                      <w:sz w:val="21"/>
                      <w:szCs w:val="21"/>
                      <w:lang w:val="en-US" w:eastAsia="zh-CN"/>
                    </w:rPr>
                    <w:t>(</w:t>
                  </w:r>
                  <w:r>
                    <w:rPr>
                      <w:rFonts w:hint="default"/>
                      <w:sz w:val="21"/>
                      <w:szCs w:val="21"/>
                      <w:lang w:val="en-US" w:eastAsia="zh-CN"/>
                    </w:rPr>
                    <w:t>限</w:t>
                  </w:r>
                  <w:r>
                    <w:rPr>
                      <w:rFonts w:hint="eastAsia"/>
                      <w:sz w:val="21"/>
                      <w:szCs w:val="21"/>
                      <w:lang w:val="en-US" w:eastAsia="zh-CN"/>
                    </w:rPr>
                    <w:t>)</w:t>
                  </w:r>
                  <w:r>
                    <w:rPr>
                      <w:rFonts w:hint="default"/>
                      <w:sz w:val="21"/>
                      <w:szCs w:val="21"/>
                      <w:lang w:val="en-US" w:eastAsia="zh-CN"/>
                    </w:rPr>
                    <w:t>批建设项目实施意见</w:t>
                  </w:r>
                  <w:r>
                    <w:rPr>
                      <w:rFonts w:hint="eastAsia"/>
                      <w:sz w:val="21"/>
                      <w:szCs w:val="21"/>
                      <w:lang w:val="en-US" w:eastAsia="zh-CN"/>
                    </w:rPr>
                    <w:t>(</w:t>
                  </w:r>
                  <w:r>
                    <w:rPr>
                      <w:rFonts w:hint="default"/>
                      <w:sz w:val="21"/>
                      <w:szCs w:val="21"/>
                      <w:lang w:val="en-US" w:eastAsia="zh-CN"/>
                    </w:rPr>
                    <w:t>试行</w:t>
                  </w:r>
                  <w:r>
                    <w:rPr>
                      <w:rFonts w:hint="eastAsia"/>
                      <w:sz w:val="21"/>
                      <w:szCs w:val="21"/>
                      <w:lang w:val="en-US" w:eastAsia="zh-CN"/>
                    </w:rPr>
                    <w:t>)</w:t>
                  </w:r>
                  <w:r>
                    <w:rPr>
                      <w:rFonts w:hint="default"/>
                      <w:sz w:val="21"/>
                      <w:szCs w:val="21"/>
                      <w:lang w:val="en-US" w:eastAsia="zh-CN"/>
                    </w:rPr>
                    <w:t>》等文件具体的规定要求。严防三类项目入园。针对准保护区内的现有企业，为确保饮用水安全，建议搬迁唐山盾石机械有限责任公司。对于近期搬迁尚有难度的企业，应严格控制其规模并对现存环保问题进行整改。</w:t>
                  </w:r>
                </w:p>
              </w:tc>
              <w:tc>
                <w:tcPr>
                  <w:tcW w:w="3159" w:type="dxa"/>
                  <w:tcBorders>
                    <w:tl2br w:val="nil"/>
                    <w:tr2bl w:val="nil"/>
                  </w:tcBorders>
                  <w:noWrap w:val="0"/>
                  <w:vAlign w:val="center"/>
                </w:tcPr>
                <w:p w14:paraId="678C71D9">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本项目为通用设备及零部件制造项目，不</w:t>
                  </w:r>
                  <w:r>
                    <w:rPr>
                      <w:rFonts w:hint="default"/>
                      <w:sz w:val="21"/>
                      <w:szCs w:val="21"/>
                      <w:lang w:val="en-US" w:eastAsia="zh-CN"/>
                    </w:rPr>
                    <w:t>属于《产业结构调整指导目录</w:t>
                  </w:r>
                  <w:r>
                    <w:rPr>
                      <w:rFonts w:hint="eastAsia"/>
                      <w:sz w:val="21"/>
                      <w:szCs w:val="21"/>
                      <w:lang w:val="en-US" w:eastAsia="zh-CN"/>
                    </w:rPr>
                    <w:t>(2019</w:t>
                  </w:r>
                  <w:r>
                    <w:rPr>
                      <w:rFonts w:hint="default"/>
                      <w:sz w:val="21"/>
                      <w:szCs w:val="21"/>
                      <w:lang w:val="en-US" w:eastAsia="zh-CN"/>
                    </w:rPr>
                    <w:t>年本</w:t>
                  </w:r>
                  <w:r>
                    <w:rPr>
                      <w:rFonts w:hint="eastAsia"/>
                      <w:sz w:val="21"/>
                      <w:szCs w:val="21"/>
                      <w:lang w:val="en-US" w:eastAsia="zh-CN"/>
                    </w:rPr>
                    <w:t>)</w:t>
                  </w:r>
                  <w:r>
                    <w:rPr>
                      <w:rFonts w:hint="default"/>
                      <w:sz w:val="21"/>
                      <w:szCs w:val="21"/>
                      <w:lang w:val="en-US" w:eastAsia="zh-CN"/>
                    </w:rPr>
                    <w:t>》</w:t>
                  </w:r>
                  <w:r>
                    <w:rPr>
                      <w:rFonts w:hint="eastAsia"/>
                      <w:sz w:val="21"/>
                      <w:szCs w:val="21"/>
                      <w:lang w:val="en-US" w:eastAsia="zh-CN"/>
                    </w:rPr>
                    <w:t>(</w:t>
                  </w:r>
                  <w:r>
                    <w:rPr>
                      <w:rFonts w:hint="default"/>
                      <w:sz w:val="21"/>
                      <w:szCs w:val="21"/>
                      <w:lang w:val="en-US" w:eastAsia="zh-CN"/>
                    </w:rPr>
                    <w:t>国家发展和改革委员会</w:t>
                  </w:r>
                  <w:r>
                    <w:rPr>
                      <w:rFonts w:hint="eastAsia"/>
                      <w:sz w:val="21"/>
                      <w:szCs w:val="21"/>
                      <w:lang w:val="en-US" w:eastAsia="zh-CN"/>
                    </w:rPr>
                    <w:t>[2019]29</w:t>
                  </w:r>
                  <w:r>
                    <w:rPr>
                      <w:rFonts w:hint="default"/>
                      <w:sz w:val="21"/>
                      <w:szCs w:val="21"/>
                      <w:lang w:val="en-US" w:eastAsia="zh-CN"/>
                    </w:rPr>
                    <w:t>号令</w:t>
                  </w:r>
                  <w:r>
                    <w:rPr>
                      <w:rFonts w:hint="eastAsia"/>
                      <w:sz w:val="21"/>
                      <w:szCs w:val="21"/>
                      <w:lang w:val="en-US" w:eastAsia="zh-CN"/>
                    </w:rPr>
                    <w:t>)</w:t>
                  </w:r>
                  <w:r>
                    <w:rPr>
                      <w:rFonts w:hint="default"/>
                      <w:sz w:val="21"/>
                      <w:szCs w:val="21"/>
                      <w:lang w:val="en-US" w:eastAsia="zh-CN"/>
                    </w:rPr>
                    <w:t>中鼓励类、限制类及淘汰类，为允许类，亦不属于《河北省新增限制和淘汰类产业目录</w:t>
                  </w:r>
                  <w:r>
                    <w:rPr>
                      <w:rFonts w:hint="eastAsia"/>
                      <w:sz w:val="21"/>
                      <w:szCs w:val="21"/>
                      <w:lang w:val="en-US" w:eastAsia="zh-CN"/>
                    </w:rPr>
                    <w:t>(2015</w:t>
                  </w:r>
                  <w:r>
                    <w:rPr>
                      <w:rFonts w:hint="default"/>
                      <w:sz w:val="21"/>
                      <w:szCs w:val="21"/>
                      <w:lang w:val="en-US" w:eastAsia="zh-CN"/>
                    </w:rPr>
                    <w:t>年版</w:t>
                  </w:r>
                  <w:r>
                    <w:rPr>
                      <w:rFonts w:hint="eastAsia"/>
                      <w:sz w:val="21"/>
                      <w:szCs w:val="21"/>
                      <w:lang w:val="en-US" w:eastAsia="zh-CN"/>
                    </w:rPr>
                    <w:t>)</w:t>
                  </w:r>
                  <w:r>
                    <w:rPr>
                      <w:rFonts w:hint="default"/>
                      <w:sz w:val="21"/>
                      <w:szCs w:val="21"/>
                      <w:lang w:val="en-US" w:eastAsia="zh-CN"/>
                    </w:rPr>
                    <w:t>》</w:t>
                  </w:r>
                  <w:r>
                    <w:rPr>
                      <w:rFonts w:hint="eastAsia"/>
                      <w:sz w:val="21"/>
                      <w:szCs w:val="21"/>
                      <w:lang w:val="en-US" w:eastAsia="zh-CN"/>
                    </w:rPr>
                    <w:t>(</w:t>
                  </w:r>
                  <w:r>
                    <w:rPr>
                      <w:rFonts w:hint="default"/>
                      <w:sz w:val="21"/>
                      <w:szCs w:val="21"/>
                      <w:lang w:val="en-US" w:eastAsia="zh-CN"/>
                    </w:rPr>
                    <w:t>冀政办发</w:t>
                  </w:r>
                  <w:r>
                    <w:rPr>
                      <w:rFonts w:hint="eastAsia"/>
                      <w:sz w:val="21"/>
                      <w:szCs w:val="21"/>
                      <w:lang w:val="en-US" w:eastAsia="zh-CN"/>
                    </w:rPr>
                    <w:t>[2015]7</w:t>
                  </w:r>
                  <w:r>
                    <w:rPr>
                      <w:rFonts w:hint="default"/>
                      <w:sz w:val="21"/>
                      <w:szCs w:val="21"/>
                      <w:lang w:val="en-US" w:eastAsia="zh-CN"/>
                    </w:rPr>
                    <w:t>号</w:t>
                  </w:r>
                  <w:r>
                    <w:rPr>
                      <w:rFonts w:hint="eastAsia"/>
                      <w:sz w:val="21"/>
                      <w:szCs w:val="21"/>
                      <w:lang w:val="en-US" w:eastAsia="zh-CN"/>
                    </w:rPr>
                    <w:t>)</w:t>
                  </w:r>
                  <w:r>
                    <w:rPr>
                      <w:rFonts w:hint="default"/>
                      <w:sz w:val="21"/>
                      <w:szCs w:val="21"/>
                      <w:lang w:val="en-US" w:eastAsia="zh-CN"/>
                    </w:rPr>
                    <w:t>中规定的淘汰类和限制类的项目，同时不属于《河北省人民政府关于河北省区域禁</w:t>
                  </w:r>
                  <w:r>
                    <w:rPr>
                      <w:rFonts w:hint="eastAsia"/>
                      <w:sz w:val="21"/>
                      <w:szCs w:val="21"/>
                      <w:lang w:val="en-US" w:eastAsia="zh-CN"/>
                    </w:rPr>
                    <w:t>(</w:t>
                  </w:r>
                  <w:r>
                    <w:rPr>
                      <w:rFonts w:hint="default"/>
                      <w:sz w:val="21"/>
                      <w:szCs w:val="21"/>
                      <w:lang w:val="en-US" w:eastAsia="zh-CN"/>
                    </w:rPr>
                    <w:t>限</w:t>
                  </w:r>
                  <w:r>
                    <w:rPr>
                      <w:rFonts w:hint="eastAsia"/>
                      <w:sz w:val="21"/>
                      <w:szCs w:val="21"/>
                      <w:lang w:val="en-US" w:eastAsia="zh-CN"/>
                    </w:rPr>
                    <w:t>)</w:t>
                  </w:r>
                  <w:r>
                    <w:rPr>
                      <w:rFonts w:hint="default"/>
                      <w:sz w:val="21"/>
                      <w:szCs w:val="21"/>
                      <w:lang w:val="en-US" w:eastAsia="zh-CN"/>
                    </w:rPr>
                    <w:t>批建设项目实施意见</w:t>
                  </w:r>
                  <w:r>
                    <w:rPr>
                      <w:rFonts w:hint="eastAsia"/>
                      <w:sz w:val="21"/>
                      <w:szCs w:val="21"/>
                      <w:lang w:val="en-US" w:eastAsia="zh-CN"/>
                    </w:rPr>
                    <w:t>(</w:t>
                  </w:r>
                  <w:r>
                    <w:rPr>
                      <w:rFonts w:hint="default"/>
                      <w:sz w:val="21"/>
                      <w:szCs w:val="21"/>
                      <w:lang w:val="en-US" w:eastAsia="zh-CN"/>
                    </w:rPr>
                    <w:t>试行</w:t>
                  </w:r>
                  <w:r>
                    <w:rPr>
                      <w:rFonts w:hint="eastAsia"/>
                      <w:sz w:val="21"/>
                      <w:szCs w:val="21"/>
                      <w:lang w:val="en-US" w:eastAsia="zh-CN"/>
                    </w:rPr>
                    <w:t>)</w:t>
                  </w:r>
                  <w:r>
                    <w:rPr>
                      <w:rFonts w:hint="default"/>
                      <w:sz w:val="21"/>
                      <w:szCs w:val="21"/>
                      <w:lang w:val="en-US" w:eastAsia="zh-CN"/>
                    </w:rPr>
                    <w:t>》规定的区域禁止和限制建设项目以及《唐山市发展和改革委员会关于印发</w:t>
                  </w:r>
                  <w:r>
                    <w:rPr>
                      <w:rFonts w:hint="eastAsia"/>
                      <w:sz w:val="21"/>
                      <w:szCs w:val="21"/>
                      <w:lang w:val="en-US" w:eastAsia="zh-CN"/>
                    </w:rPr>
                    <w:t>&lt;</w:t>
                  </w:r>
                  <w:r>
                    <w:rPr>
                      <w:rFonts w:hint="default"/>
                      <w:sz w:val="21"/>
                      <w:szCs w:val="21"/>
                      <w:lang w:val="en-US" w:eastAsia="zh-CN"/>
                    </w:rPr>
                    <w:t>全市禁止投资的产业目录</w:t>
                  </w:r>
                  <w:r>
                    <w:rPr>
                      <w:rFonts w:hint="eastAsia"/>
                      <w:sz w:val="21"/>
                      <w:szCs w:val="21"/>
                      <w:lang w:val="en-US" w:eastAsia="zh-CN"/>
                    </w:rPr>
                    <w:t>(2014</w:t>
                  </w:r>
                  <w:r>
                    <w:rPr>
                      <w:rFonts w:hint="default"/>
                      <w:sz w:val="21"/>
                      <w:szCs w:val="21"/>
                      <w:lang w:val="en-US" w:eastAsia="zh-CN"/>
                    </w:rPr>
                    <w:t>年版</w:t>
                  </w:r>
                  <w:r>
                    <w:rPr>
                      <w:rFonts w:hint="eastAsia"/>
                      <w:sz w:val="21"/>
                      <w:szCs w:val="21"/>
                      <w:lang w:val="en-US" w:eastAsia="zh-CN"/>
                    </w:rPr>
                    <w:t>)</w:t>
                  </w:r>
                  <w:r>
                    <w:rPr>
                      <w:rFonts w:hint="default"/>
                      <w:sz w:val="21"/>
                      <w:szCs w:val="21"/>
                      <w:lang w:val="en-US" w:eastAsia="zh-CN"/>
                    </w:rPr>
                    <w:t>的通知</w:t>
                  </w:r>
                  <w:r>
                    <w:rPr>
                      <w:rFonts w:hint="eastAsia"/>
                      <w:sz w:val="21"/>
                      <w:szCs w:val="21"/>
                      <w:lang w:val="en-US" w:eastAsia="zh-CN"/>
                    </w:rPr>
                    <w:t>&gt;</w:t>
                  </w:r>
                  <w:r>
                    <w:rPr>
                      <w:rFonts w:hint="default"/>
                      <w:sz w:val="21"/>
                      <w:szCs w:val="21"/>
                      <w:lang w:val="en-US" w:eastAsia="zh-CN"/>
                    </w:rPr>
                    <w:t>》</w:t>
                  </w:r>
                  <w:r>
                    <w:rPr>
                      <w:rFonts w:hint="eastAsia"/>
                      <w:sz w:val="21"/>
                      <w:szCs w:val="21"/>
                      <w:lang w:val="en-US" w:eastAsia="zh-CN"/>
                    </w:rPr>
                    <w:t>(</w:t>
                  </w:r>
                  <w:r>
                    <w:rPr>
                      <w:rFonts w:hint="default"/>
                      <w:sz w:val="21"/>
                      <w:szCs w:val="21"/>
                      <w:lang w:val="en-US" w:eastAsia="zh-CN"/>
                    </w:rPr>
                    <w:t>唐发改体改</w:t>
                  </w:r>
                  <w:r>
                    <w:rPr>
                      <w:rFonts w:hint="eastAsia"/>
                      <w:sz w:val="21"/>
                      <w:szCs w:val="21"/>
                      <w:lang w:val="en-US" w:eastAsia="zh-CN"/>
                    </w:rPr>
                    <w:t>[2014]598</w:t>
                  </w:r>
                  <w:r>
                    <w:rPr>
                      <w:rFonts w:hint="default"/>
                      <w:sz w:val="21"/>
                      <w:szCs w:val="21"/>
                      <w:lang w:val="en-US" w:eastAsia="zh-CN"/>
                    </w:rPr>
                    <w:t>号</w:t>
                  </w:r>
                  <w:r>
                    <w:rPr>
                      <w:rFonts w:hint="eastAsia"/>
                      <w:sz w:val="21"/>
                      <w:szCs w:val="21"/>
                      <w:lang w:val="en-US" w:eastAsia="zh-CN"/>
                    </w:rPr>
                    <w:t>)</w:t>
                  </w:r>
                  <w:r>
                    <w:rPr>
                      <w:rFonts w:hint="default"/>
                      <w:sz w:val="21"/>
                      <w:szCs w:val="21"/>
                      <w:lang w:val="en-US" w:eastAsia="zh-CN"/>
                    </w:rPr>
                    <w:t>中规定的禁止投资项目，项目不属于三类项目，且不在水源地准保护区内。</w:t>
                  </w:r>
                </w:p>
              </w:tc>
            </w:tr>
            <w:tr w14:paraId="673D7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5" w:type="dxa"/>
                  <w:tcBorders>
                    <w:tl2br w:val="nil"/>
                    <w:tr2bl w:val="nil"/>
                  </w:tcBorders>
                  <w:noWrap w:val="0"/>
                  <w:vAlign w:val="center"/>
                </w:tcPr>
                <w:p w14:paraId="4062C7B1">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科学调整开发区规划布局和范围。开发</w:t>
                  </w:r>
                  <w:r>
                    <w:rPr>
                      <w:rFonts w:hint="default"/>
                      <w:sz w:val="21"/>
                      <w:szCs w:val="21"/>
                      <w:lang w:val="en-US" w:eastAsia="zh-CN"/>
                    </w:rPr>
                    <w:t>区逐步形成以一、二类工业用地为主导的规划格局，重点发展一类工业的高新技术产业和新兴加工制造业，远期扩区结合及产业区的发展统一考虑。仓储用地以一类物流仓储用地为主，禁止设置三类仓储物流用地。</w:t>
                  </w:r>
                </w:p>
              </w:tc>
              <w:tc>
                <w:tcPr>
                  <w:tcW w:w="3159" w:type="dxa"/>
                  <w:tcBorders>
                    <w:tl2br w:val="nil"/>
                    <w:tr2bl w:val="nil"/>
                  </w:tcBorders>
                  <w:noWrap w:val="0"/>
                  <w:vAlign w:val="center"/>
                </w:tcPr>
                <w:p w14:paraId="5B69ED3D">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本项目为通用设备及零部件制造项目，属</w:t>
                  </w:r>
                  <w:r>
                    <w:rPr>
                      <w:rFonts w:hint="default"/>
                      <w:sz w:val="21"/>
                      <w:szCs w:val="21"/>
                      <w:lang w:val="en-US" w:eastAsia="zh-CN"/>
                    </w:rPr>
                    <w:t>于加工制造业，项目用地用途为工业用地。</w:t>
                  </w:r>
                </w:p>
              </w:tc>
            </w:tr>
            <w:tr w14:paraId="39389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5" w:type="dxa"/>
                  <w:tcBorders>
                    <w:tl2br w:val="nil"/>
                    <w:tr2bl w:val="nil"/>
                  </w:tcBorders>
                  <w:noWrap w:val="0"/>
                  <w:vAlign w:val="center"/>
                </w:tcPr>
                <w:p w14:paraId="3614C0F8">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注重开发区发展与水资源承载能力相协</w:t>
                  </w:r>
                  <w:r>
                    <w:rPr>
                      <w:rFonts w:hint="default"/>
                      <w:sz w:val="21"/>
                      <w:szCs w:val="21"/>
                      <w:lang w:val="en-US" w:eastAsia="zh-CN"/>
                    </w:rPr>
                    <w:t>调。提高水资源利用率和再生水或用率，做到以水定产，以水定规模。</w:t>
                  </w:r>
                </w:p>
              </w:tc>
              <w:tc>
                <w:tcPr>
                  <w:tcW w:w="3159" w:type="dxa"/>
                  <w:tcBorders>
                    <w:tl2br w:val="nil"/>
                    <w:tr2bl w:val="nil"/>
                  </w:tcBorders>
                  <w:noWrap w:val="0"/>
                  <w:vAlign w:val="center"/>
                </w:tcPr>
                <w:p w14:paraId="26E4BFB9">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本项目用水只涉及职工生活用水，用水量较少</w:t>
                  </w:r>
                  <w:r>
                    <w:rPr>
                      <w:rFonts w:hint="default"/>
                      <w:sz w:val="21"/>
                      <w:szCs w:val="21"/>
                      <w:lang w:val="en-US" w:eastAsia="zh-CN"/>
                    </w:rPr>
                    <w:t>。</w:t>
                  </w:r>
                </w:p>
              </w:tc>
            </w:tr>
            <w:tr w14:paraId="53D5E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5" w:type="dxa"/>
                  <w:tcBorders>
                    <w:tl2br w:val="nil"/>
                    <w:tr2bl w:val="nil"/>
                  </w:tcBorders>
                  <w:noWrap w:val="0"/>
                  <w:vAlign w:val="center"/>
                </w:tcPr>
                <w:p w14:paraId="2B68B6AC">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调整土地利用规划，严格执行国家土地</w:t>
                  </w:r>
                  <w:r>
                    <w:rPr>
                      <w:rFonts w:hint="default"/>
                      <w:sz w:val="21"/>
                      <w:szCs w:val="21"/>
                      <w:lang w:val="en-US" w:eastAsia="zh-CN"/>
                    </w:rPr>
                    <w:t>管理政策。对占用耕地实施先补后占，实</w:t>
                  </w:r>
                  <w:r>
                    <w:rPr>
                      <w:rFonts w:hint="eastAsia" w:ascii="宋体" w:hAnsi="宋体" w:eastAsia="宋体" w:cs="宋体"/>
                      <w:sz w:val="21"/>
                      <w:szCs w:val="21"/>
                      <w:lang w:val="en-US" w:eastAsia="zh-CN"/>
                    </w:rPr>
                    <w:t>现“占补平衡”</w:t>
                  </w:r>
                  <w:r>
                    <w:rPr>
                      <w:rFonts w:hint="default"/>
                      <w:sz w:val="21"/>
                      <w:szCs w:val="21"/>
                      <w:lang w:val="en-US" w:eastAsia="zh-CN"/>
                    </w:rPr>
                    <w:t>，确保项目占地符合国家相关要求。</w:t>
                  </w:r>
                </w:p>
              </w:tc>
              <w:tc>
                <w:tcPr>
                  <w:tcW w:w="3159" w:type="dxa"/>
                  <w:tcBorders>
                    <w:tl2br w:val="nil"/>
                    <w:tr2bl w:val="nil"/>
                  </w:tcBorders>
                  <w:noWrap w:val="0"/>
                  <w:vAlign w:val="center"/>
                </w:tcPr>
                <w:p w14:paraId="1AB0DC37">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highlight w:val="yellow"/>
                      <w:lang w:val="en-US" w:eastAsia="zh-CN"/>
                    </w:rPr>
                  </w:pPr>
                  <w:r>
                    <w:rPr>
                      <w:rFonts w:hint="eastAsia"/>
                      <w:sz w:val="21"/>
                      <w:szCs w:val="21"/>
                      <w:lang w:val="en-US" w:eastAsia="zh-CN"/>
                    </w:rPr>
                    <w:t>本</w:t>
                  </w:r>
                  <w:r>
                    <w:rPr>
                      <w:rFonts w:hint="default"/>
                      <w:sz w:val="21"/>
                      <w:szCs w:val="21"/>
                      <w:lang w:val="en-US" w:eastAsia="zh-CN"/>
                    </w:rPr>
                    <w:t>项目用地用途为工业用地。</w:t>
                  </w:r>
                </w:p>
              </w:tc>
            </w:tr>
            <w:tr w14:paraId="1C605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5" w:type="dxa"/>
                  <w:tcBorders>
                    <w:tl2br w:val="nil"/>
                    <w:tr2bl w:val="nil"/>
                  </w:tcBorders>
                  <w:noWrap w:val="0"/>
                  <w:vAlign w:val="center"/>
                </w:tcPr>
                <w:p w14:paraId="782D7337">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highlight w:val="none"/>
                      <w:lang w:val="en-US" w:eastAsia="zh-CN"/>
                    </w:rPr>
                  </w:pPr>
                  <w:r>
                    <w:rPr>
                      <w:rFonts w:hint="eastAsia" w:eastAsia="宋体"/>
                      <w:sz w:val="21"/>
                      <w:szCs w:val="21"/>
                      <w:highlight w:val="none"/>
                      <w:lang w:val="en-US" w:eastAsia="zh-CN"/>
                    </w:rPr>
                    <w:t>统筹规划并优先建设开发区配套基础设</w:t>
                  </w:r>
                  <w:r>
                    <w:rPr>
                      <w:rFonts w:hint="default" w:eastAsia="宋体"/>
                      <w:sz w:val="21"/>
                      <w:szCs w:val="21"/>
                      <w:highlight w:val="none"/>
                      <w:lang w:val="en-US" w:eastAsia="zh-CN"/>
                    </w:rPr>
                    <w:t>施。</w:t>
                  </w:r>
                  <w:r>
                    <w:rPr>
                      <w:rFonts w:hint="eastAsia" w:eastAsia="宋体"/>
                      <w:sz w:val="21"/>
                      <w:szCs w:val="21"/>
                      <w:highlight w:val="none"/>
                      <w:lang w:val="en-US" w:eastAsia="zh-CN"/>
                    </w:rPr>
                    <w:t>2020</w:t>
                  </w:r>
                  <w:r>
                    <w:rPr>
                      <w:rFonts w:hint="default" w:eastAsia="宋体"/>
                      <w:sz w:val="21"/>
                      <w:szCs w:val="21"/>
                      <w:highlight w:val="none"/>
                      <w:lang w:val="en-US" w:eastAsia="zh-CN"/>
                    </w:rPr>
                    <w:t>年开发区依托北郊电厂实现集中供热后，取消区内企业自备锅炉，其他基础设施依托现有工程。</w:t>
                  </w:r>
                </w:p>
              </w:tc>
              <w:tc>
                <w:tcPr>
                  <w:tcW w:w="3159" w:type="dxa"/>
                  <w:tcBorders>
                    <w:tl2br w:val="nil"/>
                    <w:tr2bl w:val="nil"/>
                  </w:tcBorders>
                  <w:noWrap w:val="0"/>
                  <w:vAlign w:val="center"/>
                </w:tcPr>
                <w:p w14:paraId="1D42B7CE">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本项目不自建锅炉，供水、排水均依托开发</w:t>
                  </w:r>
                  <w:r>
                    <w:rPr>
                      <w:rFonts w:hint="default"/>
                      <w:sz w:val="21"/>
                      <w:szCs w:val="21"/>
                      <w:lang w:val="en-US" w:eastAsia="zh-CN"/>
                    </w:rPr>
                    <w:t>区现有设施，办公区用热采用电加热。</w:t>
                  </w:r>
                </w:p>
              </w:tc>
            </w:tr>
            <w:tr w14:paraId="0A66D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5" w:type="dxa"/>
                  <w:tcBorders>
                    <w:tl2br w:val="nil"/>
                    <w:tr2bl w:val="nil"/>
                  </w:tcBorders>
                  <w:noWrap w:val="0"/>
                  <w:vAlign w:val="center"/>
                </w:tcPr>
                <w:p w14:paraId="0B8FEC5F">
                  <w:pPr>
                    <w:pStyle w:val="27"/>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sz w:val="21"/>
                      <w:szCs w:val="21"/>
                      <w:highlight w:val="none"/>
                      <w:lang w:val="en-US" w:eastAsia="zh-CN"/>
                    </w:rPr>
                  </w:pPr>
                  <w:r>
                    <w:rPr>
                      <w:rFonts w:hint="eastAsia" w:eastAsia="宋体"/>
                      <w:sz w:val="21"/>
                      <w:szCs w:val="21"/>
                      <w:highlight w:val="none"/>
                      <w:lang w:val="en-US" w:eastAsia="zh-CN"/>
                    </w:rPr>
                    <w:t>在开展项目环境影响评价时，区域环境</w:t>
                  </w:r>
                  <w:r>
                    <w:rPr>
                      <w:rFonts w:hint="default" w:eastAsia="宋体"/>
                      <w:sz w:val="21"/>
                      <w:szCs w:val="21"/>
                      <w:highlight w:val="none"/>
                      <w:lang w:val="en-US" w:eastAsia="zh-CN"/>
                    </w:rPr>
                    <w:t>影响现状评价内容可适当简化，涉及项目准入、环境风险及公众参与等内容应做重点、深入评价。</w:t>
                  </w:r>
                </w:p>
              </w:tc>
              <w:tc>
                <w:tcPr>
                  <w:tcW w:w="3159" w:type="dxa"/>
                  <w:tcBorders>
                    <w:tl2br w:val="nil"/>
                    <w:tr2bl w:val="nil"/>
                  </w:tcBorders>
                  <w:noWrap w:val="0"/>
                  <w:vAlign w:val="center"/>
                </w:tcPr>
                <w:p w14:paraId="133F9340">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highlight w:val="none"/>
                      <w:lang w:val="en-US" w:eastAsia="zh-CN"/>
                    </w:rPr>
                  </w:pPr>
                  <w:r>
                    <w:rPr>
                      <w:rFonts w:hint="eastAsia"/>
                      <w:sz w:val="21"/>
                      <w:szCs w:val="21"/>
                      <w:highlight w:val="none"/>
                      <w:lang w:val="en-US" w:eastAsia="zh-CN"/>
                    </w:rPr>
                    <w:t>本项目按照导则对环境影响进行了现状评价。</w:t>
                  </w:r>
                </w:p>
              </w:tc>
            </w:tr>
          </w:tbl>
          <w:p w14:paraId="7C459BA1">
            <w:pPr>
              <w:bidi w:val="0"/>
              <w:rPr>
                <w:rFonts w:hint="eastAsia"/>
                <w:highlight w:val="none"/>
                <w:lang w:val="en-US" w:eastAsia="zh-CN"/>
              </w:rPr>
            </w:pPr>
            <w:r>
              <w:rPr>
                <w:rFonts w:hint="eastAsia"/>
                <w:highlight w:val="none"/>
                <w:lang w:val="en-US" w:eastAsia="zh-CN"/>
              </w:rPr>
              <w:t>综上所述，本项目的建设符合</w:t>
            </w:r>
            <w:r>
              <w:rPr>
                <w:rFonts w:hint="default" w:ascii="Times New Roman" w:hAnsi="Times New Roman" w:eastAsia="宋体" w:cs="Times New Roman"/>
                <w:color w:val="auto"/>
                <w:kern w:val="0"/>
                <w:sz w:val="24"/>
                <w:szCs w:val="24"/>
                <w:highlight w:val="none"/>
                <w:shd w:val="clear" w:color="auto" w:fill="auto"/>
                <w:lang w:eastAsia="zh-CN"/>
              </w:rPr>
              <w:t>《关于转送</w:t>
            </w:r>
            <w:r>
              <w:rPr>
                <w:rFonts w:hint="eastAsia" w:cs="Times New Roman"/>
                <w:color w:val="auto"/>
                <w:kern w:val="0"/>
                <w:sz w:val="24"/>
                <w:szCs w:val="24"/>
                <w:highlight w:val="none"/>
                <w:shd w:val="clear" w:color="auto" w:fill="auto"/>
                <w:lang w:val="en-US" w:eastAsia="zh-CN"/>
              </w:rPr>
              <w:t>唐山高新区北部拓展区规划环境影响报告书审查意见的函</w:t>
            </w:r>
            <w:r>
              <w:rPr>
                <w:rFonts w:hint="default" w:ascii="Times New Roman" w:hAnsi="Times New Roman" w:eastAsia="宋体" w:cs="Times New Roman"/>
                <w:color w:val="auto"/>
                <w:kern w:val="0"/>
                <w:sz w:val="24"/>
                <w:szCs w:val="24"/>
                <w:highlight w:val="none"/>
                <w:shd w:val="clear" w:color="auto" w:fill="auto"/>
                <w:lang w:eastAsia="zh-CN"/>
              </w:rPr>
              <w:t>》（冀环评函</w:t>
            </w:r>
            <w:r>
              <w:rPr>
                <w:rFonts w:hint="default" w:ascii="Times New Roman" w:hAnsi="Times New Roman" w:eastAsia="宋体" w:cs="Times New Roman"/>
                <w:color w:val="auto"/>
                <w:kern w:val="0"/>
                <w:sz w:val="24"/>
                <w:szCs w:val="24"/>
                <w:highlight w:val="none"/>
                <w:shd w:val="clear" w:color="auto" w:fill="auto"/>
                <w:lang w:val="en-US" w:eastAsia="zh-CN"/>
              </w:rPr>
              <w:t>[201</w:t>
            </w:r>
            <w:r>
              <w:rPr>
                <w:rFonts w:hint="eastAsia" w:cs="Times New Roman"/>
                <w:color w:val="auto"/>
                <w:kern w:val="0"/>
                <w:sz w:val="24"/>
                <w:szCs w:val="24"/>
                <w:highlight w:val="none"/>
                <w:shd w:val="clear" w:color="auto" w:fill="auto"/>
                <w:lang w:val="en-US" w:eastAsia="zh-CN"/>
              </w:rPr>
              <w:t>4</w:t>
            </w:r>
            <w:r>
              <w:rPr>
                <w:rFonts w:hint="default" w:ascii="Times New Roman" w:hAnsi="Times New Roman" w:eastAsia="宋体" w:cs="Times New Roman"/>
                <w:color w:val="auto"/>
                <w:kern w:val="0"/>
                <w:sz w:val="24"/>
                <w:szCs w:val="24"/>
                <w:highlight w:val="none"/>
                <w:shd w:val="clear" w:color="auto" w:fill="auto"/>
                <w:lang w:val="en-US" w:eastAsia="zh-CN"/>
              </w:rPr>
              <w:t>]1</w:t>
            </w:r>
            <w:r>
              <w:rPr>
                <w:rFonts w:hint="eastAsia" w:cs="Times New Roman"/>
                <w:color w:val="auto"/>
                <w:kern w:val="0"/>
                <w:sz w:val="24"/>
                <w:szCs w:val="24"/>
                <w:highlight w:val="none"/>
                <w:shd w:val="clear" w:color="auto" w:fill="auto"/>
                <w:lang w:val="en-US" w:eastAsia="zh-CN"/>
              </w:rPr>
              <w:t>011</w:t>
            </w:r>
            <w:r>
              <w:rPr>
                <w:rFonts w:hint="default" w:ascii="Times New Roman" w:hAnsi="Times New Roman" w:eastAsia="宋体" w:cs="Times New Roman"/>
                <w:color w:val="auto"/>
                <w:kern w:val="0"/>
                <w:sz w:val="24"/>
                <w:szCs w:val="24"/>
                <w:highlight w:val="none"/>
                <w:shd w:val="clear" w:color="auto" w:fill="auto"/>
                <w:lang w:val="en-US" w:eastAsia="zh-CN"/>
              </w:rPr>
              <w:t>号</w:t>
            </w:r>
            <w:r>
              <w:rPr>
                <w:rFonts w:hint="eastAsia" w:cs="Times New Roman"/>
                <w:color w:val="auto"/>
                <w:kern w:val="0"/>
                <w:sz w:val="24"/>
                <w:szCs w:val="24"/>
                <w:highlight w:val="none"/>
                <w:shd w:val="clear" w:color="auto" w:fill="auto"/>
                <w:lang w:val="en-US" w:eastAsia="zh-CN"/>
              </w:rPr>
              <w:t>）</w:t>
            </w:r>
            <w:r>
              <w:rPr>
                <w:rFonts w:hint="eastAsia"/>
                <w:highlight w:val="none"/>
                <w:lang w:val="en-US" w:eastAsia="zh-CN"/>
              </w:rPr>
              <w:t>要求。</w:t>
            </w:r>
          </w:p>
          <w:p w14:paraId="57A714DF">
            <w:pPr>
              <w:bidi w:val="0"/>
              <w:rPr>
                <w:rFonts w:hint="eastAsia"/>
                <w:highlight w:val="none"/>
                <w:lang w:val="en-US" w:eastAsia="zh-CN"/>
              </w:rPr>
            </w:pPr>
          </w:p>
          <w:p w14:paraId="3D00E8F0">
            <w:pPr>
              <w:bidi w:val="0"/>
              <w:rPr>
                <w:rFonts w:hint="eastAsia"/>
                <w:highlight w:val="none"/>
                <w:lang w:val="en-US" w:eastAsia="zh-CN"/>
              </w:rPr>
            </w:pPr>
          </w:p>
          <w:p w14:paraId="6CDF270B">
            <w:pPr>
              <w:bidi w:val="0"/>
              <w:rPr>
                <w:rFonts w:hint="eastAsia"/>
                <w:highlight w:val="none"/>
                <w:lang w:val="en-US" w:eastAsia="zh-CN"/>
              </w:rPr>
            </w:pPr>
          </w:p>
          <w:p w14:paraId="1473EE23">
            <w:pPr>
              <w:bidi w:val="0"/>
              <w:rPr>
                <w:rFonts w:hint="default"/>
                <w:highlight w:val="none"/>
                <w:lang w:val="en-US" w:eastAsia="zh-CN"/>
              </w:rPr>
            </w:pPr>
          </w:p>
          <w:p w14:paraId="1790C430">
            <w:pPr>
              <w:bidi w:val="0"/>
              <w:rPr>
                <w:rFonts w:hint="eastAsia"/>
                <w:highlight w:val="none"/>
                <w:lang w:val="en-US" w:eastAsia="zh-CN"/>
              </w:rPr>
            </w:pPr>
          </w:p>
          <w:p w14:paraId="18773929">
            <w:pPr>
              <w:bidi w:val="0"/>
              <w:rPr>
                <w:rFonts w:hint="eastAsia"/>
                <w:highlight w:val="none"/>
                <w:lang w:val="en-US" w:eastAsia="zh-CN"/>
              </w:rPr>
            </w:pPr>
          </w:p>
          <w:p w14:paraId="12544892">
            <w:pPr>
              <w:bidi w:val="0"/>
              <w:rPr>
                <w:rFonts w:hint="eastAsia"/>
                <w:highlight w:val="none"/>
                <w:lang w:val="en-US" w:eastAsia="zh-CN"/>
              </w:rPr>
            </w:pPr>
          </w:p>
          <w:p w14:paraId="785EB97E">
            <w:pPr>
              <w:bidi w:val="0"/>
              <w:rPr>
                <w:rFonts w:hint="eastAsia"/>
                <w:highlight w:val="none"/>
                <w:lang w:val="en-US" w:eastAsia="zh-CN"/>
              </w:rPr>
            </w:pPr>
          </w:p>
          <w:p w14:paraId="0AD3B7CF">
            <w:pPr>
              <w:bidi w:val="0"/>
              <w:rPr>
                <w:rFonts w:hint="default"/>
                <w:lang w:val="en-US" w:eastAsia="zh-CN"/>
              </w:rPr>
            </w:pPr>
          </w:p>
        </w:tc>
      </w:tr>
      <w:tr w14:paraId="56993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4" w:hRule="atLeast"/>
          <w:jc w:val="center"/>
        </w:trPr>
        <w:tc>
          <w:tcPr>
            <w:tcW w:w="1571" w:type="dxa"/>
            <w:noWrap w:val="0"/>
            <w:vAlign w:val="center"/>
          </w:tcPr>
          <w:p w14:paraId="03C72A7D">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宋体" w:hAnsi="宋体" w:cs="宋体"/>
                <w:color w:val="0000FF"/>
                <w:kern w:val="0"/>
                <w:sz w:val="24"/>
                <w:szCs w:val="24"/>
              </w:rPr>
            </w:pPr>
            <w:r>
              <w:rPr>
                <w:rFonts w:hint="eastAsia" w:ascii="宋体" w:hAnsi="宋体" w:cs="宋体"/>
                <w:color w:val="auto"/>
                <w:kern w:val="0"/>
                <w:sz w:val="24"/>
                <w:szCs w:val="24"/>
              </w:rPr>
              <w:t>其他符合性分析</w:t>
            </w:r>
          </w:p>
        </w:tc>
        <w:tc>
          <w:tcPr>
            <w:tcW w:w="7500" w:type="dxa"/>
            <w:gridSpan w:val="3"/>
            <w:noWrap w:val="0"/>
            <w:vAlign w:val="center"/>
          </w:tcPr>
          <w:p w14:paraId="0A42EB56">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color w:val="auto"/>
                <w:sz w:val="24"/>
                <w:szCs w:val="24"/>
              </w:rPr>
            </w:pPr>
            <w:r>
              <w:rPr>
                <w:rFonts w:hint="eastAsia"/>
                <w:b/>
                <w:bCs/>
                <w:color w:val="auto"/>
                <w:sz w:val="24"/>
                <w:szCs w:val="24"/>
                <w:lang w:val="en-US" w:eastAsia="zh-CN"/>
              </w:rPr>
              <w:t>1、与“</w:t>
            </w:r>
            <w:r>
              <w:rPr>
                <w:rFonts w:hint="default"/>
                <w:b/>
                <w:bCs/>
                <w:color w:val="auto"/>
                <w:sz w:val="24"/>
                <w:szCs w:val="24"/>
              </w:rPr>
              <w:t>三线一单</w:t>
            </w:r>
            <w:r>
              <w:rPr>
                <w:rFonts w:hint="eastAsia"/>
                <w:b/>
                <w:bCs/>
                <w:color w:val="auto"/>
                <w:sz w:val="24"/>
                <w:szCs w:val="24"/>
                <w:lang w:val="en-US" w:eastAsia="zh-CN"/>
              </w:rPr>
              <w:t>”</w:t>
            </w:r>
            <w:r>
              <w:rPr>
                <w:rFonts w:hint="default"/>
                <w:b/>
                <w:bCs/>
                <w:color w:val="auto"/>
                <w:sz w:val="24"/>
                <w:szCs w:val="24"/>
              </w:rPr>
              <w:t>相符性分析</w:t>
            </w:r>
          </w:p>
          <w:p w14:paraId="470EEBDE">
            <w:pPr>
              <w:keepNext w:val="0"/>
              <w:keepLines w:val="0"/>
              <w:pageBreakBefore w:val="0"/>
              <w:widowControl w:val="0"/>
              <w:kinsoku/>
              <w:wordWrap w:val="0"/>
              <w:overflowPunct/>
              <w:topLinePunct/>
              <w:autoSpaceDE/>
              <w:autoSpaceDN/>
              <w:bidi w:val="0"/>
              <w:adjustRightInd/>
              <w:snapToGrid/>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spacing w:val="0"/>
                <w:sz w:val="24"/>
                <w:szCs w:val="24"/>
              </w:rPr>
              <w:t>根据环保部发布</w:t>
            </w:r>
            <w:r>
              <w:rPr>
                <w:rFonts w:hint="default" w:ascii="Times New Roman" w:hAnsi="Times New Roman" w:eastAsia="宋体" w:cs="Times New Roman"/>
                <w:spacing w:val="6"/>
                <w:sz w:val="24"/>
                <w:szCs w:val="24"/>
              </w:rPr>
              <w:t>的《</w:t>
            </w:r>
            <w:r>
              <w:rPr>
                <w:rFonts w:hint="default" w:ascii="Times New Roman" w:hAnsi="Times New Roman" w:eastAsia="宋体" w:cs="Times New Roman"/>
                <w:spacing w:val="0"/>
                <w:sz w:val="24"/>
                <w:szCs w:val="24"/>
              </w:rPr>
              <w:t>关于以改善环境质量为核心加强环境影响评价管理的通知》（以下简称《通知》），《通知》要求切实加强环境影响评价管理，落</w:t>
            </w:r>
            <w:r>
              <w:rPr>
                <w:rFonts w:hint="eastAsia" w:ascii="宋体" w:hAnsi="宋体" w:eastAsia="宋体" w:cs="宋体"/>
                <w:spacing w:val="0"/>
                <w:sz w:val="24"/>
                <w:szCs w:val="24"/>
              </w:rPr>
              <w:t>实“生态保</w:t>
            </w:r>
            <w:r>
              <w:rPr>
                <w:rFonts w:hint="default" w:ascii="Times New Roman" w:hAnsi="Times New Roman" w:eastAsia="宋体" w:cs="Times New Roman"/>
                <w:spacing w:val="0"/>
                <w:sz w:val="24"/>
                <w:szCs w:val="24"/>
              </w:rPr>
              <w:t>护红线、环境质量底线、资源利用上线和环境准入负面清</w:t>
            </w:r>
            <w:r>
              <w:rPr>
                <w:rFonts w:hint="eastAsia" w:ascii="宋体" w:hAnsi="宋体" w:eastAsia="宋体" w:cs="宋体"/>
                <w:spacing w:val="0"/>
                <w:sz w:val="24"/>
                <w:szCs w:val="24"/>
              </w:rPr>
              <w:t>单”约</w:t>
            </w:r>
            <w:r>
              <w:rPr>
                <w:rFonts w:hint="default" w:ascii="Times New Roman" w:hAnsi="Times New Roman" w:eastAsia="宋体" w:cs="Times New Roman"/>
                <w:spacing w:val="0"/>
                <w:sz w:val="24"/>
                <w:szCs w:val="24"/>
              </w:rPr>
              <w:t>束，建立项目环评审批与规划环评、现有项目环境管理、区域环境质量联动机制，更好地发挥环评制度从源头防范环境污染和生态破坏的作用，加快推进改善环境质量。</w:t>
            </w:r>
          </w:p>
          <w:p w14:paraId="6B7B867F">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（1）生态保护红线</w:t>
            </w:r>
          </w:p>
          <w:p w14:paraId="5C607F6B">
            <w:pPr>
              <w:keepNext w:val="0"/>
              <w:keepLines w:val="0"/>
              <w:widowControl/>
              <w:suppressLineNumbers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建设项目位于</w:t>
            </w:r>
            <w:r>
              <w:rPr>
                <w:rFonts w:hint="eastAsia" w:ascii="Times New Roman" w:hAnsi="Times New Roman" w:eastAsia="宋体" w:cs="Times New Roman"/>
                <w:color w:val="auto"/>
                <w:kern w:val="2"/>
                <w:sz w:val="24"/>
                <w:szCs w:val="24"/>
                <w:highlight w:val="none"/>
                <w:lang w:val="en-US" w:eastAsia="zh-CN" w:bidi="ar-SA"/>
              </w:rPr>
              <w:t>唐山市高新区郑庄子乡</w:t>
            </w:r>
            <w:r>
              <w:rPr>
                <w:rFonts w:hint="eastAsia" w:cs="Times New Roman"/>
                <w:color w:val="auto"/>
                <w:kern w:val="2"/>
                <w:sz w:val="24"/>
                <w:szCs w:val="24"/>
                <w:highlight w:val="none"/>
                <w:lang w:val="en-US" w:eastAsia="zh-CN" w:bidi="ar-SA"/>
              </w:rPr>
              <w:t>梁各庄村</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zh-CN"/>
              </w:rPr>
              <w:t>根据《河北省人民政府关于发布〈</w:t>
            </w:r>
            <w:r>
              <w:rPr>
                <w:rFonts w:hint="eastAsia" w:cs="Times New Roman"/>
                <w:color w:val="auto"/>
                <w:sz w:val="24"/>
                <w:szCs w:val="24"/>
                <w:lang w:val="en-US" w:eastAsia="zh-CN"/>
              </w:rPr>
              <w:t>河</w:t>
            </w:r>
            <w:r>
              <w:rPr>
                <w:rFonts w:hint="default" w:ascii="Times New Roman" w:hAnsi="Times New Roman" w:eastAsia="宋体" w:cs="Times New Roman"/>
                <w:color w:val="auto"/>
                <w:sz w:val="24"/>
                <w:szCs w:val="24"/>
                <w:lang w:val="zh-CN"/>
              </w:rPr>
              <w:t>北省生态保护红线〉的通知》《冀政字[2018]23号）及《唐山市生态保护红线》（2018年7月），</w:t>
            </w:r>
            <w:r>
              <w:rPr>
                <w:rFonts w:hint="eastAsia" w:ascii="宋体" w:hAnsi="宋体" w:eastAsia="宋体" w:cs="宋体"/>
                <w:color w:val="000000"/>
                <w:kern w:val="0"/>
                <w:sz w:val="24"/>
                <w:szCs w:val="24"/>
                <w:lang w:val="en-US" w:eastAsia="zh-CN" w:bidi="ar"/>
              </w:rPr>
              <w:t>唐山市陆域生态保护红线总面积为</w:t>
            </w:r>
            <w:r>
              <w:rPr>
                <w:rFonts w:hint="default" w:ascii="Times New Roman" w:hAnsi="Times New Roman" w:eastAsia="宋体" w:cs="Times New Roman"/>
                <w:color w:val="000000"/>
                <w:kern w:val="0"/>
                <w:sz w:val="24"/>
                <w:szCs w:val="24"/>
                <w:lang w:val="en-US" w:eastAsia="zh-CN" w:bidi="ar"/>
              </w:rPr>
              <w:t>1085.47km</w:t>
            </w:r>
            <w:r>
              <w:rPr>
                <w:rFonts w:hint="eastAsia" w:cs="Times New Roman"/>
                <w:color w:val="000000"/>
                <w:kern w:val="0"/>
                <w:sz w:val="24"/>
                <w:szCs w:val="24"/>
                <w:vertAlign w:val="superscript"/>
                <w:lang w:val="en-US" w:eastAsia="zh-CN" w:bidi="ar"/>
              </w:rPr>
              <w:t>2</w:t>
            </w:r>
            <w:r>
              <w:rPr>
                <w:rFonts w:hint="eastAsia" w:ascii="宋体" w:hAnsi="宋体" w:eastAsia="宋体" w:cs="宋体"/>
                <w:color w:val="000000"/>
                <w:kern w:val="0"/>
                <w:sz w:val="24"/>
                <w:szCs w:val="24"/>
                <w:lang w:val="en-US" w:eastAsia="zh-CN" w:bidi="ar"/>
              </w:rPr>
              <w:t>，占唐山市陆域国土面积的</w:t>
            </w:r>
            <w:r>
              <w:rPr>
                <w:rFonts w:hint="default" w:ascii="Times New Roman" w:hAnsi="Times New Roman" w:eastAsia="宋体" w:cs="Times New Roman"/>
                <w:color w:val="000000"/>
                <w:kern w:val="0"/>
                <w:sz w:val="24"/>
                <w:szCs w:val="24"/>
                <w:lang w:val="en-US" w:eastAsia="zh-CN" w:bidi="ar"/>
              </w:rPr>
              <w:t>7.65%</w:t>
            </w:r>
            <w:r>
              <w:rPr>
                <w:rFonts w:hint="eastAsia" w:ascii="宋体" w:hAnsi="宋体" w:eastAsia="宋体" w:cs="宋体"/>
                <w:color w:val="000000"/>
                <w:kern w:val="0"/>
                <w:sz w:val="24"/>
                <w:szCs w:val="24"/>
                <w:lang w:val="en-US" w:eastAsia="zh-CN" w:bidi="ar"/>
              </w:rPr>
              <w:t>，占河北省陆域国土面积的</w:t>
            </w:r>
            <w:r>
              <w:rPr>
                <w:rFonts w:hint="default" w:ascii="Times New Roman" w:hAnsi="Times New Roman" w:eastAsia="宋体" w:cs="Times New Roman"/>
                <w:color w:val="000000"/>
                <w:kern w:val="0"/>
                <w:sz w:val="24"/>
                <w:szCs w:val="24"/>
                <w:lang w:val="en-US" w:eastAsia="zh-CN" w:bidi="ar"/>
              </w:rPr>
              <w:t>0.58%</w:t>
            </w:r>
            <w:r>
              <w:rPr>
                <w:rFonts w:hint="eastAsia" w:ascii="宋体" w:hAnsi="宋体" w:eastAsia="宋体" w:cs="宋体"/>
                <w:color w:val="000000"/>
                <w:kern w:val="0"/>
                <w:sz w:val="24"/>
                <w:szCs w:val="24"/>
                <w:lang w:val="en-US" w:eastAsia="zh-CN" w:bidi="ar"/>
              </w:rPr>
              <w:t>。域生态保护红线主导生态功能为水源涵养和水土保持功能，其次为生物多样性维护和防风固沙功能，同时还涵盖水土流失敏感脆弱区、土地沙化敏感脆弱区和河湖滨岸带敏感区域</w:t>
            </w: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rPr>
              <w:t>项目周边为其他企业用地，不在主导生态功能区范围内，且不在当地饮用水水源区、风景区、自然保护区等生态保护区内，符合生态保护红线的要求。</w:t>
            </w:r>
          </w:p>
          <w:p w14:paraId="501C2DEC">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（2）环境质量底线</w:t>
            </w:r>
          </w:p>
          <w:p w14:paraId="02D1E81A">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根据唐山市</w:t>
            </w:r>
            <w:r>
              <w:rPr>
                <w:rFonts w:hint="default" w:ascii="Times New Roman" w:hAnsi="Times New Roman" w:eastAsia="宋体" w:cs="Times New Roman"/>
                <w:color w:val="auto"/>
                <w:sz w:val="24"/>
                <w:szCs w:val="24"/>
                <w:lang w:val="en-US" w:eastAsia="zh-CN"/>
              </w:rPr>
              <w:t>生态环境局</w:t>
            </w:r>
            <w:r>
              <w:rPr>
                <w:rFonts w:hint="default" w:ascii="Times New Roman" w:hAnsi="Times New Roman" w:eastAsia="宋体" w:cs="Times New Roman"/>
                <w:color w:val="auto"/>
                <w:sz w:val="24"/>
                <w:szCs w:val="24"/>
              </w:rPr>
              <w:t>发布的20</w:t>
            </w:r>
            <w:r>
              <w:rPr>
                <w:rFonts w:hint="default"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rPr>
              <w:t>年唐山市环境状况公报可知，项目所在区域环境空气质量现状监测因子中SO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、CO均满足《环境空气质量标准》（GB3095－2012）中二级标准及其修改单要求，NO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均超标，唐山市属于大气污染重点区域，监测数据客观的反映了唐山市环境空气质量的现状。分析超标原因为：随着唐山市工业的快速发展、能源消耗和机动车保有量的快速增长，排放的大量二氧化硫、氮氧化物与挥发性有机物导致细颗粒物等二次污染呈加剧态势。根据《建设生态唐山实现绿色发展工作方案》</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唐办发[2018]2号</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、《唐山</w:t>
            </w:r>
            <w:r>
              <w:rPr>
                <w:rFonts w:hint="eastAsia" w:ascii="宋体" w:hAnsi="宋体" w:eastAsia="宋体" w:cs="宋体"/>
                <w:color w:val="auto"/>
                <w:sz w:val="24"/>
                <w:szCs w:val="24"/>
              </w:rPr>
              <w:t>市“退出后十”大气</w:t>
            </w:r>
            <w:r>
              <w:rPr>
                <w:rFonts w:hint="default" w:ascii="Times New Roman" w:hAnsi="Times New Roman" w:eastAsia="宋体" w:cs="Times New Roman"/>
                <w:color w:val="auto"/>
                <w:sz w:val="24"/>
                <w:szCs w:val="24"/>
              </w:rPr>
              <w:t>污染防治工作实施方案》可知，通过调整优化产业结构、能源结构，深入开展大气污染治理攻坚行动，切实改善环境空气质量，通过控制扬尘污染、削减燃煤总量、控制机动车污染和严把燃煤质量关等方面的行动，项目所在区域</w:t>
            </w:r>
            <w:r>
              <w:rPr>
                <w:rFonts w:hint="default" w:ascii="Times New Roman" w:hAnsi="Times New Roman" w:eastAsia="宋体" w:cs="Times New Roman"/>
                <w:color w:val="auto"/>
                <w:sz w:val="24"/>
                <w:szCs w:val="24"/>
                <w:lang w:val="en-US" w:eastAsia="zh-CN"/>
              </w:rPr>
              <w:t>环境空气质量</w:t>
            </w:r>
            <w:r>
              <w:rPr>
                <w:rFonts w:hint="default" w:ascii="Times New Roman" w:hAnsi="Times New Roman" w:eastAsia="宋体" w:cs="Times New Roman"/>
                <w:color w:val="auto"/>
                <w:sz w:val="24"/>
                <w:szCs w:val="24"/>
              </w:rPr>
              <w:t>将会逐步得到改善。</w:t>
            </w:r>
          </w:p>
          <w:p w14:paraId="20717688">
            <w:pPr>
              <w:bidi w:val="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本项目废气及噪声采取治理措施后能够达到排放标准要求；固体废物均能得到合理处置，对周边环境影响较小，符合环境质量底线要求。</w:t>
            </w:r>
          </w:p>
          <w:p w14:paraId="250A6DD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资源利用上线</w:t>
            </w:r>
          </w:p>
          <w:p w14:paraId="734E58A2">
            <w:pPr>
              <w:bidi w:val="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本项目消耗的资源为电，用电来自市政电网</w:t>
            </w:r>
            <w:r>
              <w:rPr>
                <w:rFonts w:hint="default" w:ascii="Times New Roman" w:hAnsi="Times New Roman" w:eastAsia="宋体" w:cs="Times New Roman"/>
                <w:color w:val="auto"/>
                <w:sz w:val="24"/>
                <w:szCs w:val="24"/>
                <w:lang w:val="en-US" w:eastAsia="zh-CN"/>
              </w:rPr>
              <w:t>，用量较少，</w:t>
            </w:r>
            <w:r>
              <w:rPr>
                <w:rFonts w:hint="default" w:ascii="Times New Roman" w:hAnsi="Times New Roman" w:eastAsia="宋体" w:cs="Times New Roman"/>
                <w:color w:val="auto"/>
                <w:sz w:val="24"/>
                <w:szCs w:val="24"/>
              </w:rPr>
              <w:t>消耗量相对于区域资源利用量较小</w:t>
            </w:r>
            <w:r>
              <w:rPr>
                <w:rFonts w:hint="default" w:ascii="Times New Roman" w:hAnsi="Times New Roman" w:eastAsia="宋体" w:cs="Times New Roman"/>
                <w:color w:val="auto"/>
                <w:sz w:val="24"/>
                <w:szCs w:val="24"/>
                <w:lang w:eastAsia="zh-CN"/>
              </w:rPr>
              <w:t>。</w:t>
            </w:r>
          </w:p>
          <w:p w14:paraId="4331D7A1">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（4）环境准入负面清单</w:t>
            </w:r>
          </w:p>
          <w:p w14:paraId="326DB64F">
            <w:pPr>
              <w:bidi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本项目不在《产业结构调整指导目录》（2019年本）中限制类、淘汰类项目之列，同时不属于《河北省新增限制和淘汰类产业目录（2015年版）》限制类和淘汰类项目，符合产业政策。</w:t>
            </w:r>
          </w:p>
          <w:p w14:paraId="47ADAF51">
            <w:pPr>
              <w:pStyle w:val="7"/>
              <w:rPr>
                <w:rFonts w:hint="default" w:ascii="Times New Roman" w:hAnsi="Times New Roman" w:eastAsia="宋体" w:cs="Times New Roman"/>
                <w:sz w:val="24"/>
                <w:szCs w:val="24"/>
                <w:lang w:val="en-US" w:eastAsia="zh-CN"/>
              </w:rPr>
            </w:pPr>
            <w:r>
              <w:rPr>
                <w:rFonts w:hint="eastAsia" w:cs="Times New Roman"/>
                <w:sz w:val="24"/>
                <w:szCs w:val="24"/>
                <w:lang w:val="en-US" w:eastAsia="zh-CN"/>
              </w:rPr>
              <w:t>（5）高新区北部拓展区规划环评环境准入条件</w:t>
            </w:r>
          </w:p>
          <w:p w14:paraId="6D1B4EBB">
            <w:pPr>
              <w:pStyle w:val="34"/>
              <w:bidi w:val="0"/>
              <w:rPr>
                <w:rFonts w:hint="default"/>
                <w:lang w:val="zh-CN"/>
              </w:rPr>
            </w:pPr>
            <w:r>
              <w:rPr>
                <w:rFonts w:hint="default"/>
                <w:sz w:val="21"/>
                <w:szCs w:val="21"/>
                <w:lang w:val="zh-CN"/>
              </w:rPr>
              <w:t>表</w:t>
            </w:r>
            <w:r>
              <w:rPr>
                <w:rFonts w:hint="eastAsia"/>
                <w:sz w:val="21"/>
                <w:szCs w:val="21"/>
                <w:lang w:val="en-US" w:eastAsia="zh-CN"/>
              </w:rPr>
              <w:t xml:space="preserve">2  </w:t>
            </w:r>
            <w:r>
              <w:rPr>
                <w:rFonts w:hint="eastAsia"/>
                <w:sz w:val="21"/>
                <w:szCs w:val="21"/>
              </w:rPr>
              <w:t>本项目</w:t>
            </w:r>
            <w:r>
              <w:rPr>
                <w:rFonts w:hint="eastAsia"/>
                <w:b/>
                <w:bCs/>
                <w:sz w:val="21"/>
                <w:szCs w:val="21"/>
                <w:lang w:val="en-US" w:eastAsia="zh-CN"/>
              </w:rPr>
              <w:t>与</w:t>
            </w:r>
            <w:r>
              <w:rPr>
                <w:rFonts w:hint="eastAsia" w:cs="Times New Roman"/>
                <w:sz w:val="21"/>
                <w:szCs w:val="21"/>
                <w:lang w:val="en-US" w:eastAsia="zh-CN"/>
              </w:rPr>
              <w:t>规划环评环境准入条件</w:t>
            </w:r>
            <w:r>
              <w:rPr>
                <w:rFonts w:hint="eastAsia"/>
                <w:sz w:val="21"/>
                <w:szCs w:val="21"/>
              </w:rPr>
              <w:t>符合性分析一览表</w:t>
            </w:r>
          </w:p>
          <w:tbl>
            <w:tblPr>
              <w:tblStyle w:val="21"/>
              <w:tblW w:w="73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12"/>
              <w:gridCol w:w="2202"/>
            </w:tblGrid>
            <w:tr w14:paraId="72A84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2" w:type="dxa"/>
                  <w:tcBorders>
                    <w:tl2br w:val="nil"/>
                    <w:tr2bl w:val="nil"/>
                  </w:tcBorders>
                  <w:noWrap w:val="0"/>
                  <w:vAlign w:val="center"/>
                </w:tcPr>
                <w:p w14:paraId="4FECA368">
                  <w:pPr>
                    <w:pStyle w:val="27"/>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cs="Times New Roman"/>
                      <w:sz w:val="21"/>
                      <w:szCs w:val="21"/>
                      <w:lang w:val="en-US" w:eastAsia="zh-CN"/>
                    </w:rPr>
                    <w:t>规划环评环境准入条件</w:t>
                  </w:r>
                </w:p>
              </w:tc>
              <w:tc>
                <w:tcPr>
                  <w:tcW w:w="2202" w:type="dxa"/>
                  <w:tcBorders>
                    <w:tl2br w:val="nil"/>
                    <w:tr2bl w:val="nil"/>
                  </w:tcBorders>
                  <w:noWrap w:val="0"/>
                  <w:vAlign w:val="center"/>
                </w:tcPr>
                <w:p w14:paraId="25DDAD03">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本项目符合性</w:t>
                  </w:r>
                </w:p>
              </w:tc>
            </w:tr>
            <w:tr w14:paraId="4CF6B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2" w:type="dxa"/>
                  <w:tcBorders>
                    <w:tl2br w:val="nil"/>
                    <w:tr2bl w:val="nil"/>
                  </w:tcBorders>
                  <w:noWrap w:val="0"/>
                  <w:vAlign w:val="center"/>
                </w:tcPr>
                <w:p w14:paraId="54694F5D">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入驻项目以环境友好型为主。建议园区产业项目的引进注重项目自身工艺的先进性、生产的清洁性和产品的可持续性。</w:t>
                  </w:r>
                </w:p>
              </w:tc>
              <w:tc>
                <w:tcPr>
                  <w:tcW w:w="2202" w:type="dxa"/>
                  <w:tcBorders>
                    <w:tl2br w:val="nil"/>
                    <w:tr2bl w:val="nil"/>
                  </w:tcBorders>
                  <w:noWrap w:val="0"/>
                  <w:vAlign w:val="center"/>
                </w:tcPr>
                <w:p w14:paraId="715B1F6A">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本项目原料采用低VOC含量涂料；有机废气治理采用过滤棉+活性炭吸附/脱附+催化燃烧装置进行处理。</w:t>
                  </w:r>
                </w:p>
              </w:tc>
            </w:tr>
            <w:tr w14:paraId="0D5F41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2" w:type="dxa"/>
                  <w:tcBorders>
                    <w:tl2br w:val="nil"/>
                    <w:tr2bl w:val="nil"/>
                  </w:tcBorders>
                  <w:noWrap w:val="0"/>
                  <w:vAlign w:val="center"/>
                </w:tcPr>
                <w:p w14:paraId="3FCF963A">
                  <w:pPr>
                    <w:pStyle w:val="27"/>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sz w:val="21"/>
                      <w:szCs w:val="21"/>
                      <w:lang w:val="en-US" w:eastAsia="zh-CN"/>
                    </w:rPr>
                  </w:pPr>
                  <w:r>
                    <w:rPr>
                      <w:rFonts w:hint="eastAsia"/>
                      <w:sz w:val="21"/>
                      <w:szCs w:val="21"/>
                    </w:rPr>
                    <w:t>限制高耗水企业入园</w:t>
                  </w:r>
                  <w:r>
                    <w:rPr>
                      <w:rFonts w:hint="eastAsia"/>
                      <w:sz w:val="21"/>
                      <w:szCs w:val="21"/>
                      <w:lang w:eastAsia="zh-CN"/>
                    </w:rPr>
                    <w:t>；</w:t>
                  </w:r>
                  <w:r>
                    <w:rPr>
                      <w:rFonts w:hint="eastAsia"/>
                      <w:sz w:val="21"/>
                      <w:szCs w:val="21"/>
                    </w:rPr>
                    <w:t>限制含燃煤锅炉、燃煤炉窑的建设项目</w:t>
                  </w:r>
                  <w:r>
                    <w:rPr>
                      <w:rFonts w:hint="eastAsia"/>
                      <w:sz w:val="21"/>
                      <w:szCs w:val="21"/>
                      <w:lang w:eastAsia="zh-CN"/>
                    </w:rPr>
                    <w:t>；</w:t>
                  </w:r>
                  <w:r>
                    <w:rPr>
                      <w:rFonts w:hint="eastAsia"/>
                      <w:sz w:val="21"/>
                      <w:szCs w:val="21"/>
                    </w:rPr>
                    <w:t>限制建设废水放排量大于400m</w:t>
                  </w:r>
                  <w:r>
                    <w:rPr>
                      <w:rFonts w:hint="eastAsia"/>
                      <w:sz w:val="21"/>
                      <w:szCs w:val="21"/>
                      <w:vertAlign w:val="superscript"/>
                    </w:rPr>
                    <w:t>3</w:t>
                  </w:r>
                  <w:r>
                    <w:rPr>
                      <w:rFonts w:hint="eastAsia"/>
                      <w:sz w:val="21"/>
                      <w:szCs w:val="21"/>
                    </w:rPr>
                    <w:t>/d的有色金属采选、冶炼、含洗毛、染整、脱胶工段的纺织项目</w:t>
                  </w:r>
                  <w:r>
                    <w:rPr>
                      <w:rFonts w:hint="eastAsia"/>
                      <w:sz w:val="21"/>
                      <w:szCs w:val="21"/>
                      <w:lang w:eastAsia="zh-CN"/>
                    </w:rPr>
                    <w:t>；</w:t>
                  </w:r>
                  <w:r>
                    <w:rPr>
                      <w:rFonts w:hint="eastAsia"/>
                      <w:sz w:val="21"/>
                      <w:szCs w:val="21"/>
                    </w:rPr>
                    <w:t>禁止产生恶臭污染物的企业入驻。</w:t>
                  </w:r>
                </w:p>
              </w:tc>
              <w:tc>
                <w:tcPr>
                  <w:tcW w:w="2202" w:type="dxa"/>
                  <w:tcBorders>
                    <w:tl2br w:val="nil"/>
                    <w:tr2bl w:val="nil"/>
                  </w:tcBorders>
                  <w:noWrap w:val="0"/>
                  <w:vAlign w:val="center"/>
                </w:tcPr>
                <w:p w14:paraId="299ABC74">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lang w:val="en-US" w:eastAsia="zh-CN"/>
                    </w:rPr>
                  </w:pPr>
                  <w:r>
                    <w:rPr>
                      <w:rFonts w:hint="eastAsia"/>
                      <w:sz w:val="21"/>
                      <w:szCs w:val="21"/>
                      <w:lang w:val="en-US" w:eastAsia="zh-CN"/>
                    </w:rPr>
                    <w:t>本项目生产不用水，不会产生恶臭。</w:t>
                  </w:r>
                </w:p>
              </w:tc>
            </w:tr>
            <w:tr w14:paraId="65860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2" w:type="dxa"/>
                  <w:tcBorders>
                    <w:tl2br w:val="nil"/>
                    <w:tr2bl w:val="nil"/>
                  </w:tcBorders>
                  <w:noWrap w:val="0"/>
                  <w:vAlign w:val="center"/>
                </w:tcPr>
                <w:p w14:paraId="23008D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sz w:val="21"/>
                      <w:szCs w:val="21"/>
                    </w:rPr>
                    <w:t>园区</w:t>
                  </w:r>
                  <w:r>
                    <w:rPr>
                      <w:sz w:val="21"/>
                      <w:szCs w:val="21"/>
                    </w:rPr>
                    <w:t>规划的行业大类中，</w:t>
                  </w:r>
                  <w:r>
                    <w:rPr>
                      <w:rFonts w:hint="eastAsia"/>
                      <w:sz w:val="21"/>
                      <w:szCs w:val="21"/>
                    </w:rPr>
                    <w:t>重污染</w:t>
                  </w:r>
                  <w:r>
                    <w:rPr>
                      <w:sz w:val="21"/>
                      <w:szCs w:val="21"/>
                    </w:rPr>
                    <w:t>的子类行业不得入园</w:t>
                  </w:r>
                  <w:r>
                    <w:rPr>
                      <w:rFonts w:hint="eastAsia"/>
                      <w:sz w:val="21"/>
                      <w:szCs w:val="21"/>
                      <w:lang w:eastAsia="zh-CN"/>
                    </w:rPr>
                    <w:t>。</w:t>
                  </w:r>
                </w:p>
              </w:tc>
              <w:tc>
                <w:tcPr>
                  <w:tcW w:w="2202" w:type="dxa"/>
                  <w:tcBorders>
                    <w:tl2br w:val="nil"/>
                    <w:tr2bl w:val="nil"/>
                  </w:tcBorders>
                  <w:noWrap w:val="0"/>
                  <w:vAlign w:val="center"/>
                </w:tcPr>
                <w:p w14:paraId="469C6250">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本项目不属于重污染项目。</w:t>
                  </w:r>
                </w:p>
              </w:tc>
            </w:tr>
            <w:tr w14:paraId="6205B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2" w:type="dxa"/>
                  <w:tcBorders>
                    <w:tl2br w:val="nil"/>
                    <w:tr2bl w:val="nil"/>
                  </w:tcBorders>
                  <w:noWrap w:val="0"/>
                  <w:vAlign w:val="center"/>
                </w:tcPr>
                <w:p w14:paraId="11DE09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highlight w:val="yellow"/>
                      <w:lang w:val="en-US" w:eastAsia="zh-CN"/>
                    </w:rPr>
                  </w:pPr>
                  <w:r>
                    <w:rPr>
                      <w:rFonts w:hint="eastAsia"/>
                      <w:sz w:val="21"/>
                      <w:szCs w:val="21"/>
                    </w:rPr>
                    <w:t>入园企业</w:t>
                  </w:r>
                  <w:r>
                    <w:rPr>
                      <w:sz w:val="21"/>
                      <w:szCs w:val="21"/>
                    </w:rPr>
                    <w:t>不得自建锅炉。</w:t>
                  </w:r>
                  <w:r>
                    <w:rPr>
                      <w:rFonts w:hint="eastAsia"/>
                      <w:sz w:val="21"/>
                      <w:szCs w:val="21"/>
                    </w:rPr>
                    <w:t>废水排放</w:t>
                  </w:r>
                  <w:r>
                    <w:rPr>
                      <w:sz w:val="21"/>
                      <w:szCs w:val="21"/>
                    </w:rPr>
                    <w:t>必须达到受纳污水处理厂的水质接管要求。入园企业</w:t>
                  </w:r>
                  <w:r>
                    <w:rPr>
                      <w:rFonts w:hint="eastAsia"/>
                      <w:sz w:val="21"/>
                      <w:szCs w:val="21"/>
                    </w:rPr>
                    <w:t>所有</w:t>
                  </w:r>
                  <w:r>
                    <w:rPr>
                      <w:sz w:val="21"/>
                      <w:szCs w:val="21"/>
                    </w:rPr>
                    <w:t>使用的原辅材料不得含有</w:t>
                  </w:r>
                  <w:r>
                    <w:rPr>
                      <w:rFonts w:hint="eastAsia"/>
                      <w:sz w:val="21"/>
                      <w:szCs w:val="21"/>
                    </w:rPr>
                    <w:t>涉及</w:t>
                  </w:r>
                  <w:r>
                    <w:rPr>
                      <w:sz w:val="21"/>
                      <w:szCs w:val="21"/>
                    </w:rPr>
                    <w:t>重大环境风险源的物质。</w:t>
                  </w:r>
                </w:p>
              </w:tc>
              <w:tc>
                <w:tcPr>
                  <w:tcW w:w="2202" w:type="dxa"/>
                  <w:tcBorders>
                    <w:tl2br w:val="nil"/>
                    <w:tr2bl w:val="nil"/>
                  </w:tcBorders>
                  <w:noWrap w:val="0"/>
                  <w:vAlign w:val="center"/>
                </w:tcPr>
                <w:p w14:paraId="6DC1F2BF">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highlight w:val="yellow"/>
                      <w:lang w:val="en-US" w:eastAsia="zh-CN"/>
                    </w:rPr>
                  </w:pPr>
                  <w:r>
                    <w:rPr>
                      <w:rFonts w:hint="eastAsia"/>
                      <w:sz w:val="21"/>
                      <w:szCs w:val="21"/>
                      <w:highlight w:val="none"/>
                      <w:lang w:val="en-US" w:eastAsia="zh-CN"/>
                    </w:rPr>
                    <w:t>本项目不涉及锅炉建设，使用的原辅料不含有</w:t>
                  </w:r>
                  <w:r>
                    <w:rPr>
                      <w:rFonts w:hint="eastAsia"/>
                      <w:sz w:val="21"/>
                      <w:szCs w:val="21"/>
                    </w:rPr>
                    <w:t>涉及</w:t>
                  </w:r>
                  <w:r>
                    <w:rPr>
                      <w:sz w:val="21"/>
                      <w:szCs w:val="21"/>
                    </w:rPr>
                    <w:t>重大环境风险源的物质。</w:t>
                  </w:r>
                </w:p>
              </w:tc>
            </w:tr>
            <w:tr w14:paraId="4D7F1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2" w:type="dxa"/>
                  <w:tcBorders>
                    <w:tl2br w:val="nil"/>
                    <w:tr2bl w:val="nil"/>
                  </w:tcBorders>
                  <w:noWrap w:val="0"/>
                  <w:vAlign w:val="center"/>
                </w:tcPr>
                <w:p w14:paraId="1B7576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yellow"/>
                    </w:rPr>
                  </w:pPr>
                  <w:r>
                    <w:rPr>
                      <w:sz w:val="21"/>
                      <w:szCs w:val="21"/>
                    </w:rPr>
                    <w:t>入驻项目</w:t>
                  </w:r>
                  <w:r>
                    <w:rPr>
                      <w:rFonts w:hint="eastAsia"/>
                      <w:sz w:val="21"/>
                      <w:szCs w:val="21"/>
                    </w:rPr>
                    <w:t>以布局合理型为</w:t>
                  </w:r>
                  <w:r>
                    <w:rPr>
                      <w:rFonts w:hint="eastAsia"/>
                      <w:sz w:val="21"/>
                      <w:szCs w:val="21"/>
                      <w:lang w:val="en-US" w:eastAsia="zh-CN"/>
                    </w:rPr>
                    <w:t>主</w:t>
                  </w:r>
                  <w:r>
                    <w:rPr>
                      <w:rFonts w:hint="eastAsia"/>
                      <w:sz w:val="21"/>
                      <w:szCs w:val="21"/>
                    </w:rPr>
                    <w:t>。园区产业项目的引进与落地</w:t>
                  </w:r>
                  <w:r>
                    <w:rPr>
                      <w:sz w:val="21"/>
                      <w:szCs w:val="21"/>
                    </w:rPr>
                    <w:t>要符合</w:t>
                  </w:r>
                  <w:r>
                    <w:rPr>
                      <w:rFonts w:hint="eastAsia"/>
                      <w:sz w:val="21"/>
                      <w:szCs w:val="21"/>
                    </w:rPr>
                    <w:t>园区</w:t>
                  </w:r>
                  <w:r>
                    <w:rPr>
                      <w:sz w:val="21"/>
                      <w:szCs w:val="21"/>
                    </w:rPr>
                    <w:t>空间布局规划要求</w:t>
                  </w:r>
                  <w:r>
                    <w:rPr>
                      <w:rFonts w:hint="eastAsia"/>
                      <w:sz w:val="21"/>
                      <w:szCs w:val="21"/>
                    </w:rPr>
                    <w:t>，产业布局合情合理，杜绝工业区与居住区混杂现象的发生。</w:t>
                  </w:r>
                </w:p>
              </w:tc>
              <w:tc>
                <w:tcPr>
                  <w:tcW w:w="2202" w:type="dxa"/>
                  <w:tcBorders>
                    <w:tl2br w:val="nil"/>
                    <w:tr2bl w:val="nil"/>
                  </w:tcBorders>
                  <w:noWrap w:val="0"/>
                  <w:vAlign w:val="center"/>
                </w:tcPr>
                <w:p w14:paraId="16011F99">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highlight w:val="none"/>
                      <w:lang w:val="en-US" w:eastAsia="zh-CN"/>
                    </w:rPr>
                  </w:pPr>
                  <w:r>
                    <w:rPr>
                      <w:rFonts w:hint="eastAsia" w:ascii="Times New Roman" w:hAnsi="Times New Roman" w:eastAsia="宋体" w:cs="Times New Roman"/>
                      <w:color w:val="auto"/>
                      <w:kern w:val="2"/>
                      <w:sz w:val="21"/>
                      <w:szCs w:val="21"/>
                      <w:highlight w:val="none"/>
                      <w:lang w:val="zh-CN" w:eastAsia="zh-CN" w:bidi="ar-SA"/>
                    </w:rPr>
                    <w:t>本项目</w:t>
                  </w:r>
                  <w:r>
                    <w:rPr>
                      <w:rFonts w:hint="eastAsia"/>
                      <w:sz w:val="21"/>
                      <w:szCs w:val="21"/>
                    </w:rPr>
                    <w:t>布局合理</w:t>
                  </w:r>
                  <w:r>
                    <w:rPr>
                      <w:rFonts w:hint="eastAsia"/>
                      <w:sz w:val="21"/>
                      <w:szCs w:val="21"/>
                      <w:lang w:eastAsia="zh-CN"/>
                    </w:rPr>
                    <w:t>，</w:t>
                  </w:r>
                  <w:r>
                    <w:rPr>
                      <w:rFonts w:hint="eastAsia"/>
                      <w:sz w:val="21"/>
                      <w:szCs w:val="21"/>
                      <w:lang w:val="en-US" w:eastAsia="zh-CN"/>
                    </w:rPr>
                    <w:t>生产、办公分区布置</w:t>
                  </w:r>
                  <w:r>
                    <w:rPr>
                      <w:rFonts w:hint="eastAsia" w:ascii="Times New Roman" w:hAnsi="Times New Roman" w:eastAsia="宋体" w:cs="Times New Roman"/>
                      <w:color w:val="auto"/>
                      <w:kern w:val="2"/>
                      <w:sz w:val="21"/>
                      <w:szCs w:val="21"/>
                      <w:highlight w:val="none"/>
                      <w:lang w:val="zh-CN" w:eastAsia="zh-CN" w:bidi="ar-SA"/>
                    </w:rPr>
                    <w:t>。</w:t>
                  </w:r>
                </w:p>
              </w:tc>
            </w:tr>
            <w:tr w14:paraId="7D2CB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2" w:type="dxa"/>
                  <w:tcBorders>
                    <w:tl2br w:val="nil"/>
                    <w:tr2bl w:val="nil"/>
                  </w:tcBorders>
                  <w:noWrap w:val="0"/>
                  <w:vAlign w:val="center"/>
                </w:tcPr>
                <w:p w14:paraId="15A904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yellow"/>
                    </w:rPr>
                  </w:pPr>
                  <w:r>
                    <w:rPr>
                      <w:rFonts w:hint="eastAsia"/>
                      <w:kern w:val="0"/>
                      <w:sz w:val="21"/>
                      <w:szCs w:val="21"/>
                    </w:rPr>
                    <w:t>禁止建设城市垃圾、粪便和易溶、有毒有害废弃物的存放场站，因特殊需要设立转运站的，必须经有关部门批准，并采取防渗漏措施。</w:t>
                  </w:r>
                </w:p>
              </w:tc>
              <w:tc>
                <w:tcPr>
                  <w:tcW w:w="2202" w:type="dxa"/>
                  <w:tcBorders>
                    <w:tl2br w:val="nil"/>
                    <w:tr2bl w:val="nil"/>
                  </w:tcBorders>
                  <w:noWrap w:val="0"/>
                  <w:vAlign w:val="center"/>
                </w:tcPr>
                <w:p w14:paraId="32CAE376">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highlight w:val="none"/>
                      <w:lang w:val="en-US" w:eastAsia="zh-CN"/>
                    </w:rPr>
                  </w:pPr>
                  <w:r>
                    <w:rPr>
                      <w:rFonts w:hint="eastAsia"/>
                      <w:sz w:val="21"/>
                      <w:szCs w:val="21"/>
                      <w:highlight w:val="none"/>
                      <w:lang w:val="en-US" w:eastAsia="zh-CN"/>
                    </w:rPr>
                    <w:t>本项目不属于上述建设项目。</w:t>
                  </w:r>
                </w:p>
              </w:tc>
            </w:tr>
            <w:tr w14:paraId="547014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12" w:type="dxa"/>
                  <w:tcBorders>
                    <w:tl2br w:val="nil"/>
                    <w:tr2bl w:val="nil"/>
                  </w:tcBorders>
                  <w:noWrap w:val="0"/>
                  <w:vAlign w:val="center"/>
                </w:tcPr>
                <w:p w14:paraId="1859DD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highlight w:val="yellow"/>
                    </w:rPr>
                  </w:pPr>
                  <w:r>
                    <w:rPr>
                      <w:rFonts w:hint="eastAsia"/>
                      <w:kern w:val="0"/>
                      <w:sz w:val="21"/>
                      <w:szCs w:val="21"/>
                    </w:rPr>
                    <w:t>为确保饮用水安全，</w:t>
                  </w:r>
                  <w:r>
                    <w:rPr>
                      <w:rFonts w:hint="eastAsia"/>
                      <w:sz w:val="21"/>
                      <w:szCs w:val="21"/>
                    </w:rPr>
                    <w:t>规划区与龙王庙地下水源准保护区重叠区域，不设置一类工业用地与二类工业用地，禁止工业类项目入驻。</w:t>
                  </w:r>
                </w:p>
              </w:tc>
              <w:tc>
                <w:tcPr>
                  <w:tcW w:w="2202" w:type="dxa"/>
                  <w:tcBorders>
                    <w:tl2br w:val="nil"/>
                    <w:tr2bl w:val="nil"/>
                  </w:tcBorders>
                  <w:noWrap w:val="0"/>
                  <w:vAlign w:val="center"/>
                </w:tcPr>
                <w:p w14:paraId="7B0F1964">
                  <w:pPr>
                    <w:pStyle w:val="27"/>
                    <w:keepNext w:val="0"/>
                    <w:keepLines w:val="0"/>
                    <w:pageBreakBefore w:val="0"/>
                    <w:widowControl w:val="0"/>
                    <w:kinsoku/>
                    <w:wordWrap/>
                    <w:overflowPunct/>
                    <w:topLinePunct w:val="0"/>
                    <w:autoSpaceDE/>
                    <w:autoSpaceDN/>
                    <w:bidi w:val="0"/>
                    <w:adjustRightInd/>
                    <w:snapToGrid/>
                    <w:jc w:val="center"/>
                    <w:textAlignment w:val="auto"/>
                    <w:rPr>
                      <w:rFonts w:hint="default" w:eastAsia="宋体"/>
                      <w:sz w:val="21"/>
                      <w:szCs w:val="21"/>
                      <w:highlight w:val="none"/>
                      <w:lang w:val="en-US" w:eastAsia="zh-CN"/>
                    </w:rPr>
                  </w:pPr>
                  <w:r>
                    <w:rPr>
                      <w:rFonts w:hint="eastAsia"/>
                      <w:sz w:val="21"/>
                      <w:szCs w:val="21"/>
                      <w:highlight w:val="none"/>
                      <w:lang w:val="en-US" w:eastAsia="zh-CN"/>
                    </w:rPr>
                    <w:t>本项目不在上述区域范围。</w:t>
                  </w:r>
                </w:p>
              </w:tc>
            </w:tr>
          </w:tbl>
          <w:p w14:paraId="398AD32A">
            <w:pPr>
              <w:pStyle w:val="7"/>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综上，本项目满足《关于以改善环境质量为核心加强环境影响评价管理的通知》（环环评[2016]150号）</w:t>
            </w:r>
            <w:r>
              <w:rPr>
                <w:rFonts w:hint="eastAsia" w:ascii="宋体" w:hAnsi="宋体" w:eastAsia="宋体" w:cs="宋体"/>
                <w:sz w:val="24"/>
                <w:szCs w:val="24"/>
                <w:lang w:val="en-US" w:eastAsia="zh-CN"/>
              </w:rPr>
              <w:t>“三线一单”相关</w:t>
            </w:r>
            <w:r>
              <w:rPr>
                <w:rFonts w:hint="default" w:ascii="Times New Roman" w:hAnsi="Times New Roman" w:eastAsia="宋体" w:cs="Times New Roman"/>
                <w:sz w:val="24"/>
                <w:szCs w:val="24"/>
                <w:lang w:val="en-US" w:eastAsia="zh-CN"/>
              </w:rPr>
              <w:t>要求。</w:t>
            </w:r>
          </w:p>
          <w:p w14:paraId="12BDD22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color w:val="auto"/>
                <w:sz w:val="24"/>
                <w:szCs w:val="24"/>
              </w:rPr>
            </w:pPr>
            <w:r>
              <w:rPr>
                <w:rFonts w:hint="eastAsia"/>
                <w:b/>
                <w:bCs/>
                <w:color w:val="auto"/>
                <w:sz w:val="24"/>
                <w:szCs w:val="24"/>
                <w:lang w:val="en-US" w:eastAsia="zh-CN"/>
              </w:rPr>
              <w:t>2、与唐山市“</w:t>
            </w:r>
            <w:r>
              <w:rPr>
                <w:rFonts w:hint="default"/>
                <w:b/>
                <w:bCs/>
                <w:color w:val="auto"/>
                <w:sz w:val="24"/>
                <w:szCs w:val="24"/>
              </w:rPr>
              <w:t>三线一单</w:t>
            </w:r>
            <w:r>
              <w:rPr>
                <w:rFonts w:hint="eastAsia"/>
                <w:b/>
                <w:bCs/>
                <w:color w:val="auto"/>
                <w:sz w:val="24"/>
                <w:szCs w:val="24"/>
                <w:lang w:val="en-US" w:eastAsia="zh-CN"/>
              </w:rPr>
              <w:t>”</w:t>
            </w:r>
            <w:r>
              <w:rPr>
                <w:rFonts w:hint="default"/>
                <w:b/>
                <w:bCs/>
                <w:color w:val="auto"/>
                <w:sz w:val="24"/>
                <w:szCs w:val="24"/>
              </w:rPr>
              <w:t>相符性分析</w:t>
            </w:r>
          </w:p>
          <w:p w14:paraId="0E05034A">
            <w:pPr>
              <w:bidi w:val="0"/>
              <w:rPr>
                <w:rFonts w:hint="default"/>
              </w:rPr>
            </w:pPr>
            <w:r>
              <w:rPr>
                <w:rFonts w:hint="eastAsia"/>
                <w:lang w:val="en-US" w:eastAsia="zh-CN"/>
              </w:rPr>
              <w:t>根据《唐山市人民政府关于实施“三线一单”生态环境分区管控的意见》（唐政字[2021]48号），与本项目对比分析如下：</w:t>
            </w:r>
          </w:p>
          <w:p w14:paraId="76885500">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outlineLvl w:val="9"/>
              <w:rPr>
                <w:rFonts w:hint="eastAsia"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rPr>
              <w:t>表</w:t>
            </w:r>
            <w:r>
              <w:rPr>
                <w:rFonts w:hint="eastAsia" w:cs="Times New Roman"/>
                <w:b/>
                <w:bCs/>
                <w:color w:val="auto"/>
                <w:sz w:val="21"/>
                <w:szCs w:val="21"/>
                <w:lang w:val="en-US" w:eastAsia="zh-CN"/>
              </w:rPr>
              <w:t>3</w:t>
            </w:r>
            <w:r>
              <w:rPr>
                <w:rFonts w:hint="eastAsia"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与“三线一单”相符性分析</w:t>
            </w:r>
            <w:r>
              <w:rPr>
                <w:rFonts w:hint="eastAsia" w:cs="Times New Roman"/>
                <w:b/>
                <w:bCs/>
                <w:color w:val="auto"/>
                <w:sz w:val="21"/>
                <w:szCs w:val="21"/>
                <w:lang w:val="en-US" w:eastAsia="zh-CN"/>
              </w:rPr>
              <w:t>一览表</w:t>
            </w:r>
          </w:p>
          <w:tbl>
            <w:tblPr>
              <w:tblStyle w:val="20"/>
              <w:tblW w:w="73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8"/>
              <w:gridCol w:w="649"/>
              <w:gridCol w:w="135"/>
              <w:gridCol w:w="649"/>
              <w:gridCol w:w="2974"/>
              <w:gridCol w:w="1594"/>
              <w:gridCol w:w="732"/>
            </w:tblGrid>
            <w:tr w14:paraId="67879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8" w:type="dxa"/>
                  <w:tcBorders>
                    <w:tl2br w:val="nil"/>
                    <w:tr2bl w:val="nil"/>
                  </w:tcBorders>
                  <w:noWrap w:val="0"/>
                  <w:vAlign w:val="center"/>
                </w:tcPr>
                <w:p w14:paraId="5415B18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rPr>
                  </w:pPr>
                  <w:r>
                    <w:rPr>
                      <w:rFonts w:hint="eastAsia"/>
                      <w:color w:val="auto"/>
                      <w:sz w:val="21"/>
                      <w:szCs w:val="21"/>
                    </w:rPr>
                    <w:t>三线一单</w:t>
                  </w:r>
                </w:p>
              </w:tc>
              <w:tc>
                <w:tcPr>
                  <w:tcW w:w="4407" w:type="dxa"/>
                  <w:gridSpan w:val="4"/>
                  <w:tcBorders>
                    <w:tl2br w:val="nil"/>
                    <w:tr2bl w:val="nil"/>
                  </w:tcBorders>
                  <w:noWrap w:val="0"/>
                  <w:vAlign w:val="center"/>
                </w:tcPr>
                <w:p w14:paraId="266315B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rPr>
                  </w:pPr>
                  <w:r>
                    <w:rPr>
                      <w:rFonts w:hint="eastAsia"/>
                      <w:color w:val="auto"/>
                      <w:sz w:val="21"/>
                      <w:szCs w:val="21"/>
                      <w:lang w:val="en-US" w:eastAsia="zh-CN"/>
                    </w:rPr>
                    <w:t>《唐山市人民政府关于实施“三线一单”生态环境分区管控的意见》（唐政字[2021]48号）要求</w:t>
                  </w:r>
                </w:p>
              </w:tc>
              <w:tc>
                <w:tcPr>
                  <w:tcW w:w="1594" w:type="dxa"/>
                  <w:tcBorders>
                    <w:tl2br w:val="nil"/>
                    <w:tr2bl w:val="nil"/>
                  </w:tcBorders>
                  <w:noWrap w:val="0"/>
                  <w:vAlign w:val="center"/>
                </w:tcPr>
                <w:p w14:paraId="4E3CAC5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rPr>
                  </w:pPr>
                  <w:r>
                    <w:rPr>
                      <w:rFonts w:hint="eastAsia"/>
                      <w:color w:val="auto"/>
                      <w:sz w:val="21"/>
                      <w:szCs w:val="21"/>
                    </w:rPr>
                    <w:t>本项目建设情况</w:t>
                  </w:r>
                </w:p>
              </w:tc>
              <w:tc>
                <w:tcPr>
                  <w:tcW w:w="732" w:type="dxa"/>
                  <w:tcBorders>
                    <w:tl2br w:val="nil"/>
                    <w:tr2bl w:val="nil"/>
                  </w:tcBorders>
                  <w:noWrap w:val="0"/>
                  <w:vAlign w:val="center"/>
                </w:tcPr>
                <w:p w14:paraId="33FF364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符合性分析</w:t>
                  </w:r>
                </w:p>
              </w:tc>
            </w:tr>
            <w:tr w14:paraId="3348D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8" w:type="dxa"/>
                  <w:tcBorders>
                    <w:tl2br w:val="nil"/>
                    <w:tr2bl w:val="nil"/>
                  </w:tcBorders>
                  <w:noWrap w:val="0"/>
                  <w:vAlign w:val="center"/>
                </w:tcPr>
                <w:p w14:paraId="3BBC2BA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重点管控单元</w:t>
                  </w:r>
                </w:p>
              </w:tc>
              <w:tc>
                <w:tcPr>
                  <w:tcW w:w="4407" w:type="dxa"/>
                  <w:gridSpan w:val="4"/>
                  <w:tcBorders>
                    <w:tl2br w:val="nil"/>
                    <w:tr2bl w:val="nil"/>
                  </w:tcBorders>
                  <w:noWrap w:val="0"/>
                  <w:vAlign w:val="center"/>
                </w:tcPr>
                <w:p w14:paraId="22402F5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工业园区（工业聚集区）重点管控单元。严格项目准入，优化产业布局；完善园区设施建设，推动设施提标改造；实施污染物总量控制，落实排污许可证制度；强化资源利用效率和地下水开采管控。</w:t>
                  </w:r>
                </w:p>
              </w:tc>
              <w:tc>
                <w:tcPr>
                  <w:tcW w:w="1594" w:type="dxa"/>
                  <w:tcBorders>
                    <w:tl2br w:val="nil"/>
                    <w:tr2bl w:val="nil"/>
                  </w:tcBorders>
                  <w:noWrap w:val="0"/>
                  <w:vAlign w:val="center"/>
                </w:tcPr>
                <w:p w14:paraId="7ADF341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本项目符合园区准入要求；项目污染物严格落实总量控制要求；项目建成后将按照相关要求申请排污许可。</w:t>
                  </w:r>
                </w:p>
              </w:tc>
              <w:tc>
                <w:tcPr>
                  <w:tcW w:w="732" w:type="dxa"/>
                  <w:tcBorders>
                    <w:tl2br w:val="nil"/>
                    <w:tr2bl w:val="nil"/>
                  </w:tcBorders>
                  <w:noWrap w:val="0"/>
                  <w:vAlign w:val="center"/>
                </w:tcPr>
                <w:p w14:paraId="695003F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0000FF"/>
                      <w:sz w:val="21"/>
                      <w:szCs w:val="21"/>
                      <w:lang w:val="en-US" w:eastAsia="zh-CN"/>
                    </w:rPr>
                  </w:pPr>
                  <w:r>
                    <w:rPr>
                      <w:rFonts w:hint="eastAsia"/>
                      <w:color w:val="auto"/>
                      <w:sz w:val="21"/>
                      <w:szCs w:val="21"/>
                      <w:lang w:val="en-US" w:eastAsia="zh-CN"/>
                    </w:rPr>
                    <w:t>符合</w:t>
                  </w:r>
                </w:p>
              </w:tc>
            </w:tr>
            <w:tr w14:paraId="0EC1C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8" w:type="dxa"/>
                  <w:vMerge w:val="restart"/>
                  <w:tcBorders>
                    <w:tl2br w:val="nil"/>
                    <w:tr2bl w:val="nil"/>
                  </w:tcBorders>
                  <w:noWrap w:val="0"/>
                  <w:vAlign w:val="center"/>
                </w:tcPr>
                <w:p w14:paraId="1F43C8D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主要目标</w:t>
                  </w:r>
                </w:p>
              </w:tc>
              <w:tc>
                <w:tcPr>
                  <w:tcW w:w="784" w:type="dxa"/>
                  <w:gridSpan w:val="2"/>
                  <w:tcBorders>
                    <w:tl2br w:val="nil"/>
                    <w:tr2bl w:val="nil"/>
                  </w:tcBorders>
                  <w:noWrap w:val="0"/>
                  <w:vAlign w:val="center"/>
                </w:tcPr>
                <w:p w14:paraId="1668DFD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生态保护红线</w:t>
                  </w:r>
                </w:p>
              </w:tc>
              <w:tc>
                <w:tcPr>
                  <w:tcW w:w="3623" w:type="dxa"/>
                  <w:gridSpan w:val="2"/>
                  <w:tcBorders>
                    <w:tl2br w:val="nil"/>
                    <w:tr2bl w:val="nil"/>
                  </w:tcBorders>
                  <w:noWrap w:val="0"/>
                  <w:vAlign w:val="center"/>
                </w:tcPr>
                <w:p w14:paraId="1AFEC12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保证生态功能的系统性和完整性，做到应划尽划、应保尽保。重要生态功能区域生态功能不降低、面积不减少、性质不改变。</w:t>
                  </w:r>
                </w:p>
              </w:tc>
              <w:tc>
                <w:tcPr>
                  <w:tcW w:w="1594" w:type="dxa"/>
                  <w:tcBorders>
                    <w:tl2br w:val="nil"/>
                    <w:tr2bl w:val="nil"/>
                  </w:tcBorders>
                  <w:noWrap w:val="0"/>
                  <w:vAlign w:val="center"/>
                </w:tcPr>
                <w:p w14:paraId="3AD4506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本项目不在生态保护红线内。</w:t>
                  </w:r>
                </w:p>
              </w:tc>
              <w:tc>
                <w:tcPr>
                  <w:tcW w:w="732" w:type="dxa"/>
                  <w:tcBorders>
                    <w:tl2br w:val="nil"/>
                    <w:tr2bl w:val="nil"/>
                  </w:tcBorders>
                  <w:noWrap w:val="0"/>
                  <w:vAlign w:val="center"/>
                </w:tcPr>
                <w:p w14:paraId="3873AC9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eastAsia="宋体"/>
                      <w:color w:val="auto"/>
                      <w:sz w:val="21"/>
                      <w:szCs w:val="21"/>
                      <w:lang w:val="en-US" w:eastAsia="zh-CN"/>
                    </w:rPr>
                  </w:pPr>
                  <w:r>
                    <w:rPr>
                      <w:rFonts w:hint="eastAsia"/>
                      <w:color w:val="auto"/>
                      <w:sz w:val="21"/>
                      <w:szCs w:val="21"/>
                      <w:lang w:val="en-US" w:eastAsia="zh-CN"/>
                    </w:rPr>
                    <w:t>符合</w:t>
                  </w:r>
                </w:p>
              </w:tc>
            </w:tr>
            <w:tr w14:paraId="068ED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8" w:type="dxa"/>
                  <w:vMerge w:val="continue"/>
                  <w:tcBorders>
                    <w:tl2br w:val="nil"/>
                    <w:tr2bl w:val="nil"/>
                  </w:tcBorders>
                  <w:noWrap w:val="0"/>
                  <w:vAlign w:val="center"/>
                </w:tcPr>
                <w:p w14:paraId="36AFB80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784" w:type="dxa"/>
                  <w:gridSpan w:val="2"/>
                  <w:tcBorders>
                    <w:tl2br w:val="nil"/>
                    <w:tr2bl w:val="nil"/>
                  </w:tcBorders>
                  <w:noWrap w:val="0"/>
                  <w:vAlign w:val="center"/>
                </w:tcPr>
                <w:p w14:paraId="56B3492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环境质量底线</w:t>
                  </w:r>
                </w:p>
              </w:tc>
              <w:tc>
                <w:tcPr>
                  <w:tcW w:w="3623" w:type="dxa"/>
                  <w:gridSpan w:val="2"/>
                  <w:tcBorders>
                    <w:tl2br w:val="nil"/>
                    <w:tr2bl w:val="nil"/>
                  </w:tcBorders>
                  <w:noWrap w:val="0"/>
                  <w:vAlign w:val="center"/>
                </w:tcPr>
                <w:p w14:paraId="2EC8CFE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到2025年，地表水国省考断面优良（Ⅲ类以上）比例、近岸海域优良海水比例稳定达标；PM</w:t>
                  </w:r>
                  <w:r>
                    <w:rPr>
                      <w:rFonts w:hint="eastAsia"/>
                      <w:color w:val="auto"/>
                      <w:sz w:val="21"/>
                      <w:szCs w:val="21"/>
                      <w:vertAlign w:val="subscript"/>
                      <w:lang w:val="en-US" w:eastAsia="zh-CN"/>
                    </w:rPr>
                    <w:t>2.5</w:t>
                  </w:r>
                  <w:r>
                    <w:rPr>
                      <w:rFonts w:hint="eastAsia"/>
                      <w:color w:val="auto"/>
                      <w:sz w:val="21"/>
                      <w:szCs w:val="21"/>
                      <w:lang w:val="en-US" w:eastAsia="zh-CN"/>
                    </w:rPr>
                    <w:t>年均浓度持续降低、优良天数比例稳步提升；受污染耕地安全利用率、污染地块安全利用率进一步提升。</w:t>
                  </w:r>
                </w:p>
              </w:tc>
              <w:tc>
                <w:tcPr>
                  <w:tcW w:w="1594" w:type="dxa"/>
                  <w:tcBorders>
                    <w:tl2br w:val="nil"/>
                    <w:tr2bl w:val="nil"/>
                  </w:tcBorders>
                  <w:noWrap w:val="0"/>
                  <w:vAlign w:val="center"/>
                </w:tcPr>
                <w:p w14:paraId="48A4878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本项目颗粒物采用袋式除尘器进行处理，有机废气经过滤棉+活性炭吸附/脱附+催化燃烧装置处理后达标排放，生产过程不用水，生活污水泼洒地面抑尘。</w:t>
                  </w:r>
                </w:p>
              </w:tc>
              <w:tc>
                <w:tcPr>
                  <w:tcW w:w="732" w:type="dxa"/>
                  <w:tcBorders>
                    <w:tl2br w:val="nil"/>
                    <w:tr2bl w:val="nil"/>
                  </w:tcBorders>
                  <w:noWrap w:val="0"/>
                  <w:vAlign w:val="center"/>
                </w:tcPr>
                <w:p w14:paraId="7BD122C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eastAsia="宋体"/>
                      <w:color w:val="auto"/>
                      <w:sz w:val="21"/>
                      <w:szCs w:val="21"/>
                      <w:lang w:val="en-US" w:eastAsia="zh-CN"/>
                    </w:rPr>
                  </w:pPr>
                  <w:r>
                    <w:rPr>
                      <w:rFonts w:hint="eastAsia"/>
                      <w:color w:val="auto"/>
                      <w:sz w:val="21"/>
                      <w:szCs w:val="21"/>
                      <w:lang w:val="en-US" w:eastAsia="zh-CN"/>
                    </w:rPr>
                    <w:t>符合</w:t>
                  </w:r>
                </w:p>
              </w:tc>
            </w:tr>
            <w:tr w14:paraId="6152E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8" w:type="dxa"/>
                  <w:vMerge w:val="continue"/>
                  <w:tcBorders>
                    <w:tl2br w:val="nil"/>
                    <w:tr2bl w:val="nil"/>
                  </w:tcBorders>
                  <w:noWrap w:val="0"/>
                  <w:vAlign w:val="center"/>
                </w:tcPr>
                <w:p w14:paraId="625EF76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784" w:type="dxa"/>
                  <w:gridSpan w:val="2"/>
                  <w:tcBorders>
                    <w:tl2br w:val="nil"/>
                    <w:tr2bl w:val="nil"/>
                  </w:tcBorders>
                  <w:noWrap w:val="0"/>
                  <w:vAlign w:val="center"/>
                </w:tcPr>
                <w:p w14:paraId="7811476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资源利用上线</w:t>
                  </w:r>
                </w:p>
              </w:tc>
              <w:tc>
                <w:tcPr>
                  <w:tcW w:w="3623" w:type="dxa"/>
                  <w:gridSpan w:val="2"/>
                  <w:tcBorders>
                    <w:tl2br w:val="nil"/>
                    <w:tr2bl w:val="nil"/>
                  </w:tcBorders>
                  <w:noWrap w:val="0"/>
                  <w:vAlign w:val="center"/>
                </w:tcPr>
                <w:p w14:paraId="348E87E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以保障生态安全、改善环境质量为核心，合理确定全市资源利用上线目标，实现水资源与水环境、能源与大气环境、岸线与海洋环境的协同管控。到2035年，广泛形成绿色生产生活方式，生态环境根本好转，建成天蓝、水碧、土净的美丽唐山。</w:t>
                  </w:r>
                </w:p>
              </w:tc>
              <w:tc>
                <w:tcPr>
                  <w:tcW w:w="1594" w:type="dxa"/>
                  <w:tcBorders>
                    <w:tl2br w:val="nil"/>
                    <w:tr2bl w:val="nil"/>
                  </w:tcBorders>
                  <w:noWrap w:val="0"/>
                  <w:vAlign w:val="center"/>
                </w:tcPr>
                <w:p w14:paraId="14D5EEE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本项目用电由市政统一供应，用水由厂区内原有地下水井提供，能源利用量较小，符合利用上线要求。</w:t>
                  </w:r>
                </w:p>
              </w:tc>
              <w:tc>
                <w:tcPr>
                  <w:tcW w:w="732" w:type="dxa"/>
                  <w:tcBorders>
                    <w:tl2br w:val="nil"/>
                    <w:tr2bl w:val="nil"/>
                  </w:tcBorders>
                  <w:noWrap w:val="0"/>
                  <w:vAlign w:val="center"/>
                </w:tcPr>
                <w:p w14:paraId="50C5EA9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eastAsia="宋体"/>
                      <w:color w:val="auto"/>
                      <w:sz w:val="21"/>
                      <w:szCs w:val="21"/>
                      <w:lang w:val="en-US" w:eastAsia="zh-CN"/>
                    </w:rPr>
                  </w:pPr>
                  <w:r>
                    <w:rPr>
                      <w:rFonts w:hint="eastAsia"/>
                      <w:color w:val="auto"/>
                      <w:sz w:val="21"/>
                      <w:szCs w:val="21"/>
                      <w:lang w:val="en-US" w:eastAsia="zh-CN"/>
                    </w:rPr>
                    <w:t>符合</w:t>
                  </w:r>
                </w:p>
              </w:tc>
            </w:tr>
            <w:tr w14:paraId="74F42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dxa"/>
                  <w:tcBorders>
                    <w:tl2br w:val="nil"/>
                    <w:tr2bl w:val="nil"/>
                  </w:tcBorders>
                  <w:noWrap w:val="0"/>
                  <w:vAlign w:val="center"/>
                </w:tcPr>
                <w:p w14:paraId="11E05AE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生态保护红线</w:t>
                  </w:r>
                </w:p>
              </w:tc>
              <w:tc>
                <w:tcPr>
                  <w:tcW w:w="4407" w:type="dxa"/>
                  <w:gridSpan w:val="4"/>
                  <w:tcBorders>
                    <w:tl2br w:val="nil"/>
                    <w:tr2bl w:val="nil"/>
                  </w:tcBorders>
                  <w:noWrap w:val="0"/>
                  <w:vAlign w:val="center"/>
                </w:tcPr>
                <w:p w14:paraId="6F78951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rPr>
                  </w:pPr>
                  <w:r>
                    <w:rPr>
                      <w:rFonts w:hint="eastAsia"/>
                      <w:color w:val="auto"/>
                      <w:sz w:val="21"/>
                      <w:szCs w:val="21"/>
                    </w:rPr>
                    <w:t>生态保护</w:t>
                  </w:r>
                  <w:r>
                    <w:rPr>
                      <w:rFonts w:hint="eastAsia"/>
                      <w:color w:val="auto"/>
                      <w:sz w:val="21"/>
                      <w:szCs w:val="21"/>
                      <w:lang w:val="en-US" w:eastAsia="zh-CN"/>
                    </w:rPr>
                    <w:t>红线区、自然保护区、风景名胜区、森林公园、湿地公园、地质公园、水产种质资源保护区、自然文化遗产、湿地空间、饮用水地表水源保护区、饮用水地下水源保护区空间布局约束，制定了上述区域的禁止类管控要求、限制类管控要求和允许类管控要求。</w:t>
                  </w:r>
                </w:p>
              </w:tc>
              <w:tc>
                <w:tcPr>
                  <w:tcW w:w="1594" w:type="dxa"/>
                  <w:tcBorders>
                    <w:tl2br w:val="nil"/>
                    <w:tr2bl w:val="nil"/>
                  </w:tcBorders>
                  <w:noWrap w:val="0"/>
                  <w:vAlign w:val="center"/>
                </w:tcPr>
                <w:p w14:paraId="0D2AB6D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eastAsia="宋体"/>
                      <w:color w:val="auto"/>
                      <w:sz w:val="21"/>
                      <w:szCs w:val="21"/>
                      <w:lang w:val="en-US" w:eastAsia="zh-CN"/>
                    </w:rPr>
                  </w:pPr>
                  <w:r>
                    <w:rPr>
                      <w:rFonts w:hint="eastAsia"/>
                      <w:color w:val="auto"/>
                      <w:sz w:val="21"/>
                      <w:szCs w:val="21"/>
                      <w:lang w:val="en-US" w:eastAsia="zh-CN"/>
                    </w:rPr>
                    <w:t>本项目不在上述区域。</w:t>
                  </w:r>
                </w:p>
              </w:tc>
              <w:tc>
                <w:tcPr>
                  <w:tcW w:w="732" w:type="dxa"/>
                  <w:tcBorders>
                    <w:tl2br w:val="nil"/>
                    <w:tr2bl w:val="nil"/>
                  </w:tcBorders>
                  <w:noWrap w:val="0"/>
                  <w:vAlign w:val="center"/>
                </w:tcPr>
                <w:p w14:paraId="45501FF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eastAsia="宋体"/>
                      <w:color w:val="auto"/>
                      <w:sz w:val="21"/>
                      <w:szCs w:val="21"/>
                      <w:lang w:eastAsia="zh-CN"/>
                    </w:rPr>
                  </w:pPr>
                  <w:r>
                    <w:rPr>
                      <w:rFonts w:hint="eastAsia"/>
                      <w:color w:val="auto"/>
                      <w:sz w:val="21"/>
                      <w:szCs w:val="21"/>
                      <w:lang w:val="en-US" w:eastAsia="zh-CN"/>
                    </w:rPr>
                    <w:t>符合</w:t>
                  </w:r>
                </w:p>
              </w:tc>
            </w:tr>
            <w:tr w14:paraId="0BCA3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dxa"/>
                  <w:vMerge w:val="restart"/>
                  <w:tcBorders>
                    <w:tl2br w:val="nil"/>
                    <w:tr2bl w:val="nil"/>
                  </w:tcBorders>
                  <w:noWrap w:val="0"/>
                  <w:vAlign w:val="center"/>
                </w:tcPr>
                <w:p w14:paraId="635308D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陆域环境管控单元生态环境准入清单</w:t>
                  </w:r>
                </w:p>
              </w:tc>
              <w:tc>
                <w:tcPr>
                  <w:tcW w:w="649" w:type="dxa"/>
                  <w:vMerge w:val="restart"/>
                  <w:tcBorders>
                    <w:tl2br w:val="nil"/>
                    <w:tr2bl w:val="nil"/>
                  </w:tcBorders>
                  <w:noWrap w:val="0"/>
                  <w:vAlign w:val="center"/>
                </w:tcPr>
                <w:p w14:paraId="4C36858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高新区街道、庆北街道</w:t>
                  </w:r>
                </w:p>
              </w:tc>
              <w:tc>
                <w:tcPr>
                  <w:tcW w:w="784" w:type="dxa"/>
                  <w:gridSpan w:val="2"/>
                  <w:tcBorders>
                    <w:tl2br w:val="nil"/>
                    <w:tr2bl w:val="nil"/>
                  </w:tcBorders>
                  <w:noWrap w:val="0"/>
                  <w:vAlign w:val="center"/>
                </w:tcPr>
                <w:p w14:paraId="274E9C4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空间布局约束</w:t>
                  </w:r>
                </w:p>
              </w:tc>
              <w:tc>
                <w:tcPr>
                  <w:tcW w:w="2974" w:type="dxa"/>
                  <w:tcBorders>
                    <w:tl2br w:val="nil"/>
                    <w:tr2bl w:val="nil"/>
                  </w:tcBorders>
                  <w:noWrap w:val="0"/>
                  <w:vAlign w:val="center"/>
                </w:tcPr>
                <w:p w14:paraId="32DB090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center"/>
                    <w:outlineLvl w:val="9"/>
                    <w:rPr>
                      <w:rFonts w:hint="eastAsia"/>
                      <w:color w:val="auto"/>
                      <w:sz w:val="21"/>
                      <w:szCs w:val="21"/>
                      <w:lang w:val="en-US" w:eastAsia="zh-CN"/>
                    </w:rPr>
                  </w:pPr>
                  <w:r>
                    <w:rPr>
                      <w:rFonts w:hint="eastAsia"/>
                      <w:color w:val="auto"/>
                      <w:sz w:val="21"/>
                      <w:szCs w:val="21"/>
                      <w:lang w:val="en-US" w:eastAsia="zh-CN"/>
                    </w:rPr>
                    <w:t>1、开发区内北郊饮用水水源地二级保护区执行全市生态环境空间总体管控要求的各类保护地中饮用水水源地的管控要求。</w:t>
                  </w:r>
                </w:p>
                <w:p w14:paraId="528AA44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center"/>
                    <w:outlineLvl w:val="9"/>
                    <w:rPr>
                      <w:rFonts w:hint="eastAsia"/>
                      <w:color w:val="auto"/>
                      <w:sz w:val="21"/>
                      <w:szCs w:val="21"/>
                      <w:lang w:val="en-US" w:eastAsia="zh-CN"/>
                    </w:rPr>
                  </w:pPr>
                  <w:r>
                    <w:rPr>
                      <w:rFonts w:hint="eastAsia"/>
                      <w:color w:val="auto"/>
                      <w:sz w:val="21"/>
                      <w:szCs w:val="21"/>
                      <w:lang w:val="en-US" w:eastAsia="zh-CN"/>
                    </w:rPr>
                    <w:t>2、市核心区禁止布局废品收购站，经营性印刷、铁艺加工等涉VOC</w:t>
                  </w:r>
                  <w:r>
                    <w:rPr>
                      <w:rFonts w:hint="eastAsia"/>
                      <w:color w:val="auto"/>
                      <w:sz w:val="21"/>
                      <w:szCs w:val="21"/>
                      <w:vertAlign w:val="subscript"/>
                      <w:lang w:val="en-US" w:eastAsia="zh-CN"/>
                    </w:rPr>
                    <w:t>S</w:t>
                  </w:r>
                  <w:r>
                    <w:rPr>
                      <w:rFonts w:hint="eastAsia"/>
                      <w:color w:val="auto"/>
                      <w:sz w:val="21"/>
                      <w:szCs w:val="21"/>
                      <w:lang w:val="en-US" w:eastAsia="zh-CN"/>
                    </w:rPr>
                    <w:t>排放行业企业，涉喷漆工序汽修行业二类以下企业；环线以内禁止布局搅拌站、沥青拌合站。</w:t>
                  </w:r>
                </w:p>
                <w:p w14:paraId="42D52A3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center"/>
                    <w:outlineLvl w:val="9"/>
                    <w:rPr>
                      <w:rFonts w:hint="default"/>
                      <w:color w:val="auto"/>
                      <w:sz w:val="21"/>
                      <w:szCs w:val="21"/>
                      <w:lang w:val="en-US" w:eastAsia="zh-CN"/>
                    </w:rPr>
                  </w:pPr>
                  <w:r>
                    <w:rPr>
                      <w:rFonts w:hint="eastAsia"/>
                      <w:color w:val="auto"/>
                      <w:sz w:val="21"/>
                      <w:szCs w:val="21"/>
                      <w:lang w:val="en-US" w:eastAsia="zh-CN"/>
                    </w:rPr>
                    <w:t>3、二环线内，禁止新建铸造、轧钢、石灰窑、家具制造（涉VOC</w:t>
                  </w:r>
                  <w:r>
                    <w:rPr>
                      <w:rFonts w:hint="eastAsia"/>
                      <w:color w:val="auto"/>
                      <w:sz w:val="21"/>
                      <w:szCs w:val="21"/>
                      <w:vertAlign w:val="subscript"/>
                      <w:lang w:val="en-US" w:eastAsia="zh-CN"/>
                    </w:rPr>
                    <w:t>S</w:t>
                  </w:r>
                  <w:r>
                    <w:rPr>
                      <w:rFonts w:hint="eastAsia"/>
                      <w:color w:val="auto"/>
                      <w:sz w:val="21"/>
                      <w:szCs w:val="21"/>
                      <w:lang w:val="en-US" w:eastAsia="zh-CN"/>
                    </w:rPr>
                    <w:t>）、化工行业企业，严禁国</w:t>
                  </w:r>
                  <w:r>
                    <w:rPr>
                      <w:rFonts w:hint="eastAsia" w:ascii="宋体" w:hAnsi="宋体" w:eastAsia="宋体" w:cs="宋体"/>
                      <w:color w:val="auto"/>
                      <w:sz w:val="21"/>
                      <w:szCs w:val="21"/>
                      <w:lang w:val="en-US" w:eastAsia="zh-CN"/>
                    </w:rPr>
                    <w:t>Ⅳ</w:t>
                  </w:r>
                  <w:r>
                    <w:rPr>
                      <w:rFonts w:hint="eastAsia"/>
                      <w:color w:val="auto"/>
                      <w:sz w:val="21"/>
                      <w:szCs w:val="21"/>
                      <w:lang w:val="en-US" w:eastAsia="zh-CN"/>
                    </w:rPr>
                    <w:t>及以下排放标准柴油货车驶入。</w:t>
                  </w:r>
                </w:p>
              </w:tc>
              <w:tc>
                <w:tcPr>
                  <w:tcW w:w="1594" w:type="dxa"/>
                  <w:tcBorders>
                    <w:tl2br w:val="nil"/>
                    <w:tr2bl w:val="nil"/>
                  </w:tcBorders>
                  <w:noWrap w:val="0"/>
                  <w:vAlign w:val="center"/>
                </w:tcPr>
                <w:p w14:paraId="0AD5089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本项目</w:t>
                  </w:r>
                  <w:r>
                    <w:rPr>
                      <w:rFonts w:hint="eastAsia" w:ascii="Times New Roman" w:hAnsi="Times New Roman" w:eastAsia="宋体" w:cs="Times New Roman"/>
                      <w:sz w:val="21"/>
                      <w:szCs w:val="21"/>
                      <w:lang w:val="en-US" w:eastAsia="zh-CN"/>
                    </w:rPr>
                    <w:t>为</w:t>
                  </w:r>
                  <w:r>
                    <w:rPr>
                      <w:rFonts w:hint="eastAsia" w:cs="Times New Roman"/>
                      <w:sz w:val="21"/>
                      <w:szCs w:val="21"/>
                      <w:lang w:val="en-US" w:eastAsia="zh-CN"/>
                    </w:rPr>
                    <w:t>通用设备制造业。</w:t>
                  </w:r>
                </w:p>
              </w:tc>
              <w:tc>
                <w:tcPr>
                  <w:tcW w:w="732" w:type="dxa"/>
                  <w:tcBorders>
                    <w:tl2br w:val="nil"/>
                    <w:tr2bl w:val="nil"/>
                  </w:tcBorders>
                  <w:noWrap w:val="0"/>
                  <w:vAlign w:val="center"/>
                </w:tcPr>
                <w:p w14:paraId="25BAE3C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符合</w:t>
                  </w:r>
                </w:p>
              </w:tc>
            </w:tr>
            <w:tr w14:paraId="4C3F0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dxa"/>
                  <w:vMerge w:val="continue"/>
                  <w:tcBorders>
                    <w:tl2br w:val="nil"/>
                    <w:tr2bl w:val="nil"/>
                  </w:tcBorders>
                  <w:noWrap w:val="0"/>
                  <w:vAlign w:val="center"/>
                </w:tcPr>
                <w:p w14:paraId="111475C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sz w:val="21"/>
                      <w:szCs w:val="21"/>
                    </w:rPr>
                  </w:pPr>
                </w:p>
              </w:tc>
              <w:tc>
                <w:tcPr>
                  <w:tcW w:w="649" w:type="dxa"/>
                  <w:vMerge w:val="continue"/>
                  <w:tcBorders>
                    <w:tl2br w:val="nil"/>
                    <w:tr2bl w:val="nil"/>
                  </w:tcBorders>
                  <w:noWrap w:val="0"/>
                  <w:vAlign w:val="center"/>
                </w:tcPr>
                <w:p w14:paraId="1E9EC4B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sz w:val="21"/>
                      <w:szCs w:val="21"/>
                    </w:rPr>
                  </w:pPr>
                </w:p>
              </w:tc>
              <w:tc>
                <w:tcPr>
                  <w:tcW w:w="784" w:type="dxa"/>
                  <w:gridSpan w:val="2"/>
                  <w:tcBorders>
                    <w:tl2br w:val="nil"/>
                    <w:tr2bl w:val="nil"/>
                  </w:tcBorders>
                  <w:noWrap w:val="0"/>
                  <w:vAlign w:val="center"/>
                </w:tcPr>
                <w:p w14:paraId="770F6A9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污染物排放管控</w:t>
                  </w:r>
                </w:p>
              </w:tc>
              <w:tc>
                <w:tcPr>
                  <w:tcW w:w="2974" w:type="dxa"/>
                  <w:tcBorders>
                    <w:tl2br w:val="nil"/>
                    <w:tr2bl w:val="nil"/>
                  </w:tcBorders>
                  <w:noWrap w:val="0"/>
                  <w:vAlign w:val="center"/>
                </w:tcPr>
                <w:p w14:paraId="2E61B761">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both"/>
                    <w:textAlignment w:val="center"/>
                    <w:outlineLvl w:val="9"/>
                    <w:rPr>
                      <w:rFonts w:hint="default"/>
                      <w:color w:val="auto"/>
                      <w:sz w:val="21"/>
                      <w:szCs w:val="21"/>
                      <w:lang w:val="en-US" w:eastAsia="zh-CN"/>
                    </w:rPr>
                  </w:pPr>
                  <w:r>
                    <w:rPr>
                      <w:rFonts w:hint="eastAsia"/>
                      <w:color w:val="auto"/>
                      <w:sz w:val="21"/>
                      <w:szCs w:val="21"/>
                      <w:lang w:val="en-US" w:eastAsia="zh-CN"/>
                    </w:rPr>
                    <w:t>对环线内汽修企业的喷漆工序加强源头控制，禁止使用等离子、活性炭吸附、光催化氧化等单级治理技术处理VOC</w:t>
                  </w:r>
                  <w:r>
                    <w:rPr>
                      <w:rFonts w:hint="eastAsia"/>
                      <w:color w:val="auto"/>
                      <w:sz w:val="21"/>
                      <w:szCs w:val="21"/>
                      <w:vertAlign w:val="subscript"/>
                      <w:lang w:val="en-US" w:eastAsia="zh-CN"/>
                    </w:rPr>
                    <w:t>S</w:t>
                  </w:r>
                  <w:r>
                    <w:rPr>
                      <w:rFonts w:hint="eastAsia"/>
                      <w:color w:val="auto"/>
                      <w:sz w:val="21"/>
                      <w:szCs w:val="21"/>
                      <w:lang w:val="en-US" w:eastAsia="zh-CN"/>
                    </w:rPr>
                    <w:t>废气，必须使用双级或多级质量技术处理措施。</w:t>
                  </w:r>
                </w:p>
              </w:tc>
              <w:tc>
                <w:tcPr>
                  <w:tcW w:w="1594" w:type="dxa"/>
                  <w:tcBorders>
                    <w:tl2br w:val="nil"/>
                    <w:tr2bl w:val="nil"/>
                  </w:tcBorders>
                  <w:noWrap w:val="0"/>
                  <w:vAlign w:val="center"/>
                </w:tcPr>
                <w:p w14:paraId="1B21602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本项目</w:t>
                  </w:r>
                  <w:r>
                    <w:rPr>
                      <w:rFonts w:hint="eastAsia" w:ascii="Times New Roman" w:hAnsi="Times New Roman" w:eastAsia="宋体" w:cs="Times New Roman"/>
                      <w:sz w:val="21"/>
                      <w:szCs w:val="21"/>
                      <w:lang w:val="en-US" w:eastAsia="zh-CN"/>
                    </w:rPr>
                    <w:t>为</w:t>
                  </w:r>
                  <w:r>
                    <w:rPr>
                      <w:rFonts w:hint="eastAsia" w:cs="Times New Roman"/>
                      <w:sz w:val="21"/>
                      <w:szCs w:val="21"/>
                      <w:lang w:val="en-US" w:eastAsia="zh-CN"/>
                    </w:rPr>
                    <w:t>通用设备制造业，项目产生的</w:t>
                  </w:r>
                  <w:r>
                    <w:rPr>
                      <w:rFonts w:hint="eastAsia"/>
                      <w:color w:val="auto"/>
                      <w:sz w:val="21"/>
                      <w:szCs w:val="21"/>
                      <w:lang w:val="en-US" w:eastAsia="zh-CN"/>
                    </w:rPr>
                    <w:t>有机废气经过滤棉+活性炭吸附/脱附+催化燃烧装置处理后达标排放。</w:t>
                  </w:r>
                </w:p>
              </w:tc>
              <w:tc>
                <w:tcPr>
                  <w:tcW w:w="732" w:type="dxa"/>
                  <w:tcBorders>
                    <w:tl2br w:val="nil"/>
                    <w:tr2bl w:val="nil"/>
                  </w:tcBorders>
                  <w:noWrap w:val="0"/>
                  <w:vAlign w:val="center"/>
                </w:tcPr>
                <w:p w14:paraId="665F8C6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符合</w:t>
                  </w:r>
                </w:p>
              </w:tc>
            </w:tr>
            <w:tr w14:paraId="6764F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dxa"/>
                  <w:vMerge w:val="continue"/>
                  <w:tcBorders>
                    <w:tl2br w:val="nil"/>
                    <w:tr2bl w:val="nil"/>
                  </w:tcBorders>
                  <w:noWrap w:val="0"/>
                  <w:vAlign w:val="center"/>
                </w:tcPr>
                <w:p w14:paraId="773CC27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649" w:type="dxa"/>
                  <w:vMerge w:val="continue"/>
                  <w:tcBorders>
                    <w:tl2br w:val="nil"/>
                    <w:tr2bl w:val="nil"/>
                  </w:tcBorders>
                  <w:noWrap w:val="0"/>
                  <w:vAlign w:val="center"/>
                </w:tcPr>
                <w:p w14:paraId="348E655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784" w:type="dxa"/>
                  <w:gridSpan w:val="2"/>
                  <w:tcBorders>
                    <w:tl2br w:val="nil"/>
                    <w:tr2bl w:val="nil"/>
                  </w:tcBorders>
                  <w:noWrap w:val="0"/>
                  <w:vAlign w:val="center"/>
                </w:tcPr>
                <w:p w14:paraId="22F2541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环境风险防控</w:t>
                  </w:r>
                </w:p>
              </w:tc>
              <w:tc>
                <w:tcPr>
                  <w:tcW w:w="2974" w:type="dxa"/>
                  <w:tcBorders>
                    <w:tl2br w:val="nil"/>
                    <w:tr2bl w:val="nil"/>
                  </w:tcBorders>
                  <w:noWrap w:val="0"/>
                  <w:vAlign w:val="center"/>
                </w:tcPr>
                <w:p w14:paraId="2861BB02">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center"/>
                    <w:outlineLvl w:val="9"/>
                    <w:rPr>
                      <w:rFonts w:hint="eastAsia"/>
                      <w:color w:val="auto"/>
                      <w:sz w:val="21"/>
                      <w:szCs w:val="21"/>
                      <w:lang w:val="en-US" w:eastAsia="zh-CN"/>
                    </w:rPr>
                  </w:pPr>
                  <w:r>
                    <w:rPr>
                      <w:rFonts w:hint="eastAsia"/>
                      <w:color w:val="auto"/>
                      <w:sz w:val="21"/>
                      <w:szCs w:val="21"/>
                      <w:lang w:val="en-US" w:eastAsia="zh-CN"/>
                    </w:rPr>
                    <w:t>1、开发区及入区企业需组织编制《环境风险应急预案》，成立应急组织机构，定期开展应急演练，提高区域环境风险防范能力。</w:t>
                  </w:r>
                </w:p>
                <w:p w14:paraId="5B257B06">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center"/>
                    <w:outlineLvl w:val="9"/>
                    <w:rPr>
                      <w:rFonts w:hint="default"/>
                      <w:color w:val="auto"/>
                      <w:sz w:val="21"/>
                      <w:szCs w:val="21"/>
                      <w:lang w:val="en-US" w:eastAsia="zh-CN"/>
                    </w:rPr>
                  </w:pPr>
                  <w:r>
                    <w:rPr>
                      <w:rFonts w:hint="eastAsia"/>
                      <w:color w:val="auto"/>
                      <w:sz w:val="21"/>
                      <w:szCs w:val="21"/>
                      <w:lang w:val="en-US" w:eastAsia="zh-CN"/>
                    </w:rPr>
                    <w:t>2、企业事业单位拆除设施、设备或者建筑物、构筑物的，应当采取相应的土壤污染防治措施。其中，土壤污染重点监管单位还应当制定包括应急措施在内的土壤污染防治工作方案，报地方人民政府生态环境、工业和信息化主管部门备案并实施。退城搬迁企业用地再次开发利用前，按程序开展土壤污染状况调查、风险评估、风险管控和修复。</w:t>
                  </w:r>
                </w:p>
              </w:tc>
              <w:tc>
                <w:tcPr>
                  <w:tcW w:w="1594" w:type="dxa"/>
                  <w:tcBorders>
                    <w:tl2br w:val="nil"/>
                    <w:tr2bl w:val="nil"/>
                  </w:tcBorders>
                  <w:noWrap w:val="0"/>
                  <w:vAlign w:val="center"/>
                </w:tcPr>
                <w:p w14:paraId="1AD158B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本项目完成后，企业编制突发环境应急预案。</w:t>
                  </w:r>
                </w:p>
              </w:tc>
              <w:tc>
                <w:tcPr>
                  <w:tcW w:w="732" w:type="dxa"/>
                  <w:tcBorders>
                    <w:tl2br w:val="nil"/>
                    <w:tr2bl w:val="nil"/>
                  </w:tcBorders>
                  <w:noWrap w:val="0"/>
                  <w:vAlign w:val="center"/>
                </w:tcPr>
                <w:p w14:paraId="6371B22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符合</w:t>
                  </w:r>
                </w:p>
              </w:tc>
            </w:tr>
            <w:tr w14:paraId="0526E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dxa"/>
                  <w:vMerge w:val="continue"/>
                  <w:tcBorders>
                    <w:tl2br w:val="nil"/>
                    <w:tr2bl w:val="nil"/>
                  </w:tcBorders>
                  <w:noWrap w:val="0"/>
                  <w:vAlign w:val="center"/>
                </w:tcPr>
                <w:p w14:paraId="211279B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649" w:type="dxa"/>
                  <w:vMerge w:val="continue"/>
                  <w:tcBorders>
                    <w:tl2br w:val="nil"/>
                    <w:tr2bl w:val="nil"/>
                  </w:tcBorders>
                  <w:noWrap w:val="0"/>
                  <w:vAlign w:val="center"/>
                </w:tcPr>
                <w:p w14:paraId="0231977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p>
              </w:tc>
              <w:tc>
                <w:tcPr>
                  <w:tcW w:w="784" w:type="dxa"/>
                  <w:gridSpan w:val="2"/>
                  <w:tcBorders>
                    <w:tl2br w:val="nil"/>
                    <w:tr2bl w:val="nil"/>
                  </w:tcBorders>
                  <w:noWrap w:val="0"/>
                  <w:vAlign w:val="center"/>
                </w:tcPr>
                <w:p w14:paraId="1E5E824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资源利用效率要求</w:t>
                  </w:r>
                </w:p>
              </w:tc>
              <w:tc>
                <w:tcPr>
                  <w:tcW w:w="2974" w:type="dxa"/>
                  <w:tcBorders>
                    <w:tl2br w:val="nil"/>
                    <w:tr2bl w:val="nil"/>
                  </w:tcBorders>
                  <w:noWrap w:val="0"/>
                  <w:vAlign w:val="center"/>
                </w:tcPr>
                <w:p w14:paraId="205BA9BF">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both"/>
                    <w:textAlignment w:val="center"/>
                    <w:outlineLvl w:val="9"/>
                    <w:rPr>
                      <w:rFonts w:hint="eastAsia"/>
                      <w:color w:val="auto"/>
                      <w:sz w:val="21"/>
                      <w:szCs w:val="21"/>
                      <w:lang w:val="en-US" w:eastAsia="zh-CN"/>
                    </w:rPr>
                  </w:pPr>
                  <w:r>
                    <w:rPr>
                      <w:rFonts w:hint="eastAsia"/>
                      <w:color w:val="auto"/>
                      <w:sz w:val="21"/>
                      <w:szCs w:val="21"/>
                      <w:lang w:val="en-US" w:eastAsia="zh-CN"/>
                    </w:rPr>
                    <w:t>1、高新区街道、庆北街道为浅层地下水限采区，一般不得开凿新的取水井。确需取用地下水的，应当由省人民政府水行政主管部门统筹安排，按照总量控制原则通过按比例核减其他取水单位的地下水取水量和年度用水计划，进行合理配置。</w:t>
                  </w:r>
                </w:p>
                <w:p w14:paraId="4E955E4F">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both"/>
                    <w:textAlignment w:val="center"/>
                    <w:outlineLvl w:val="9"/>
                    <w:rPr>
                      <w:rFonts w:hint="default"/>
                      <w:color w:val="auto"/>
                      <w:sz w:val="21"/>
                      <w:szCs w:val="21"/>
                      <w:lang w:val="en-US" w:eastAsia="zh-CN"/>
                    </w:rPr>
                  </w:pPr>
                  <w:r>
                    <w:rPr>
                      <w:rFonts w:hint="eastAsia"/>
                      <w:color w:val="auto"/>
                      <w:sz w:val="21"/>
                      <w:szCs w:val="21"/>
                      <w:lang w:val="en-US" w:eastAsia="zh-CN"/>
                    </w:rPr>
                    <w:t>2、推进海绵城市建设，加快城镇供水管网改造，推广节水器具，提高水资源重复利用率，加强再生水的回用。</w:t>
                  </w:r>
                </w:p>
              </w:tc>
              <w:tc>
                <w:tcPr>
                  <w:tcW w:w="1594" w:type="dxa"/>
                  <w:tcBorders>
                    <w:tl2br w:val="nil"/>
                    <w:tr2bl w:val="nil"/>
                  </w:tcBorders>
                  <w:noWrap w:val="0"/>
                  <w:vAlign w:val="center"/>
                </w:tcPr>
                <w:p w14:paraId="71A70BF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color w:val="auto"/>
                      <w:sz w:val="21"/>
                      <w:szCs w:val="21"/>
                      <w:lang w:val="en-US" w:eastAsia="zh-CN"/>
                    </w:rPr>
                  </w:pPr>
                  <w:r>
                    <w:rPr>
                      <w:rFonts w:hint="eastAsia"/>
                      <w:color w:val="auto"/>
                      <w:sz w:val="21"/>
                      <w:szCs w:val="21"/>
                      <w:lang w:val="en-US" w:eastAsia="zh-CN"/>
                    </w:rPr>
                    <w:t>本项目用水取自厂区内的原有地下水井。</w:t>
                  </w:r>
                </w:p>
              </w:tc>
              <w:tc>
                <w:tcPr>
                  <w:tcW w:w="732" w:type="dxa"/>
                  <w:tcBorders>
                    <w:tl2br w:val="nil"/>
                    <w:tr2bl w:val="nil"/>
                  </w:tcBorders>
                  <w:noWrap w:val="0"/>
                  <w:vAlign w:val="center"/>
                </w:tcPr>
                <w:p w14:paraId="0DB0F29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符合</w:t>
                  </w:r>
                </w:p>
              </w:tc>
            </w:tr>
          </w:tbl>
          <w:p w14:paraId="4FDBF1F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color w:val="auto"/>
                <w:lang w:val="zh-CN"/>
              </w:rPr>
            </w:pPr>
            <w:r>
              <w:rPr>
                <w:rFonts w:hint="eastAsia"/>
                <w:color w:val="auto"/>
                <w:lang w:val="zh-CN"/>
              </w:rPr>
              <w:t>综上所述，</w:t>
            </w:r>
            <w:r>
              <w:rPr>
                <w:rFonts w:hint="eastAsia"/>
                <w:color w:val="auto"/>
                <w:lang w:val="en-US" w:eastAsia="zh-CN"/>
              </w:rPr>
              <w:t>本项目</w:t>
            </w:r>
            <w:r>
              <w:rPr>
                <w:rFonts w:hint="eastAsia"/>
                <w:color w:val="auto"/>
                <w:lang w:val="zh-CN"/>
              </w:rPr>
              <w:t>的建设符合</w:t>
            </w:r>
            <w:r>
              <w:rPr>
                <w:rFonts w:hint="eastAsia"/>
                <w:color w:val="auto"/>
                <w:lang w:val="en-US" w:eastAsia="zh-CN"/>
              </w:rPr>
              <w:t>唐山市</w:t>
            </w:r>
            <w:r>
              <w:rPr>
                <w:rFonts w:hint="eastAsia"/>
                <w:color w:val="auto"/>
                <w:lang w:val="zh-CN"/>
              </w:rPr>
              <w:t>“三线一单”管控要求，</w:t>
            </w:r>
            <w:r>
              <w:rPr>
                <w:rFonts w:hint="eastAsia"/>
                <w:color w:val="auto"/>
                <w:lang w:val="en-US" w:eastAsia="zh-CN"/>
              </w:rPr>
              <w:t>本项目与唐山市环境管控单元位置关系见附图5</w:t>
            </w:r>
            <w:r>
              <w:rPr>
                <w:rFonts w:hint="eastAsia"/>
                <w:color w:val="auto"/>
                <w:lang w:val="zh-CN"/>
              </w:rPr>
              <w:t>。</w:t>
            </w:r>
          </w:p>
          <w:p w14:paraId="053E76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firstLine="0" w:firstLineChars="0"/>
              <w:jc w:val="left"/>
              <w:textAlignment w:val="auto"/>
              <w:rPr>
                <w:rFonts w:hint="default"/>
                <w:b/>
                <w:bCs/>
                <w:sz w:val="24"/>
                <w:szCs w:val="24"/>
                <w:lang w:val="zh-CN"/>
              </w:rPr>
            </w:pPr>
            <w:r>
              <w:rPr>
                <w:rFonts w:hint="eastAsia"/>
                <w:b/>
                <w:bCs/>
                <w:sz w:val="24"/>
                <w:szCs w:val="24"/>
                <w:lang w:val="en-US" w:eastAsia="zh-CN"/>
              </w:rPr>
              <w:t>3、</w:t>
            </w:r>
            <w:r>
              <w:rPr>
                <w:rFonts w:hint="eastAsia"/>
                <w:b/>
                <w:bCs/>
                <w:sz w:val="24"/>
                <w:szCs w:val="24"/>
              </w:rPr>
              <w:t>与</w:t>
            </w:r>
            <w:r>
              <w:rPr>
                <w:rFonts w:hint="default"/>
                <w:b/>
                <w:bCs/>
                <w:sz w:val="24"/>
                <w:szCs w:val="24"/>
              </w:rPr>
              <w:t>VOC</w:t>
            </w:r>
            <w:r>
              <w:rPr>
                <w:rFonts w:hint="eastAsia"/>
                <w:b/>
                <w:bCs/>
                <w:sz w:val="24"/>
                <w:szCs w:val="24"/>
                <w:vertAlign w:val="subscript"/>
                <w:lang w:val="en-US" w:eastAsia="zh-CN"/>
              </w:rPr>
              <w:t>S</w:t>
            </w:r>
            <w:r>
              <w:rPr>
                <w:rFonts w:hint="eastAsia"/>
                <w:b/>
                <w:bCs/>
                <w:sz w:val="24"/>
                <w:szCs w:val="24"/>
              </w:rPr>
              <w:t>政策的符合性</w:t>
            </w:r>
          </w:p>
          <w:p w14:paraId="005A52F3">
            <w:pPr>
              <w:pStyle w:val="34"/>
              <w:bidi w:val="0"/>
              <w:rPr>
                <w:rFonts w:hint="default"/>
                <w:lang w:val="zh-CN"/>
              </w:rPr>
            </w:pPr>
            <w:r>
              <w:rPr>
                <w:rFonts w:hint="default"/>
                <w:sz w:val="21"/>
                <w:szCs w:val="21"/>
                <w:lang w:val="zh-CN"/>
              </w:rPr>
              <w:t>表</w:t>
            </w:r>
            <w:r>
              <w:rPr>
                <w:rFonts w:hint="eastAsia"/>
                <w:sz w:val="21"/>
                <w:szCs w:val="21"/>
                <w:lang w:val="en-US" w:eastAsia="zh-CN"/>
              </w:rPr>
              <w:t xml:space="preserve">4  </w:t>
            </w:r>
            <w:r>
              <w:rPr>
                <w:rFonts w:hint="eastAsia"/>
                <w:sz w:val="21"/>
                <w:szCs w:val="21"/>
              </w:rPr>
              <w:t>本项目与</w:t>
            </w:r>
            <w:r>
              <w:rPr>
                <w:rFonts w:hint="eastAsia"/>
                <w:sz w:val="21"/>
                <w:szCs w:val="21"/>
                <w:lang w:val="en-US" w:eastAsia="zh-CN"/>
              </w:rPr>
              <w:t>VOC</w:t>
            </w:r>
            <w:r>
              <w:rPr>
                <w:rFonts w:hint="eastAsia"/>
                <w:sz w:val="21"/>
                <w:szCs w:val="21"/>
                <w:vertAlign w:val="subscript"/>
                <w:lang w:val="en-US" w:eastAsia="zh-CN"/>
              </w:rPr>
              <w:t>S</w:t>
            </w:r>
            <w:r>
              <w:rPr>
                <w:rFonts w:hint="eastAsia"/>
                <w:sz w:val="21"/>
                <w:szCs w:val="21"/>
              </w:rPr>
              <w:t>政策符合性分析一览表</w:t>
            </w:r>
          </w:p>
          <w:tbl>
            <w:tblPr>
              <w:tblStyle w:val="20"/>
              <w:tblW w:w="499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3296"/>
              <w:gridCol w:w="1980"/>
              <w:gridCol w:w="578"/>
            </w:tblGrid>
            <w:tr w14:paraId="4C1F56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tcBorders>
                    <w:tl2br w:val="nil"/>
                    <w:tr2bl w:val="nil"/>
                  </w:tcBorders>
                  <w:noWrap w:val="0"/>
                  <w:vAlign w:val="center"/>
                </w:tcPr>
                <w:p w14:paraId="003A9655">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环保政策</w:t>
                  </w:r>
                </w:p>
              </w:tc>
              <w:tc>
                <w:tcPr>
                  <w:tcW w:w="2274" w:type="pct"/>
                  <w:tcBorders>
                    <w:tl2br w:val="nil"/>
                    <w:tr2bl w:val="nil"/>
                  </w:tcBorders>
                  <w:noWrap w:val="0"/>
                  <w:vAlign w:val="center"/>
                </w:tcPr>
                <w:p w14:paraId="0DF7108E">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政策要求</w:t>
                  </w:r>
                </w:p>
              </w:tc>
              <w:tc>
                <w:tcPr>
                  <w:tcW w:w="1366" w:type="pct"/>
                  <w:tcBorders>
                    <w:tl2br w:val="nil"/>
                    <w:tr2bl w:val="nil"/>
                  </w:tcBorders>
                  <w:noWrap w:val="0"/>
                  <w:vAlign w:val="center"/>
                </w:tcPr>
                <w:p w14:paraId="1EB4D8E2">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拟建项目实际情况</w:t>
                  </w:r>
                </w:p>
              </w:tc>
              <w:tc>
                <w:tcPr>
                  <w:tcW w:w="398" w:type="pct"/>
                  <w:tcBorders>
                    <w:tl2br w:val="nil"/>
                    <w:tr2bl w:val="nil"/>
                  </w:tcBorders>
                  <w:noWrap w:val="0"/>
                  <w:vAlign w:val="center"/>
                </w:tcPr>
                <w:p w14:paraId="404FCF64">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是否符合</w:t>
                  </w:r>
                </w:p>
              </w:tc>
            </w:tr>
            <w:tr w14:paraId="7128E2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tcBorders>
                    <w:tl2br w:val="nil"/>
                    <w:tr2bl w:val="nil"/>
                  </w:tcBorders>
                  <w:noWrap w:val="0"/>
                  <w:vAlign w:val="center"/>
                </w:tcPr>
                <w:p w14:paraId="6F3B8063">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eastAsia" w:ascii="宋体" w:hAnsi="宋体" w:eastAsia="宋体" w:cs="宋体"/>
                      <w:sz w:val="21"/>
                      <w:szCs w:val="21"/>
                    </w:rPr>
                    <w:t>“十三五”挥</w:t>
                  </w:r>
                  <w:r>
                    <w:rPr>
                      <w:rFonts w:hint="default"/>
                      <w:sz w:val="21"/>
                      <w:szCs w:val="21"/>
                    </w:rPr>
                    <w:t>发性有机物污染防治工作方案</w:t>
                  </w:r>
                </w:p>
              </w:tc>
              <w:tc>
                <w:tcPr>
                  <w:tcW w:w="2274" w:type="pct"/>
                  <w:tcBorders>
                    <w:tl2br w:val="nil"/>
                    <w:tr2bl w:val="nil"/>
                  </w:tcBorders>
                  <w:noWrap w:val="0"/>
                  <w:vAlign w:val="center"/>
                </w:tcPr>
                <w:p w14:paraId="7E099D24">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提高</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排放重点行业环保准入门槛，严格控制新增污染物排放量。重点地区要严格限制石化、化工、包装印刷、工业涂装等高</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排放建设项目。新建涉</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排放的工业企业要入园区。</w:t>
                  </w:r>
                </w:p>
              </w:tc>
              <w:tc>
                <w:tcPr>
                  <w:tcW w:w="1366" w:type="pct"/>
                  <w:tcBorders>
                    <w:tl2br w:val="nil"/>
                    <w:tr2bl w:val="nil"/>
                  </w:tcBorders>
                  <w:noWrap w:val="0"/>
                  <w:vAlign w:val="center"/>
                </w:tcPr>
                <w:p w14:paraId="23417331">
                  <w:pPr>
                    <w:pStyle w:val="27"/>
                    <w:keepNext w:val="0"/>
                    <w:keepLines w:val="0"/>
                    <w:pageBreakBefore w:val="0"/>
                    <w:widowControl w:val="0"/>
                    <w:kinsoku/>
                    <w:wordWrap/>
                    <w:overflowPunct/>
                    <w:topLinePunct w:val="0"/>
                    <w:autoSpaceDE/>
                    <w:autoSpaceDN/>
                    <w:bidi w:val="0"/>
                    <w:adjustRightInd/>
                    <w:snapToGrid/>
                    <w:textAlignment w:val="auto"/>
                    <w:rPr>
                      <w:rFonts w:hint="eastAsia" w:eastAsia="宋体"/>
                      <w:sz w:val="21"/>
                      <w:szCs w:val="21"/>
                      <w:lang w:eastAsia="zh-CN"/>
                    </w:rPr>
                  </w:pPr>
                  <w:r>
                    <w:rPr>
                      <w:rFonts w:hint="default"/>
                      <w:sz w:val="21"/>
                      <w:szCs w:val="21"/>
                    </w:rPr>
                    <w:t>项目位于工业园区内</w:t>
                  </w:r>
                  <w:r>
                    <w:rPr>
                      <w:rFonts w:hint="eastAsia"/>
                      <w:sz w:val="21"/>
                      <w:szCs w:val="21"/>
                      <w:lang w:eastAsia="zh-CN"/>
                    </w:rPr>
                    <w:t>。</w:t>
                  </w:r>
                </w:p>
              </w:tc>
              <w:tc>
                <w:tcPr>
                  <w:tcW w:w="398" w:type="pct"/>
                  <w:tcBorders>
                    <w:tl2br w:val="nil"/>
                    <w:tr2bl w:val="nil"/>
                  </w:tcBorders>
                  <w:noWrap w:val="0"/>
                  <w:vAlign w:val="center"/>
                </w:tcPr>
                <w:p w14:paraId="05F6D39E">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符合</w:t>
                  </w:r>
                </w:p>
              </w:tc>
            </w:tr>
            <w:tr w14:paraId="7808E2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tcBorders>
                    <w:tl2br w:val="nil"/>
                    <w:tr2bl w:val="nil"/>
                  </w:tcBorders>
                  <w:noWrap w:val="0"/>
                  <w:vAlign w:val="center"/>
                </w:tcPr>
                <w:p w14:paraId="1D75E2B5">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关于印发《重点行业挥发性有机物综合治理方案》的通知（环大气〔2019〕53号）</w:t>
                  </w:r>
                </w:p>
              </w:tc>
              <w:tc>
                <w:tcPr>
                  <w:tcW w:w="2274" w:type="pct"/>
                  <w:tcBorders>
                    <w:tl2br w:val="nil"/>
                    <w:tr2bl w:val="nil"/>
                  </w:tcBorders>
                  <w:noWrap w:val="0"/>
                  <w:vAlign w:val="center"/>
                </w:tcPr>
                <w:p w14:paraId="02B59E03">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企业采用符合国家有关低</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含量产品规定的涂料、油墨、胶粘剂等，排放浓度稳定达标且排放速率、排放绩效等满足相关规定的，相应生产工序可不要求建设末端治理设施。使用的原辅材料</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含量（质量比）低于10%的工序，可不要求采取无组织排放收集措施。</w:t>
                  </w:r>
                </w:p>
              </w:tc>
              <w:tc>
                <w:tcPr>
                  <w:tcW w:w="1366" w:type="pct"/>
                  <w:vMerge w:val="restart"/>
                  <w:tcBorders>
                    <w:tl2br w:val="nil"/>
                    <w:tr2bl w:val="nil"/>
                  </w:tcBorders>
                  <w:noWrap w:val="0"/>
                  <w:vAlign w:val="center"/>
                </w:tcPr>
                <w:p w14:paraId="41326F7C">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sz w:val="21"/>
                      <w:szCs w:val="21"/>
                      <w:lang w:val="en-US" w:eastAsia="zh-CN"/>
                    </w:rPr>
                  </w:pPr>
                  <w:r>
                    <w:rPr>
                      <w:rFonts w:hint="eastAsia"/>
                      <w:sz w:val="21"/>
                      <w:szCs w:val="21"/>
                      <w:lang w:val="en-US" w:eastAsia="zh-CN"/>
                    </w:rPr>
                    <w:t>本项目采用低VOC</w:t>
                  </w:r>
                  <w:r>
                    <w:rPr>
                      <w:rFonts w:hint="eastAsia"/>
                      <w:sz w:val="21"/>
                      <w:szCs w:val="21"/>
                      <w:vertAlign w:val="subscript"/>
                      <w:lang w:val="en-US" w:eastAsia="zh-CN"/>
                    </w:rPr>
                    <w:t>S</w:t>
                  </w:r>
                  <w:r>
                    <w:rPr>
                      <w:rFonts w:hint="eastAsia"/>
                      <w:sz w:val="21"/>
                      <w:szCs w:val="21"/>
                      <w:lang w:val="en-US" w:eastAsia="zh-CN"/>
                    </w:rPr>
                    <w:t>含量的原料，生产过程产生的VOC</w:t>
                  </w:r>
                  <w:r>
                    <w:rPr>
                      <w:rFonts w:hint="eastAsia"/>
                      <w:sz w:val="21"/>
                      <w:szCs w:val="21"/>
                      <w:vertAlign w:val="subscript"/>
                      <w:lang w:val="en-US" w:eastAsia="zh-CN"/>
                    </w:rPr>
                    <w:t>S</w:t>
                  </w:r>
                  <w:r>
                    <w:rPr>
                      <w:rFonts w:hint="eastAsia"/>
                      <w:sz w:val="21"/>
                      <w:szCs w:val="21"/>
                      <w:lang w:val="en-US" w:eastAsia="zh-CN"/>
                    </w:rPr>
                    <w:t>采用过滤棉+活性炭吸附/脱附+催化燃烧装置进行处理，处理后达标排放。</w:t>
                  </w:r>
                </w:p>
              </w:tc>
              <w:tc>
                <w:tcPr>
                  <w:tcW w:w="398" w:type="pct"/>
                  <w:tcBorders>
                    <w:tl2br w:val="nil"/>
                    <w:tr2bl w:val="nil"/>
                  </w:tcBorders>
                  <w:noWrap w:val="0"/>
                  <w:vAlign w:val="center"/>
                </w:tcPr>
                <w:p w14:paraId="3B8FDAA3">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符合</w:t>
                  </w:r>
                </w:p>
              </w:tc>
            </w:tr>
            <w:tr w14:paraId="4A5351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tcBorders>
                    <w:tl2br w:val="nil"/>
                    <w:tr2bl w:val="nil"/>
                  </w:tcBorders>
                  <w:noWrap w:val="0"/>
                  <w:vAlign w:val="center"/>
                </w:tcPr>
                <w:p w14:paraId="3F7B253F">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关于印发《2020年挥发性有机物治理攻坚方案》的通知（环大气〔2020〕33号）</w:t>
                  </w:r>
                </w:p>
              </w:tc>
              <w:tc>
                <w:tcPr>
                  <w:tcW w:w="2274" w:type="pct"/>
                  <w:tcBorders>
                    <w:tl2br w:val="nil"/>
                    <w:tr2bl w:val="nil"/>
                  </w:tcBorders>
                  <w:noWrap w:val="0"/>
                  <w:vAlign w:val="center"/>
                </w:tcPr>
                <w:p w14:paraId="424BF5A2">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大力推进低（无）</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含量原辅材料替代。将全面使用符合国家要求的低</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含量原辅材料的企业纳入正面清单和政府绿色采购清单。企业应建立原辅材料台账，记录</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原辅材料名称、成分、</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含量、采购量、使用量、库存量、回收方式、回收量等信息，并保存相关证明材料。采用符合国家有关低</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含量产品规定的涂料、油墨、胶粘剂等，排放浓度稳定达标且排放速率满足相关规定的，相应生产工序可不要求建设末端治理设施。使用的原辅材料</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含量（质量比）均低于10%的工序，可不要求采取无组织排放收集和处理措施。</w:t>
                  </w:r>
                </w:p>
              </w:tc>
              <w:tc>
                <w:tcPr>
                  <w:tcW w:w="1366" w:type="pct"/>
                  <w:vMerge w:val="continue"/>
                  <w:tcBorders>
                    <w:tl2br w:val="nil"/>
                    <w:tr2bl w:val="nil"/>
                  </w:tcBorders>
                  <w:noWrap w:val="0"/>
                  <w:vAlign w:val="center"/>
                </w:tcPr>
                <w:p w14:paraId="722A5841">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p>
              </w:tc>
              <w:tc>
                <w:tcPr>
                  <w:tcW w:w="398" w:type="pct"/>
                  <w:tcBorders>
                    <w:tl2br w:val="nil"/>
                    <w:tr2bl w:val="nil"/>
                  </w:tcBorders>
                  <w:noWrap w:val="0"/>
                  <w:vAlign w:val="center"/>
                </w:tcPr>
                <w:p w14:paraId="2129E661">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符合</w:t>
                  </w:r>
                </w:p>
              </w:tc>
            </w:tr>
            <w:tr w14:paraId="650851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vMerge w:val="restart"/>
                  <w:tcBorders>
                    <w:tl2br w:val="nil"/>
                    <w:tr2bl w:val="nil"/>
                  </w:tcBorders>
                  <w:noWrap w:val="0"/>
                  <w:vAlign w:val="center"/>
                </w:tcPr>
                <w:p w14:paraId="1D8DCEAE">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《挥发性有机物无组织排放控制标准》（GB37822—2019</w:t>
                  </w:r>
                  <w:r>
                    <w:rPr>
                      <w:rFonts w:hint="default"/>
                      <w:sz w:val="21"/>
                      <w:szCs w:val="21"/>
                      <w:lang w:eastAsia="zh-CN"/>
                    </w:rPr>
                    <w:t>）</w:t>
                  </w:r>
                </w:p>
              </w:tc>
              <w:tc>
                <w:tcPr>
                  <w:tcW w:w="2274" w:type="pct"/>
                  <w:tcBorders>
                    <w:tl2br w:val="nil"/>
                    <w:tr2bl w:val="nil"/>
                  </w:tcBorders>
                  <w:noWrap w:val="0"/>
                  <w:vAlign w:val="center"/>
                </w:tcPr>
                <w:p w14:paraId="02C9D6A8">
                  <w:pPr>
                    <w:pStyle w:val="27"/>
                    <w:keepNext w:val="0"/>
                    <w:keepLines w:val="0"/>
                    <w:pageBreakBefore w:val="0"/>
                    <w:widowControl w:val="0"/>
                    <w:kinsoku/>
                    <w:wordWrap/>
                    <w:overflowPunct/>
                    <w:topLinePunct w:val="0"/>
                    <w:autoSpaceDE/>
                    <w:autoSpaceDN/>
                    <w:bidi w:val="0"/>
                    <w:adjustRightInd/>
                    <w:snapToGrid/>
                    <w:textAlignment w:val="auto"/>
                    <w:rPr>
                      <w:rFonts w:hint="eastAsia" w:eastAsia="宋体"/>
                      <w:sz w:val="21"/>
                      <w:szCs w:val="21"/>
                      <w:lang w:eastAsia="zh-CN"/>
                    </w:rPr>
                  </w:pPr>
                  <w:r>
                    <w:rPr>
                      <w:rStyle w:val="30"/>
                      <w:rFonts w:hint="default" w:ascii="Times New Roman" w:hAnsi="Times New Roman" w:eastAsia="宋体" w:cs="Times New Roman"/>
                      <w:color w:val="auto"/>
                      <w:sz w:val="21"/>
                      <w:szCs w:val="21"/>
                    </w:rPr>
                    <w:t>盛装</w:t>
                  </w:r>
                  <w:r>
                    <w:rPr>
                      <w:rFonts w:hint="eastAsia"/>
                      <w:sz w:val="21"/>
                      <w:szCs w:val="21"/>
                      <w:lang w:val="en-US" w:eastAsia="zh-CN"/>
                    </w:rPr>
                    <w:t>VOC</w:t>
                  </w:r>
                  <w:r>
                    <w:rPr>
                      <w:rFonts w:hint="eastAsia"/>
                      <w:sz w:val="21"/>
                      <w:szCs w:val="21"/>
                      <w:vertAlign w:val="subscript"/>
                      <w:lang w:val="en-US" w:eastAsia="zh-CN"/>
                    </w:rPr>
                    <w:t>S</w:t>
                  </w:r>
                  <w:r>
                    <w:rPr>
                      <w:rStyle w:val="30"/>
                      <w:rFonts w:hint="default" w:ascii="Times New Roman" w:hAnsi="Times New Roman" w:eastAsia="宋体" w:cs="Times New Roman"/>
                      <w:color w:val="auto"/>
                      <w:sz w:val="21"/>
                      <w:szCs w:val="21"/>
                    </w:rPr>
                    <w:t>物料的容器或包装袋应存放于室内，或存放于设置有雨棚、遮阳和防渗设施的专用场地。盛装</w:t>
                  </w:r>
                  <w:r>
                    <w:rPr>
                      <w:rFonts w:hint="eastAsia"/>
                      <w:sz w:val="21"/>
                      <w:szCs w:val="21"/>
                      <w:lang w:val="en-US" w:eastAsia="zh-CN"/>
                    </w:rPr>
                    <w:t>VOC</w:t>
                  </w:r>
                  <w:r>
                    <w:rPr>
                      <w:rFonts w:hint="eastAsia"/>
                      <w:sz w:val="21"/>
                      <w:szCs w:val="21"/>
                      <w:vertAlign w:val="subscript"/>
                      <w:lang w:val="en-US" w:eastAsia="zh-CN"/>
                    </w:rPr>
                    <w:t>S</w:t>
                  </w:r>
                  <w:r>
                    <w:rPr>
                      <w:rStyle w:val="30"/>
                      <w:rFonts w:hint="default" w:ascii="Times New Roman" w:hAnsi="Times New Roman" w:eastAsia="宋体" w:cs="Times New Roman"/>
                      <w:color w:val="auto"/>
                      <w:sz w:val="21"/>
                      <w:szCs w:val="21"/>
                    </w:rPr>
                    <w:t>物料的容器或包装袋在非取用状态时应加盖、封口，保持密闭</w:t>
                  </w:r>
                  <w:r>
                    <w:rPr>
                      <w:rStyle w:val="30"/>
                      <w:rFonts w:hint="eastAsia" w:cs="Times New Roman"/>
                      <w:color w:val="auto"/>
                      <w:sz w:val="21"/>
                      <w:szCs w:val="21"/>
                      <w:lang w:eastAsia="zh-CN"/>
                    </w:rPr>
                    <w:t>。</w:t>
                  </w:r>
                </w:p>
              </w:tc>
              <w:tc>
                <w:tcPr>
                  <w:tcW w:w="1366" w:type="pct"/>
                  <w:tcBorders>
                    <w:tl2br w:val="nil"/>
                    <w:tr2bl w:val="nil"/>
                  </w:tcBorders>
                  <w:noWrap w:val="0"/>
                  <w:vAlign w:val="center"/>
                </w:tcPr>
                <w:p w14:paraId="28F91EE5">
                  <w:pPr>
                    <w:pStyle w:val="27"/>
                    <w:keepNext w:val="0"/>
                    <w:keepLines w:val="0"/>
                    <w:pageBreakBefore w:val="0"/>
                    <w:widowControl w:val="0"/>
                    <w:kinsoku/>
                    <w:wordWrap/>
                    <w:overflowPunct/>
                    <w:topLinePunct w:val="0"/>
                    <w:autoSpaceDE/>
                    <w:autoSpaceDN/>
                    <w:bidi w:val="0"/>
                    <w:adjustRightInd/>
                    <w:snapToGrid/>
                    <w:textAlignment w:val="auto"/>
                    <w:rPr>
                      <w:rFonts w:hint="eastAsia" w:eastAsia="宋体"/>
                      <w:sz w:val="21"/>
                      <w:szCs w:val="21"/>
                      <w:lang w:eastAsia="zh-CN"/>
                    </w:rPr>
                  </w:pPr>
                  <w:r>
                    <w:rPr>
                      <w:rStyle w:val="30"/>
                      <w:rFonts w:hint="default" w:ascii="Times New Roman" w:hAnsi="Times New Roman" w:eastAsia="宋体" w:cs="Times New Roman"/>
                      <w:b w:val="0"/>
                      <w:bCs w:val="0"/>
                      <w:i w:val="0"/>
                      <w:iCs w:val="0"/>
                      <w:smallCaps w:val="0"/>
                      <w:strike w:val="0"/>
                      <w:color w:val="auto"/>
                      <w:sz w:val="21"/>
                      <w:szCs w:val="21"/>
                      <w:lang w:eastAsia="zh-CN"/>
                    </w:rPr>
                    <w:t>本项目</w:t>
                  </w:r>
                  <w:r>
                    <w:rPr>
                      <w:rFonts w:hint="eastAsia"/>
                      <w:sz w:val="21"/>
                      <w:szCs w:val="21"/>
                      <w:lang w:val="en-US" w:eastAsia="zh-CN"/>
                    </w:rPr>
                    <w:t>VOC</w:t>
                  </w:r>
                  <w:r>
                    <w:rPr>
                      <w:rFonts w:hint="eastAsia"/>
                      <w:sz w:val="21"/>
                      <w:szCs w:val="21"/>
                      <w:vertAlign w:val="subscript"/>
                      <w:lang w:val="en-US" w:eastAsia="zh-CN"/>
                    </w:rPr>
                    <w:t>S</w:t>
                  </w:r>
                  <w:r>
                    <w:rPr>
                      <w:rStyle w:val="30"/>
                      <w:rFonts w:hint="default" w:ascii="Times New Roman" w:hAnsi="Times New Roman" w:eastAsia="宋体" w:cs="Times New Roman"/>
                      <w:b w:val="0"/>
                      <w:bCs w:val="0"/>
                      <w:i w:val="0"/>
                      <w:iCs w:val="0"/>
                      <w:smallCaps w:val="0"/>
                      <w:strike w:val="0"/>
                      <w:color w:val="auto"/>
                      <w:sz w:val="21"/>
                      <w:szCs w:val="21"/>
                      <w:lang w:eastAsia="zh-CN"/>
                    </w:rPr>
                    <w:t>物料均储存于</w:t>
                  </w:r>
                  <w:r>
                    <w:rPr>
                      <w:rStyle w:val="30"/>
                      <w:rFonts w:hint="eastAsia" w:cs="Times New Roman"/>
                      <w:b w:val="0"/>
                      <w:bCs w:val="0"/>
                      <w:i w:val="0"/>
                      <w:iCs w:val="0"/>
                      <w:smallCaps w:val="0"/>
                      <w:strike w:val="0"/>
                      <w:color w:val="auto"/>
                      <w:sz w:val="21"/>
                      <w:szCs w:val="21"/>
                      <w:lang w:val="en-US" w:eastAsia="zh-CN"/>
                    </w:rPr>
                    <w:t>危品库内</w:t>
                  </w:r>
                  <w:r>
                    <w:rPr>
                      <w:rStyle w:val="30"/>
                      <w:rFonts w:hint="default" w:ascii="Times New Roman" w:hAnsi="Times New Roman" w:eastAsia="宋体" w:cs="Times New Roman"/>
                      <w:b w:val="0"/>
                      <w:bCs w:val="0"/>
                      <w:i w:val="0"/>
                      <w:iCs w:val="0"/>
                      <w:smallCaps w:val="0"/>
                      <w:strike w:val="0"/>
                      <w:color w:val="auto"/>
                      <w:sz w:val="21"/>
                      <w:szCs w:val="21"/>
                      <w:lang w:eastAsia="zh-CN"/>
                    </w:rPr>
                    <w:t>，储存区域</w:t>
                  </w:r>
                  <w:r>
                    <w:rPr>
                      <w:rStyle w:val="30"/>
                      <w:rFonts w:hint="default" w:ascii="Times New Roman" w:hAnsi="Times New Roman" w:eastAsia="宋体" w:cs="Times New Roman"/>
                      <w:b w:val="0"/>
                      <w:bCs w:val="0"/>
                      <w:i w:val="0"/>
                      <w:iCs w:val="0"/>
                      <w:smallCaps w:val="0"/>
                      <w:strike w:val="0"/>
                      <w:color w:val="auto"/>
                      <w:sz w:val="21"/>
                      <w:szCs w:val="21"/>
                    </w:rPr>
                    <w:t>采用刷环氧地坪漆等方式进行进一步的防渗处理</w:t>
                  </w:r>
                  <w:r>
                    <w:rPr>
                      <w:rStyle w:val="30"/>
                      <w:rFonts w:hint="default" w:ascii="Times New Roman" w:hAnsi="Times New Roman" w:eastAsia="宋体" w:cs="Times New Roman"/>
                      <w:b w:val="0"/>
                      <w:bCs w:val="0"/>
                      <w:i w:val="0"/>
                      <w:iCs w:val="0"/>
                      <w:smallCaps w:val="0"/>
                      <w:strike w:val="0"/>
                      <w:color w:val="auto"/>
                      <w:sz w:val="21"/>
                      <w:szCs w:val="21"/>
                      <w:lang w:eastAsia="zh-CN"/>
                    </w:rPr>
                    <w:t>，盛放</w:t>
                  </w:r>
                  <w:r>
                    <w:rPr>
                      <w:rFonts w:hint="eastAsia"/>
                      <w:sz w:val="21"/>
                      <w:szCs w:val="21"/>
                      <w:lang w:val="en-US" w:eastAsia="zh-CN"/>
                    </w:rPr>
                    <w:t>VOC</w:t>
                  </w:r>
                  <w:r>
                    <w:rPr>
                      <w:rFonts w:hint="eastAsia"/>
                      <w:sz w:val="21"/>
                      <w:szCs w:val="21"/>
                      <w:vertAlign w:val="subscript"/>
                      <w:lang w:val="en-US" w:eastAsia="zh-CN"/>
                    </w:rPr>
                    <w:t>S</w:t>
                  </w:r>
                  <w:r>
                    <w:rPr>
                      <w:rStyle w:val="30"/>
                      <w:rFonts w:hint="default" w:ascii="Times New Roman" w:hAnsi="Times New Roman" w:eastAsia="宋体" w:cs="Times New Roman"/>
                      <w:b w:val="0"/>
                      <w:bCs w:val="0"/>
                      <w:i w:val="0"/>
                      <w:iCs w:val="0"/>
                      <w:smallCaps w:val="0"/>
                      <w:strike w:val="0"/>
                      <w:color w:val="auto"/>
                      <w:sz w:val="21"/>
                      <w:szCs w:val="21"/>
                    </w:rPr>
                    <w:t>物料的容器或包装袋在非取用状态时加盖、封口，保持密闭</w:t>
                  </w:r>
                  <w:r>
                    <w:rPr>
                      <w:rStyle w:val="30"/>
                      <w:rFonts w:hint="eastAsia" w:cs="Times New Roman"/>
                      <w:b w:val="0"/>
                      <w:bCs w:val="0"/>
                      <w:i w:val="0"/>
                      <w:iCs w:val="0"/>
                      <w:smallCaps w:val="0"/>
                      <w:strike w:val="0"/>
                      <w:color w:val="auto"/>
                      <w:sz w:val="21"/>
                      <w:szCs w:val="21"/>
                      <w:lang w:eastAsia="zh-CN"/>
                    </w:rPr>
                    <w:t>。</w:t>
                  </w:r>
                </w:p>
              </w:tc>
              <w:tc>
                <w:tcPr>
                  <w:tcW w:w="398" w:type="pct"/>
                  <w:vMerge w:val="restart"/>
                  <w:tcBorders>
                    <w:tl2br w:val="nil"/>
                    <w:tr2bl w:val="nil"/>
                  </w:tcBorders>
                  <w:noWrap w:val="0"/>
                  <w:vAlign w:val="center"/>
                </w:tcPr>
                <w:p w14:paraId="6CC612E5">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r>
                    <w:rPr>
                      <w:rFonts w:hint="default"/>
                      <w:sz w:val="21"/>
                      <w:szCs w:val="21"/>
                    </w:rPr>
                    <w:t>符合</w:t>
                  </w:r>
                </w:p>
              </w:tc>
            </w:tr>
            <w:tr w14:paraId="5778BE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vMerge w:val="continue"/>
                  <w:tcBorders>
                    <w:tl2br w:val="nil"/>
                    <w:tr2bl w:val="nil"/>
                  </w:tcBorders>
                  <w:noWrap w:val="0"/>
                  <w:vAlign w:val="center"/>
                </w:tcPr>
                <w:p w14:paraId="77653227">
                  <w:pPr>
                    <w:pStyle w:val="27"/>
                    <w:keepNext w:val="0"/>
                    <w:keepLines w:val="0"/>
                    <w:pageBreakBefore w:val="0"/>
                    <w:widowControl w:val="0"/>
                    <w:kinsoku/>
                    <w:wordWrap/>
                    <w:overflowPunct/>
                    <w:topLinePunct w:val="0"/>
                    <w:autoSpaceDE/>
                    <w:autoSpaceDN/>
                    <w:bidi w:val="0"/>
                    <w:adjustRightInd/>
                    <w:snapToGrid/>
                    <w:textAlignment w:val="auto"/>
                    <w:rPr>
                      <w:sz w:val="21"/>
                      <w:szCs w:val="21"/>
                    </w:rPr>
                  </w:pPr>
                </w:p>
              </w:tc>
              <w:tc>
                <w:tcPr>
                  <w:tcW w:w="2274" w:type="pct"/>
                  <w:tcBorders>
                    <w:tl2br w:val="nil"/>
                    <w:tr2bl w:val="nil"/>
                  </w:tcBorders>
                  <w:noWrap w:val="0"/>
                  <w:vAlign w:val="center"/>
                </w:tcPr>
                <w:p w14:paraId="5E95FC4D">
                  <w:pPr>
                    <w:pStyle w:val="27"/>
                    <w:keepNext w:val="0"/>
                    <w:keepLines w:val="0"/>
                    <w:pageBreakBefore w:val="0"/>
                    <w:widowControl w:val="0"/>
                    <w:kinsoku/>
                    <w:wordWrap/>
                    <w:overflowPunct/>
                    <w:topLinePunct w:val="0"/>
                    <w:autoSpaceDE/>
                    <w:autoSpaceDN/>
                    <w:bidi w:val="0"/>
                    <w:adjustRightInd/>
                    <w:snapToGrid/>
                    <w:textAlignment w:val="auto"/>
                    <w:rPr>
                      <w:rFonts w:hint="eastAsia" w:eastAsia="宋体"/>
                      <w:sz w:val="21"/>
                      <w:szCs w:val="21"/>
                      <w:lang w:eastAsia="zh-CN"/>
                    </w:rPr>
                  </w:pPr>
                  <w:r>
                    <w:rPr>
                      <w:rFonts w:hint="eastAsia"/>
                      <w:sz w:val="21"/>
                      <w:szCs w:val="21"/>
                      <w:lang w:val="en-US" w:eastAsia="zh-CN"/>
                    </w:rPr>
                    <w:t>VOC</w:t>
                  </w:r>
                  <w:r>
                    <w:rPr>
                      <w:rFonts w:hint="eastAsia"/>
                      <w:sz w:val="21"/>
                      <w:szCs w:val="21"/>
                      <w:vertAlign w:val="subscript"/>
                      <w:lang w:val="en-US" w:eastAsia="zh-CN"/>
                    </w:rPr>
                    <w:t>S</w:t>
                  </w:r>
                  <w:r>
                    <w:rPr>
                      <w:rStyle w:val="30"/>
                      <w:rFonts w:hint="default" w:ascii="Times New Roman" w:hAnsi="Times New Roman" w:eastAsia="宋体" w:cs="Times New Roman"/>
                      <w:color w:val="auto"/>
                      <w:sz w:val="21"/>
                      <w:szCs w:val="21"/>
                    </w:rPr>
                    <w:t>质量占比大于等于10%的含</w:t>
                  </w:r>
                  <w:r>
                    <w:rPr>
                      <w:rFonts w:hint="eastAsia"/>
                      <w:sz w:val="21"/>
                      <w:szCs w:val="21"/>
                      <w:lang w:val="en-US" w:eastAsia="zh-CN"/>
                    </w:rPr>
                    <w:t>VOC</w:t>
                  </w:r>
                  <w:r>
                    <w:rPr>
                      <w:rFonts w:hint="eastAsia"/>
                      <w:sz w:val="21"/>
                      <w:szCs w:val="21"/>
                      <w:vertAlign w:val="subscript"/>
                      <w:lang w:val="en-US" w:eastAsia="zh-CN"/>
                    </w:rPr>
                    <w:t>S</w:t>
                  </w:r>
                  <w:r>
                    <w:rPr>
                      <w:rStyle w:val="30"/>
                      <w:rFonts w:hint="default" w:ascii="Times New Roman" w:hAnsi="Times New Roman" w:eastAsia="宋体" w:cs="Times New Roman"/>
                      <w:color w:val="auto"/>
                      <w:sz w:val="21"/>
                      <w:szCs w:val="21"/>
                    </w:rPr>
                    <w:t>产品，其使用过程应釆用密闭设备或在密闭空间内操作，废气应排至</w:t>
                  </w:r>
                  <w:r>
                    <w:rPr>
                      <w:rFonts w:hint="eastAsia"/>
                      <w:sz w:val="21"/>
                      <w:szCs w:val="21"/>
                      <w:lang w:val="en-US" w:eastAsia="zh-CN"/>
                    </w:rPr>
                    <w:t>VOC</w:t>
                  </w:r>
                  <w:r>
                    <w:rPr>
                      <w:rFonts w:hint="eastAsia"/>
                      <w:sz w:val="21"/>
                      <w:szCs w:val="21"/>
                      <w:vertAlign w:val="subscript"/>
                      <w:lang w:val="en-US" w:eastAsia="zh-CN"/>
                    </w:rPr>
                    <w:t>S</w:t>
                  </w:r>
                  <w:r>
                    <w:rPr>
                      <w:rStyle w:val="30"/>
                      <w:rFonts w:hint="default" w:ascii="Times New Roman" w:hAnsi="Times New Roman" w:eastAsia="宋体" w:cs="Times New Roman"/>
                      <w:color w:val="auto"/>
                      <w:sz w:val="21"/>
                      <w:szCs w:val="21"/>
                    </w:rPr>
                    <w:t>废气收集处理系统；无法密闭的，应采取局部气体收集措施，废气应排至</w:t>
                  </w:r>
                  <w:r>
                    <w:rPr>
                      <w:rFonts w:hint="eastAsia"/>
                      <w:sz w:val="21"/>
                      <w:szCs w:val="21"/>
                      <w:lang w:val="en-US" w:eastAsia="zh-CN"/>
                    </w:rPr>
                    <w:t>VOC</w:t>
                  </w:r>
                  <w:r>
                    <w:rPr>
                      <w:rFonts w:hint="eastAsia"/>
                      <w:sz w:val="21"/>
                      <w:szCs w:val="21"/>
                      <w:vertAlign w:val="subscript"/>
                      <w:lang w:val="en-US" w:eastAsia="zh-CN"/>
                    </w:rPr>
                    <w:t>S</w:t>
                  </w:r>
                  <w:r>
                    <w:rPr>
                      <w:rStyle w:val="30"/>
                      <w:rFonts w:hint="default" w:ascii="Times New Roman" w:hAnsi="Times New Roman" w:eastAsia="宋体" w:cs="Times New Roman"/>
                      <w:color w:val="auto"/>
                      <w:sz w:val="21"/>
                      <w:szCs w:val="21"/>
                    </w:rPr>
                    <w:t>废气收集处理系统</w:t>
                  </w:r>
                  <w:r>
                    <w:rPr>
                      <w:rStyle w:val="30"/>
                      <w:rFonts w:hint="eastAsia" w:cs="Times New Roman"/>
                      <w:color w:val="auto"/>
                      <w:sz w:val="21"/>
                      <w:szCs w:val="21"/>
                      <w:lang w:eastAsia="zh-CN"/>
                    </w:rPr>
                    <w:t>。</w:t>
                  </w:r>
                </w:p>
              </w:tc>
              <w:tc>
                <w:tcPr>
                  <w:tcW w:w="1366" w:type="pct"/>
                  <w:tcBorders>
                    <w:tl2br w:val="nil"/>
                    <w:tr2bl w:val="nil"/>
                  </w:tcBorders>
                  <w:noWrap w:val="0"/>
                  <w:vAlign w:val="center"/>
                </w:tcPr>
                <w:p w14:paraId="1FFC4CE2">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sz w:val="21"/>
                      <w:szCs w:val="21"/>
                      <w:lang w:val="en-US" w:eastAsia="zh-CN"/>
                    </w:rPr>
                  </w:pPr>
                  <w:r>
                    <w:rPr>
                      <w:rStyle w:val="30"/>
                      <w:rFonts w:hint="default" w:ascii="Times New Roman" w:hAnsi="Times New Roman" w:eastAsia="宋体" w:cs="Times New Roman"/>
                      <w:color w:val="auto"/>
                      <w:sz w:val="21"/>
                      <w:szCs w:val="21"/>
                    </w:rPr>
                    <w:t>本项</w:t>
                  </w:r>
                  <w:r>
                    <w:rPr>
                      <w:rFonts w:hint="default" w:ascii="Times New Roman" w:hAnsi="Times New Roman" w:cs="Times New Roman"/>
                      <w:color w:val="auto"/>
                      <w:sz w:val="21"/>
                      <w:szCs w:val="21"/>
                    </w:rPr>
                    <w:t>目生产</w:t>
                  </w:r>
                  <w:r>
                    <w:rPr>
                      <w:rStyle w:val="30"/>
                      <w:rFonts w:hint="eastAsia" w:ascii="Times New Roman" w:hAnsi="Times New Roman" w:eastAsia="宋体" w:cs="Times New Roman"/>
                      <w:color w:val="auto"/>
                      <w:sz w:val="21"/>
                      <w:szCs w:val="21"/>
                      <w:lang w:val="en-US" w:eastAsia="zh-CN"/>
                    </w:rPr>
                    <w:t>过程</w:t>
                  </w:r>
                  <w:r>
                    <w:rPr>
                      <w:rStyle w:val="30"/>
                      <w:rFonts w:hint="default" w:ascii="Times New Roman" w:hAnsi="Times New Roman" w:eastAsia="宋体" w:cs="Times New Roman"/>
                      <w:color w:val="auto"/>
                      <w:sz w:val="21"/>
                      <w:szCs w:val="21"/>
                    </w:rPr>
                    <w:t>在</w:t>
                  </w:r>
                  <w:r>
                    <w:rPr>
                      <w:rStyle w:val="30"/>
                      <w:rFonts w:hint="eastAsia" w:ascii="Times New Roman" w:hAnsi="Times New Roman" w:eastAsia="宋体" w:cs="Times New Roman"/>
                      <w:color w:val="auto"/>
                      <w:sz w:val="21"/>
                      <w:szCs w:val="21"/>
                      <w:lang w:val="en-US" w:eastAsia="zh-CN"/>
                    </w:rPr>
                    <w:t>密闭的</w:t>
                  </w:r>
                  <w:r>
                    <w:rPr>
                      <w:rStyle w:val="30"/>
                      <w:rFonts w:hint="eastAsia" w:cs="Times New Roman"/>
                      <w:color w:val="auto"/>
                      <w:sz w:val="21"/>
                      <w:szCs w:val="21"/>
                      <w:lang w:val="en-US" w:eastAsia="zh-CN"/>
                    </w:rPr>
                    <w:t>喷漆房</w:t>
                  </w:r>
                  <w:r>
                    <w:rPr>
                      <w:rStyle w:val="30"/>
                      <w:rFonts w:hint="default" w:ascii="Times New Roman" w:hAnsi="Times New Roman" w:eastAsia="宋体" w:cs="Times New Roman"/>
                      <w:color w:val="auto"/>
                      <w:sz w:val="21"/>
                      <w:szCs w:val="21"/>
                    </w:rPr>
                    <w:t>进行，</w:t>
                  </w:r>
                  <w:r>
                    <w:rPr>
                      <w:rStyle w:val="30"/>
                      <w:rFonts w:hint="eastAsia" w:ascii="Times New Roman" w:hAnsi="Times New Roman" w:eastAsia="宋体" w:cs="Times New Roman"/>
                      <w:color w:val="auto"/>
                      <w:sz w:val="21"/>
                      <w:szCs w:val="21"/>
                      <w:lang w:val="en-US" w:eastAsia="zh-CN"/>
                    </w:rPr>
                    <w:t>有机废气采用管道收集，进入</w:t>
                  </w:r>
                  <w:r>
                    <w:rPr>
                      <w:rFonts w:hint="eastAsia"/>
                      <w:sz w:val="21"/>
                      <w:szCs w:val="21"/>
                      <w:lang w:val="en-US" w:eastAsia="zh-CN"/>
                    </w:rPr>
                    <w:t>过滤棉+活性炭吸附/脱附+催化燃烧装置</w:t>
                  </w:r>
                  <w:r>
                    <w:rPr>
                      <w:rStyle w:val="30"/>
                      <w:rFonts w:hint="eastAsia" w:ascii="Times New Roman" w:hAnsi="Times New Roman" w:eastAsia="宋体" w:cs="Times New Roman"/>
                      <w:color w:val="auto"/>
                      <w:sz w:val="21"/>
                      <w:szCs w:val="21"/>
                      <w:lang w:val="en-US" w:eastAsia="zh-CN"/>
                    </w:rPr>
                    <w:t>处理后达标排放</w:t>
                  </w:r>
                  <w:r>
                    <w:rPr>
                      <w:rStyle w:val="30"/>
                      <w:rFonts w:hint="eastAsia" w:cs="Times New Roman"/>
                      <w:color w:val="auto"/>
                      <w:sz w:val="21"/>
                      <w:szCs w:val="21"/>
                      <w:lang w:val="en-US" w:eastAsia="zh-CN"/>
                    </w:rPr>
                    <w:t>。</w:t>
                  </w:r>
                </w:p>
              </w:tc>
              <w:tc>
                <w:tcPr>
                  <w:tcW w:w="398" w:type="pct"/>
                  <w:vMerge w:val="continue"/>
                  <w:tcBorders>
                    <w:tl2br w:val="nil"/>
                    <w:tr2bl w:val="nil"/>
                  </w:tcBorders>
                  <w:noWrap w:val="0"/>
                  <w:vAlign w:val="center"/>
                </w:tcPr>
                <w:p w14:paraId="45EC6064">
                  <w:pPr>
                    <w:pStyle w:val="27"/>
                    <w:keepNext w:val="0"/>
                    <w:keepLines w:val="0"/>
                    <w:pageBreakBefore w:val="0"/>
                    <w:widowControl w:val="0"/>
                    <w:kinsoku/>
                    <w:wordWrap/>
                    <w:overflowPunct/>
                    <w:topLinePunct w:val="0"/>
                    <w:autoSpaceDE/>
                    <w:autoSpaceDN/>
                    <w:bidi w:val="0"/>
                    <w:adjustRightInd/>
                    <w:snapToGrid/>
                    <w:textAlignment w:val="auto"/>
                    <w:rPr>
                      <w:rFonts w:hint="default"/>
                      <w:sz w:val="21"/>
                      <w:szCs w:val="21"/>
                    </w:rPr>
                  </w:pPr>
                </w:p>
              </w:tc>
            </w:tr>
            <w:tr w14:paraId="107F3F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vMerge w:val="restart"/>
                  <w:tcBorders>
                    <w:tl2br w:val="nil"/>
                    <w:tr2bl w:val="nil"/>
                  </w:tcBorders>
                  <w:noWrap w:val="0"/>
                  <w:vAlign w:val="center"/>
                </w:tcPr>
                <w:p w14:paraId="03E0F233">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sz w:val="21"/>
                      <w:szCs w:val="21"/>
                    </w:rPr>
                  </w:pPr>
                  <w:r>
                    <w:rPr>
                      <w:rFonts w:hint="default"/>
                      <w:sz w:val="21"/>
                      <w:szCs w:val="21"/>
                    </w:rPr>
                    <w:t>河北省挥发性有机物污染防治行动计划（2018-2020年）</w:t>
                  </w:r>
                </w:p>
              </w:tc>
              <w:tc>
                <w:tcPr>
                  <w:tcW w:w="2274" w:type="pct"/>
                  <w:tcBorders>
                    <w:tl2br w:val="nil"/>
                    <w:tr2bl w:val="nil"/>
                  </w:tcBorders>
                  <w:noWrap w:val="0"/>
                  <w:vAlign w:val="center"/>
                </w:tcPr>
                <w:p w14:paraId="3DC58ABC">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Style w:val="31"/>
                      <w:rFonts w:hint="eastAsia" w:ascii="Times New Roman" w:hAnsi="Times New Roman" w:eastAsia="宋体" w:cs="Times New Roman"/>
                      <w:color w:val="auto"/>
                      <w:sz w:val="21"/>
                      <w:szCs w:val="21"/>
                      <w:lang w:eastAsia="zh-CN"/>
                    </w:rPr>
                  </w:pPr>
                  <w:r>
                    <w:rPr>
                      <w:rFonts w:hint="default"/>
                      <w:sz w:val="21"/>
                      <w:szCs w:val="21"/>
                    </w:rPr>
                    <w:t>严守生态保护红线、环境质量底线、资源利用上限和环境准入负面清单，重点地区要严格限制石化、化工、包装印刷、工业涂装等高</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排放建设项目</w:t>
                  </w:r>
                  <w:r>
                    <w:rPr>
                      <w:rFonts w:hint="eastAsia"/>
                      <w:sz w:val="21"/>
                      <w:szCs w:val="21"/>
                      <w:lang w:eastAsia="zh-CN"/>
                    </w:rPr>
                    <w:t>。</w:t>
                  </w:r>
                </w:p>
              </w:tc>
              <w:tc>
                <w:tcPr>
                  <w:tcW w:w="1366" w:type="pct"/>
                  <w:tcBorders>
                    <w:tl2br w:val="nil"/>
                    <w:tr2bl w:val="nil"/>
                  </w:tcBorders>
                  <w:noWrap w:val="0"/>
                  <w:vAlign w:val="center"/>
                </w:tcPr>
                <w:p w14:paraId="2F5489DB">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Style w:val="30"/>
                      <w:rFonts w:hint="default" w:ascii="Times New Roman" w:hAnsi="Times New Roman" w:eastAsia="宋体" w:cs="Times New Roman"/>
                      <w:color w:val="auto"/>
                      <w:sz w:val="21"/>
                      <w:szCs w:val="21"/>
                    </w:rPr>
                  </w:pPr>
                  <w:r>
                    <w:rPr>
                      <w:rFonts w:hint="default"/>
                      <w:sz w:val="21"/>
                      <w:szCs w:val="21"/>
                    </w:rPr>
                    <w:t>本项目满足生态保护红线、环境质量底线、资源利用上线和环境准入负面清单要求，项目</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排放量较小。</w:t>
                  </w:r>
                </w:p>
              </w:tc>
              <w:tc>
                <w:tcPr>
                  <w:tcW w:w="398" w:type="pct"/>
                  <w:vMerge w:val="restart"/>
                  <w:tcBorders>
                    <w:tl2br w:val="nil"/>
                    <w:tr2bl w:val="nil"/>
                  </w:tcBorders>
                  <w:noWrap w:val="0"/>
                  <w:vAlign w:val="center"/>
                </w:tcPr>
                <w:p w14:paraId="6FF33BFD">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rPr>
                  </w:pPr>
                  <w:r>
                    <w:rPr>
                      <w:rFonts w:hint="default"/>
                      <w:sz w:val="21"/>
                      <w:szCs w:val="21"/>
                    </w:rPr>
                    <w:t>符合</w:t>
                  </w:r>
                </w:p>
              </w:tc>
            </w:tr>
            <w:tr w14:paraId="2B4DE7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vMerge w:val="continue"/>
                  <w:tcBorders>
                    <w:tl2br w:val="nil"/>
                    <w:tr2bl w:val="nil"/>
                  </w:tcBorders>
                  <w:noWrap w:val="0"/>
                  <w:vAlign w:val="center"/>
                </w:tcPr>
                <w:p w14:paraId="7A795CA1">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sz w:val="21"/>
                      <w:szCs w:val="21"/>
                    </w:rPr>
                  </w:pPr>
                </w:p>
              </w:tc>
              <w:tc>
                <w:tcPr>
                  <w:tcW w:w="2274" w:type="pct"/>
                  <w:tcBorders>
                    <w:tl2br w:val="nil"/>
                    <w:tr2bl w:val="nil"/>
                  </w:tcBorders>
                  <w:noWrap w:val="0"/>
                  <w:vAlign w:val="center"/>
                </w:tcPr>
                <w:p w14:paraId="64ED221C">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Style w:val="31"/>
                      <w:rFonts w:hint="eastAsia" w:ascii="Times New Roman" w:hAnsi="Times New Roman" w:eastAsia="宋体" w:cs="Times New Roman"/>
                      <w:color w:val="auto"/>
                      <w:sz w:val="21"/>
                      <w:szCs w:val="21"/>
                      <w:lang w:eastAsia="zh-CN"/>
                    </w:rPr>
                  </w:pPr>
                  <w:r>
                    <w:rPr>
                      <w:rFonts w:hint="default"/>
                      <w:sz w:val="21"/>
                      <w:szCs w:val="21"/>
                    </w:rPr>
                    <w:t>新、改、扩建涉</w:t>
                  </w:r>
                  <w:r>
                    <w:rPr>
                      <w:rFonts w:hint="eastAsia"/>
                      <w:sz w:val="21"/>
                      <w:szCs w:val="21"/>
                      <w:lang w:val="en-US" w:eastAsia="zh-CN"/>
                    </w:rPr>
                    <w:t>VOC</w:t>
                  </w:r>
                  <w:r>
                    <w:rPr>
                      <w:rFonts w:hint="eastAsia"/>
                      <w:sz w:val="21"/>
                      <w:szCs w:val="21"/>
                      <w:vertAlign w:val="subscript"/>
                      <w:lang w:val="en-US" w:eastAsia="zh-CN"/>
                    </w:rPr>
                    <w:t>S</w:t>
                  </w:r>
                  <w:r>
                    <w:rPr>
                      <w:rFonts w:hint="default"/>
                      <w:sz w:val="21"/>
                      <w:szCs w:val="21"/>
                    </w:rPr>
                    <w:t>排放项目，应从源头加强控制，使用低（无）VOC含量的原辅材料</w:t>
                  </w:r>
                  <w:r>
                    <w:rPr>
                      <w:rFonts w:hint="eastAsia"/>
                      <w:sz w:val="21"/>
                      <w:szCs w:val="21"/>
                      <w:lang w:eastAsia="zh-CN"/>
                    </w:rPr>
                    <w:t>。</w:t>
                  </w:r>
                </w:p>
              </w:tc>
              <w:tc>
                <w:tcPr>
                  <w:tcW w:w="1366" w:type="pct"/>
                  <w:tcBorders>
                    <w:tl2br w:val="nil"/>
                    <w:tr2bl w:val="nil"/>
                  </w:tcBorders>
                  <w:noWrap w:val="0"/>
                  <w:vAlign w:val="center"/>
                </w:tcPr>
                <w:p w14:paraId="16879887">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Style w:val="30"/>
                      <w:rFonts w:hint="default" w:ascii="Times New Roman" w:hAnsi="Times New Roman" w:eastAsia="宋体" w:cs="Times New Roman"/>
                      <w:color w:val="auto"/>
                      <w:sz w:val="21"/>
                      <w:szCs w:val="21"/>
                    </w:rPr>
                  </w:pPr>
                  <w:r>
                    <w:rPr>
                      <w:rFonts w:hint="eastAsia"/>
                      <w:sz w:val="21"/>
                      <w:szCs w:val="21"/>
                      <w:lang w:val="en-US" w:eastAsia="zh-CN"/>
                    </w:rPr>
                    <w:t>本项目采用低VOC</w:t>
                  </w:r>
                  <w:r>
                    <w:rPr>
                      <w:rFonts w:hint="eastAsia"/>
                      <w:sz w:val="21"/>
                      <w:szCs w:val="21"/>
                      <w:vertAlign w:val="subscript"/>
                      <w:lang w:val="en-US" w:eastAsia="zh-CN"/>
                    </w:rPr>
                    <w:t>S</w:t>
                  </w:r>
                  <w:r>
                    <w:rPr>
                      <w:rFonts w:hint="eastAsia"/>
                      <w:sz w:val="21"/>
                      <w:szCs w:val="21"/>
                      <w:lang w:val="en-US" w:eastAsia="zh-CN"/>
                    </w:rPr>
                    <w:t>含量的原料。</w:t>
                  </w:r>
                </w:p>
              </w:tc>
              <w:tc>
                <w:tcPr>
                  <w:tcW w:w="398" w:type="pct"/>
                  <w:vMerge w:val="continue"/>
                  <w:tcBorders>
                    <w:tl2br w:val="nil"/>
                    <w:tr2bl w:val="nil"/>
                  </w:tcBorders>
                  <w:noWrap w:val="0"/>
                  <w:vAlign w:val="center"/>
                </w:tcPr>
                <w:p w14:paraId="61CECA89">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rPr>
                  </w:pPr>
                </w:p>
              </w:tc>
            </w:tr>
            <w:tr w14:paraId="675D46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tcBorders>
                    <w:tl2br w:val="nil"/>
                    <w:tr2bl w:val="nil"/>
                  </w:tcBorders>
                  <w:noWrap w:val="0"/>
                  <w:vAlign w:val="center"/>
                </w:tcPr>
                <w:p w14:paraId="090B14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《关于在重点行业开展推广替代使用低挥发性有机物含量用</w:t>
                  </w:r>
                  <w:r>
                    <w:rPr>
                      <w:rFonts w:hint="eastAsia" w:ascii="宋体" w:hAnsi="宋体" w:eastAsia="宋体" w:cs="宋体"/>
                      <w:kern w:val="2"/>
                      <w:sz w:val="21"/>
                      <w:szCs w:val="21"/>
                      <w:highlight w:val="none"/>
                      <w:lang w:val="en-US" w:eastAsia="zh-CN" w:bidi="ar-SA"/>
                    </w:rPr>
                    <w:t>漆(涂料)</w:t>
                  </w:r>
                  <w:r>
                    <w:rPr>
                      <w:rFonts w:hint="default" w:ascii="Times New Roman" w:hAnsi="Times New Roman" w:eastAsia="宋体" w:cs="Times New Roman"/>
                      <w:kern w:val="2"/>
                      <w:sz w:val="21"/>
                      <w:szCs w:val="21"/>
                      <w:highlight w:val="none"/>
                      <w:lang w:val="en-US" w:eastAsia="zh-CN" w:bidi="ar-SA"/>
                    </w:rPr>
                    <w:t>工作的通知》</w:t>
                  </w:r>
                  <w:r>
                    <w:rPr>
                      <w:rFonts w:hint="eastAsia" w:ascii="宋体" w:hAnsi="宋体" w:eastAsia="宋体" w:cs="宋体"/>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2020年3月27</w:t>
                  </w:r>
                  <w:r>
                    <w:rPr>
                      <w:rFonts w:hint="eastAsia" w:ascii="宋体" w:hAnsi="宋体" w:eastAsia="宋体" w:cs="宋体"/>
                      <w:kern w:val="2"/>
                      <w:sz w:val="21"/>
                      <w:szCs w:val="21"/>
                      <w:highlight w:val="none"/>
                      <w:lang w:val="en-US" w:eastAsia="zh-CN" w:bidi="ar-SA"/>
                    </w:rPr>
                    <w:t>日)</w:t>
                  </w:r>
                </w:p>
              </w:tc>
              <w:tc>
                <w:tcPr>
                  <w:tcW w:w="2274" w:type="pct"/>
                  <w:tcBorders>
                    <w:tl2br w:val="nil"/>
                    <w:tr2bl w:val="nil"/>
                  </w:tcBorders>
                  <w:noWrap w:val="0"/>
                  <w:vAlign w:val="center"/>
                </w:tcPr>
                <w:p w14:paraId="769FCD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2020年5月底前，市区二环以内工业涂装、汽修、包装印刷等行业全部更换为水性</w:t>
                  </w:r>
                  <w:r>
                    <w:rPr>
                      <w:rFonts w:hint="eastAsia" w:ascii="宋体" w:hAnsi="宋体" w:eastAsia="宋体" w:cs="宋体"/>
                      <w:color w:val="auto"/>
                      <w:kern w:val="2"/>
                      <w:sz w:val="21"/>
                      <w:szCs w:val="21"/>
                      <w:highlight w:val="none"/>
                      <w:lang w:val="en-US" w:eastAsia="zh-CN" w:bidi="ar-SA"/>
                    </w:rPr>
                    <w:t>漆(涂料)等</w:t>
                  </w:r>
                  <w:r>
                    <w:rPr>
                      <w:rFonts w:hint="default" w:ascii="Times New Roman" w:hAnsi="Times New Roman" w:eastAsia="宋体" w:cs="Times New Roman"/>
                      <w:color w:val="auto"/>
                      <w:kern w:val="2"/>
                      <w:sz w:val="21"/>
                      <w:szCs w:val="21"/>
                      <w:highlight w:val="none"/>
                      <w:lang w:val="en-US" w:eastAsia="zh-CN" w:bidi="ar-SA"/>
                    </w:rPr>
                    <w:t>低VOC</w:t>
                  </w:r>
                  <w:r>
                    <w:rPr>
                      <w:rFonts w:hint="eastAsia" w:cs="Times New Roman"/>
                      <w:color w:val="auto"/>
                      <w:kern w:val="2"/>
                      <w:sz w:val="21"/>
                      <w:szCs w:val="21"/>
                      <w:highlight w:val="none"/>
                      <w:vertAlign w:val="subscript"/>
                      <w:lang w:val="en-US" w:eastAsia="zh-CN" w:bidi="ar-SA"/>
                    </w:rPr>
                    <w:t>S</w:t>
                  </w:r>
                  <w:r>
                    <w:rPr>
                      <w:rFonts w:hint="default" w:ascii="Times New Roman" w:hAnsi="Times New Roman" w:eastAsia="宋体" w:cs="Times New Roman"/>
                      <w:color w:val="auto"/>
                      <w:kern w:val="2"/>
                      <w:sz w:val="21"/>
                      <w:szCs w:val="21"/>
                      <w:highlight w:val="none"/>
                      <w:lang w:val="en-US" w:eastAsia="zh-CN" w:bidi="ar-SA"/>
                    </w:rPr>
                    <w:t>原辅料</w:t>
                  </w:r>
                  <w:r>
                    <w:rPr>
                      <w:rFonts w:hint="eastAsia" w:cs="Times New Roman"/>
                      <w:color w:val="auto"/>
                      <w:kern w:val="2"/>
                      <w:sz w:val="21"/>
                      <w:szCs w:val="21"/>
                      <w:highlight w:val="none"/>
                      <w:lang w:val="en-US" w:eastAsia="zh-CN" w:bidi="ar-SA"/>
                    </w:rPr>
                    <w:t>。</w:t>
                  </w:r>
                </w:p>
              </w:tc>
              <w:tc>
                <w:tcPr>
                  <w:tcW w:w="1366" w:type="pct"/>
                  <w:tcBorders>
                    <w:tl2br w:val="nil"/>
                    <w:tr2bl w:val="nil"/>
                  </w:tcBorders>
                  <w:noWrap w:val="0"/>
                  <w:vAlign w:val="center"/>
                </w:tcPr>
                <w:p w14:paraId="0BCE30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本项目位于高新技术开发区北部拓展区，项目所用水性漆和油性漆VOC含量满足《低挥发性有机化合物含量涂料产品技术要求》</w:t>
                  </w:r>
                  <w:r>
                    <w:rPr>
                      <w:rFonts w:hint="eastAsia" w:ascii="宋体" w:hAnsi="宋体" w:eastAsia="宋体" w:cs="宋体"/>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GB/T38597-2020</w:t>
                  </w:r>
                  <w:r>
                    <w:rPr>
                      <w:rFonts w:hint="eastAsia" w:ascii="宋体" w:hAnsi="宋体" w:eastAsia="宋体" w:cs="宋体"/>
                      <w:color w:val="auto"/>
                      <w:kern w:val="2"/>
                      <w:sz w:val="21"/>
                      <w:szCs w:val="21"/>
                      <w:highlight w:val="none"/>
                      <w:lang w:val="en-US" w:eastAsia="zh-CN" w:bidi="ar-SA"/>
                    </w:rPr>
                    <w:t>)表</w:t>
                  </w:r>
                  <w:r>
                    <w:rPr>
                      <w:rFonts w:hint="default" w:ascii="Times New Roman" w:hAnsi="Times New Roman" w:eastAsia="宋体" w:cs="Times New Roman"/>
                      <w:color w:val="auto"/>
                      <w:kern w:val="2"/>
                      <w:sz w:val="21"/>
                      <w:szCs w:val="21"/>
                      <w:highlight w:val="none"/>
                      <w:lang w:val="en-US" w:eastAsia="zh-CN" w:bidi="ar-SA"/>
                    </w:rPr>
                    <w:t>1</w:t>
                  </w:r>
                  <w:r>
                    <w:rPr>
                      <w:rFonts w:hint="eastAsia"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2中VOC含量要求</w:t>
                  </w:r>
                  <w:r>
                    <w:rPr>
                      <w:rFonts w:hint="eastAsia" w:cs="Times New Roman"/>
                      <w:color w:val="auto"/>
                      <w:kern w:val="2"/>
                      <w:sz w:val="21"/>
                      <w:szCs w:val="21"/>
                      <w:highlight w:val="none"/>
                      <w:lang w:val="en-US" w:eastAsia="zh-CN" w:bidi="ar-SA"/>
                    </w:rPr>
                    <w:t>（检测报告见附件）</w:t>
                  </w:r>
                  <w:r>
                    <w:rPr>
                      <w:rFonts w:hint="default" w:ascii="Times New Roman" w:hAnsi="Times New Roman" w:eastAsia="宋体" w:cs="Times New Roman"/>
                      <w:color w:val="auto"/>
                      <w:kern w:val="2"/>
                      <w:sz w:val="21"/>
                      <w:szCs w:val="21"/>
                      <w:highlight w:val="none"/>
                      <w:lang w:val="en-US" w:eastAsia="zh-CN" w:bidi="ar-SA"/>
                    </w:rPr>
                    <w:t>。</w:t>
                  </w:r>
                </w:p>
              </w:tc>
              <w:tc>
                <w:tcPr>
                  <w:tcW w:w="398" w:type="pct"/>
                  <w:tcBorders>
                    <w:tl2br w:val="nil"/>
                    <w:tr2bl w:val="nil"/>
                  </w:tcBorders>
                  <w:noWrap w:val="0"/>
                  <w:vAlign w:val="center"/>
                </w:tcPr>
                <w:p w14:paraId="69B45216">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rPr>
                  </w:pPr>
                  <w:r>
                    <w:rPr>
                      <w:rFonts w:hint="default"/>
                      <w:sz w:val="21"/>
                      <w:szCs w:val="21"/>
                    </w:rPr>
                    <w:t>符合</w:t>
                  </w:r>
                </w:p>
              </w:tc>
            </w:tr>
            <w:tr w14:paraId="2CE11E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vMerge w:val="restart"/>
                  <w:tcBorders>
                    <w:tl2br w:val="nil"/>
                    <w:tr2bl w:val="nil"/>
                  </w:tcBorders>
                  <w:noWrap w:val="0"/>
                  <w:vAlign w:val="center"/>
                </w:tcPr>
                <w:p w14:paraId="65C366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kern w:val="2"/>
                      <w:sz w:val="21"/>
                      <w:szCs w:val="21"/>
                      <w:lang w:val="en-US" w:eastAsia="zh-CN" w:bidi="ar-SA"/>
                    </w:rPr>
                    <w:t>《关于进一步做好涉VOC</w:t>
                  </w:r>
                  <w:r>
                    <w:rPr>
                      <w:rFonts w:hint="eastAsia" w:ascii="Times New Roman" w:hAnsi="Times New Roman" w:eastAsia="宋体" w:cs="Times New Roman"/>
                      <w:kern w:val="2"/>
                      <w:sz w:val="21"/>
                      <w:szCs w:val="21"/>
                      <w:vertAlign w:val="subscript"/>
                      <w:lang w:val="en-US" w:eastAsia="zh-CN" w:bidi="ar-SA"/>
                    </w:rPr>
                    <w:t>S</w:t>
                  </w:r>
                  <w:r>
                    <w:rPr>
                      <w:rFonts w:hint="default" w:ascii="Times New Roman" w:hAnsi="Times New Roman" w:eastAsia="宋体" w:cs="Times New Roman"/>
                      <w:kern w:val="2"/>
                      <w:sz w:val="21"/>
                      <w:szCs w:val="21"/>
                      <w:lang w:val="en-US" w:eastAsia="zh-CN" w:bidi="ar-SA"/>
                    </w:rPr>
                    <w:t>行业环保监督管理的通知》（唐气领办[2019]16号）</w:t>
                  </w:r>
                </w:p>
              </w:tc>
              <w:tc>
                <w:tcPr>
                  <w:tcW w:w="2274" w:type="pct"/>
                  <w:tcBorders>
                    <w:tl2br w:val="nil"/>
                    <w:tr2bl w:val="nil"/>
                  </w:tcBorders>
                  <w:noWrap w:val="0"/>
                  <w:vAlign w:val="center"/>
                </w:tcPr>
                <w:p w14:paraId="01BD65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加强企业有组织排放VOC</w:t>
                  </w:r>
                  <w:r>
                    <w:rPr>
                      <w:rFonts w:hint="eastAsia" w:ascii="Times New Roman" w:hAnsi="Times New Roman" w:eastAsia="宋体" w:cs="Times New Roman"/>
                      <w:kern w:val="2"/>
                      <w:sz w:val="21"/>
                      <w:szCs w:val="21"/>
                      <w:vertAlign w:val="subscript"/>
                      <w:lang w:val="en-US" w:eastAsia="zh-CN" w:bidi="ar-SA"/>
                    </w:rPr>
                    <w:t>S</w:t>
                  </w:r>
                  <w:r>
                    <w:rPr>
                      <w:rFonts w:hint="default" w:ascii="Times New Roman" w:hAnsi="Times New Roman" w:eastAsia="宋体" w:cs="Times New Roman"/>
                      <w:kern w:val="2"/>
                      <w:sz w:val="21"/>
                      <w:szCs w:val="21"/>
                      <w:lang w:val="en-US" w:eastAsia="zh-CN" w:bidi="ar-SA"/>
                    </w:rPr>
                    <w:t>自动监控</w:t>
                  </w:r>
                  <w:r>
                    <w:rPr>
                      <w:rFonts w:hint="eastAsia" w:ascii="Times New Roman" w:hAnsi="Times New Roman" w:eastAsia="宋体" w:cs="Times New Roman"/>
                      <w:kern w:val="2"/>
                      <w:sz w:val="21"/>
                      <w:szCs w:val="21"/>
                      <w:lang w:val="en-US" w:eastAsia="zh-CN" w:bidi="ar-SA"/>
                    </w:rPr>
                    <w:t>监测，将石化、化工、包装印刷、工业涂装等</w:t>
                  </w:r>
                  <w:r>
                    <w:rPr>
                      <w:rFonts w:hint="default" w:ascii="Times New Roman" w:hAnsi="Times New Roman" w:eastAsia="宋体" w:cs="Times New Roman"/>
                      <w:kern w:val="2"/>
                      <w:sz w:val="21"/>
                      <w:szCs w:val="21"/>
                      <w:lang w:val="en-US" w:eastAsia="zh-CN" w:bidi="ar-SA"/>
                    </w:rPr>
                    <w:t>VOC</w:t>
                  </w:r>
                  <w:r>
                    <w:rPr>
                      <w:rFonts w:hint="eastAsia" w:ascii="Times New Roman" w:hAnsi="Times New Roman" w:eastAsia="宋体" w:cs="Times New Roman"/>
                      <w:kern w:val="2"/>
                      <w:sz w:val="21"/>
                      <w:szCs w:val="21"/>
                      <w:vertAlign w:val="subscript"/>
                      <w:lang w:val="en-US" w:eastAsia="zh-CN" w:bidi="ar-SA"/>
                    </w:rPr>
                    <w:t>S</w:t>
                  </w:r>
                  <w:r>
                    <w:rPr>
                      <w:rFonts w:hint="eastAsia" w:ascii="Times New Roman" w:hAnsi="Times New Roman" w:eastAsia="宋体" w:cs="Times New Roman"/>
                      <w:kern w:val="2"/>
                      <w:sz w:val="21"/>
                      <w:szCs w:val="21"/>
                      <w:lang w:val="en-US" w:eastAsia="zh-CN" w:bidi="ar-SA"/>
                    </w:rPr>
                    <w:t>排放重点企业纳入重点排污单位名录，主要有组织排放口按《固定污染源废气非甲烷总烃 连续监测系统技术要求及检测方法》 （HJ1013-2018）技术要求安装非甲烷总烃自动监控设备，并与</w:t>
                  </w:r>
                  <w:r>
                    <w:rPr>
                      <w:rFonts w:hint="default" w:ascii="Times New Roman" w:hAnsi="Times New Roman" w:eastAsia="宋体" w:cs="Times New Roman"/>
                      <w:kern w:val="2"/>
                      <w:sz w:val="21"/>
                      <w:szCs w:val="21"/>
                      <w:lang w:val="en-US" w:eastAsia="zh-CN" w:bidi="ar-SA"/>
                    </w:rPr>
                    <w:t>生态环境部门联网，其他企业逐步配备自动监测或便携式VOC</w:t>
                  </w:r>
                  <w:r>
                    <w:rPr>
                      <w:rFonts w:hint="eastAsia" w:ascii="Times New Roman" w:hAnsi="Times New Roman" w:eastAsia="宋体" w:cs="Times New Roman"/>
                      <w:kern w:val="2"/>
                      <w:sz w:val="21"/>
                      <w:szCs w:val="21"/>
                      <w:vertAlign w:val="subscript"/>
                      <w:lang w:val="en-US" w:eastAsia="zh-CN" w:bidi="ar-SA"/>
                    </w:rPr>
                    <w:t>S</w:t>
                  </w:r>
                  <w:r>
                    <w:rPr>
                      <w:rFonts w:hint="eastAsia" w:ascii="Times New Roman" w:hAnsi="Times New Roman" w:eastAsia="宋体" w:cs="Times New Roman"/>
                      <w:kern w:val="2"/>
                      <w:sz w:val="21"/>
                      <w:szCs w:val="21"/>
                      <w:lang w:val="en-US" w:eastAsia="zh-CN" w:bidi="ar-SA"/>
                    </w:rPr>
                    <w:t>检测仪。推进</w:t>
                  </w:r>
                  <w:r>
                    <w:rPr>
                      <w:rFonts w:hint="default" w:ascii="Times New Roman" w:hAnsi="Times New Roman" w:eastAsia="宋体" w:cs="Times New Roman"/>
                      <w:kern w:val="2"/>
                      <w:sz w:val="21"/>
                      <w:szCs w:val="21"/>
                      <w:lang w:val="en-US" w:eastAsia="zh-CN" w:bidi="ar-SA"/>
                    </w:rPr>
                    <w:t>VOC</w:t>
                  </w:r>
                  <w:r>
                    <w:rPr>
                      <w:rFonts w:hint="eastAsia" w:ascii="Times New Roman" w:hAnsi="Times New Roman" w:eastAsia="宋体" w:cs="Times New Roman"/>
                      <w:kern w:val="2"/>
                      <w:sz w:val="21"/>
                      <w:szCs w:val="21"/>
                      <w:vertAlign w:val="subscript"/>
                      <w:lang w:val="en-US" w:eastAsia="zh-CN" w:bidi="ar-SA"/>
                    </w:rPr>
                    <w:t>S</w:t>
                  </w:r>
                  <w:r>
                    <w:rPr>
                      <w:rFonts w:hint="eastAsia" w:ascii="Times New Roman" w:hAnsi="Times New Roman" w:eastAsia="宋体" w:cs="Times New Roman"/>
                      <w:kern w:val="2"/>
                      <w:sz w:val="21"/>
                      <w:szCs w:val="21"/>
                      <w:lang w:val="en-US" w:eastAsia="zh-CN" w:bidi="ar-SA"/>
                    </w:rPr>
                    <w:t>重点排放源厂界</w:t>
                  </w:r>
                  <w:r>
                    <w:rPr>
                      <w:rFonts w:hint="default" w:ascii="Times New Roman" w:hAnsi="Times New Roman" w:eastAsia="宋体" w:cs="Times New Roman"/>
                      <w:kern w:val="2"/>
                      <w:sz w:val="21"/>
                      <w:szCs w:val="21"/>
                      <w:lang w:val="en-US" w:eastAsia="zh-CN" w:bidi="ar-SA"/>
                    </w:rPr>
                    <w:t>VOC</w:t>
                  </w:r>
                  <w:r>
                    <w:rPr>
                      <w:rFonts w:hint="eastAsia" w:ascii="Times New Roman" w:hAnsi="Times New Roman" w:eastAsia="宋体" w:cs="Times New Roman"/>
                      <w:kern w:val="2"/>
                      <w:sz w:val="21"/>
                      <w:szCs w:val="21"/>
                      <w:vertAlign w:val="subscript"/>
                      <w:lang w:val="en-US" w:eastAsia="zh-CN" w:bidi="ar-SA"/>
                    </w:rPr>
                    <w:t>S</w:t>
                  </w:r>
                  <w:r>
                    <w:rPr>
                      <w:rFonts w:hint="eastAsia" w:ascii="Times New Roman" w:hAnsi="Times New Roman" w:eastAsia="宋体" w:cs="Times New Roman"/>
                      <w:kern w:val="2"/>
                      <w:sz w:val="21"/>
                      <w:szCs w:val="21"/>
                      <w:lang w:val="en-US" w:eastAsia="zh-CN" w:bidi="ar-SA"/>
                    </w:rPr>
                    <w:t>监测设施建设。重点行业企业应严格执行行业自行监测技术指南，定期开展自行监测。省级以上工业园区应结合园区排放特征，配置</w:t>
                  </w:r>
                  <w:r>
                    <w:rPr>
                      <w:rFonts w:hint="default" w:ascii="Times New Roman" w:hAnsi="Times New Roman" w:eastAsia="宋体" w:cs="Times New Roman"/>
                      <w:kern w:val="2"/>
                      <w:sz w:val="21"/>
                      <w:szCs w:val="21"/>
                      <w:lang w:val="en-US" w:eastAsia="zh-CN" w:bidi="ar-SA"/>
                    </w:rPr>
                    <w:t>VOC</w:t>
                  </w:r>
                  <w:r>
                    <w:rPr>
                      <w:rFonts w:hint="eastAsia" w:ascii="Times New Roman" w:hAnsi="Times New Roman" w:eastAsia="宋体" w:cs="Times New Roman"/>
                      <w:kern w:val="2"/>
                      <w:sz w:val="21"/>
                      <w:szCs w:val="21"/>
                      <w:vertAlign w:val="subscript"/>
                      <w:lang w:val="en-US" w:eastAsia="zh-CN" w:bidi="ar-SA"/>
                    </w:rPr>
                    <w:t>S</w:t>
                  </w:r>
                  <w:r>
                    <w:rPr>
                      <w:rFonts w:hint="eastAsia" w:ascii="Times New Roman" w:hAnsi="Times New Roman" w:eastAsia="宋体" w:cs="Times New Roman"/>
                      <w:kern w:val="2"/>
                      <w:sz w:val="21"/>
                      <w:szCs w:val="21"/>
                      <w:lang w:val="en-US" w:eastAsia="zh-CN" w:bidi="ar-SA"/>
                    </w:rPr>
                    <w:t>连续自动采样体系或符合园区排放特征的</w:t>
                  </w:r>
                  <w:r>
                    <w:rPr>
                      <w:rFonts w:hint="default" w:ascii="Times New Roman" w:hAnsi="Times New Roman" w:eastAsia="宋体" w:cs="Times New Roman"/>
                      <w:kern w:val="2"/>
                      <w:sz w:val="21"/>
                      <w:szCs w:val="21"/>
                      <w:lang w:val="en-US" w:eastAsia="zh-CN" w:bidi="ar-SA"/>
                    </w:rPr>
                    <w:t>VOC</w:t>
                  </w:r>
                  <w:r>
                    <w:rPr>
                      <w:rFonts w:hint="eastAsia" w:ascii="Times New Roman" w:hAnsi="Times New Roman" w:eastAsia="宋体" w:cs="Times New Roman"/>
                      <w:kern w:val="2"/>
                      <w:sz w:val="21"/>
                      <w:szCs w:val="21"/>
                      <w:vertAlign w:val="subscript"/>
                      <w:lang w:val="en-US" w:eastAsia="zh-CN" w:bidi="ar-SA"/>
                    </w:rPr>
                    <w:t>S</w:t>
                  </w:r>
                  <w:r>
                    <w:rPr>
                      <w:rFonts w:hint="eastAsia" w:ascii="Times New Roman" w:hAnsi="Times New Roman" w:eastAsia="宋体" w:cs="Times New Roman"/>
                      <w:kern w:val="2"/>
                      <w:sz w:val="21"/>
                      <w:szCs w:val="21"/>
                      <w:lang w:val="en-US" w:eastAsia="zh-CN" w:bidi="ar-SA"/>
                    </w:rPr>
                    <w:t>监测监控体系。</w:t>
                  </w:r>
                </w:p>
              </w:tc>
              <w:tc>
                <w:tcPr>
                  <w:tcW w:w="1366" w:type="pct"/>
                  <w:tcBorders>
                    <w:tl2br w:val="nil"/>
                    <w:tr2bl w:val="nil"/>
                  </w:tcBorders>
                  <w:noWrap w:val="0"/>
                  <w:vAlign w:val="center"/>
                </w:tcPr>
                <w:p w14:paraId="4641AB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项目建成后，将按要求安装非甲烷总烃自动监控设备，并与</w:t>
                  </w:r>
                  <w:r>
                    <w:rPr>
                      <w:rFonts w:hint="default" w:ascii="Times New Roman" w:hAnsi="Times New Roman" w:eastAsia="宋体" w:cs="Times New Roman"/>
                      <w:kern w:val="2"/>
                      <w:sz w:val="21"/>
                      <w:szCs w:val="21"/>
                      <w:lang w:val="en-US" w:eastAsia="zh-CN" w:bidi="ar-SA"/>
                    </w:rPr>
                    <w:t>生态环境部门联网</w:t>
                  </w:r>
                  <w:r>
                    <w:rPr>
                      <w:rFonts w:hint="eastAsia" w:ascii="Times New Roman" w:hAnsi="Times New Roman" w:eastAsia="宋体" w:cs="Times New Roman"/>
                      <w:kern w:val="2"/>
                      <w:sz w:val="21"/>
                      <w:szCs w:val="21"/>
                      <w:lang w:val="en-US" w:eastAsia="zh-CN" w:bidi="ar-SA"/>
                    </w:rPr>
                    <w:t>。</w:t>
                  </w:r>
                </w:p>
              </w:tc>
              <w:tc>
                <w:tcPr>
                  <w:tcW w:w="398" w:type="pct"/>
                  <w:tcBorders>
                    <w:tl2br w:val="nil"/>
                    <w:tr2bl w:val="nil"/>
                  </w:tcBorders>
                  <w:noWrap w:val="0"/>
                  <w:vAlign w:val="center"/>
                </w:tcPr>
                <w:p w14:paraId="790BF5B8">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sz w:val="21"/>
                      <w:szCs w:val="21"/>
                    </w:rPr>
                  </w:pPr>
                  <w:r>
                    <w:rPr>
                      <w:rFonts w:hint="default"/>
                      <w:sz w:val="21"/>
                      <w:szCs w:val="21"/>
                    </w:rPr>
                    <w:t>符合</w:t>
                  </w:r>
                </w:p>
              </w:tc>
            </w:tr>
            <w:tr w14:paraId="4952B2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61" w:type="pct"/>
                  <w:vMerge w:val="continue"/>
                  <w:tcBorders>
                    <w:tl2br w:val="nil"/>
                    <w:tr2bl w:val="nil"/>
                  </w:tcBorders>
                  <w:noWrap w:val="0"/>
                  <w:vAlign w:val="center"/>
                </w:tcPr>
                <w:p w14:paraId="7B9E22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FF"/>
                      <w:kern w:val="2"/>
                      <w:sz w:val="21"/>
                      <w:szCs w:val="21"/>
                      <w:lang w:val="en-US" w:eastAsia="zh-CN" w:bidi="ar-SA"/>
                    </w:rPr>
                  </w:pPr>
                </w:p>
              </w:tc>
              <w:tc>
                <w:tcPr>
                  <w:tcW w:w="2274" w:type="pct"/>
                  <w:tcBorders>
                    <w:tl2br w:val="nil"/>
                    <w:tr2bl w:val="nil"/>
                  </w:tcBorders>
                  <w:noWrap w:val="0"/>
                  <w:vAlign w:val="center"/>
                </w:tcPr>
                <w:p w14:paraId="7C53C5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推进建设适宜高效的治污设施。喷涂废气应设置高效漆</w:t>
                  </w:r>
                  <w:r>
                    <w:rPr>
                      <w:rFonts w:hint="eastAsia" w:ascii="Times New Roman" w:hAnsi="Times New Roman" w:eastAsia="宋体" w:cs="Times New Roman"/>
                      <w:kern w:val="2"/>
                      <w:sz w:val="21"/>
                      <w:szCs w:val="21"/>
                      <w:lang w:val="en-US" w:eastAsia="zh-CN" w:bidi="ar-SA"/>
                    </w:rPr>
                    <w:t>雾处理装置。喷涂、晾（风）干废气宜采用吸附浓缩+燃烧处理方式，小风量的可采用一次性活性炭吸附等工艺。调配、流平等废气可与喷涂、晾（风）干废气一并处理。使用溶剂型涂料的生产线，烘干废气宜采用燃烧方式单独处理，具备条件的可采用回收式热力燃烧装置。</w:t>
                  </w:r>
                </w:p>
              </w:tc>
              <w:tc>
                <w:tcPr>
                  <w:tcW w:w="1366" w:type="pct"/>
                  <w:tcBorders>
                    <w:tl2br w:val="nil"/>
                    <w:tr2bl w:val="nil"/>
                  </w:tcBorders>
                  <w:noWrap w:val="0"/>
                  <w:vAlign w:val="center"/>
                </w:tcPr>
                <w:p w14:paraId="2FEBE5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本项目生产</w:t>
                  </w:r>
                  <w:r>
                    <w:rPr>
                      <w:rFonts w:hint="eastAsia" w:ascii="Times New Roman" w:hAnsi="Times New Roman" w:eastAsia="宋体" w:cs="Times New Roman"/>
                      <w:kern w:val="2"/>
                      <w:sz w:val="21"/>
                      <w:szCs w:val="21"/>
                      <w:lang w:val="en-US" w:eastAsia="zh-CN" w:bidi="ar-SA"/>
                    </w:rPr>
                    <w:t>过程</w:t>
                  </w:r>
                  <w:r>
                    <w:rPr>
                      <w:rFonts w:hint="default" w:ascii="Times New Roman" w:hAnsi="Times New Roman" w:eastAsia="宋体" w:cs="Times New Roman"/>
                      <w:kern w:val="2"/>
                      <w:sz w:val="21"/>
                      <w:szCs w:val="21"/>
                      <w:lang w:val="en-US" w:eastAsia="zh-CN" w:bidi="ar-SA"/>
                    </w:rPr>
                    <w:t>在</w:t>
                  </w:r>
                  <w:r>
                    <w:rPr>
                      <w:rFonts w:hint="eastAsia" w:ascii="Times New Roman" w:hAnsi="Times New Roman" w:eastAsia="宋体" w:cs="Times New Roman"/>
                      <w:kern w:val="2"/>
                      <w:sz w:val="21"/>
                      <w:szCs w:val="21"/>
                      <w:lang w:val="en-US" w:eastAsia="zh-CN" w:bidi="ar-SA"/>
                    </w:rPr>
                    <w:t>密闭的喷漆房</w:t>
                  </w:r>
                  <w:r>
                    <w:rPr>
                      <w:rFonts w:hint="default" w:ascii="Times New Roman" w:hAnsi="Times New Roman" w:eastAsia="宋体" w:cs="Times New Roman"/>
                      <w:kern w:val="2"/>
                      <w:sz w:val="21"/>
                      <w:szCs w:val="21"/>
                      <w:lang w:val="en-US" w:eastAsia="zh-CN" w:bidi="ar-SA"/>
                    </w:rPr>
                    <w:t>进行，</w:t>
                  </w:r>
                  <w:r>
                    <w:rPr>
                      <w:rFonts w:hint="eastAsia" w:ascii="Times New Roman" w:hAnsi="Times New Roman" w:eastAsia="宋体" w:cs="Times New Roman"/>
                      <w:kern w:val="2"/>
                      <w:sz w:val="21"/>
                      <w:szCs w:val="21"/>
                      <w:lang w:val="en-US" w:eastAsia="zh-CN" w:bidi="ar-SA"/>
                    </w:rPr>
                    <w:t>有机废气采用管道收集，进入过滤棉+活性炭吸附</w:t>
                  </w:r>
                  <w:r>
                    <w:rPr>
                      <w:rFonts w:hint="eastAsia" w:cs="Times New Roman"/>
                      <w:kern w:val="2"/>
                      <w:sz w:val="21"/>
                      <w:szCs w:val="21"/>
                      <w:lang w:val="en-US" w:eastAsia="zh-CN" w:bidi="ar-SA"/>
                    </w:rPr>
                    <w:t>/脱附</w:t>
                  </w:r>
                  <w:r>
                    <w:rPr>
                      <w:rFonts w:hint="eastAsia" w:ascii="Times New Roman" w:hAnsi="Times New Roman" w:eastAsia="宋体" w:cs="Times New Roman"/>
                      <w:kern w:val="2"/>
                      <w:sz w:val="21"/>
                      <w:szCs w:val="21"/>
                      <w:lang w:val="en-US" w:eastAsia="zh-CN" w:bidi="ar-SA"/>
                    </w:rPr>
                    <w:t>+催化燃烧</w:t>
                  </w:r>
                  <w:r>
                    <w:rPr>
                      <w:rFonts w:hint="eastAsia" w:cs="Times New Roman"/>
                      <w:kern w:val="2"/>
                      <w:sz w:val="21"/>
                      <w:szCs w:val="21"/>
                      <w:lang w:val="en-US" w:eastAsia="zh-CN" w:bidi="ar-SA"/>
                    </w:rPr>
                    <w:t>装置</w:t>
                  </w:r>
                  <w:r>
                    <w:rPr>
                      <w:rFonts w:hint="eastAsia" w:ascii="Times New Roman" w:hAnsi="Times New Roman" w:eastAsia="宋体" w:cs="Times New Roman"/>
                      <w:kern w:val="2"/>
                      <w:sz w:val="21"/>
                      <w:szCs w:val="21"/>
                      <w:lang w:val="en-US" w:eastAsia="zh-CN" w:bidi="ar-SA"/>
                    </w:rPr>
                    <w:t>处理后达标排放。</w:t>
                  </w:r>
                </w:p>
              </w:tc>
              <w:tc>
                <w:tcPr>
                  <w:tcW w:w="398" w:type="pct"/>
                  <w:tcBorders>
                    <w:tl2br w:val="nil"/>
                    <w:tr2bl w:val="nil"/>
                  </w:tcBorders>
                  <w:noWrap w:val="0"/>
                  <w:vAlign w:val="center"/>
                </w:tcPr>
                <w:p w14:paraId="26D4231B">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sz w:val="21"/>
                      <w:szCs w:val="21"/>
                      <w:lang w:val="en-US" w:eastAsia="zh-CN"/>
                    </w:rPr>
                  </w:pPr>
                  <w:r>
                    <w:rPr>
                      <w:rFonts w:hint="eastAsia"/>
                      <w:sz w:val="21"/>
                      <w:szCs w:val="21"/>
                      <w:lang w:val="en-US" w:eastAsia="zh-CN"/>
                    </w:rPr>
                    <w:t>符合</w:t>
                  </w:r>
                </w:p>
              </w:tc>
            </w:tr>
          </w:tbl>
          <w:p w14:paraId="5ECD6BB4">
            <w:pPr>
              <w:bidi w:val="0"/>
              <w:rPr>
                <w:rFonts w:hint="eastAsia"/>
                <w:lang w:val="en-US" w:eastAsia="zh-CN"/>
              </w:rPr>
            </w:pPr>
            <w:r>
              <w:rPr>
                <w:rFonts w:hint="eastAsia"/>
                <w:lang w:val="en-US" w:eastAsia="zh-CN"/>
              </w:rPr>
              <w:t>由上表可知，本项目符合</w:t>
            </w:r>
            <w:r>
              <w:rPr>
                <w:rFonts w:hint="eastAsia"/>
                <w:sz w:val="24"/>
                <w:szCs w:val="24"/>
                <w:lang w:val="en-US" w:eastAsia="zh-CN"/>
              </w:rPr>
              <w:t>VOC</w:t>
            </w:r>
            <w:r>
              <w:rPr>
                <w:rFonts w:hint="eastAsia"/>
                <w:sz w:val="24"/>
                <w:szCs w:val="24"/>
                <w:vertAlign w:val="subscript"/>
                <w:lang w:val="en-US" w:eastAsia="zh-CN"/>
              </w:rPr>
              <w:t>S</w:t>
            </w:r>
            <w:r>
              <w:rPr>
                <w:rFonts w:hint="eastAsia"/>
                <w:lang w:val="en-US" w:eastAsia="zh-CN"/>
              </w:rPr>
              <w:t>环保政策要求。</w:t>
            </w:r>
          </w:p>
          <w:p w14:paraId="35A4A9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firstLine="0" w:firstLineChars="0"/>
              <w:jc w:val="left"/>
              <w:textAlignment w:val="auto"/>
              <w:rPr>
                <w:rFonts w:hint="default"/>
                <w:b/>
                <w:bCs/>
                <w:sz w:val="24"/>
                <w:szCs w:val="24"/>
                <w:lang w:val="en-US" w:eastAsia="zh-CN"/>
              </w:rPr>
            </w:pPr>
            <w:r>
              <w:rPr>
                <w:rFonts w:hint="eastAsia"/>
                <w:b/>
                <w:bCs/>
                <w:sz w:val="24"/>
                <w:szCs w:val="24"/>
                <w:lang w:val="en-US" w:eastAsia="zh-CN"/>
              </w:rPr>
              <w:t>4、产业政策</w:t>
            </w:r>
            <w:r>
              <w:rPr>
                <w:rFonts w:hint="default"/>
                <w:b/>
                <w:bCs/>
                <w:sz w:val="24"/>
                <w:szCs w:val="24"/>
                <w:lang w:val="en-US" w:eastAsia="zh-CN"/>
              </w:rPr>
              <w:t>相符性分析</w:t>
            </w:r>
          </w:p>
          <w:p w14:paraId="5BFCDB2C">
            <w:pPr>
              <w:keepNext w:val="0"/>
              <w:keepLines w:val="0"/>
              <w:pageBreakBefore w:val="0"/>
              <w:widowControl w:val="0"/>
              <w:tabs>
                <w:tab w:val="left" w:pos="3150"/>
              </w:tabs>
              <w:kinsoku/>
              <w:wordWrap/>
              <w:overflowPunct/>
              <w:topLinePunct w:val="0"/>
              <w:bidi w:val="0"/>
              <w:spacing w:line="480" w:lineRule="exact"/>
              <w:ind w:firstLine="480" w:firstLineChars="200"/>
              <w:textAlignment w:val="auto"/>
              <w:rPr>
                <w:rFonts w:hint="eastAsia"/>
                <w:color w:val="auto"/>
                <w:sz w:val="24"/>
                <w:szCs w:val="24"/>
                <w:lang w:val="en-US" w:eastAsia="zh-CN"/>
              </w:rPr>
            </w:pPr>
            <w:r>
              <w:rPr>
                <w:rFonts w:hint="eastAsia" w:ascii="Times New Roman" w:hAnsi="Times New Roman" w:eastAsia="宋体" w:cs="Times New Roman"/>
                <w:color w:val="auto"/>
                <w:sz w:val="24"/>
                <w:highlight w:val="none"/>
              </w:rPr>
              <w:t>本项目</w:t>
            </w:r>
            <w:r>
              <w:rPr>
                <w:rFonts w:ascii="Times New Roman" w:hAnsi="Times New Roman" w:eastAsia="宋体" w:cs="Times New Roman"/>
                <w:color w:val="auto"/>
                <w:sz w:val="24"/>
                <w:highlight w:val="none"/>
              </w:rPr>
              <w:t>不</w:t>
            </w:r>
            <w:r>
              <w:rPr>
                <w:rFonts w:hint="eastAsia" w:ascii="Times New Roman" w:hAnsi="Times New Roman" w:eastAsia="宋体" w:cs="Times New Roman"/>
                <w:color w:val="auto"/>
                <w:sz w:val="24"/>
                <w:highlight w:val="none"/>
                <w:lang w:val="en-US" w:eastAsia="zh-CN"/>
              </w:rPr>
              <w:t>属于</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河北省禁止投资的产业目录（2014年版）</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中禁止投资的产业项目；不属于《市场准入负面清单（2020年版）》中禁止类项目；</w:t>
            </w:r>
            <w:r>
              <w:rPr>
                <w:rFonts w:hint="eastAsia" w:cs="Times New Roman"/>
                <w:color w:val="auto"/>
                <w:sz w:val="24"/>
                <w:highlight w:val="none"/>
                <w:lang w:val="en-US" w:eastAsia="zh-CN"/>
              </w:rPr>
              <w:t>不在</w:t>
            </w:r>
            <w:r>
              <w:rPr>
                <w:rFonts w:ascii="Times New Roman" w:hAnsi="Times New Roman" w:eastAsia="宋体" w:cs="Times New Roman"/>
                <w:color w:val="auto"/>
                <w:sz w:val="24"/>
                <w:highlight w:val="none"/>
              </w:rPr>
              <w:t>《产业结构调整指导目录》（201</w:t>
            </w:r>
            <w:r>
              <w:rPr>
                <w:rFonts w:hint="eastAsia" w:ascii="Times New Roman" w:hAnsi="Times New Roman" w:eastAsia="宋体" w:cs="Times New Roman"/>
                <w:color w:val="auto"/>
                <w:sz w:val="24"/>
                <w:highlight w:val="none"/>
              </w:rPr>
              <w:t>9</w:t>
            </w:r>
            <w:r>
              <w:rPr>
                <w:rFonts w:ascii="Times New Roman" w:hAnsi="Times New Roman" w:eastAsia="宋体" w:cs="Times New Roman"/>
                <w:color w:val="auto"/>
                <w:sz w:val="24"/>
                <w:highlight w:val="none"/>
              </w:rPr>
              <w:t>年本）中限制类、淘汰类项目之列，同时不在《河北省新增限制和淘汰类产业目录》之内</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并</w:t>
            </w:r>
            <w:r>
              <w:rPr>
                <w:rFonts w:hint="eastAsia"/>
                <w:color w:val="auto"/>
                <w:sz w:val="24"/>
                <w:szCs w:val="24"/>
                <w:lang w:val="en-US" w:eastAsia="zh-CN"/>
              </w:rPr>
              <w:t>且本项目已通</w:t>
            </w:r>
            <w:r>
              <w:rPr>
                <w:rFonts w:hint="eastAsia" w:ascii="Times New Roman" w:hAnsi="Times New Roman" w:eastAsia="宋体" w:cs="Times New Roman"/>
                <w:color w:val="auto"/>
                <w:sz w:val="24"/>
                <w:highlight w:val="none"/>
                <w:lang w:val="en-US" w:eastAsia="zh-CN"/>
              </w:rPr>
              <w:t>过唐山高新行政审批局进行了备案，备案编号为：唐高备字〔2022〕1号</w:t>
            </w:r>
            <w:r>
              <w:rPr>
                <w:rFonts w:hint="eastAsia"/>
                <w:color w:val="auto"/>
                <w:sz w:val="24"/>
                <w:szCs w:val="24"/>
                <w:lang w:val="en-US" w:eastAsia="zh-CN"/>
              </w:rPr>
              <w:t>，因此，本项目符合国家产业政策。</w:t>
            </w:r>
          </w:p>
          <w:p w14:paraId="2C0DED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right="0" w:firstLine="0" w:firstLineChars="0"/>
              <w:jc w:val="left"/>
              <w:textAlignment w:val="auto"/>
              <w:rPr>
                <w:rFonts w:hint="default"/>
                <w:b/>
                <w:bCs/>
                <w:sz w:val="24"/>
                <w:szCs w:val="24"/>
                <w:lang w:val="en-US" w:eastAsia="zh-CN"/>
              </w:rPr>
            </w:pPr>
            <w:r>
              <w:rPr>
                <w:rFonts w:hint="eastAsia"/>
                <w:b/>
                <w:bCs/>
                <w:sz w:val="24"/>
                <w:szCs w:val="24"/>
                <w:lang w:val="en-US" w:eastAsia="zh-CN"/>
              </w:rPr>
              <w:t>5、项目选址合理性分析</w:t>
            </w:r>
          </w:p>
          <w:p w14:paraId="09EE6A12">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val="zh-CN"/>
              </w:rPr>
              <w:t>）</w:t>
            </w:r>
            <w:r>
              <w:rPr>
                <w:rFonts w:hint="eastAsia" w:cs="Times New Roman"/>
                <w:color w:val="auto"/>
                <w:sz w:val="24"/>
                <w:szCs w:val="24"/>
                <w:highlight w:val="none"/>
                <w:lang w:val="en-US" w:eastAsia="zh-CN"/>
              </w:rPr>
              <w:t>规划符合性分析</w:t>
            </w:r>
          </w:p>
          <w:p w14:paraId="5814552F">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zh-CN" w:eastAsia="zh-CN" w:bidi="ar-SA"/>
              </w:rPr>
              <w:t>本项目位于</w:t>
            </w:r>
            <w:r>
              <w:rPr>
                <w:rFonts w:hint="eastAsia" w:ascii="Times New Roman" w:hAnsi="Times New Roman" w:eastAsia="宋体" w:cs="Times New Roman"/>
                <w:color w:val="auto"/>
                <w:kern w:val="2"/>
                <w:sz w:val="24"/>
                <w:szCs w:val="24"/>
                <w:highlight w:val="none"/>
                <w:lang w:val="en-US" w:eastAsia="zh-CN" w:bidi="ar-SA"/>
              </w:rPr>
              <w:t>河北省唐山市高新区郑庄子乡</w:t>
            </w:r>
            <w:r>
              <w:rPr>
                <w:rFonts w:hint="eastAsia" w:cs="Times New Roman"/>
                <w:color w:val="auto"/>
                <w:kern w:val="2"/>
                <w:sz w:val="24"/>
                <w:szCs w:val="24"/>
                <w:highlight w:val="none"/>
                <w:lang w:val="en-US" w:eastAsia="zh-CN" w:bidi="ar-SA"/>
              </w:rPr>
              <w:t>梁各庄村</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租用</w:t>
            </w:r>
            <w:r>
              <w:rPr>
                <w:rFonts w:hint="default" w:ascii="Times New Roman" w:hAnsi="Times New Roman" w:cs="Times New Roman"/>
                <w:color w:val="auto"/>
                <w:sz w:val="24"/>
                <w:szCs w:val="24"/>
                <w:highlight w:val="none"/>
                <w:lang w:val="en-US" w:eastAsia="zh-CN"/>
              </w:rPr>
              <w:t>螺丝厂院内北侧车间</w:t>
            </w:r>
            <w:r>
              <w:rPr>
                <w:rFonts w:hint="default" w:ascii="Times New Roman" w:hAnsi="Times New Roman" w:eastAsia="宋体" w:cs="Times New Roman"/>
                <w:color w:val="auto"/>
                <w:kern w:val="2"/>
                <w:sz w:val="24"/>
                <w:szCs w:val="24"/>
                <w:highlight w:val="none"/>
                <w:lang w:val="en-US" w:eastAsia="zh-CN" w:bidi="ar-SA"/>
              </w:rPr>
              <w:t>，利用现有厂房，建设</w:t>
            </w:r>
            <w:r>
              <w:rPr>
                <w:rFonts w:hint="default" w:ascii="Times New Roman" w:hAnsi="Times New Roman" w:cs="Times New Roman"/>
                <w:color w:val="auto"/>
                <w:kern w:val="2"/>
                <w:sz w:val="24"/>
                <w:szCs w:val="24"/>
                <w:highlight w:val="none"/>
                <w:lang w:val="en-US" w:eastAsia="zh-CN" w:bidi="ar-SA"/>
              </w:rPr>
              <w:t>唐山市聚弛环保科技有限责任公司通用设备及零部件制造项目</w:t>
            </w:r>
            <w:r>
              <w:rPr>
                <w:rFonts w:hint="default" w:ascii="Times New Roman" w:hAnsi="Times New Roman" w:eastAsia="宋体" w:cs="Times New Roman"/>
                <w:color w:val="auto"/>
                <w:kern w:val="2"/>
                <w:sz w:val="24"/>
                <w:szCs w:val="24"/>
                <w:highlight w:val="none"/>
                <w:lang w:val="en-US" w:eastAsia="zh-CN" w:bidi="ar-SA"/>
              </w:rPr>
              <w:t>，根据土地证和证明材料可知，</w:t>
            </w:r>
            <w:r>
              <w:rPr>
                <w:rFonts w:hint="default" w:ascii="Times New Roman" w:hAnsi="Times New Roman" w:eastAsia="宋体" w:cs="Times New Roman"/>
                <w:color w:val="auto"/>
                <w:kern w:val="2"/>
                <w:sz w:val="24"/>
                <w:szCs w:val="24"/>
                <w:highlight w:val="none"/>
                <w:lang w:val="zh-CN" w:eastAsia="zh-CN" w:bidi="ar-SA"/>
              </w:rPr>
              <w:t>本项目用地属于</w:t>
            </w:r>
            <w:r>
              <w:rPr>
                <w:rFonts w:hint="default" w:ascii="Times New Roman" w:hAnsi="Times New Roman" w:eastAsia="宋体" w:cs="Times New Roman"/>
                <w:color w:val="auto"/>
                <w:kern w:val="2"/>
                <w:sz w:val="24"/>
                <w:szCs w:val="24"/>
                <w:highlight w:val="none"/>
                <w:lang w:val="en-US" w:eastAsia="zh-CN" w:bidi="ar-SA"/>
              </w:rPr>
              <w:t>工业</w:t>
            </w:r>
            <w:r>
              <w:rPr>
                <w:rFonts w:hint="default" w:ascii="Times New Roman" w:hAnsi="Times New Roman" w:eastAsia="宋体" w:cs="Times New Roman"/>
                <w:color w:val="auto"/>
                <w:kern w:val="2"/>
                <w:sz w:val="24"/>
                <w:szCs w:val="24"/>
                <w:highlight w:val="none"/>
                <w:lang w:val="zh-CN" w:eastAsia="zh-CN" w:bidi="ar-SA"/>
              </w:rPr>
              <w:t>用地。</w:t>
            </w:r>
            <w:r>
              <w:rPr>
                <w:rFonts w:hint="default" w:ascii="Times New Roman" w:hAnsi="Times New Roman" w:eastAsia="宋体" w:cs="Times New Roman"/>
                <w:sz w:val="24"/>
                <w:szCs w:val="24"/>
                <w:highlight w:val="none"/>
                <w:lang w:val="en-US" w:eastAsia="zh-CN"/>
              </w:rPr>
              <w:t>本项目位于</w:t>
            </w:r>
            <w:r>
              <w:rPr>
                <w:rFonts w:hint="default" w:ascii="Times New Roman" w:hAnsi="Times New Roman" w:cs="Times New Roman"/>
                <w:sz w:val="24"/>
                <w:szCs w:val="24"/>
                <w:highlight w:val="none"/>
                <w:lang w:val="en-US" w:eastAsia="zh-CN"/>
              </w:rPr>
              <w:t>东</w:t>
            </w:r>
            <w:r>
              <w:rPr>
                <w:rFonts w:hint="default" w:ascii="Times New Roman" w:hAnsi="Times New Roman" w:eastAsia="宋体" w:cs="Times New Roman"/>
                <w:sz w:val="24"/>
                <w:szCs w:val="24"/>
                <w:highlight w:val="none"/>
                <w:lang w:val="en-US" w:eastAsia="zh-CN"/>
              </w:rPr>
              <w:t>部产业组团，</w:t>
            </w:r>
            <w:r>
              <w:rPr>
                <w:rFonts w:hint="default" w:ascii="Times New Roman" w:hAnsi="Times New Roman" w:cs="Times New Roman"/>
                <w:sz w:val="24"/>
                <w:szCs w:val="24"/>
                <w:highlight w:val="none"/>
                <w:lang w:val="en-US" w:eastAsia="zh-CN"/>
              </w:rPr>
              <w:t>根据土地利用规划，本项目所在地属于混合用地，</w:t>
            </w:r>
            <w:r>
              <w:rPr>
                <w:rFonts w:hint="default" w:ascii="Times New Roman" w:hAnsi="Times New Roman" w:eastAsia="宋体" w:cs="Times New Roman"/>
                <w:sz w:val="24"/>
                <w:szCs w:val="24"/>
                <w:highlight w:val="none"/>
                <w:lang w:val="en-US" w:eastAsia="zh-CN"/>
              </w:rPr>
              <w:t>同时，</w:t>
            </w:r>
            <w:r>
              <w:rPr>
                <w:rFonts w:hint="default" w:ascii="Times New Roman" w:hAnsi="Times New Roman" w:eastAsia="宋体" w:cs="Times New Roman"/>
                <w:color w:val="auto"/>
                <w:sz w:val="24"/>
                <w:szCs w:val="24"/>
                <w:highlight w:val="none"/>
                <w:lang w:val="en-US" w:eastAsia="zh-CN"/>
              </w:rPr>
              <w:t>本项目已在唐山高新行政审批局进行了备案</w:t>
            </w:r>
            <w:r>
              <w:rPr>
                <w:rFonts w:hint="default" w:ascii="Times New Roman" w:hAnsi="Times New Roman" w:cs="Times New Roman"/>
                <w:color w:val="auto"/>
                <w:kern w:val="2"/>
                <w:sz w:val="24"/>
                <w:szCs w:val="24"/>
                <w:highlight w:val="none"/>
                <w:lang w:val="zh-CN" w:eastAsia="zh-CN" w:bidi="ar-SA"/>
              </w:rPr>
              <w:t>。</w:t>
            </w:r>
            <w:r>
              <w:rPr>
                <w:rFonts w:hint="eastAsia" w:cs="Times New Roman"/>
                <w:color w:val="auto"/>
                <w:kern w:val="2"/>
                <w:sz w:val="24"/>
                <w:szCs w:val="24"/>
                <w:highlight w:val="none"/>
                <w:lang w:val="en-US" w:eastAsia="zh-CN" w:bidi="ar-SA"/>
              </w:rPr>
              <w:t>根据规划环评中的“四区”政策，项目所在地为适建区</w:t>
            </w:r>
            <w:r>
              <w:rPr>
                <w:rFonts w:hint="eastAsia" w:ascii="Times New Roman" w:hAnsi="Times New Roman" w:eastAsia="宋体" w:cs="Times New Roman"/>
                <w:color w:val="auto"/>
                <w:kern w:val="2"/>
                <w:sz w:val="24"/>
                <w:szCs w:val="24"/>
                <w:highlight w:val="none"/>
                <w:lang w:val="zh-CN" w:eastAsia="zh-CN" w:bidi="ar-SA"/>
              </w:rPr>
              <w:t>。因此，项目的建设符合园区规划。</w:t>
            </w:r>
          </w:p>
          <w:p w14:paraId="7CAF9559">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zh-CN"/>
              </w:rPr>
              <w:t>（</w:t>
            </w:r>
            <w:r>
              <w:rPr>
                <w:rFonts w:hint="eastAsia" w:cs="Times New Roman"/>
                <w:color w:val="auto"/>
                <w:sz w:val="24"/>
                <w:szCs w:val="24"/>
                <w:highlight w:val="none"/>
                <w:lang w:val="en-US" w:eastAsia="zh-CN"/>
              </w:rPr>
              <w:t>2</w:t>
            </w:r>
            <w:r>
              <w:rPr>
                <w:rFonts w:hint="eastAsia" w:cs="Times New Roman"/>
                <w:color w:val="auto"/>
                <w:sz w:val="24"/>
                <w:szCs w:val="24"/>
                <w:highlight w:val="none"/>
                <w:lang w:val="zh-CN"/>
              </w:rPr>
              <w:t>）</w:t>
            </w:r>
            <w:r>
              <w:rPr>
                <w:rFonts w:hint="eastAsia" w:cs="Times New Roman"/>
                <w:color w:val="auto"/>
                <w:sz w:val="24"/>
                <w:szCs w:val="24"/>
                <w:highlight w:val="none"/>
                <w:lang w:val="en-US" w:eastAsia="zh-CN"/>
              </w:rPr>
              <w:t>选址符合性分析</w:t>
            </w:r>
          </w:p>
          <w:p w14:paraId="41AB5E54">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lang w:val="zh-CN"/>
              </w:rPr>
              <w:t>项目所在区域环境空气质量执行《环境空气质量标准》（GB3095-2012）中二级标准及其修改单；声环境质量执行《声环境质量标准》（GB3096-2008）</w:t>
            </w:r>
            <w:r>
              <w:rPr>
                <w:rFonts w:hint="eastAsia" w:cs="Times New Roman"/>
                <w:color w:val="auto"/>
                <w:sz w:val="24"/>
                <w:szCs w:val="24"/>
                <w:highlight w:val="none"/>
                <w:lang w:val="en-US" w:eastAsia="zh-CN"/>
              </w:rPr>
              <w:t>2</w:t>
            </w:r>
            <w:r>
              <w:rPr>
                <w:rFonts w:ascii="Times New Roman" w:hAnsi="Times New Roman" w:eastAsia="宋体" w:cs="Times New Roman"/>
                <w:color w:val="auto"/>
                <w:sz w:val="24"/>
                <w:szCs w:val="24"/>
                <w:highlight w:val="none"/>
                <w:lang w:val="zh-CN"/>
              </w:rPr>
              <w:t>类区标准。</w:t>
            </w:r>
            <w:r>
              <w:rPr>
                <w:rFonts w:ascii="Times New Roman" w:hAnsi="Times New Roman" w:eastAsia="宋体" w:cs="Times New Roman"/>
                <w:color w:val="auto"/>
                <w:sz w:val="24"/>
                <w:szCs w:val="24"/>
                <w:highlight w:val="none"/>
              </w:rPr>
              <w:t>项目所在区域环境空气属于不达标区，根据《建设生态唐山实现绿色发展工作方案》</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唐办发[2018]2号</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、《唐山市</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退出后十</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大气污染防治工作实施方案》可知，通过调整优化产业结构、能源结构，深入开展大气污染治理攻坚行动，切实改善环境空气质量，通过控制扬尘污染、削减燃煤总量、控制机动车污染和严把燃煤质量关等方面的行动，项目所在区域</w:t>
            </w:r>
            <w:r>
              <w:rPr>
                <w:rFonts w:hint="eastAsia" w:cs="Times New Roman"/>
                <w:color w:val="auto"/>
                <w:sz w:val="24"/>
                <w:szCs w:val="24"/>
                <w:highlight w:val="none"/>
                <w:lang w:val="en-US" w:eastAsia="zh-CN"/>
              </w:rPr>
              <w:t>空气质量</w:t>
            </w:r>
            <w:r>
              <w:rPr>
                <w:rFonts w:ascii="Times New Roman" w:hAnsi="Times New Roman" w:eastAsia="宋体" w:cs="Times New Roman"/>
                <w:color w:val="auto"/>
                <w:sz w:val="24"/>
                <w:szCs w:val="24"/>
                <w:highlight w:val="none"/>
              </w:rPr>
              <w:t>将会逐步得到改善。</w:t>
            </w:r>
          </w:p>
          <w:p w14:paraId="2B0C550D">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eastAsia"/>
                <w:color w:val="auto"/>
                <w:sz w:val="24"/>
                <w:szCs w:val="24"/>
                <w:lang w:val="en-US" w:eastAsia="zh-CN"/>
              </w:rPr>
            </w:pPr>
            <w:r>
              <w:rPr>
                <w:rFonts w:hint="default"/>
                <w:color w:val="auto"/>
                <w:sz w:val="24"/>
                <w:szCs w:val="24"/>
                <w:lang w:val="en-US" w:eastAsia="zh-CN"/>
              </w:rPr>
              <w:t>项目不在河北省生态保护红线区范围内，项目评价范围内无自然保护区、重点文物、风景名胜等需特殊保护区域，</w:t>
            </w:r>
            <w:r>
              <w:rPr>
                <w:rFonts w:hint="default"/>
                <w:color w:val="auto"/>
                <w:sz w:val="24"/>
                <w:szCs w:val="24"/>
                <w:highlight w:val="none"/>
                <w:lang w:val="en-US" w:eastAsia="zh-CN"/>
              </w:rPr>
              <w:t>项目</w:t>
            </w:r>
            <w:r>
              <w:rPr>
                <w:rFonts w:hint="eastAsia"/>
                <w:color w:val="auto"/>
                <w:sz w:val="24"/>
                <w:szCs w:val="24"/>
                <w:highlight w:val="none"/>
                <w:lang w:val="en-US" w:eastAsia="zh-CN"/>
              </w:rPr>
              <w:t>厂界外</w:t>
            </w:r>
            <w:r>
              <w:rPr>
                <w:rFonts w:hint="default"/>
                <w:color w:val="auto"/>
                <w:sz w:val="24"/>
                <w:szCs w:val="24"/>
                <w:highlight w:val="none"/>
                <w:lang w:val="en-US" w:eastAsia="zh-CN"/>
              </w:rPr>
              <w:t>500m范围内</w:t>
            </w:r>
            <w:r>
              <w:rPr>
                <w:rFonts w:hint="eastAsia"/>
                <w:color w:val="auto"/>
                <w:sz w:val="24"/>
                <w:szCs w:val="24"/>
                <w:highlight w:val="none"/>
                <w:lang w:val="en-US" w:eastAsia="zh-CN"/>
              </w:rPr>
              <w:t>的</w:t>
            </w:r>
            <w:r>
              <w:rPr>
                <w:rFonts w:hint="default"/>
                <w:color w:val="auto"/>
                <w:sz w:val="24"/>
                <w:szCs w:val="24"/>
                <w:highlight w:val="none"/>
                <w:lang w:val="en-US" w:eastAsia="zh-CN"/>
              </w:rPr>
              <w:t>环境敏感点</w:t>
            </w:r>
            <w:r>
              <w:rPr>
                <w:rFonts w:hint="eastAsia"/>
                <w:color w:val="auto"/>
                <w:sz w:val="24"/>
                <w:szCs w:val="24"/>
                <w:highlight w:val="none"/>
                <w:lang w:val="en-US" w:eastAsia="zh-CN"/>
              </w:rPr>
              <w:t>为厂区南侧103米的梁各庄村和东侧317米的王官庄村，</w:t>
            </w:r>
            <w:r>
              <w:rPr>
                <w:rFonts w:ascii="Times New Roman" w:hAnsi="Times New Roman" w:eastAsia="宋体" w:cs="Times New Roman"/>
                <w:color w:val="auto"/>
                <w:kern w:val="24"/>
                <w:sz w:val="24"/>
                <w:highlight w:val="none"/>
                <w:lang w:val="zh-CN"/>
              </w:rPr>
              <w:t>采取环评提出的各项环保治理措施后，项目的实施不会对</w:t>
            </w:r>
            <w:r>
              <w:rPr>
                <w:rFonts w:hint="eastAsia" w:cs="Times New Roman"/>
                <w:color w:val="auto"/>
                <w:kern w:val="24"/>
                <w:sz w:val="24"/>
                <w:highlight w:val="none"/>
                <w:lang w:val="en-US" w:eastAsia="zh-CN"/>
              </w:rPr>
              <w:t>周边环境</w:t>
            </w:r>
            <w:r>
              <w:rPr>
                <w:rFonts w:ascii="Times New Roman" w:hAnsi="Times New Roman" w:eastAsia="宋体" w:cs="Times New Roman"/>
                <w:color w:val="auto"/>
                <w:kern w:val="24"/>
                <w:sz w:val="24"/>
                <w:highlight w:val="none"/>
                <w:lang w:val="zh-CN"/>
              </w:rPr>
              <w:t>产生影响</w:t>
            </w:r>
            <w:r>
              <w:rPr>
                <w:rFonts w:ascii="Times New Roman" w:hAnsi="Times New Roman" w:eastAsia="宋体" w:cs="Times New Roman"/>
                <w:color w:val="auto"/>
                <w:kern w:val="24"/>
                <w:sz w:val="24"/>
                <w:highlight w:val="none"/>
              </w:rPr>
              <w:t>。</w:t>
            </w:r>
            <w:r>
              <w:rPr>
                <w:rFonts w:hint="eastAsia"/>
                <w:color w:val="auto"/>
                <w:sz w:val="24"/>
                <w:szCs w:val="24"/>
                <w:lang w:val="en-US" w:eastAsia="zh-CN"/>
              </w:rPr>
              <w:t>因此，本项目选址合理。</w:t>
            </w:r>
          </w:p>
          <w:p w14:paraId="7364F0CB">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eastAsia"/>
                <w:color w:val="auto"/>
                <w:sz w:val="24"/>
                <w:szCs w:val="24"/>
                <w:lang w:val="en-US" w:eastAsia="zh-CN"/>
              </w:rPr>
            </w:pPr>
          </w:p>
          <w:p w14:paraId="1E66277A">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firstLine="420" w:firstLineChars="200"/>
              <w:textAlignment w:val="auto"/>
              <w:rPr>
                <w:rFonts w:hint="eastAsia"/>
                <w:lang w:val="en-US" w:eastAsia="zh-CN"/>
              </w:rPr>
            </w:pPr>
          </w:p>
        </w:tc>
      </w:tr>
    </w:tbl>
    <w:p w14:paraId="1701DE26">
      <w:r>
        <w:br w:type="page"/>
      </w:r>
    </w:p>
    <w:p w14:paraId="2656A607">
      <w:pPr>
        <w:pStyle w:val="18"/>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20"/>
        <w:tblW w:w="91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342"/>
      </w:tblGrid>
      <w:tr w14:paraId="4277C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23" w:type="dxa"/>
            <w:noWrap w:val="0"/>
            <w:vAlign w:val="center"/>
          </w:tcPr>
          <w:p w14:paraId="23E6225C">
            <w:pPr>
              <w:pStyle w:val="27"/>
              <w:bidi w:val="0"/>
              <w:rPr>
                <w:color w:val="0070C0"/>
                <w:sz w:val="24"/>
                <w:szCs w:val="24"/>
              </w:rPr>
            </w:pPr>
            <w:r>
              <w:rPr>
                <w:rFonts w:hint="eastAsia"/>
                <w:color w:val="auto"/>
                <w:sz w:val="24"/>
                <w:szCs w:val="24"/>
              </w:rPr>
              <w:t>建设内容</w:t>
            </w:r>
          </w:p>
        </w:tc>
        <w:tc>
          <w:tcPr>
            <w:tcW w:w="8342" w:type="dxa"/>
            <w:noWrap w:val="0"/>
            <w:vAlign w:val="top"/>
          </w:tcPr>
          <w:p w14:paraId="3E5EB3D2">
            <w:pPr>
              <w:keepNext w:val="0"/>
              <w:keepLines w:val="0"/>
              <w:pageBreakBefore w:val="0"/>
              <w:widowControl w:val="0"/>
              <w:numPr>
                <w:ilvl w:val="0"/>
                <w:numId w:val="1"/>
              </w:numPr>
              <w:suppressLineNumbers w:val="0"/>
              <w:kinsoku/>
              <w:wordWrap/>
              <w:overflowPunct/>
              <w:topLinePunct w:val="0"/>
              <w:autoSpaceDE w:val="0"/>
              <w:autoSpaceDN w:val="0"/>
              <w:bidi w:val="0"/>
              <w:adjustRightInd w:val="0"/>
              <w:snapToGrid/>
              <w:spacing w:beforeAutospacing="0" w:after="0" w:afterAutospacing="0" w:line="480" w:lineRule="exact"/>
              <w:ind w:right="0" w:firstLine="0" w:firstLineChars="0"/>
              <w:textAlignment w:val="auto"/>
              <w:rPr>
                <w:rFonts w:hint="eastAsia"/>
                <w:b/>
                <w:bCs/>
                <w:color w:val="auto"/>
                <w:sz w:val="24"/>
                <w:szCs w:val="24"/>
                <w:lang w:val="en-US" w:eastAsia="zh-CN"/>
              </w:rPr>
            </w:pPr>
            <w:r>
              <w:rPr>
                <w:rFonts w:hint="eastAsia"/>
                <w:b/>
                <w:bCs/>
                <w:color w:val="auto"/>
                <w:sz w:val="24"/>
                <w:szCs w:val="24"/>
                <w:lang w:val="en-US" w:eastAsia="zh-CN"/>
              </w:rPr>
              <w:t>项目由来</w:t>
            </w:r>
          </w:p>
          <w:p w14:paraId="11AB078E">
            <w:pPr>
              <w:bidi w:val="0"/>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szCs w:val="24"/>
                <w:lang w:val="en-US" w:eastAsia="zh-CN"/>
              </w:rPr>
              <w:t>唐山市聚弛环保科技有限责任公司位于</w:t>
            </w:r>
            <w:r>
              <w:rPr>
                <w:rFonts w:hint="eastAsia" w:ascii="Times New Roman" w:hAnsi="Times New Roman" w:eastAsia="宋体" w:cs="Times New Roman"/>
                <w:color w:val="auto"/>
                <w:kern w:val="2"/>
                <w:sz w:val="24"/>
                <w:szCs w:val="24"/>
                <w:highlight w:val="none"/>
                <w:lang w:val="en-US" w:eastAsia="zh-CN" w:bidi="ar-SA"/>
              </w:rPr>
              <w:t>唐山市高新区郑庄子乡</w:t>
            </w:r>
            <w:r>
              <w:rPr>
                <w:rFonts w:hint="eastAsia" w:cs="Times New Roman"/>
                <w:color w:val="auto"/>
                <w:kern w:val="2"/>
                <w:sz w:val="24"/>
                <w:szCs w:val="24"/>
                <w:highlight w:val="none"/>
                <w:lang w:val="en-US" w:eastAsia="zh-CN" w:bidi="ar-SA"/>
              </w:rPr>
              <w:t>梁各庄村</w:t>
            </w:r>
            <w:r>
              <w:rPr>
                <w:rFonts w:hint="eastAsia"/>
                <w:color w:val="auto"/>
                <w:sz w:val="24"/>
                <w:szCs w:val="24"/>
                <w:lang w:val="en-US" w:eastAsia="zh-CN"/>
              </w:rPr>
              <w:t>，根据市场需求，决定投资300万元，</w:t>
            </w:r>
            <w:r>
              <w:rPr>
                <w:rFonts w:hint="eastAsia"/>
                <w:color w:val="auto"/>
                <w:sz w:val="24"/>
                <w:szCs w:val="24"/>
                <w:highlight w:val="none"/>
                <w:lang w:val="en-US" w:eastAsia="zh-CN"/>
              </w:rPr>
              <w:t>建设</w:t>
            </w:r>
            <w:r>
              <w:rPr>
                <w:rFonts w:hint="eastAsia" w:cs="Times New Roman"/>
                <w:color w:val="auto"/>
                <w:sz w:val="24"/>
                <w:szCs w:val="24"/>
                <w:highlight w:val="none"/>
                <w:lang w:val="en-US" w:eastAsia="zh-CN"/>
              </w:rPr>
              <w:t>唐山市聚弛环保科技有限责任公司通用设备及零部件制造项目</w:t>
            </w:r>
            <w:r>
              <w:rPr>
                <w:rFonts w:hint="eastAsia"/>
                <w:color w:val="auto"/>
                <w:sz w:val="24"/>
                <w:szCs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bidi="ar-SA"/>
              </w:rPr>
              <w:t>项目建成后达到年产</w:t>
            </w:r>
            <w:r>
              <w:rPr>
                <w:rFonts w:hint="eastAsia" w:cs="Times New Roman"/>
                <w:color w:val="auto"/>
                <w:kern w:val="2"/>
                <w:sz w:val="24"/>
                <w:szCs w:val="24"/>
                <w:highlight w:val="none"/>
                <w:lang w:val="en-US" w:eastAsia="zh-CN" w:bidi="ar-SA"/>
              </w:rPr>
              <w:t>通用设备及零部件5000</w:t>
            </w:r>
            <w:r>
              <w:rPr>
                <w:rFonts w:hint="eastAsia" w:ascii="Times New Roman" w:hAnsi="Times New Roman" w:eastAsia="宋体" w:cs="Times New Roman"/>
                <w:color w:val="auto"/>
                <w:kern w:val="2"/>
                <w:sz w:val="24"/>
                <w:szCs w:val="24"/>
                <w:highlight w:val="none"/>
                <w:lang w:val="en-US" w:eastAsia="zh-CN" w:bidi="ar-SA"/>
              </w:rPr>
              <w:t>套</w:t>
            </w:r>
            <w:r>
              <w:rPr>
                <w:rFonts w:hint="eastAsia" w:cs="Times New Roman"/>
                <w:color w:val="auto"/>
                <w:kern w:val="2"/>
                <w:sz w:val="24"/>
                <w:szCs w:val="24"/>
                <w:highlight w:val="none"/>
                <w:lang w:val="en-US" w:eastAsia="zh-CN" w:bidi="ar-SA"/>
              </w:rPr>
              <w:t>的</w:t>
            </w:r>
            <w:r>
              <w:rPr>
                <w:rFonts w:hint="eastAsia" w:ascii="Times New Roman" w:hAnsi="Times New Roman" w:eastAsia="宋体" w:cs="Times New Roman"/>
                <w:color w:val="auto"/>
                <w:kern w:val="2"/>
                <w:sz w:val="24"/>
                <w:szCs w:val="24"/>
                <w:highlight w:val="none"/>
                <w:lang w:val="en-US" w:eastAsia="zh-CN" w:bidi="ar-SA"/>
              </w:rPr>
              <w:t>生产能力。</w:t>
            </w:r>
          </w:p>
          <w:p w14:paraId="0394C557">
            <w:pPr>
              <w:keepNext w:val="0"/>
              <w:keepLines w:val="0"/>
              <w:widowControl/>
              <w:suppressLineNumbers w:val="0"/>
              <w:jc w:val="left"/>
              <w:rPr>
                <w:rFonts w:hint="default"/>
                <w:color w:val="auto"/>
                <w:sz w:val="24"/>
                <w:szCs w:val="24"/>
              </w:rPr>
            </w:pPr>
            <w:r>
              <w:rPr>
                <w:rFonts w:hint="default"/>
                <w:color w:val="auto"/>
                <w:sz w:val="24"/>
                <w:szCs w:val="24"/>
                <w:lang w:eastAsia="zh-CN"/>
              </w:rPr>
              <w:t>根据《中华人民共和国环境保护法》、《中华人民共和国环境影响评价法》、《建设项目环境保护管理条例》（国务院</w:t>
            </w:r>
            <w:r>
              <w:rPr>
                <w:rFonts w:hint="eastAsia"/>
                <w:color w:val="auto"/>
                <w:sz w:val="24"/>
                <w:szCs w:val="24"/>
                <w:lang w:val="en-US" w:eastAsia="zh-CN"/>
              </w:rPr>
              <w:t>第</w:t>
            </w:r>
            <w:r>
              <w:rPr>
                <w:rFonts w:hint="default"/>
                <w:color w:val="auto"/>
                <w:sz w:val="24"/>
                <w:szCs w:val="24"/>
                <w:lang w:eastAsia="zh-CN"/>
              </w:rPr>
              <w:t>682号令）的要求，</w:t>
            </w:r>
            <w:r>
              <w:rPr>
                <w:rFonts w:hint="eastAsia"/>
                <w:color w:val="auto"/>
                <w:sz w:val="24"/>
                <w:szCs w:val="24"/>
                <w:lang w:val="en-US" w:eastAsia="zh-CN"/>
              </w:rPr>
              <w:t>以及</w:t>
            </w:r>
            <w:r>
              <w:rPr>
                <w:rFonts w:hint="default"/>
                <w:color w:val="auto"/>
                <w:sz w:val="24"/>
                <w:szCs w:val="24"/>
                <w:lang w:eastAsia="zh-CN"/>
              </w:rPr>
              <w:t>《建设项目环境影响评价分类管理名录》（</w:t>
            </w:r>
            <w:r>
              <w:rPr>
                <w:rFonts w:hint="default"/>
                <w:color w:val="auto"/>
                <w:sz w:val="24"/>
                <w:szCs w:val="24"/>
                <w:lang w:val="en-US" w:eastAsia="zh-CN"/>
              </w:rPr>
              <w:t>2021年版</w:t>
            </w:r>
            <w:r>
              <w:rPr>
                <w:rFonts w:hint="default"/>
                <w:color w:val="auto"/>
                <w:sz w:val="24"/>
                <w:szCs w:val="24"/>
                <w:lang w:eastAsia="zh-CN"/>
              </w:rPr>
              <w:t>）（部令</w:t>
            </w:r>
            <w:r>
              <w:rPr>
                <w:rFonts w:hint="default"/>
                <w:color w:val="auto"/>
                <w:sz w:val="24"/>
                <w:szCs w:val="24"/>
                <w:lang w:val="en-US" w:eastAsia="zh-CN"/>
              </w:rPr>
              <w:t>第</w:t>
            </w:r>
            <w:r>
              <w:rPr>
                <w:rFonts w:hint="default"/>
                <w:color w:val="auto"/>
                <w:sz w:val="24"/>
                <w:szCs w:val="24"/>
                <w:lang w:eastAsia="zh-CN"/>
              </w:rPr>
              <w:t>16号）等环保法律法规的相关规定</w:t>
            </w:r>
            <w:r>
              <w:rPr>
                <w:rFonts w:hint="eastAsia"/>
                <w:color w:val="auto"/>
                <w:sz w:val="24"/>
                <w:szCs w:val="24"/>
                <w:lang w:eastAsia="zh-CN"/>
              </w:rPr>
              <w:t>，</w:t>
            </w:r>
            <w:r>
              <w:rPr>
                <w:rFonts w:hint="default"/>
                <w:color w:val="auto"/>
                <w:sz w:val="24"/>
                <w:szCs w:val="24"/>
              </w:rPr>
              <w:t>该项目属于</w:t>
            </w:r>
            <w:r>
              <w:rPr>
                <w:rFonts w:hint="eastAsia"/>
                <w:color w:val="auto"/>
                <w:sz w:val="24"/>
                <w:szCs w:val="24"/>
              </w:rPr>
              <w:t>“</w:t>
            </w:r>
            <w:r>
              <w:rPr>
                <w:rFonts w:hint="eastAsia"/>
                <w:color w:val="auto"/>
                <w:sz w:val="24"/>
                <w:szCs w:val="24"/>
                <w:lang w:val="en-US" w:eastAsia="zh-CN"/>
              </w:rPr>
              <w:t>三十一、通用设备制造业34-通用零部件制造348；其他通用设备制造业349-其他（仅分割、焊接、组装的除外；年用非溶剂型低VOC</w:t>
            </w:r>
            <w:r>
              <w:rPr>
                <w:rFonts w:hint="eastAsia"/>
                <w:color w:val="auto"/>
                <w:sz w:val="24"/>
                <w:szCs w:val="24"/>
                <w:vertAlign w:val="subscript"/>
                <w:lang w:val="en-US" w:eastAsia="zh-CN"/>
              </w:rPr>
              <w:t>S</w:t>
            </w:r>
            <w:r>
              <w:rPr>
                <w:rFonts w:hint="eastAsia"/>
                <w:color w:val="auto"/>
                <w:sz w:val="24"/>
                <w:szCs w:val="24"/>
                <w:lang w:val="en-US" w:eastAsia="zh-CN"/>
              </w:rPr>
              <w:t>含量涂料10吨以下的除外）</w:t>
            </w:r>
            <w:r>
              <w:rPr>
                <w:rFonts w:hint="eastAsia" w:cs="Times New Roman"/>
                <w:color w:val="auto"/>
                <w:sz w:val="24"/>
                <w:szCs w:val="24"/>
                <w:lang w:eastAsia="zh-CN"/>
              </w:rPr>
              <w:t>”</w:t>
            </w:r>
            <w:r>
              <w:rPr>
                <w:rFonts w:hint="eastAsia"/>
                <w:color w:val="auto"/>
                <w:sz w:val="24"/>
                <w:szCs w:val="24"/>
                <w:lang w:val="en-US" w:eastAsia="zh-CN"/>
              </w:rPr>
              <w:t>之列，</w:t>
            </w:r>
            <w:r>
              <w:rPr>
                <w:rFonts w:hint="eastAsia"/>
                <w:color w:val="auto"/>
                <w:sz w:val="24"/>
                <w:szCs w:val="24"/>
                <w:highlight w:val="none"/>
                <w:lang w:val="en-US" w:eastAsia="zh-CN"/>
              </w:rPr>
              <w:t>本项目</w:t>
            </w:r>
            <w:r>
              <w:rPr>
                <w:rFonts w:hint="eastAsia"/>
                <w:color w:val="auto"/>
                <w:sz w:val="24"/>
                <w:szCs w:val="24"/>
                <w:highlight w:val="none"/>
                <w:vertAlign w:val="baseline"/>
                <w:lang w:val="en-US" w:eastAsia="zh-CN"/>
              </w:rPr>
              <w:t>年用</w:t>
            </w:r>
            <w:r>
              <w:rPr>
                <w:rFonts w:hint="eastAsia"/>
                <w:color w:val="auto"/>
                <w:sz w:val="24"/>
                <w:szCs w:val="24"/>
                <w:highlight w:val="none"/>
                <w:lang w:val="en-US" w:eastAsia="zh-CN"/>
              </w:rPr>
              <w:t>溶剂型涂料（含稀释剂）10吨及以下，用量为</w:t>
            </w:r>
            <w:r>
              <w:rPr>
                <w:rFonts w:hint="eastAsia"/>
                <w:color w:val="auto"/>
                <w:sz w:val="24"/>
                <w:szCs w:val="24"/>
                <w:highlight w:val="none"/>
                <w:vertAlign w:val="baseline"/>
                <w:lang w:val="en-US" w:eastAsia="zh-CN"/>
              </w:rPr>
              <w:t>2.41t/a</w:t>
            </w:r>
            <w:r>
              <w:rPr>
                <w:rFonts w:hint="eastAsia"/>
                <w:color w:val="auto"/>
                <w:sz w:val="24"/>
                <w:szCs w:val="24"/>
                <w:highlight w:val="none"/>
                <w:lang w:val="en-US" w:eastAsia="zh-CN"/>
              </w:rPr>
              <w:t>，</w:t>
            </w:r>
            <w:r>
              <w:rPr>
                <w:rFonts w:hint="default"/>
                <w:color w:val="auto"/>
                <w:sz w:val="24"/>
                <w:szCs w:val="24"/>
                <w:highlight w:val="none"/>
              </w:rPr>
              <w:t>应编制环境影</w:t>
            </w:r>
            <w:r>
              <w:rPr>
                <w:rFonts w:hint="default"/>
                <w:color w:val="auto"/>
                <w:sz w:val="24"/>
                <w:szCs w:val="24"/>
              </w:rPr>
              <w:t>响报告表。</w:t>
            </w:r>
            <w:r>
              <w:rPr>
                <w:rFonts w:hint="eastAsia"/>
                <w:color w:val="auto"/>
                <w:sz w:val="24"/>
                <w:szCs w:val="24"/>
                <w:lang w:val="en-US" w:eastAsia="zh-CN"/>
              </w:rPr>
              <w:t>唐山市聚弛环保科技有限责任公司</w:t>
            </w:r>
            <w:r>
              <w:rPr>
                <w:rFonts w:hint="default"/>
                <w:color w:val="auto"/>
                <w:sz w:val="24"/>
                <w:szCs w:val="24"/>
              </w:rPr>
              <w:t>委托我公司承担该项目的环境影响报告表的编制工作，接受委托后，我单位立即开展了现场踏勘、资料收集等工作，</w:t>
            </w:r>
            <w:r>
              <w:rPr>
                <w:rFonts w:hint="eastAsia"/>
                <w:color w:val="auto"/>
                <w:sz w:val="24"/>
                <w:szCs w:val="24"/>
                <w:lang w:val="en-US" w:eastAsia="zh-CN"/>
              </w:rPr>
              <w:t>并</w:t>
            </w:r>
            <w:r>
              <w:rPr>
                <w:rFonts w:hint="default"/>
                <w:color w:val="auto"/>
                <w:sz w:val="24"/>
                <w:szCs w:val="24"/>
              </w:rPr>
              <w:t>根据国家、省、市有关环保政策、法规及</w:t>
            </w:r>
            <w:r>
              <w:rPr>
                <w:rFonts w:hint="eastAsia"/>
                <w:color w:val="auto"/>
                <w:sz w:val="24"/>
                <w:szCs w:val="24"/>
                <w:lang w:val="en-US" w:eastAsia="zh-CN"/>
              </w:rPr>
              <w:t>唐山市生态环境局高新区分局、</w:t>
            </w:r>
            <w:r>
              <w:rPr>
                <w:rFonts w:hint="eastAsia"/>
                <w:color w:val="auto"/>
                <w:sz w:val="24"/>
                <w:szCs w:val="24"/>
              </w:rPr>
              <w:t>唐山</w:t>
            </w:r>
            <w:r>
              <w:rPr>
                <w:rFonts w:hint="eastAsia"/>
                <w:color w:val="auto"/>
                <w:sz w:val="24"/>
                <w:szCs w:val="24"/>
                <w:lang w:val="en-US" w:eastAsia="zh-CN"/>
              </w:rPr>
              <w:t>高新技术产业开发区行政审批局</w:t>
            </w:r>
            <w:r>
              <w:rPr>
                <w:rFonts w:hint="default"/>
                <w:color w:val="auto"/>
                <w:sz w:val="24"/>
                <w:szCs w:val="24"/>
              </w:rPr>
              <w:t>要求，从本项目及周边环境实际出发，分析项目建设与运营对环境的影响，</w:t>
            </w:r>
            <w:r>
              <w:rPr>
                <w:rFonts w:hint="eastAsia"/>
                <w:color w:val="auto"/>
                <w:sz w:val="24"/>
                <w:szCs w:val="24"/>
                <w:lang w:val="en-US" w:eastAsia="zh-CN"/>
              </w:rPr>
              <w:t>编制完成了</w:t>
            </w:r>
            <w:r>
              <w:rPr>
                <w:rFonts w:hint="default"/>
                <w:color w:val="auto"/>
                <w:sz w:val="24"/>
                <w:szCs w:val="24"/>
              </w:rPr>
              <w:t>本项目环境影响报告表。</w:t>
            </w:r>
          </w:p>
          <w:p w14:paraId="7B842F99">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default" w:ascii="Times New Roman" w:hAnsi="Times New Roman" w:cs="Times New Roman"/>
                <w:b/>
                <w:bCs/>
                <w:color w:val="auto"/>
                <w:sz w:val="24"/>
                <w:szCs w:val="24"/>
                <w:lang w:val="en-US" w:eastAsia="zh-CN"/>
              </w:rPr>
            </w:pPr>
            <w:r>
              <w:rPr>
                <w:rFonts w:hint="eastAsia"/>
                <w:color w:val="auto"/>
                <w:sz w:val="24"/>
                <w:szCs w:val="24"/>
                <w:lang w:val="en-US" w:eastAsia="zh-CN"/>
              </w:rPr>
              <w:t>二</w:t>
            </w:r>
            <w:r>
              <w:rPr>
                <w:rFonts w:hint="eastAsia" w:ascii="Times New Roman" w:hAnsi="Times New Roman" w:cs="Times New Roman"/>
                <w:b/>
                <w:bCs/>
                <w:color w:val="auto"/>
                <w:sz w:val="24"/>
                <w:szCs w:val="24"/>
                <w:lang w:val="en-US" w:eastAsia="zh-CN"/>
              </w:rPr>
              <w:t>、</w:t>
            </w:r>
            <w:r>
              <w:rPr>
                <w:rFonts w:hint="eastAsia" w:cs="Times New Roman"/>
                <w:b/>
                <w:bCs/>
                <w:color w:val="auto"/>
                <w:sz w:val="24"/>
                <w:szCs w:val="24"/>
                <w:lang w:val="en-US" w:eastAsia="zh-CN"/>
              </w:rPr>
              <w:t>本项目</w:t>
            </w:r>
            <w:r>
              <w:rPr>
                <w:rFonts w:hint="eastAsia" w:ascii="Times New Roman" w:hAnsi="Times New Roman" w:cs="Times New Roman"/>
                <w:b/>
                <w:bCs/>
                <w:color w:val="auto"/>
                <w:sz w:val="24"/>
                <w:szCs w:val="24"/>
                <w:lang w:val="en-US" w:eastAsia="zh-CN"/>
              </w:rPr>
              <w:t>工程概况</w:t>
            </w:r>
          </w:p>
          <w:p w14:paraId="6507B0B5">
            <w:pPr>
              <w:bidi w:val="0"/>
              <w:rPr>
                <w:rFonts w:hint="default"/>
                <w:color w:val="000000" w:themeColor="text1"/>
                <w14:textFill>
                  <w14:solidFill>
                    <w14:schemeClr w14:val="tx1"/>
                  </w14:solidFill>
                </w14:textFill>
              </w:rPr>
            </w:pPr>
            <w:r>
              <w:rPr>
                <w:rFonts w:hint="eastAsia"/>
                <w:color w:val="auto"/>
                <w:sz w:val="24"/>
                <w:szCs w:val="24"/>
                <w:lang w:val="en-US" w:eastAsia="zh-CN"/>
              </w:rPr>
              <w:t>1、</w:t>
            </w:r>
            <w:r>
              <w:rPr>
                <w:rFonts w:hint="default"/>
                <w:color w:val="000000" w:themeColor="text1"/>
                <w14:textFill>
                  <w14:solidFill>
                    <w14:schemeClr w14:val="tx1"/>
                  </w14:solidFill>
                </w14:textFill>
              </w:rPr>
              <w:t>项目名称：</w:t>
            </w:r>
            <w:r>
              <w:rPr>
                <w:rFonts w:hint="eastAsia"/>
                <w:color w:val="auto"/>
                <w:sz w:val="24"/>
                <w:szCs w:val="24"/>
                <w:lang w:val="en-US" w:eastAsia="zh-CN"/>
              </w:rPr>
              <w:t>唐山市聚弛环保科技有限责任公司通用设备及零部件制造项目</w:t>
            </w:r>
            <w:r>
              <w:rPr>
                <w:rFonts w:hint="default"/>
                <w:color w:val="000000" w:themeColor="text1"/>
                <w14:textFill>
                  <w14:solidFill>
                    <w14:schemeClr w14:val="tx1"/>
                  </w14:solidFill>
                </w14:textFill>
              </w:rPr>
              <w:t>。</w:t>
            </w:r>
          </w:p>
          <w:p w14:paraId="5704AC5E">
            <w:pPr>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default"/>
                <w:color w:val="000000" w:themeColor="text1"/>
                <w14:textFill>
                  <w14:solidFill>
                    <w14:schemeClr w14:val="tx1"/>
                  </w14:solidFill>
                </w14:textFill>
              </w:rPr>
              <w:t>建设单位：</w:t>
            </w:r>
            <w:r>
              <w:rPr>
                <w:rFonts w:hint="eastAsia"/>
                <w:color w:val="auto"/>
                <w:sz w:val="24"/>
                <w:szCs w:val="24"/>
                <w:lang w:val="en-US" w:eastAsia="zh-CN"/>
              </w:rPr>
              <w:t>唐山市聚弛环保科技有限责任公司</w:t>
            </w:r>
            <w:r>
              <w:rPr>
                <w:rFonts w:hint="default"/>
                <w:color w:val="000000" w:themeColor="text1"/>
                <w14:textFill>
                  <w14:solidFill>
                    <w14:schemeClr w14:val="tx1"/>
                  </w14:solidFill>
                </w14:textFill>
              </w:rPr>
              <w:t>。</w:t>
            </w:r>
          </w:p>
          <w:p w14:paraId="4BDF6208">
            <w:pPr>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default"/>
                <w:color w:val="000000" w:themeColor="text1"/>
                <w14:textFill>
                  <w14:solidFill>
                    <w14:schemeClr w14:val="tx1"/>
                  </w14:solidFill>
                </w14:textFill>
              </w:rPr>
              <w:t>建设性质：</w:t>
            </w:r>
            <w:r>
              <w:rPr>
                <w:rFonts w:hint="eastAsia"/>
                <w:color w:val="000000" w:themeColor="text1"/>
                <w:lang w:val="en-US" w:eastAsia="zh-CN"/>
                <w14:textFill>
                  <w14:solidFill>
                    <w14:schemeClr w14:val="tx1"/>
                  </w14:solidFill>
                </w14:textFill>
              </w:rPr>
              <w:t>新建</w:t>
            </w:r>
            <w:r>
              <w:rPr>
                <w:rFonts w:hint="default"/>
                <w:color w:val="000000" w:themeColor="text1"/>
                <w14:textFill>
                  <w14:solidFill>
                    <w14:schemeClr w14:val="tx1"/>
                  </w14:solidFill>
                </w14:textFill>
              </w:rPr>
              <w:t>。</w:t>
            </w:r>
          </w:p>
          <w:p w14:paraId="785509F8">
            <w:pPr>
              <w:bidi w:val="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default"/>
                <w:color w:val="000000" w:themeColor="text1"/>
                <w14:textFill>
                  <w14:solidFill>
                    <w14:schemeClr w14:val="tx1"/>
                  </w14:solidFill>
                </w14:textFill>
              </w:rPr>
              <w:t>建设地点：</w:t>
            </w:r>
            <w:r>
              <w:rPr>
                <w:rFonts w:hint="eastAsia"/>
                <w:color w:val="auto"/>
                <w:sz w:val="24"/>
                <w:szCs w:val="24"/>
                <w:lang w:val="en-US" w:eastAsia="zh-CN"/>
              </w:rPr>
              <w:t>河北省</w:t>
            </w:r>
            <w:r>
              <w:rPr>
                <w:rFonts w:hint="eastAsia" w:ascii="Times New Roman" w:hAnsi="Times New Roman" w:eastAsia="宋体" w:cs="Times New Roman"/>
                <w:color w:val="auto"/>
                <w:kern w:val="2"/>
                <w:sz w:val="24"/>
                <w:szCs w:val="24"/>
                <w:highlight w:val="none"/>
                <w:lang w:val="en-US" w:eastAsia="zh-CN" w:bidi="ar-SA"/>
              </w:rPr>
              <w:t>唐山市高新区郑庄子乡</w:t>
            </w:r>
            <w:r>
              <w:rPr>
                <w:rFonts w:hint="eastAsia" w:cs="Times New Roman"/>
                <w:color w:val="auto"/>
                <w:kern w:val="2"/>
                <w:sz w:val="24"/>
                <w:szCs w:val="24"/>
                <w:highlight w:val="none"/>
                <w:lang w:val="en-US" w:eastAsia="zh-CN" w:bidi="ar-SA"/>
              </w:rPr>
              <w:t>梁各庄村</w:t>
            </w:r>
            <w:r>
              <w:rPr>
                <w:rFonts w:hint="default"/>
                <w:color w:val="000000" w:themeColor="text1"/>
                <w14:textFill>
                  <w14:solidFill>
                    <w14:schemeClr w14:val="tx1"/>
                  </w14:solidFill>
                </w14:textFill>
              </w:rPr>
              <w:t>。</w:t>
            </w:r>
          </w:p>
          <w:p w14:paraId="44DAB8A8">
            <w:pPr>
              <w:bidi w:val="0"/>
              <w:rPr>
                <w:rFonts w:hint="default"/>
                <w:color w:val="auto"/>
                <w:sz w:val="24"/>
                <w:szCs w:val="24"/>
              </w:rPr>
            </w:pPr>
            <w:r>
              <w:rPr>
                <w:rFonts w:hint="eastAsia"/>
                <w:color w:val="auto"/>
                <w:sz w:val="24"/>
                <w:szCs w:val="24"/>
                <w:lang w:val="en-US" w:eastAsia="zh-CN"/>
              </w:rPr>
              <w:t>5、建设规模及内容</w:t>
            </w:r>
            <w:r>
              <w:rPr>
                <w:rFonts w:hint="default"/>
                <w:color w:val="auto"/>
                <w:sz w:val="24"/>
                <w:szCs w:val="24"/>
              </w:rPr>
              <w:t>：</w:t>
            </w:r>
            <w:r>
              <w:rPr>
                <w:rFonts w:hint="eastAsia"/>
                <w:color w:val="auto"/>
                <w:sz w:val="24"/>
                <w:szCs w:val="24"/>
              </w:rPr>
              <w:t>项目</w:t>
            </w:r>
            <w:r>
              <w:rPr>
                <w:rFonts w:hint="eastAsia"/>
                <w:color w:val="auto"/>
                <w:sz w:val="24"/>
                <w:szCs w:val="24"/>
                <w:lang w:val="en-US" w:eastAsia="zh-CN"/>
              </w:rPr>
              <w:t>租用高新区梁各庄村闲置厂房</w:t>
            </w:r>
            <w:r>
              <w:rPr>
                <w:rFonts w:hint="default"/>
                <w:color w:val="auto"/>
                <w:sz w:val="24"/>
                <w:szCs w:val="24"/>
              </w:rPr>
              <w:t>，建筑面积</w:t>
            </w:r>
            <w:r>
              <w:rPr>
                <w:rFonts w:hint="eastAsia"/>
                <w:color w:val="auto"/>
                <w:sz w:val="24"/>
                <w:szCs w:val="24"/>
                <w:lang w:val="en-US" w:eastAsia="zh-CN"/>
              </w:rPr>
              <w:t>1300</w:t>
            </w:r>
            <w:r>
              <w:rPr>
                <w:rFonts w:hint="eastAsia"/>
                <w:color w:val="auto"/>
                <w:sz w:val="24"/>
                <w:szCs w:val="24"/>
              </w:rPr>
              <w:t>平方米</w:t>
            </w:r>
            <w:r>
              <w:rPr>
                <w:rFonts w:hint="default"/>
                <w:color w:val="auto"/>
                <w:sz w:val="24"/>
                <w:szCs w:val="24"/>
              </w:rPr>
              <w:t>，</w:t>
            </w:r>
            <w:r>
              <w:rPr>
                <w:rFonts w:hint="eastAsia"/>
                <w:color w:val="auto"/>
                <w:sz w:val="24"/>
                <w:szCs w:val="24"/>
                <w:lang w:val="en-US" w:eastAsia="zh-CN"/>
              </w:rPr>
              <w:t>建设喷塑生产线、喷漆、烤漆生产线、配件加工组装生产线、打磨生产线等</w:t>
            </w:r>
            <w:r>
              <w:rPr>
                <w:rFonts w:hint="eastAsia"/>
                <w:color w:val="auto"/>
                <w:sz w:val="24"/>
                <w:szCs w:val="24"/>
              </w:rPr>
              <w:t>，年产</w:t>
            </w:r>
            <w:r>
              <w:rPr>
                <w:rFonts w:hint="eastAsia"/>
                <w:color w:val="auto"/>
                <w:sz w:val="24"/>
                <w:szCs w:val="24"/>
                <w:lang w:val="en-US" w:eastAsia="zh-CN"/>
              </w:rPr>
              <w:t>通用设备及零部件5000套</w:t>
            </w:r>
            <w:r>
              <w:rPr>
                <w:rFonts w:hint="eastAsia"/>
                <w:color w:val="auto"/>
                <w:sz w:val="24"/>
                <w:szCs w:val="24"/>
              </w:rPr>
              <w:t>，产值</w:t>
            </w:r>
            <w:r>
              <w:rPr>
                <w:rFonts w:hint="eastAsia"/>
                <w:color w:val="auto"/>
                <w:sz w:val="24"/>
                <w:szCs w:val="24"/>
                <w:lang w:val="en-US" w:eastAsia="zh-CN"/>
              </w:rPr>
              <w:t>500</w:t>
            </w:r>
            <w:r>
              <w:rPr>
                <w:rFonts w:hint="eastAsia"/>
                <w:color w:val="auto"/>
                <w:sz w:val="24"/>
                <w:szCs w:val="24"/>
              </w:rPr>
              <w:t>万元</w:t>
            </w:r>
            <w:r>
              <w:rPr>
                <w:rFonts w:hint="eastAsia"/>
                <w:color w:val="auto"/>
                <w:sz w:val="24"/>
                <w:szCs w:val="24"/>
                <w:lang w:val="en-US" w:eastAsia="zh-CN"/>
              </w:rPr>
              <w:t>。</w:t>
            </w:r>
            <w:r>
              <w:rPr>
                <w:rFonts w:hint="default"/>
                <w:color w:val="auto"/>
                <w:sz w:val="24"/>
                <w:szCs w:val="24"/>
              </w:rPr>
              <w:t>主要建构筑物情况见表</w:t>
            </w:r>
            <w:r>
              <w:rPr>
                <w:rFonts w:hint="eastAsia"/>
                <w:color w:val="auto"/>
                <w:sz w:val="24"/>
                <w:szCs w:val="24"/>
                <w:lang w:val="en-US" w:eastAsia="zh-CN"/>
              </w:rPr>
              <w:t>5</w:t>
            </w:r>
            <w:r>
              <w:rPr>
                <w:rFonts w:hint="default"/>
                <w:color w:val="auto"/>
                <w:sz w:val="24"/>
                <w:szCs w:val="24"/>
              </w:rPr>
              <w:t>，项目建设内容一览表见表</w:t>
            </w:r>
            <w:r>
              <w:rPr>
                <w:rFonts w:hint="eastAsia"/>
                <w:color w:val="auto"/>
                <w:sz w:val="24"/>
                <w:szCs w:val="24"/>
                <w:lang w:val="en-US" w:eastAsia="zh-CN"/>
              </w:rPr>
              <w:t>6</w:t>
            </w:r>
            <w:r>
              <w:rPr>
                <w:rFonts w:hint="default"/>
                <w:color w:val="auto"/>
                <w:sz w:val="24"/>
                <w:szCs w:val="24"/>
              </w:rPr>
              <w:t>。</w:t>
            </w:r>
          </w:p>
          <w:p w14:paraId="2583BB86">
            <w:pPr>
              <w:pStyle w:val="34"/>
              <w:bidi w:val="0"/>
              <w:rPr>
                <w:rFonts w:hint="default"/>
                <w:color w:val="auto"/>
                <w:sz w:val="21"/>
                <w:szCs w:val="21"/>
                <w:highlight w:val="none"/>
              </w:rPr>
            </w:pPr>
            <w:r>
              <w:rPr>
                <w:rFonts w:hint="default"/>
                <w:color w:val="auto"/>
                <w:sz w:val="21"/>
                <w:szCs w:val="21"/>
                <w:highlight w:val="none"/>
              </w:rPr>
              <w:t>表</w:t>
            </w:r>
            <w:r>
              <w:rPr>
                <w:rFonts w:hint="eastAsia"/>
                <w:color w:val="auto"/>
                <w:sz w:val="21"/>
                <w:szCs w:val="21"/>
                <w:highlight w:val="none"/>
                <w:lang w:val="en-US" w:eastAsia="zh-CN"/>
              </w:rPr>
              <w:t>5</w:t>
            </w:r>
            <w:r>
              <w:rPr>
                <w:rFonts w:hint="default"/>
                <w:color w:val="auto"/>
                <w:sz w:val="21"/>
                <w:szCs w:val="21"/>
                <w:highlight w:val="none"/>
              </w:rPr>
              <w:t xml:space="preserve">  </w:t>
            </w:r>
            <w:r>
              <w:rPr>
                <w:rFonts w:hint="eastAsia"/>
                <w:color w:val="auto"/>
                <w:sz w:val="21"/>
                <w:szCs w:val="21"/>
                <w:highlight w:val="none"/>
                <w:lang w:val="en-US" w:eastAsia="zh-CN"/>
              </w:rPr>
              <w:t>本项目</w:t>
            </w:r>
            <w:r>
              <w:rPr>
                <w:rFonts w:hint="default"/>
                <w:color w:val="auto"/>
                <w:sz w:val="21"/>
                <w:szCs w:val="21"/>
                <w:highlight w:val="none"/>
              </w:rPr>
              <w:t>主要建构筑物一览表</w:t>
            </w:r>
          </w:p>
          <w:tbl>
            <w:tblPr>
              <w:tblStyle w:val="21"/>
              <w:tblW w:w="79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595"/>
              <w:gridCol w:w="1800"/>
              <w:gridCol w:w="3751"/>
            </w:tblGrid>
            <w:tr w14:paraId="00E37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41" w:type="dxa"/>
                  <w:tcBorders>
                    <w:tl2br w:val="nil"/>
                    <w:tr2bl w:val="nil"/>
                  </w:tcBorders>
                  <w:noWrap w:val="0"/>
                  <w:vAlign w:val="center"/>
                </w:tcPr>
                <w:p w14:paraId="73DB55FC">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序号</w:t>
                  </w:r>
                </w:p>
              </w:tc>
              <w:tc>
                <w:tcPr>
                  <w:tcW w:w="1595" w:type="dxa"/>
                  <w:tcBorders>
                    <w:tl2br w:val="nil"/>
                    <w:tr2bl w:val="nil"/>
                  </w:tcBorders>
                  <w:noWrap w:val="0"/>
                  <w:vAlign w:val="center"/>
                </w:tcPr>
                <w:p w14:paraId="274C60AA">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名称</w:t>
                  </w:r>
                </w:p>
              </w:tc>
              <w:tc>
                <w:tcPr>
                  <w:tcW w:w="1800" w:type="dxa"/>
                  <w:tcBorders>
                    <w:tl2br w:val="nil"/>
                    <w:tr2bl w:val="nil"/>
                  </w:tcBorders>
                  <w:noWrap w:val="0"/>
                  <w:vAlign w:val="center"/>
                </w:tcPr>
                <w:p w14:paraId="67B1B82B">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建筑面积（m</w:t>
                  </w:r>
                  <w:r>
                    <w:rPr>
                      <w:rFonts w:hint="default"/>
                      <w:color w:val="auto"/>
                      <w:sz w:val="21"/>
                      <w:szCs w:val="21"/>
                      <w:vertAlign w:val="superscript"/>
                    </w:rPr>
                    <w:t>2</w:t>
                  </w:r>
                  <w:r>
                    <w:rPr>
                      <w:rFonts w:hint="default"/>
                      <w:color w:val="auto"/>
                      <w:sz w:val="21"/>
                      <w:szCs w:val="21"/>
                    </w:rPr>
                    <w:t>）</w:t>
                  </w:r>
                </w:p>
              </w:tc>
              <w:tc>
                <w:tcPr>
                  <w:tcW w:w="3751" w:type="dxa"/>
                  <w:tcBorders>
                    <w:tl2br w:val="nil"/>
                    <w:tr2bl w:val="nil"/>
                  </w:tcBorders>
                  <w:noWrap w:val="0"/>
                  <w:vAlign w:val="center"/>
                </w:tcPr>
                <w:p w14:paraId="5AB527AA">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备注</w:t>
                  </w:r>
                </w:p>
              </w:tc>
            </w:tr>
            <w:tr w14:paraId="347D1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tcBorders>
                    <w:tl2br w:val="nil"/>
                    <w:tr2bl w:val="nil"/>
                  </w:tcBorders>
                  <w:noWrap w:val="0"/>
                  <w:vAlign w:val="center"/>
                </w:tcPr>
                <w:p w14:paraId="56D8C950">
                  <w:pPr>
                    <w:pStyle w:val="27"/>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14:paraId="688EEA2C">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生产车间</w:t>
                  </w:r>
                </w:p>
              </w:tc>
              <w:tc>
                <w:tcPr>
                  <w:tcW w:w="1800" w:type="dxa"/>
                  <w:tcBorders>
                    <w:tl2br w:val="nil"/>
                    <w:tr2bl w:val="nil"/>
                  </w:tcBorders>
                  <w:noWrap w:val="0"/>
                  <w:vAlign w:val="center"/>
                </w:tcPr>
                <w:p w14:paraId="768C48D2">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1300</w:t>
                  </w:r>
                </w:p>
              </w:tc>
              <w:tc>
                <w:tcPr>
                  <w:tcW w:w="3751" w:type="dxa"/>
                  <w:tcBorders>
                    <w:tl2br w:val="nil"/>
                    <w:tr2bl w:val="nil"/>
                  </w:tcBorders>
                  <w:noWrap w:val="0"/>
                  <w:vAlign w:val="center"/>
                </w:tcPr>
                <w:p w14:paraId="62721803">
                  <w:pPr>
                    <w:pStyle w:val="2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int="eastAsia" w:eastAsia="宋体"/>
                      <w:color w:val="000000" w:themeColor="text1"/>
                      <w:sz w:val="21"/>
                      <w:szCs w:val="21"/>
                      <w:highlight w:val="none"/>
                      <w:vertAlign w:val="baseline"/>
                      <w:lang w:val="en-US" w:eastAsia="zh-CN"/>
                      <w14:textFill>
                        <w14:solidFill>
                          <w14:schemeClr w14:val="tx1"/>
                        </w14:solidFill>
                      </w14:textFill>
                    </w:rPr>
                    <w:t>一层，砖混+</w:t>
                  </w:r>
                  <w:r>
                    <w:rPr>
                      <w:rFonts w:hint="eastAsia"/>
                      <w:color w:val="000000" w:themeColor="text1"/>
                      <w:sz w:val="21"/>
                      <w:szCs w:val="21"/>
                      <w:highlight w:val="none"/>
                      <w:vertAlign w:val="baseline"/>
                      <w:lang w:val="en-US" w:eastAsia="zh-CN"/>
                      <w14:textFill>
                        <w14:solidFill>
                          <w14:schemeClr w14:val="tx1"/>
                        </w14:solidFill>
                      </w14:textFill>
                    </w:rPr>
                    <w:t>单层</w:t>
                  </w:r>
                  <w:r>
                    <w:rPr>
                      <w:rFonts w:hint="eastAsia" w:eastAsia="宋体"/>
                      <w:color w:val="000000" w:themeColor="text1"/>
                      <w:sz w:val="21"/>
                      <w:szCs w:val="21"/>
                      <w:highlight w:val="none"/>
                      <w:vertAlign w:val="baseline"/>
                      <w:lang w:val="en-US" w:eastAsia="zh-CN"/>
                      <w14:textFill>
                        <w14:solidFill>
                          <w14:schemeClr w14:val="tx1"/>
                        </w14:solidFill>
                      </w14:textFill>
                    </w:rPr>
                    <w:t>彩钢</w:t>
                  </w:r>
                  <w:r>
                    <w:rPr>
                      <w:rFonts w:hint="eastAsia"/>
                      <w:color w:val="000000" w:themeColor="text1"/>
                      <w:sz w:val="21"/>
                      <w:szCs w:val="21"/>
                      <w:highlight w:val="none"/>
                      <w:vertAlign w:val="baseline"/>
                      <w:lang w:val="en-US" w:eastAsia="zh-CN"/>
                      <w14:textFill>
                        <w14:solidFill>
                          <w14:schemeClr w14:val="tx1"/>
                        </w14:solidFill>
                      </w14:textFill>
                    </w:rPr>
                    <w:t>，墙体砖混、顶棚彩钢</w:t>
                  </w:r>
                  <w:r>
                    <w:rPr>
                      <w:rFonts w:hint="eastAsia" w:eastAsia="宋体"/>
                      <w:color w:val="000000" w:themeColor="text1"/>
                      <w:sz w:val="21"/>
                      <w:szCs w:val="21"/>
                      <w:highlight w:val="none"/>
                      <w:vertAlign w:val="baseline"/>
                      <w:lang w:val="en-US" w:eastAsia="zh-CN"/>
                      <w14:textFill>
                        <w14:solidFill>
                          <w14:schemeClr w14:val="tx1"/>
                        </w14:solidFill>
                      </w14:textFill>
                    </w:rPr>
                    <w:t>，</w:t>
                  </w:r>
                  <w:r>
                    <w:rPr>
                      <w:rFonts w:hint="eastAsia"/>
                      <w:color w:val="000000" w:themeColor="text1"/>
                      <w:sz w:val="21"/>
                      <w:szCs w:val="21"/>
                      <w:highlight w:val="none"/>
                      <w:vertAlign w:val="baseline"/>
                      <w:lang w:val="en-US" w:eastAsia="zh-CN"/>
                      <w14:textFill>
                        <w14:solidFill>
                          <w14:schemeClr w14:val="tx1"/>
                        </w14:solidFill>
                      </w14:textFill>
                    </w:rPr>
                    <w:t>北侧部分长60m，宽20m，南侧部分长10m，宽10m，</w:t>
                  </w:r>
                  <w:r>
                    <w:rPr>
                      <w:rFonts w:hint="eastAsia" w:eastAsia="宋体"/>
                      <w:color w:val="000000" w:themeColor="text1"/>
                      <w:sz w:val="21"/>
                      <w:szCs w:val="21"/>
                      <w:highlight w:val="none"/>
                      <w:vertAlign w:val="baseline"/>
                      <w:lang w:val="en-US" w:eastAsia="zh-CN"/>
                      <w14:textFill>
                        <w14:solidFill>
                          <w14:schemeClr w14:val="tx1"/>
                        </w14:solidFill>
                      </w14:textFill>
                    </w:rPr>
                    <w:t>建筑高度</w:t>
                  </w:r>
                  <w:r>
                    <w:rPr>
                      <w:rFonts w:hint="eastAsia"/>
                      <w:color w:val="000000" w:themeColor="text1"/>
                      <w:sz w:val="21"/>
                      <w:szCs w:val="21"/>
                      <w:highlight w:val="none"/>
                      <w:vertAlign w:val="baseline"/>
                      <w:lang w:val="en-US" w:eastAsia="zh-CN"/>
                      <w14:textFill>
                        <w14:solidFill>
                          <w14:schemeClr w14:val="tx1"/>
                        </w14:solidFill>
                      </w14:textFill>
                    </w:rPr>
                    <w:t>7.6</w:t>
                  </w:r>
                  <w:r>
                    <w:rPr>
                      <w:rFonts w:hint="eastAsia" w:eastAsia="宋体"/>
                      <w:color w:val="000000" w:themeColor="text1"/>
                      <w:sz w:val="21"/>
                      <w:szCs w:val="21"/>
                      <w:highlight w:val="none"/>
                      <w:vertAlign w:val="baseline"/>
                      <w:lang w:val="en-US" w:eastAsia="zh-CN"/>
                      <w14:textFill>
                        <w14:solidFill>
                          <w14:schemeClr w14:val="tx1"/>
                        </w14:solidFill>
                      </w14:textFill>
                    </w:rPr>
                    <w:t>m</w:t>
                  </w:r>
                  <w:r>
                    <w:rPr>
                      <w:rFonts w:hint="eastAsia"/>
                      <w:color w:val="000000" w:themeColor="text1"/>
                      <w:sz w:val="21"/>
                      <w:szCs w:val="21"/>
                      <w:highlight w:val="none"/>
                      <w:vertAlign w:val="baseline"/>
                      <w:lang w:val="en-US" w:eastAsia="zh-CN"/>
                      <w14:textFill>
                        <w14:solidFill>
                          <w14:schemeClr w14:val="tx1"/>
                        </w14:solidFill>
                      </w14:textFill>
                    </w:rPr>
                    <w:t>，内含原料区、库房、喷漆、烘干、喷塑、焊接、组装等</w:t>
                  </w:r>
                </w:p>
              </w:tc>
            </w:tr>
            <w:tr w14:paraId="60E62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tcBorders>
                    <w:tl2br w:val="nil"/>
                    <w:tr2bl w:val="nil"/>
                  </w:tcBorders>
                  <w:noWrap w:val="0"/>
                  <w:vAlign w:val="center"/>
                </w:tcPr>
                <w:p w14:paraId="0708EB0C">
                  <w:pPr>
                    <w:pStyle w:val="27"/>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14:paraId="4115CC47">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原料区</w:t>
                  </w:r>
                </w:p>
              </w:tc>
              <w:tc>
                <w:tcPr>
                  <w:tcW w:w="1800" w:type="dxa"/>
                  <w:tcBorders>
                    <w:tl2br w:val="nil"/>
                    <w:tr2bl w:val="nil"/>
                  </w:tcBorders>
                  <w:noWrap w:val="0"/>
                  <w:vAlign w:val="center"/>
                </w:tcPr>
                <w:p w14:paraId="2CDB8D4F">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50</w:t>
                  </w:r>
                </w:p>
              </w:tc>
              <w:tc>
                <w:tcPr>
                  <w:tcW w:w="3751" w:type="dxa"/>
                  <w:tcBorders>
                    <w:tl2br w:val="nil"/>
                    <w:tr2bl w:val="nil"/>
                  </w:tcBorders>
                  <w:noWrap w:val="0"/>
                  <w:vAlign w:val="center"/>
                </w:tcPr>
                <w:p w14:paraId="64C6F467">
                  <w:pPr>
                    <w:pStyle w:val="2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长10m，宽5m，位于生产车间</w:t>
                  </w:r>
                  <w:r>
                    <w:rPr>
                      <w:rFonts w:hint="eastAsia" w:eastAsia="宋体"/>
                      <w:color w:val="000000" w:themeColor="text1"/>
                      <w:sz w:val="21"/>
                      <w:szCs w:val="21"/>
                      <w:highlight w:val="none"/>
                      <w:vertAlign w:val="baseline"/>
                      <w:lang w:val="en-US" w:eastAsia="zh-CN"/>
                      <w14:textFill>
                        <w14:solidFill>
                          <w14:schemeClr w14:val="tx1"/>
                        </w14:solidFill>
                      </w14:textFill>
                    </w:rPr>
                    <w:t>，砖混+</w:t>
                  </w:r>
                  <w:r>
                    <w:rPr>
                      <w:rFonts w:hint="eastAsia"/>
                      <w:color w:val="000000" w:themeColor="text1"/>
                      <w:sz w:val="21"/>
                      <w:szCs w:val="21"/>
                      <w:highlight w:val="none"/>
                      <w:vertAlign w:val="baseline"/>
                      <w:lang w:val="en-US" w:eastAsia="zh-CN"/>
                      <w14:textFill>
                        <w14:solidFill>
                          <w14:schemeClr w14:val="tx1"/>
                        </w14:solidFill>
                      </w14:textFill>
                    </w:rPr>
                    <w:t>单层</w:t>
                  </w:r>
                  <w:r>
                    <w:rPr>
                      <w:rFonts w:hint="eastAsia" w:eastAsia="宋体"/>
                      <w:color w:val="000000" w:themeColor="text1"/>
                      <w:sz w:val="21"/>
                      <w:szCs w:val="21"/>
                      <w:highlight w:val="none"/>
                      <w:vertAlign w:val="baseline"/>
                      <w:lang w:val="en-US" w:eastAsia="zh-CN"/>
                      <w14:textFill>
                        <w14:solidFill>
                          <w14:schemeClr w14:val="tx1"/>
                        </w14:solidFill>
                      </w14:textFill>
                    </w:rPr>
                    <w:t>彩钢</w:t>
                  </w:r>
                </w:p>
              </w:tc>
            </w:tr>
            <w:tr w14:paraId="1CD82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tcBorders>
                    <w:tl2br w:val="nil"/>
                    <w:tr2bl w:val="nil"/>
                  </w:tcBorders>
                  <w:noWrap w:val="0"/>
                  <w:vAlign w:val="center"/>
                </w:tcPr>
                <w:p w14:paraId="49E5EAAD">
                  <w:pPr>
                    <w:pStyle w:val="27"/>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14:paraId="227BDAA3">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库房</w:t>
                  </w:r>
                </w:p>
              </w:tc>
              <w:tc>
                <w:tcPr>
                  <w:tcW w:w="1800" w:type="dxa"/>
                  <w:tcBorders>
                    <w:tl2br w:val="nil"/>
                    <w:tr2bl w:val="nil"/>
                  </w:tcBorders>
                  <w:noWrap w:val="0"/>
                  <w:vAlign w:val="center"/>
                </w:tcPr>
                <w:p w14:paraId="32973F19">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50</w:t>
                  </w:r>
                </w:p>
              </w:tc>
              <w:tc>
                <w:tcPr>
                  <w:tcW w:w="3751" w:type="dxa"/>
                  <w:tcBorders>
                    <w:tl2br w:val="nil"/>
                    <w:tr2bl w:val="nil"/>
                  </w:tcBorders>
                  <w:noWrap w:val="0"/>
                  <w:vAlign w:val="center"/>
                </w:tcPr>
                <w:p w14:paraId="293FC5B1">
                  <w:pPr>
                    <w:pStyle w:val="2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长10m，宽5m，位于生产车间</w:t>
                  </w:r>
                  <w:r>
                    <w:rPr>
                      <w:rFonts w:hint="eastAsia" w:eastAsia="宋体"/>
                      <w:color w:val="000000" w:themeColor="text1"/>
                      <w:sz w:val="21"/>
                      <w:szCs w:val="21"/>
                      <w:highlight w:val="none"/>
                      <w:vertAlign w:val="baseline"/>
                      <w:lang w:val="en-US" w:eastAsia="zh-CN"/>
                      <w14:textFill>
                        <w14:solidFill>
                          <w14:schemeClr w14:val="tx1"/>
                        </w14:solidFill>
                      </w14:textFill>
                    </w:rPr>
                    <w:t>，砖混+</w:t>
                  </w:r>
                  <w:r>
                    <w:rPr>
                      <w:rFonts w:hint="eastAsia"/>
                      <w:color w:val="000000" w:themeColor="text1"/>
                      <w:sz w:val="21"/>
                      <w:szCs w:val="21"/>
                      <w:highlight w:val="none"/>
                      <w:vertAlign w:val="baseline"/>
                      <w:lang w:val="en-US" w:eastAsia="zh-CN"/>
                      <w14:textFill>
                        <w14:solidFill>
                          <w14:schemeClr w14:val="tx1"/>
                        </w14:solidFill>
                      </w14:textFill>
                    </w:rPr>
                    <w:t>单层</w:t>
                  </w:r>
                  <w:r>
                    <w:rPr>
                      <w:rFonts w:hint="eastAsia" w:eastAsia="宋体"/>
                      <w:color w:val="000000" w:themeColor="text1"/>
                      <w:sz w:val="21"/>
                      <w:szCs w:val="21"/>
                      <w:highlight w:val="none"/>
                      <w:vertAlign w:val="baseline"/>
                      <w:lang w:val="en-US" w:eastAsia="zh-CN"/>
                      <w14:textFill>
                        <w14:solidFill>
                          <w14:schemeClr w14:val="tx1"/>
                        </w14:solidFill>
                      </w14:textFill>
                    </w:rPr>
                    <w:t>彩钢</w:t>
                  </w:r>
                </w:p>
              </w:tc>
            </w:tr>
            <w:tr w14:paraId="060B1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tcBorders>
                    <w:tl2br w:val="nil"/>
                    <w:tr2bl w:val="nil"/>
                  </w:tcBorders>
                  <w:noWrap w:val="0"/>
                  <w:vAlign w:val="center"/>
                </w:tcPr>
                <w:p w14:paraId="4A7CA6E8">
                  <w:pPr>
                    <w:pStyle w:val="27"/>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14:paraId="46F3B5F8">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危险品库房</w:t>
                  </w:r>
                </w:p>
              </w:tc>
              <w:tc>
                <w:tcPr>
                  <w:tcW w:w="1800" w:type="dxa"/>
                  <w:tcBorders>
                    <w:tl2br w:val="nil"/>
                    <w:tr2bl w:val="nil"/>
                  </w:tcBorders>
                  <w:noWrap w:val="0"/>
                  <w:vAlign w:val="center"/>
                </w:tcPr>
                <w:p w14:paraId="15974587">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20</w:t>
                  </w:r>
                </w:p>
              </w:tc>
              <w:tc>
                <w:tcPr>
                  <w:tcW w:w="3751" w:type="dxa"/>
                  <w:tcBorders>
                    <w:tl2br w:val="nil"/>
                    <w:tr2bl w:val="nil"/>
                  </w:tcBorders>
                  <w:noWrap w:val="0"/>
                  <w:vAlign w:val="center"/>
                </w:tcPr>
                <w:p w14:paraId="1CE57EFF">
                  <w:pPr>
                    <w:pStyle w:val="2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地面及裙角防腐防渗</w:t>
                  </w:r>
                  <w:r>
                    <w:rPr>
                      <w:rFonts w:hint="eastAsia"/>
                      <w:color w:val="000000" w:themeColor="text1"/>
                      <w:sz w:val="21"/>
                      <w:szCs w:val="21"/>
                      <w:highlight w:val="none"/>
                      <w:vertAlign w:val="baseline"/>
                      <w:lang w:val="en-US" w:eastAsia="zh-CN"/>
                      <w14:textFill>
                        <w14:solidFill>
                          <w14:schemeClr w14:val="tx1"/>
                        </w14:solidFill>
                      </w14:textFill>
                    </w:rPr>
                    <w:t>，位于生产车间内</w:t>
                  </w:r>
                  <w:r>
                    <w:rPr>
                      <w:rFonts w:hint="eastAsia" w:eastAsia="宋体"/>
                      <w:color w:val="000000" w:themeColor="text1"/>
                      <w:sz w:val="21"/>
                      <w:szCs w:val="21"/>
                      <w:highlight w:val="none"/>
                      <w:vertAlign w:val="baseline"/>
                      <w:lang w:val="en-US" w:eastAsia="zh-CN"/>
                      <w14:textFill>
                        <w14:solidFill>
                          <w14:schemeClr w14:val="tx1"/>
                        </w14:solidFill>
                      </w14:textFill>
                    </w:rPr>
                    <w:t>，砖混+</w:t>
                  </w:r>
                  <w:r>
                    <w:rPr>
                      <w:rFonts w:hint="eastAsia"/>
                      <w:color w:val="000000" w:themeColor="text1"/>
                      <w:sz w:val="21"/>
                      <w:szCs w:val="21"/>
                      <w:highlight w:val="none"/>
                      <w:vertAlign w:val="baseline"/>
                      <w:lang w:val="en-US" w:eastAsia="zh-CN"/>
                      <w14:textFill>
                        <w14:solidFill>
                          <w14:schemeClr w14:val="tx1"/>
                        </w14:solidFill>
                      </w14:textFill>
                    </w:rPr>
                    <w:t>单层</w:t>
                  </w:r>
                  <w:r>
                    <w:rPr>
                      <w:rFonts w:hint="eastAsia" w:eastAsia="宋体"/>
                      <w:color w:val="000000" w:themeColor="text1"/>
                      <w:sz w:val="21"/>
                      <w:szCs w:val="21"/>
                      <w:highlight w:val="none"/>
                      <w:vertAlign w:val="baseline"/>
                      <w:lang w:val="en-US" w:eastAsia="zh-CN"/>
                      <w14:textFill>
                        <w14:solidFill>
                          <w14:schemeClr w14:val="tx1"/>
                        </w14:solidFill>
                      </w14:textFill>
                    </w:rPr>
                    <w:t>彩钢</w:t>
                  </w:r>
                </w:p>
              </w:tc>
            </w:tr>
            <w:tr w14:paraId="4947A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tcBorders>
                    <w:tl2br w:val="nil"/>
                    <w:tr2bl w:val="nil"/>
                  </w:tcBorders>
                  <w:noWrap w:val="0"/>
                  <w:vAlign w:val="center"/>
                </w:tcPr>
                <w:p w14:paraId="61E2D599">
                  <w:pPr>
                    <w:pStyle w:val="27"/>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14:paraId="647A0668">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办公区域</w:t>
                  </w:r>
                </w:p>
              </w:tc>
              <w:tc>
                <w:tcPr>
                  <w:tcW w:w="1800" w:type="dxa"/>
                  <w:tcBorders>
                    <w:tl2br w:val="nil"/>
                    <w:tr2bl w:val="nil"/>
                  </w:tcBorders>
                  <w:noWrap w:val="0"/>
                  <w:vAlign w:val="center"/>
                </w:tcPr>
                <w:p w14:paraId="1FD05B3E">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576</w:t>
                  </w:r>
                </w:p>
              </w:tc>
              <w:tc>
                <w:tcPr>
                  <w:tcW w:w="3751" w:type="dxa"/>
                  <w:tcBorders>
                    <w:tl2br w:val="nil"/>
                    <w:tr2bl w:val="nil"/>
                  </w:tcBorders>
                  <w:noWrap w:val="0"/>
                  <w:vAlign w:val="center"/>
                </w:tcPr>
                <w:p w14:paraId="28461029">
                  <w:pPr>
                    <w:pStyle w:val="27"/>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在生产车间南侧隔出二层部分区域</w:t>
                  </w:r>
                  <w:r>
                    <w:rPr>
                      <w:rFonts w:hint="eastAsia" w:eastAsia="宋体"/>
                      <w:color w:val="000000" w:themeColor="text1"/>
                      <w:sz w:val="21"/>
                      <w:szCs w:val="21"/>
                      <w:highlight w:val="none"/>
                      <w:vertAlign w:val="baseline"/>
                      <w:lang w:val="en-US" w:eastAsia="zh-CN"/>
                      <w14:textFill>
                        <w14:solidFill>
                          <w14:schemeClr w14:val="tx1"/>
                        </w14:solidFill>
                      </w14:textFill>
                    </w:rPr>
                    <w:t>，砖混+</w:t>
                  </w:r>
                  <w:r>
                    <w:rPr>
                      <w:rFonts w:hint="eastAsia"/>
                      <w:color w:val="000000" w:themeColor="text1"/>
                      <w:sz w:val="21"/>
                      <w:szCs w:val="21"/>
                      <w:highlight w:val="none"/>
                      <w:vertAlign w:val="baseline"/>
                      <w:lang w:val="en-US" w:eastAsia="zh-CN"/>
                      <w14:textFill>
                        <w14:solidFill>
                          <w14:schemeClr w14:val="tx1"/>
                        </w14:solidFill>
                      </w14:textFill>
                    </w:rPr>
                    <w:t>单层</w:t>
                  </w:r>
                  <w:r>
                    <w:rPr>
                      <w:rFonts w:hint="eastAsia" w:eastAsia="宋体"/>
                      <w:color w:val="000000" w:themeColor="text1"/>
                      <w:sz w:val="21"/>
                      <w:szCs w:val="21"/>
                      <w:highlight w:val="none"/>
                      <w:vertAlign w:val="baseline"/>
                      <w:lang w:val="en-US" w:eastAsia="zh-CN"/>
                      <w14:textFill>
                        <w14:solidFill>
                          <w14:schemeClr w14:val="tx1"/>
                        </w14:solidFill>
                      </w14:textFill>
                    </w:rPr>
                    <w:t>彩钢</w:t>
                  </w:r>
                </w:p>
              </w:tc>
            </w:tr>
            <w:tr w14:paraId="339C7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tcBorders>
                    <w:tl2br w:val="nil"/>
                    <w:tr2bl w:val="nil"/>
                  </w:tcBorders>
                  <w:noWrap w:val="0"/>
                  <w:vAlign w:val="center"/>
                </w:tcPr>
                <w:p w14:paraId="4D9AF9D8">
                  <w:pPr>
                    <w:pStyle w:val="27"/>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14:paraId="3BEBACAE">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危废间</w:t>
                  </w:r>
                </w:p>
              </w:tc>
              <w:tc>
                <w:tcPr>
                  <w:tcW w:w="1800" w:type="dxa"/>
                  <w:tcBorders>
                    <w:tl2br w:val="nil"/>
                    <w:tr2bl w:val="nil"/>
                  </w:tcBorders>
                  <w:noWrap w:val="0"/>
                  <w:vAlign w:val="center"/>
                </w:tcPr>
                <w:p w14:paraId="47E646F9">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20</w:t>
                  </w:r>
                </w:p>
              </w:tc>
              <w:tc>
                <w:tcPr>
                  <w:tcW w:w="3751" w:type="dxa"/>
                  <w:tcBorders>
                    <w:tl2br w:val="nil"/>
                    <w:tr2bl w:val="nil"/>
                  </w:tcBorders>
                  <w:noWrap w:val="0"/>
                  <w:vAlign w:val="center"/>
                </w:tcPr>
                <w:p w14:paraId="0DF034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彩钢结构，地面及裙角防腐防渗</w:t>
                  </w:r>
                </w:p>
              </w:tc>
            </w:tr>
            <w:tr w14:paraId="02248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tcBorders>
                    <w:tl2br w:val="nil"/>
                    <w:tr2bl w:val="nil"/>
                  </w:tcBorders>
                  <w:noWrap w:val="0"/>
                  <w:vAlign w:val="center"/>
                </w:tcPr>
                <w:p w14:paraId="1E67D9B2">
                  <w:pPr>
                    <w:pStyle w:val="27"/>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color w:val="auto"/>
                      <w:sz w:val="21"/>
                      <w:szCs w:val="21"/>
                    </w:rPr>
                  </w:pPr>
                </w:p>
              </w:tc>
              <w:tc>
                <w:tcPr>
                  <w:tcW w:w="1595" w:type="dxa"/>
                  <w:tcBorders>
                    <w:tl2br w:val="nil"/>
                    <w:tr2bl w:val="nil"/>
                  </w:tcBorders>
                  <w:noWrap w:val="0"/>
                  <w:vAlign w:val="center"/>
                </w:tcPr>
                <w:p w14:paraId="5E6AD3BF">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一般工业固废暂存间</w:t>
                  </w:r>
                </w:p>
              </w:tc>
              <w:tc>
                <w:tcPr>
                  <w:tcW w:w="1800" w:type="dxa"/>
                  <w:tcBorders>
                    <w:tl2br w:val="nil"/>
                    <w:tr2bl w:val="nil"/>
                  </w:tcBorders>
                  <w:noWrap w:val="0"/>
                  <w:vAlign w:val="center"/>
                </w:tcPr>
                <w:p w14:paraId="102F625A">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20</w:t>
                  </w:r>
                </w:p>
              </w:tc>
              <w:tc>
                <w:tcPr>
                  <w:tcW w:w="3751" w:type="dxa"/>
                  <w:tcBorders>
                    <w:tl2br w:val="nil"/>
                    <w:tr2bl w:val="nil"/>
                  </w:tcBorders>
                  <w:noWrap w:val="0"/>
                  <w:vAlign w:val="center"/>
                </w:tcPr>
                <w:p w14:paraId="3DD8AB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一层，</w:t>
                  </w:r>
                  <w:r>
                    <w:rPr>
                      <w:rFonts w:hint="eastAsia"/>
                      <w:color w:val="000000" w:themeColor="text1"/>
                      <w:sz w:val="21"/>
                      <w:szCs w:val="21"/>
                      <w:highlight w:val="none"/>
                      <w:lang w:val="en-US" w:eastAsia="zh-CN"/>
                      <w14:textFill>
                        <w14:solidFill>
                          <w14:schemeClr w14:val="tx1"/>
                        </w14:solidFill>
                      </w14:textFill>
                    </w:rPr>
                    <w:t>彩钢结构</w:t>
                  </w:r>
                  <w:r>
                    <w:rPr>
                      <w:rFonts w:hint="eastAsia"/>
                      <w:color w:val="000000" w:themeColor="text1"/>
                      <w:sz w:val="21"/>
                      <w:szCs w:val="21"/>
                      <w:highlight w:val="none"/>
                      <w:vertAlign w:val="baseline"/>
                      <w:lang w:val="en-US" w:eastAsia="zh-CN"/>
                      <w14:textFill>
                        <w14:solidFill>
                          <w14:schemeClr w14:val="tx1"/>
                        </w14:solidFill>
                      </w14:textFill>
                    </w:rPr>
                    <w:t>，位于生产车间内</w:t>
                  </w:r>
                </w:p>
              </w:tc>
            </w:tr>
          </w:tbl>
          <w:p w14:paraId="09D7E615">
            <w:pPr>
              <w:pStyle w:val="34"/>
              <w:bidi w:val="0"/>
              <w:rPr>
                <w:rFonts w:hint="default"/>
                <w:color w:val="0070C0"/>
                <w:sz w:val="21"/>
                <w:szCs w:val="21"/>
                <w:highlight w:val="none"/>
              </w:rPr>
            </w:pPr>
            <w:r>
              <w:rPr>
                <w:rFonts w:hint="default"/>
                <w:color w:val="auto"/>
                <w:sz w:val="21"/>
                <w:szCs w:val="21"/>
                <w:highlight w:val="none"/>
              </w:rPr>
              <w:t>表</w:t>
            </w:r>
            <w:r>
              <w:rPr>
                <w:rFonts w:hint="eastAsia"/>
                <w:color w:val="auto"/>
                <w:sz w:val="21"/>
                <w:szCs w:val="21"/>
                <w:highlight w:val="none"/>
                <w:lang w:val="en-US" w:eastAsia="zh-CN"/>
              </w:rPr>
              <w:t>6  本</w:t>
            </w:r>
            <w:r>
              <w:rPr>
                <w:rFonts w:hint="default"/>
                <w:color w:val="auto"/>
                <w:sz w:val="21"/>
                <w:szCs w:val="21"/>
                <w:highlight w:val="none"/>
              </w:rPr>
              <w:t>项目建设内容一览表</w:t>
            </w:r>
          </w:p>
          <w:tbl>
            <w:tblPr>
              <w:tblStyle w:val="20"/>
              <w:tblW w:w="80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272"/>
              <w:gridCol w:w="5624"/>
            </w:tblGrid>
            <w:tr w14:paraId="3333B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tcBorders>
                    <w:tl2br w:val="nil"/>
                    <w:tr2bl w:val="nil"/>
                  </w:tcBorders>
                  <w:noWrap w:val="0"/>
                  <w:vAlign w:val="center"/>
                </w:tcPr>
                <w:p w14:paraId="727BFEE6">
                  <w:pPr>
                    <w:pStyle w:val="27"/>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工程类别</w:t>
                  </w:r>
                </w:p>
              </w:tc>
              <w:tc>
                <w:tcPr>
                  <w:tcW w:w="1272" w:type="dxa"/>
                  <w:tcBorders>
                    <w:tl2br w:val="nil"/>
                    <w:tr2bl w:val="nil"/>
                  </w:tcBorders>
                  <w:noWrap w:val="0"/>
                  <w:vAlign w:val="center"/>
                </w:tcPr>
                <w:p w14:paraId="6E367CC3">
                  <w:pPr>
                    <w:pStyle w:val="27"/>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项目名称</w:t>
                  </w:r>
                </w:p>
              </w:tc>
              <w:tc>
                <w:tcPr>
                  <w:tcW w:w="5624" w:type="dxa"/>
                  <w:tcBorders>
                    <w:tl2br w:val="nil"/>
                    <w:tr2bl w:val="nil"/>
                  </w:tcBorders>
                  <w:noWrap w:val="0"/>
                  <w:vAlign w:val="center"/>
                </w:tcPr>
                <w:p w14:paraId="0EEDE18B">
                  <w:pPr>
                    <w:pStyle w:val="27"/>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建设内容</w:t>
                  </w:r>
                </w:p>
              </w:tc>
            </w:tr>
            <w:tr w14:paraId="24D12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1201" w:type="dxa"/>
                  <w:tcBorders>
                    <w:tl2br w:val="nil"/>
                    <w:tr2bl w:val="nil"/>
                  </w:tcBorders>
                  <w:noWrap w:val="0"/>
                  <w:vAlign w:val="center"/>
                </w:tcPr>
                <w:p w14:paraId="62A790AE">
                  <w:pPr>
                    <w:pStyle w:val="27"/>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主体工程</w:t>
                  </w:r>
                </w:p>
              </w:tc>
              <w:tc>
                <w:tcPr>
                  <w:tcW w:w="1272" w:type="dxa"/>
                  <w:tcBorders>
                    <w:tl2br w:val="nil"/>
                    <w:tr2bl w:val="nil"/>
                  </w:tcBorders>
                  <w:noWrap w:val="0"/>
                  <w:vAlign w:val="center"/>
                </w:tcPr>
                <w:p w14:paraId="6E8B7139">
                  <w:pPr>
                    <w:pStyle w:val="27"/>
                    <w:keepNext w:val="0"/>
                    <w:keepLines w:val="0"/>
                    <w:pageBreakBefore w:val="0"/>
                    <w:widowControl w:val="0"/>
                    <w:kinsoku/>
                    <w:overflowPunct/>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生产车间</w:t>
                  </w:r>
                </w:p>
              </w:tc>
              <w:tc>
                <w:tcPr>
                  <w:tcW w:w="5624" w:type="dxa"/>
                  <w:tcBorders>
                    <w:tl2br w:val="nil"/>
                    <w:tr2bl w:val="nil"/>
                  </w:tcBorders>
                  <w:noWrap w:val="0"/>
                  <w:vAlign w:val="center"/>
                </w:tcPr>
                <w:p w14:paraId="59746734">
                  <w:pPr>
                    <w:pStyle w:val="27"/>
                    <w:keepNext w:val="0"/>
                    <w:keepLines w:val="0"/>
                    <w:pageBreakBefore w:val="0"/>
                    <w:widowControl w:val="0"/>
                    <w:kinsoku/>
                    <w:overflowPunct/>
                    <w:autoSpaceDE/>
                    <w:autoSpaceDN/>
                    <w:bidi w:val="0"/>
                    <w:adjustRightInd/>
                    <w:snapToGrid/>
                    <w:ind w:firstLine="0" w:firstLineChars="0"/>
                    <w:textAlignment w:val="auto"/>
                    <w:rPr>
                      <w:rFonts w:hint="default" w:ascii="Times New Roman" w:hAnsi="Times New Roman" w:eastAsia="宋体" w:cs="Times New Roman"/>
                      <w:color w:val="0070C0"/>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建筑面积</w:t>
                  </w:r>
                  <w:r>
                    <w:rPr>
                      <w:rFonts w:hint="eastAsia"/>
                      <w:color w:val="000000" w:themeColor="text1"/>
                      <w:sz w:val="21"/>
                      <w:szCs w:val="21"/>
                      <w:highlight w:val="none"/>
                      <w:vertAlign w:val="baseline"/>
                      <w:lang w:val="en-US" w:eastAsia="zh-CN"/>
                      <w14:textFill>
                        <w14:solidFill>
                          <w14:schemeClr w14:val="tx1"/>
                        </w14:solidFill>
                      </w14:textFill>
                    </w:rPr>
                    <w:t>1300</w:t>
                  </w:r>
                  <w:r>
                    <w:rPr>
                      <w:rFonts w:hint="eastAsia"/>
                      <w:color w:val="auto"/>
                      <w:sz w:val="21"/>
                      <w:szCs w:val="21"/>
                      <w:highlight w:val="none"/>
                      <w:vertAlign w:val="baseline"/>
                      <w:lang w:val="en-US" w:eastAsia="zh-CN"/>
                    </w:rPr>
                    <w:t>m</w:t>
                  </w:r>
                  <w:r>
                    <w:rPr>
                      <w:rFonts w:hint="eastAsia"/>
                      <w:color w:val="auto"/>
                      <w:sz w:val="21"/>
                      <w:szCs w:val="21"/>
                      <w:highlight w:val="none"/>
                      <w:vertAlign w:val="superscript"/>
                      <w:lang w:val="en-US" w:eastAsia="zh-CN"/>
                    </w:rPr>
                    <w:t>2</w:t>
                  </w:r>
                  <w:r>
                    <w:rPr>
                      <w:rFonts w:hint="eastAsia"/>
                      <w:color w:val="auto"/>
                      <w:sz w:val="21"/>
                      <w:szCs w:val="21"/>
                      <w:highlight w:val="none"/>
                      <w:vertAlign w:val="baseline"/>
                      <w:lang w:val="en-US" w:eastAsia="zh-CN"/>
                    </w:rPr>
                    <w:t>，内设喷漆房、烘干房、打砂间、打磨间、组装、焊接区域等，其中喷漆房（10m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w:t>
                  </w:r>
                  <w:r>
                    <w:rPr>
                      <w:rFonts w:hint="eastAsia"/>
                      <w:color w:val="auto"/>
                      <w:sz w:val="21"/>
                      <w:szCs w:val="21"/>
                      <w:highlight w:val="none"/>
                      <w:vertAlign w:val="baseline"/>
                      <w:lang w:val="en-US" w:eastAsia="zh-CN"/>
                    </w:rPr>
                    <w:t>5.4m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）三座、烘干房（10m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eastAsia"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5.4m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）两座、腻子间（11m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）一座、打磨房（11m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）一座、喷塑房（11m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5m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3</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）一座、固化房（6m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3m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3</w:t>
                  </w:r>
                  <w:r>
                    <w:rPr>
                      <w:rFonts w:hint="eastAsia" w:ascii="Times New Roman" w:hAnsi="Times New Roman" w:cs="Times New Roman"/>
                      <w:color w:val="auto"/>
                      <w:sz w:val="21"/>
                      <w:szCs w:val="21"/>
                      <w:highlight w:val="none"/>
                      <w:vertAlign w:val="baseline"/>
                      <w:lang w:val="en-US" w:eastAsia="zh-CN"/>
                    </w:rPr>
                    <w:t>m</w:t>
                  </w:r>
                  <w:r>
                    <w:rPr>
                      <w:rFonts w:hint="eastAsia"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12m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3m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3</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）两座、打砂间（4m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4m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）一座、抛丸室（4m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4m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）一座、杂物间（10m</w:t>
                  </w:r>
                  <w:r>
                    <w:rPr>
                      <w:rFonts w:hint="default" w:ascii="Times New Roman" w:hAnsi="Times New Roman" w:cs="Times New Roman"/>
                      <w:color w:val="auto"/>
                      <w:sz w:val="21"/>
                      <w:szCs w:val="21"/>
                      <w:highlight w:val="none"/>
                      <w:vertAlign w:val="baseline"/>
                      <w:lang w:val="en-US" w:eastAsia="zh-CN"/>
                    </w:rPr>
                    <w:t>×</w:t>
                  </w:r>
                  <w:r>
                    <w:rPr>
                      <w:rFonts w:hint="eastAsia"/>
                      <w:color w:val="auto"/>
                      <w:sz w:val="21"/>
                      <w:szCs w:val="21"/>
                      <w:highlight w:val="none"/>
                      <w:vertAlign w:val="baseline"/>
                      <w:lang w:val="en-US" w:eastAsia="zh-CN"/>
                    </w:rPr>
                    <w:t>6m</w:t>
                  </w:r>
                  <w:r>
                    <w:rPr>
                      <w:rFonts w:hint="default" w:ascii="Times New Roman" w:hAnsi="Times New Roman" w:cs="Times New Roman"/>
                      <w:color w:val="auto"/>
                      <w:sz w:val="21"/>
                      <w:szCs w:val="21"/>
                      <w:highlight w:val="none"/>
                      <w:vertAlign w:val="baseline"/>
                      <w:lang w:val="en-US" w:eastAsia="zh-CN"/>
                    </w:rPr>
                    <w:t>×</w:t>
                  </w:r>
                  <w:r>
                    <w:rPr>
                      <w:rFonts w:hint="eastAsia" w:cs="Times New Roman"/>
                      <w:color w:val="auto"/>
                      <w:sz w:val="21"/>
                      <w:szCs w:val="21"/>
                      <w:highlight w:val="none"/>
                      <w:vertAlign w:val="baseline"/>
                      <w:lang w:val="en-US" w:eastAsia="zh-CN"/>
                    </w:rPr>
                    <w:t>2.5</w:t>
                  </w:r>
                  <w:r>
                    <w:rPr>
                      <w:rFonts w:hint="eastAsia" w:ascii="Times New Roman" w:hAnsi="Times New Roman" w:cs="Times New Roman"/>
                      <w:color w:val="auto"/>
                      <w:sz w:val="21"/>
                      <w:szCs w:val="21"/>
                      <w:highlight w:val="none"/>
                      <w:vertAlign w:val="baseline"/>
                      <w:lang w:val="en-US" w:eastAsia="zh-CN"/>
                    </w:rPr>
                    <w:t>m</w:t>
                  </w:r>
                  <w:r>
                    <w:rPr>
                      <w:rFonts w:hint="eastAsia"/>
                      <w:color w:val="auto"/>
                      <w:sz w:val="21"/>
                      <w:szCs w:val="21"/>
                      <w:highlight w:val="none"/>
                      <w:vertAlign w:val="baseline"/>
                      <w:lang w:val="en-US" w:eastAsia="zh-CN"/>
                    </w:rPr>
                    <w:t>）一座</w:t>
                  </w:r>
                </w:p>
              </w:tc>
            </w:tr>
            <w:tr w14:paraId="123E3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restart"/>
                  <w:tcBorders>
                    <w:tl2br w:val="nil"/>
                    <w:tr2bl w:val="nil"/>
                  </w:tcBorders>
                  <w:noWrap w:val="0"/>
                  <w:vAlign w:val="center"/>
                </w:tcPr>
                <w:p w14:paraId="05DE7A2D">
                  <w:pPr>
                    <w:pStyle w:val="27"/>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eastAsia"/>
                      <w:color w:val="auto"/>
                      <w:sz w:val="21"/>
                      <w:szCs w:val="21"/>
                      <w:lang w:val="en-US" w:eastAsia="zh-CN"/>
                    </w:rPr>
                    <w:t>辅助</w:t>
                  </w:r>
                  <w:r>
                    <w:rPr>
                      <w:rFonts w:hint="default"/>
                      <w:color w:val="auto"/>
                      <w:sz w:val="21"/>
                      <w:szCs w:val="21"/>
                    </w:rPr>
                    <w:t>工程</w:t>
                  </w:r>
                </w:p>
              </w:tc>
              <w:tc>
                <w:tcPr>
                  <w:tcW w:w="1272" w:type="dxa"/>
                  <w:tcBorders>
                    <w:tl2br w:val="nil"/>
                    <w:tr2bl w:val="nil"/>
                  </w:tcBorders>
                  <w:noWrap w:val="0"/>
                  <w:vAlign w:val="center"/>
                </w:tcPr>
                <w:p w14:paraId="5D51178A">
                  <w:pPr>
                    <w:pStyle w:val="27"/>
                    <w:keepNext w:val="0"/>
                    <w:keepLines w:val="0"/>
                    <w:pageBreakBefore w:val="0"/>
                    <w:widowControl w:val="0"/>
                    <w:kinsoku/>
                    <w:overflowPunct/>
                    <w:autoSpaceDE/>
                    <w:autoSpaceDN/>
                    <w:bidi w:val="0"/>
                    <w:adjustRightInd/>
                    <w:snapToGrid/>
                    <w:textAlignment w:val="auto"/>
                    <w:rPr>
                      <w:rFonts w:hint="default"/>
                      <w:color w:val="auto"/>
                      <w:sz w:val="21"/>
                      <w:szCs w:val="21"/>
                      <w:highlight w:val="none"/>
                      <w:lang w:val="en-US" w:eastAsia="zh-CN"/>
                    </w:rPr>
                  </w:pPr>
                  <w:r>
                    <w:rPr>
                      <w:rFonts w:hint="eastAsia"/>
                      <w:color w:val="auto"/>
                      <w:sz w:val="21"/>
                      <w:szCs w:val="21"/>
                      <w:highlight w:val="none"/>
                      <w:lang w:val="en-US" w:eastAsia="zh-CN"/>
                    </w:rPr>
                    <w:t>办公区域</w:t>
                  </w:r>
                </w:p>
              </w:tc>
              <w:tc>
                <w:tcPr>
                  <w:tcW w:w="5624" w:type="dxa"/>
                  <w:tcBorders>
                    <w:tl2br w:val="nil"/>
                    <w:tr2bl w:val="nil"/>
                  </w:tcBorders>
                  <w:noWrap w:val="0"/>
                  <w:vAlign w:val="center"/>
                </w:tcPr>
                <w:p w14:paraId="3066CA51">
                  <w:pPr>
                    <w:pStyle w:val="27"/>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000000" w:themeColor="text1"/>
                      <w:sz w:val="21"/>
                      <w:szCs w:val="21"/>
                      <w:highlight w:val="none"/>
                      <w:vertAlign w:val="baseline"/>
                      <w:lang w:val="en-US" w:eastAsia="zh-CN"/>
                      <w14:textFill>
                        <w14:solidFill>
                          <w14:schemeClr w14:val="tx1"/>
                        </w14:solidFill>
                      </w14:textFill>
                    </w:rPr>
                    <w:t>在生产车间南侧隔出二层部分区域，主要用于员工办公</w:t>
                  </w:r>
                </w:p>
              </w:tc>
            </w:tr>
            <w:tr w14:paraId="00B17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14:paraId="3683B6A5">
                  <w:pPr>
                    <w:pStyle w:val="27"/>
                    <w:keepNext w:val="0"/>
                    <w:keepLines w:val="0"/>
                    <w:pageBreakBefore w:val="0"/>
                    <w:widowControl w:val="0"/>
                    <w:kinsoku/>
                    <w:overflowPunct/>
                    <w:autoSpaceDE/>
                    <w:autoSpaceDN/>
                    <w:bidi w:val="0"/>
                    <w:adjustRightInd/>
                    <w:snapToGrid/>
                    <w:textAlignment w:val="auto"/>
                    <w:rPr>
                      <w:rFonts w:hint="eastAsia"/>
                      <w:color w:val="auto"/>
                      <w:sz w:val="21"/>
                      <w:szCs w:val="21"/>
                      <w:lang w:val="en-US" w:eastAsia="zh-CN"/>
                    </w:rPr>
                  </w:pPr>
                </w:p>
              </w:tc>
              <w:tc>
                <w:tcPr>
                  <w:tcW w:w="1272" w:type="dxa"/>
                  <w:tcBorders>
                    <w:tl2br w:val="nil"/>
                    <w:tr2bl w:val="nil"/>
                  </w:tcBorders>
                  <w:noWrap w:val="0"/>
                  <w:vAlign w:val="center"/>
                </w:tcPr>
                <w:p w14:paraId="0485C9F6">
                  <w:pPr>
                    <w:pStyle w:val="27"/>
                    <w:keepNext w:val="0"/>
                    <w:keepLines w:val="0"/>
                    <w:pageBreakBefore w:val="0"/>
                    <w:widowControl w:val="0"/>
                    <w:kinsoku/>
                    <w:overflowPunct/>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危废间</w:t>
                  </w:r>
                </w:p>
              </w:tc>
              <w:tc>
                <w:tcPr>
                  <w:tcW w:w="5624" w:type="dxa"/>
                  <w:tcBorders>
                    <w:tl2br w:val="nil"/>
                    <w:tr2bl w:val="nil"/>
                  </w:tcBorders>
                  <w:noWrap w:val="0"/>
                  <w:vAlign w:val="center"/>
                </w:tcPr>
                <w:p w14:paraId="125C0E62">
                  <w:pPr>
                    <w:pStyle w:val="27"/>
                    <w:keepNext w:val="0"/>
                    <w:keepLines w:val="0"/>
                    <w:pageBreakBefore w:val="0"/>
                    <w:widowControl w:val="0"/>
                    <w:kinsoku/>
                    <w:overflowPunct/>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一层，建筑面积</w:t>
                  </w:r>
                  <w:r>
                    <w:rPr>
                      <w:rFonts w:hint="eastAsia"/>
                      <w:color w:val="000000" w:themeColor="text1"/>
                      <w:sz w:val="21"/>
                      <w:szCs w:val="21"/>
                      <w:highlight w:val="none"/>
                      <w:lang w:val="en-US" w:eastAsia="zh-CN"/>
                      <w14:textFill>
                        <w14:solidFill>
                          <w14:schemeClr w14:val="tx1"/>
                        </w14:solidFill>
                      </w14:textFill>
                    </w:rPr>
                    <w:t>20</w:t>
                  </w:r>
                  <w:r>
                    <w:rPr>
                      <w:rFonts w:hint="eastAsia"/>
                      <w:color w:val="000000" w:themeColor="text1"/>
                      <w:sz w:val="21"/>
                      <w:szCs w:val="21"/>
                      <w:highlight w:val="none"/>
                      <w:vertAlign w:val="baseline"/>
                      <w:lang w:val="en-US" w:eastAsia="zh-CN"/>
                      <w14:textFill>
                        <w14:solidFill>
                          <w14:schemeClr w14:val="tx1"/>
                        </w14:solidFill>
                      </w14:textFill>
                    </w:rPr>
                    <w:t>m</w:t>
                  </w:r>
                  <w:r>
                    <w:rPr>
                      <w:rFonts w:hint="eastAsia"/>
                      <w:color w:val="000000" w:themeColor="text1"/>
                      <w:sz w:val="21"/>
                      <w:szCs w:val="21"/>
                      <w:highlight w:val="none"/>
                      <w:vertAlign w:val="superscript"/>
                      <w:lang w:val="en-US" w:eastAsia="zh-CN"/>
                      <w14:textFill>
                        <w14:solidFill>
                          <w14:schemeClr w14:val="tx1"/>
                        </w14:solidFill>
                      </w14:textFill>
                    </w:rPr>
                    <w:t>2</w:t>
                  </w:r>
                  <w:r>
                    <w:rPr>
                      <w:rFonts w:hint="eastAsia"/>
                      <w:color w:val="auto"/>
                      <w:sz w:val="21"/>
                      <w:szCs w:val="21"/>
                      <w:highlight w:val="none"/>
                      <w:vertAlign w:val="baseline"/>
                      <w:lang w:val="en-US" w:eastAsia="zh-CN"/>
                    </w:rPr>
                    <w:t>，主要用于存放生产过程产生的危险废物，地面及裙角防腐防渗</w:t>
                  </w:r>
                  <w:r>
                    <w:rPr>
                      <w:rFonts w:hint="eastAsia"/>
                      <w:color w:val="000000" w:themeColor="text1"/>
                      <w:sz w:val="21"/>
                      <w:szCs w:val="21"/>
                      <w:highlight w:val="none"/>
                      <w:vertAlign w:val="baseline"/>
                      <w:lang w:val="en-US" w:eastAsia="zh-CN"/>
                      <w14:textFill>
                        <w14:solidFill>
                          <w14:schemeClr w14:val="tx1"/>
                        </w14:solidFill>
                      </w14:textFill>
                    </w:rPr>
                    <w:t>，位于生产车间内</w:t>
                  </w:r>
                </w:p>
              </w:tc>
            </w:tr>
            <w:tr w14:paraId="74177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14:paraId="19FB1447">
                  <w:pPr>
                    <w:pStyle w:val="27"/>
                    <w:keepNext w:val="0"/>
                    <w:keepLines w:val="0"/>
                    <w:pageBreakBefore w:val="0"/>
                    <w:widowControl w:val="0"/>
                    <w:kinsoku/>
                    <w:overflowPunct/>
                    <w:autoSpaceDE/>
                    <w:autoSpaceDN/>
                    <w:bidi w:val="0"/>
                    <w:adjustRightInd/>
                    <w:snapToGrid/>
                    <w:textAlignment w:val="auto"/>
                    <w:rPr>
                      <w:rFonts w:hint="eastAsia"/>
                      <w:color w:val="auto"/>
                      <w:sz w:val="21"/>
                      <w:szCs w:val="21"/>
                      <w:lang w:val="en-US" w:eastAsia="zh-CN"/>
                    </w:rPr>
                  </w:pPr>
                </w:p>
              </w:tc>
              <w:tc>
                <w:tcPr>
                  <w:tcW w:w="1272" w:type="dxa"/>
                  <w:tcBorders>
                    <w:tl2br w:val="nil"/>
                    <w:tr2bl w:val="nil"/>
                  </w:tcBorders>
                  <w:noWrap w:val="0"/>
                  <w:vAlign w:val="center"/>
                </w:tcPr>
                <w:p w14:paraId="6E329E3D">
                  <w:pPr>
                    <w:pStyle w:val="27"/>
                    <w:keepNext w:val="0"/>
                    <w:keepLines w:val="0"/>
                    <w:pageBreakBefore w:val="0"/>
                    <w:widowControl w:val="0"/>
                    <w:kinsoku/>
                    <w:overflowPunct/>
                    <w:autoSpaceDE/>
                    <w:autoSpaceDN/>
                    <w:bidi w:val="0"/>
                    <w:adjustRightInd/>
                    <w:snapToGrid/>
                    <w:ind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一般工业固废暂存间</w:t>
                  </w:r>
                </w:p>
              </w:tc>
              <w:tc>
                <w:tcPr>
                  <w:tcW w:w="5624" w:type="dxa"/>
                  <w:tcBorders>
                    <w:tl2br w:val="nil"/>
                    <w:tr2bl w:val="nil"/>
                  </w:tcBorders>
                  <w:noWrap w:val="0"/>
                  <w:vAlign w:val="center"/>
                </w:tcPr>
                <w:p w14:paraId="5354BAF2">
                  <w:pPr>
                    <w:pStyle w:val="27"/>
                    <w:keepNext w:val="0"/>
                    <w:keepLines w:val="0"/>
                    <w:pageBreakBefore w:val="0"/>
                    <w:widowControl w:val="0"/>
                    <w:kinsoku/>
                    <w:overflowPunct/>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一层，建筑面积</w:t>
                  </w:r>
                  <w:r>
                    <w:rPr>
                      <w:rFonts w:hint="eastAsia"/>
                      <w:color w:val="000000" w:themeColor="text1"/>
                      <w:sz w:val="21"/>
                      <w:szCs w:val="21"/>
                      <w:highlight w:val="none"/>
                      <w:lang w:val="en-US" w:eastAsia="zh-CN"/>
                      <w14:textFill>
                        <w14:solidFill>
                          <w14:schemeClr w14:val="tx1"/>
                        </w14:solidFill>
                      </w14:textFill>
                    </w:rPr>
                    <w:t>20</w:t>
                  </w:r>
                  <w:r>
                    <w:rPr>
                      <w:rFonts w:hint="eastAsia"/>
                      <w:color w:val="000000" w:themeColor="text1"/>
                      <w:sz w:val="21"/>
                      <w:szCs w:val="21"/>
                      <w:highlight w:val="none"/>
                      <w:vertAlign w:val="baseline"/>
                      <w:lang w:val="en-US" w:eastAsia="zh-CN"/>
                      <w14:textFill>
                        <w14:solidFill>
                          <w14:schemeClr w14:val="tx1"/>
                        </w14:solidFill>
                      </w14:textFill>
                    </w:rPr>
                    <w:t>m</w:t>
                  </w:r>
                  <w:r>
                    <w:rPr>
                      <w:rFonts w:hint="eastAsia"/>
                      <w:color w:val="000000" w:themeColor="text1"/>
                      <w:sz w:val="21"/>
                      <w:szCs w:val="21"/>
                      <w:highlight w:val="none"/>
                      <w:vertAlign w:val="superscript"/>
                      <w:lang w:val="en-US" w:eastAsia="zh-CN"/>
                      <w14:textFill>
                        <w14:solidFill>
                          <w14:schemeClr w14:val="tx1"/>
                        </w14:solidFill>
                      </w14:textFill>
                    </w:rPr>
                    <w:t>2</w:t>
                  </w:r>
                  <w:r>
                    <w:rPr>
                      <w:rFonts w:hint="eastAsia"/>
                      <w:color w:val="auto"/>
                      <w:sz w:val="21"/>
                      <w:szCs w:val="21"/>
                      <w:highlight w:val="none"/>
                      <w:vertAlign w:val="baseline"/>
                      <w:lang w:val="en-US" w:eastAsia="zh-CN"/>
                    </w:rPr>
                    <w:t>，主要用于存放生产过程产生的一般固体废物</w:t>
                  </w:r>
                  <w:r>
                    <w:rPr>
                      <w:rFonts w:hint="eastAsia"/>
                      <w:color w:val="000000" w:themeColor="text1"/>
                      <w:sz w:val="21"/>
                      <w:szCs w:val="21"/>
                      <w:highlight w:val="none"/>
                      <w:vertAlign w:val="baseline"/>
                      <w:lang w:val="en-US" w:eastAsia="zh-CN"/>
                      <w14:textFill>
                        <w14:solidFill>
                          <w14:schemeClr w14:val="tx1"/>
                        </w14:solidFill>
                      </w14:textFill>
                    </w:rPr>
                    <w:t>，位于生产车间内</w:t>
                  </w:r>
                </w:p>
              </w:tc>
            </w:tr>
            <w:tr w14:paraId="1F685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restart"/>
                  <w:tcBorders>
                    <w:tl2br w:val="nil"/>
                    <w:tr2bl w:val="nil"/>
                  </w:tcBorders>
                  <w:noWrap w:val="0"/>
                  <w:vAlign w:val="center"/>
                </w:tcPr>
                <w:p w14:paraId="01128B04">
                  <w:pPr>
                    <w:pStyle w:val="27"/>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eastAsia"/>
                      <w:color w:val="auto"/>
                      <w:sz w:val="21"/>
                      <w:szCs w:val="21"/>
                      <w:lang w:val="en-US" w:eastAsia="zh-CN"/>
                    </w:rPr>
                    <w:t>公用</w:t>
                  </w:r>
                  <w:r>
                    <w:rPr>
                      <w:rFonts w:hint="default"/>
                      <w:color w:val="auto"/>
                      <w:sz w:val="21"/>
                      <w:szCs w:val="21"/>
                    </w:rPr>
                    <w:t>工程</w:t>
                  </w:r>
                </w:p>
              </w:tc>
              <w:tc>
                <w:tcPr>
                  <w:tcW w:w="1272" w:type="dxa"/>
                  <w:tcBorders>
                    <w:tl2br w:val="nil"/>
                    <w:tr2bl w:val="nil"/>
                  </w:tcBorders>
                  <w:noWrap w:val="0"/>
                  <w:vAlign w:val="center"/>
                </w:tcPr>
                <w:p w14:paraId="0EA719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70C0"/>
                      <w:sz w:val="21"/>
                      <w:szCs w:val="21"/>
                    </w:rPr>
                  </w:pPr>
                  <w:r>
                    <w:rPr>
                      <w:rFonts w:ascii="Times New Roman" w:hAnsi="Times New Roman" w:eastAsia="宋体" w:cs="Times New Roman"/>
                      <w:b w:val="0"/>
                      <w:color w:val="auto"/>
                      <w:sz w:val="21"/>
                      <w:szCs w:val="21"/>
                      <w:highlight w:val="none"/>
                    </w:rPr>
                    <w:t>取暖</w:t>
                  </w:r>
                </w:p>
              </w:tc>
              <w:tc>
                <w:tcPr>
                  <w:tcW w:w="5624" w:type="dxa"/>
                  <w:tcBorders>
                    <w:tl2br w:val="nil"/>
                    <w:tr2bl w:val="nil"/>
                  </w:tcBorders>
                  <w:noWrap w:val="0"/>
                  <w:vAlign w:val="center"/>
                </w:tcPr>
                <w:p w14:paraId="73AD18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车间不设取暖设施，办公楼采用电空调</w:t>
                  </w:r>
                </w:p>
              </w:tc>
            </w:tr>
            <w:tr w14:paraId="5E7B2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14:paraId="68B5B712">
                  <w:pPr>
                    <w:pStyle w:val="27"/>
                    <w:keepNext w:val="0"/>
                    <w:keepLines w:val="0"/>
                    <w:pageBreakBefore w:val="0"/>
                    <w:widowControl w:val="0"/>
                    <w:kinsoku/>
                    <w:overflowPunct/>
                    <w:autoSpaceDE/>
                    <w:autoSpaceDN/>
                    <w:bidi w:val="0"/>
                    <w:adjustRightInd/>
                    <w:snapToGrid/>
                    <w:textAlignment w:val="auto"/>
                    <w:rPr>
                      <w:rFonts w:hint="default"/>
                      <w:color w:val="auto"/>
                      <w:sz w:val="21"/>
                      <w:szCs w:val="21"/>
                    </w:rPr>
                  </w:pPr>
                </w:p>
              </w:tc>
              <w:tc>
                <w:tcPr>
                  <w:tcW w:w="1272" w:type="dxa"/>
                  <w:tcBorders>
                    <w:tl2br w:val="nil"/>
                    <w:tr2bl w:val="nil"/>
                  </w:tcBorders>
                  <w:noWrap w:val="0"/>
                  <w:vAlign w:val="center"/>
                </w:tcPr>
                <w:p w14:paraId="210BC8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ascii="Times New Roman" w:hAnsi="Times New Roman" w:eastAsia="宋体" w:cs="Times New Roman"/>
                      <w:b w:val="0"/>
                      <w:color w:val="auto"/>
                      <w:sz w:val="21"/>
                      <w:szCs w:val="21"/>
                      <w:highlight w:val="none"/>
                    </w:rPr>
                    <w:t>给水</w:t>
                  </w:r>
                </w:p>
              </w:tc>
              <w:tc>
                <w:tcPr>
                  <w:tcW w:w="5624" w:type="dxa"/>
                  <w:tcBorders>
                    <w:tl2br w:val="nil"/>
                    <w:tr2bl w:val="nil"/>
                  </w:tcBorders>
                  <w:noWrap w:val="0"/>
                  <w:vAlign w:val="center"/>
                </w:tcPr>
                <w:p w14:paraId="73700C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用水来自厂区内的原有地下水井</w:t>
                  </w:r>
                </w:p>
              </w:tc>
            </w:tr>
            <w:tr w14:paraId="1FCD1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14:paraId="786DD014">
                  <w:pPr>
                    <w:pStyle w:val="27"/>
                    <w:keepNext w:val="0"/>
                    <w:keepLines w:val="0"/>
                    <w:pageBreakBefore w:val="0"/>
                    <w:widowControl w:val="0"/>
                    <w:kinsoku/>
                    <w:overflowPunct/>
                    <w:autoSpaceDE/>
                    <w:autoSpaceDN/>
                    <w:bidi w:val="0"/>
                    <w:adjustRightInd/>
                    <w:snapToGrid/>
                    <w:textAlignment w:val="auto"/>
                    <w:rPr>
                      <w:rFonts w:hint="default"/>
                      <w:color w:val="auto"/>
                      <w:sz w:val="21"/>
                      <w:szCs w:val="21"/>
                    </w:rPr>
                  </w:pPr>
                </w:p>
              </w:tc>
              <w:tc>
                <w:tcPr>
                  <w:tcW w:w="1272" w:type="dxa"/>
                  <w:tcBorders>
                    <w:tl2br w:val="nil"/>
                    <w:tr2bl w:val="nil"/>
                  </w:tcBorders>
                  <w:noWrap w:val="0"/>
                  <w:vAlign w:val="center"/>
                </w:tcPr>
                <w:p w14:paraId="6122BF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ascii="Times New Roman" w:hAnsi="Times New Roman" w:eastAsia="宋体" w:cs="Times New Roman"/>
                      <w:b w:val="0"/>
                      <w:color w:val="auto"/>
                      <w:sz w:val="21"/>
                      <w:szCs w:val="21"/>
                      <w:highlight w:val="none"/>
                    </w:rPr>
                    <w:t>供电</w:t>
                  </w:r>
                </w:p>
              </w:tc>
              <w:tc>
                <w:tcPr>
                  <w:tcW w:w="5624" w:type="dxa"/>
                  <w:tcBorders>
                    <w:tl2br w:val="nil"/>
                    <w:tr2bl w:val="nil"/>
                  </w:tcBorders>
                  <w:noWrap w:val="0"/>
                  <w:vAlign w:val="center"/>
                </w:tcPr>
                <w:p w14:paraId="3194F4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ascii="Times New Roman" w:hAnsi="Times New Roman" w:eastAsia="宋体" w:cs="Times New Roman"/>
                      <w:b w:val="0"/>
                      <w:color w:val="auto"/>
                      <w:sz w:val="21"/>
                      <w:szCs w:val="21"/>
                      <w:highlight w:val="none"/>
                    </w:rPr>
                    <w:t>本地电网</w:t>
                  </w:r>
                </w:p>
              </w:tc>
            </w:tr>
            <w:tr w14:paraId="7D967B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restart"/>
                  <w:tcBorders>
                    <w:tl2br w:val="nil"/>
                    <w:tr2bl w:val="nil"/>
                  </w:tcBorders>
                  <w:noWrap w:val="0"/>
                  <w:vAlign w:val="center"/>
                </w:tcPr>
                <w:p w14:paraId="20739953">
                  <w:pPr>
                    <w:pStyle w:val="27"/>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储运工程</w:t>
                  </w:r>
                </w:p>
              </w:tc>
              <w:tc>
                <w:tcPr>
                  <w:tcW w:w="1272" w:type="dxa"/>
                  <w:tcBorders>
                    <w:tl2br w:val="nil"/>
                    <w:tr2bl w:val="nil"/>
                  </w:tcBorders>
                  <w:noWrap w:val="0"/>
                  <w:vAlign w:val="center"/>
                </w:tcPr>
                <w:p w14:paraId="751E2974">
                  <w:pPr>
                    <w:pStyle w:val="27"/>
                    <w:keepNext w:val="0"/>
                    <w:keepLines w:val="0"/>
                    <w:pageBreakBefore w:val="0"/>
                    <w:widowControl w:val="0"/>
                    <w:kinsoku/>
                    <w:overflowPunct/>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原料区</w:t>
                  </w:r>
                </w:p>
              </w:tc>
              <w:tc>
                <w:tcPr>
                  <w:tcW w:w="5624" w:type="dxa"/>
                  <w:tcBorders>
                    <w:tl2br w:val="nil"/>
                    <w:tr2bl w:val="nil"/>
                  </w:tcBorders>
                  <w:noWrap w:val="0"/>
                  <w:vAlign w:val="center"/>
                </w:tcPr>
                <w:p w14:paraId="6C0C1F36">
                  <w:pPr>
                    <w:pStyle w:val="27"/>
                    <w:keepNext w:val="0"/>
                    <w:keepLines w:val="0"/>
                    <w:pageBreakBefore w:val="0"/>
                    <w:widowControl w:val="0"/>
                    <w:kinsoku/>
                    <w:overflowPunct/>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用于原料型材的存储</w:t>
                  </w:r>
                  <w:r>
                    <w:rPr>
                      <w:rFonts w:hint="eastAsia"/>
                      <w:color w:val="000000" w:themeColor="text1"/>
                      <w:sz w:val="21"/>
                      <w:szCs w:val="21"/>
                      <w:highlight w:val="none"/>
                      <w:vertAlign w:val="baseline"/>
                      <w:lang w:val="en-US" w:eastAsia="zh-CN"/>
                      <w14:textFill>
                        <w14:solidFill>
                          <w14:schemeClr w14:val="tx1"/>
                        </w14:solidFill>
                      </w14:textFill>
                    </w:rPr>
                    <w:t>，位于生产车间内</w:t>
                  </w:r>
                </w:p>
              </w:tc>
            </w:tr>
            <w:tr w14:paraId="18086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14:paraId="479D2415">
                  <w:pPr>
                    <w:pStyle w:val="27"/>
                    <w:keepNext w:val="0"/>
                    <w:keepLines w:val="0"/>
                    <w:pageBreakBefore w:val="0"/>
                    <w:widowControl w:val="0"/>
                    <w:kinsoku/>
                    <w:overflowPunct/>
                    <w:autoSpaceDE/>
                    <w:autoSpaceDN/>
                    <w:bidi w:val="0"/>
                    <w:adjustRightInd/>
                    <w:snapToGrid/>
                    <w:textAlignment w:val="auto"/>
                    <w:rPr>
                      <w:rFonts w:hint="default"/>
                      <w:color w:val="auto"/>
                      <w:sz w:val="21"/>
                      <w:szCs w:val="21"/>
                    </w:rPr>
                  </w:pPr>
                </w:p>
              </w:tc>
              <w:tc>
                <w:tcPr>
                  <w:tcW w:w="1272" w:type="dxa"/>
                  <w:tcBorders>
                    <w:tl2br w:val="nil"/>
                    <w:tr2bl w:val="nil"/>
                  </w:tcBorders>
                  <w:noWrap w:val="0"/>
                  <w:vAlign w:val="center"/>
                </w:tcPr>
                <w:p w14:paraId="616E730C">
                  <w:pPr>
                    <w:pStyle w:val="27"/>
                    <w:keepNext w:val="0"/>
                    <w:keepLines w:val="0"/>
                    <w:pageBreakBefore w:val="0"/>
                    <w:widowControl w:val="0"/>
                    <w:kinsoku/>
                    <w:overflowPunct/>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库房</w:t>
                  </w:r>
                </w:p>
              </w:tc>
              <w:tc>
                <w:tcPr>
                  <w:tcW w:w="5624" w:type="dxa"/>
                  <w:tcBorders>
                    <w:tl2br w:val="nil"/>
                    <w:tr2bl w:val="nil"/>
                  </w:tcBorders>
                  <w:noWrap w:val="0"/>
                  <w:vAlign w:val="center"/>
                </w:tcPr>
                <w:p w14:paraId="59B883CD">
                  <w:pPr>
                    <w:pStyle w:val="27"/>
                    <w:keepNext w:val="0"/>
                    <w:keepLines w:val="0"/>
                    <w:pageBreakBefore w:val="0"/>
                    <w:widowControl w:val="0"/>
                    <w:kinsoku/>
                    <w:overflowPunct/>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用于成品的存储</w:t>
                  </w:r>
                  <w:r>
                    <w:rPr>
                      <w:rFonts w:hint="eastAsia"/>
                      <w:color w:val="000000" w:themeColor="text1"/>
                      <w:sz w:val="21"/>
                      <w:szCs w:val="21"/>
                      <w:highlight w:val="none"/>
                      <w:vertAlign w:val="baseline"/>
                      <w:lang w:val="en-US" w:eastAsia="zh-CN"/>
                      <w14:textFill>
                        <w14:solidFill>
                          <w14:schemeClr w14:val="tx1"/>
                        </w14:solidFill>
                      </w14:textFill>
                    </w:rPr>
                    <w:t>，位于生产车间内</w:t>
                  </w:r>
                </w:p>
              </w:tc>
            </w:tr>
            <w:tr w14:paraId="6AEBB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14:paraId="35614929">
                  <w:pPr>
                    <w:pStyle w:val="27"/>
                    <w:keepNext w:val="0"/>
                    <w:keepLines w:val="0"/>
                    <w:pageBreakBefore w:val="0"/>
                    <w:widowControl w:val="0"/>
                    <w:kinsoku/>
                    <w:overflowPunct/>
                    <w:autoSpaceDE/>
                    <w:autoSpaceDN/>
                    <w:bidi w:val="0"/>
                    <w:adjustRightInd/>
                    <w:snapToGrid/>
                    <w:textAlignment w:val="auto"/>
                    <w:rPr>
                      <w:rFonts w:hint="default"/>
                      <w:color w:val="auto"/>
                      <w:sz w:val="21"/>
                      <w:szCs w:val="21"/>
                    </w:rPr>
                  </w:pPr>
                </w:p>
              </w:tc>
              <w:tc>
                <w:tcPr>
                  <w:tcW w:w="1272" w:type="dxa"/>
                  <w:tcBorders>
                    <w:tl2br w:val="nil"/>
                    <w:tr2bl w:val="nil"/>
                  </w:tcBorders>
                  <w:noWrap w:val="0"/>
                  <w:vAlign w:val="center"/>
                </w:tcPr>
                <w:p w14:paraId="074ED4E4">
                  <w:pPr>
                    <w:pStyle w:val="27"/>
                    <w:keepNext w:val="0"/>
                    <w:keepLines w:val="0"/>
                    <w:pageBreakBefore w:val="0"/>
                    <w:widowControl w:val="0"/>
                    <w:kinsoku/>
                    <w:overflowPunct/>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危险品库房</w:t>
                  </w:r>
                </w:p>
              </w:tc>
              <w:tc>
                <w:tcPr>
                  <w:tcW w:w="5624" w:type="dxa"/>
                  <w:tcBorders>
                    <w:tl2br w:val="nil"/>
                    <w:tr2bl w:val="nil"/>
                  </w:tcBorders>
                  <w:noWrap w:val="0"/>
                  <w:vAlign w:val="center"/>
                </w:tcPr>
                <w:p w14:paraId="34986E39">
                  <w:pPr>
                    <w:pStyle w:val="27"/>
                    <w:keepNext w:val="0"/>
                    <w:keepLines w:val="0"/>
                    <w:pageBreakBefore w:val="0"/>
                    <w:widowControl w:val="0"/>
                    <w:kinsoku/>
                    <w:overflowPunct/>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用于存储油性漆及润滑油等，地面及裙角进行防腐防渗</w:t>
                  </w:r>
                  <w:r>
                    <w:rPr>
                      <w:rFonts w:hint="eastAsia"/>
                      <w:color w:val="000000" w:themeColor="text1"/>
                      <w:sz w:val="21"/>
                      <w:szCs w:val="21"/>
                      <w:highlight w:val="none"/>
                      <w:vertAlign w:val="baseline"/>
                      <w:lang w:val="en-US" w:eastAsia="zh-CN"/>
                      <w14:textFill>
                        <w14:solidFill>
                          <w14:schemeClr w14:val="tx1"/>
                        </w14:solidFill>
                      </w14:textFill>
                    </w:rPr>
                    <w:t>，位于生产车间内</w:t>
                  </w:r>
                </w:p>
              </w:tc>
            </w:tr>
            <w:tr w14:paraId="76DDD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restart"/>
                  <w:tcBorders>
                    <w:tl2br w:val="nil"/>
                    <w:tr2bl w:val="nil"/>
                  </w:tcBorders>
                  <w:noWrap w:val="0"/>
                  <w:vAlign w:val="center"/>
                </w:tcPr>
                <w:p w14:paraId="2363843E">
                  <w:pPr>
                    <w:pStyle w:val="27"/>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环保工程</w:t>
                  </w:r>
                </w:p>
              </w:tc>
              <w:tc>
                <w:tcPr>
                  <w:tcW w:w="1272" w:type="dxa"/>
                  <w:tcBorders>
                    <w:tl2br w:val="nil"/>
                    <w:tr2bl w:val="nil"/>
                  </w:tcBorders>
                  <w:noWrap w:val="0"/>
                  <w:vAlign w:val="center"/>
                </w:tcPr>
                <w:p w14:paraId="55DA23C8">
                  <w:pPr>
                    <w:pStyle w:val="27"/>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废气</w:t>
                  </w:r>
                </w:p>
              </w:tc>
              <w:tc>
                <w:tcPr>
                  <w:tcW w:w="5624" w:type="dxa"/>
                  <w:tcBorders>
                    <w:tl2br w:val="nil"/>
                    <w:tr2bl w:val="nil"/>
                  </w:tcBorders>
                  <w:noWrap w:val="0"/>
                  <w:vAlign w:val="center"/>
                </w:tcPr>
                <w:p w14:paraId="71BAFDAF">
                  <w:pPr>
                    <w:pStyle w:val="27"/>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焊接过程产生的废气经移动式烟尘净化器处理后，无组织排放于车间内。</w:t>
                  </w:r>
                </w:p>
                <w:p w14:paraId="12C98E41">
                  <w:pPr>
                    <w:pStyle w:val="27"/>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打磨、腻子打磨、打砂过程产生的废气经袋式除尘器进行处理后，通过</w:t>
                  </w:r>
                  <w:r>
                    <w:rPr>
                      <w:rFonts w:hint="default" w:ascii="Times New Roman" w:hAnsi="Times New Roman" w:eastAsia="宋体" w:cs="Times New Roman"/>
                      <w:color w:val="auto"/>
                      <w:sz w:val="21"/>
                      <w:szCs w:val="21"/>
                      <w:lang w:val="en-US" w:eastAsia="zh-CN"/>
                    </w:rPr>
                    <w:t>1根15m</w:t>
                  </w:r>
                  <w:r>
                    <w:rPr>
                      <w:rFonts w:hint="eastAsia" w:ascii="Times New Roman" w:hAnsi="Times New Roman" w:eastAsia="宋体" w:cs="Times New Roman"/>
                      <w:color w:val="auto"/>
                      <w:sz w:val="21"/>
                      <w:szCs w:val="21"/>
                      <w:lang w:val="en-US" w:eastAsia="zh-CN"/>
                    </w:rPr>
                    <w:t>高排气筒</w:t>
                  </w:r>
                  <w:r>
                    <w:rPr>
                      <w:rFonts w:hint="eastAsia" w:cs="Times New Roman"/>
                      <w:color w:val="auto"/>
                      <w:sz w:val="21"/>
                      <w:szCs w:val="21"/>
                      <w:lang w:val="en-US" w:eastAsia="zh-CN"/>
                    </w:rPr>
                    <w:t>达标</w:t>
                  </w:r>
                  <w:r>
                    <w:rPr>
                      <w:rFonts w:hint="eastAsia" w:ascii="Times New Roman" w:hAnsi="Times New Roman" w:eastAsia="宋体" w:cs="Times New Roman"/>
                      <w:color w:val="auto"/>
                      <w:sz w:val="21"/>
                      <w:szCs w:val="21"/>
                      <w:lang w:val="en-US" w:eastAsia="zh-CN"/>
                    </w:rPr>
                    <w:t>排放。</w:t>
                  </w:r>
                </w:p>
                <w:p w14:paraId="734D504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w:t>
                  </w:r>
                  <w:r>
                    <w:rPr>
                      <w:rFonts w:hint="eastAsia" w:ascii="Times New Roman" w:hAnsi="Times New Roman" w:eastAsia="宋体" w:cs="Times New Roman"/>
                      <w:color w:val="auto"/>
                      <w:kern w:val="2"/>
                      <w:sz w:val="21"/>
                      <w:szCs w:val="21"/>
                      <w:lang w:val="en-US" w:eastAsia="zh-CN" w:bidi="ar-SA"/>
                    </w:rPr>
                    <w:t>抛丸过程产生的废气经设备自带布袋除尘装置进行处理后，与打磨、腻子打磨、打砂废气经同一根15m高排气筒排放。</w:t>
                  </w:r>
                </w:p>
                <w:p w14:paraId="3114C6E9">
                  <w:pPr>
                    <w:pStyle w:val="27"/>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sz w:val="21"/>
                      <w:szCs w:val="21"/>
                      <w:lang w:val="en-US" w:eastAsia="zh-CN"/>
                    </w:rPr>
                  </w:pPr>
                  <w:r>
                    <w:rPr>
                      <w:rFonts w:hint="default"/>
                      <w:color w:val="auto"/>
                      <w:sz w:val="21"/>
                      <w:szCs w:val="21"/>
                      <w:highlight w:val="none"/>
                      <w:lang w:eastAsia="zh-CN"/>
                    </w:rPr>
                    <w:t>（</w:t>
                  </w:r>
                  <w:r>
                    <w:rPr>
                      <w:rFonts w:hint="eastAsia"/>
                      <w:color w:val="auto"/>
                      <w:sz w:val="21"/>
                      <w:szCs w:val="21"/>
                      <w:highlight w:val="none"/>
                      <w:lang w:val="en-US" w:eastAsia="zh-CN"/>
                    </w:rPr>
                    <w:t>4</w:t>
                  </w:r>
                  <w:r>
                    <w:rPr>
                      <w:rFonts w:hint="default"/>
                      <w:color w:val="auto"/>
                      <w:sz w:val="21"/>
                      <w:szCs w:val="21"/>
                      <w:highlight w:val="none"/>
                      <w:lang w:eastAsia="zh-CN"/>
                    </w:rPr>
                    <w:t>）</w:t>
                  </w:r>
                  <w:r>
                    <w:rPr>
                      <w:rFonts w:hint="eastAsia" w:ascii="Times New Roman" w:hAnsi="Times New Roman" w:eastAsia="宋体" w:cs="Times New Roman"/>
                      <w:color w:val="auto"/>
                      <w:sz w:val="21"/>
                      <w:szCs w:val="21"/>
                      <w:lang w:val="en-US" w:eastAsia="zh-CN"/>
                    </w:rPr>
                    <w:t>喷塑过程产生的废气经袋式除尘器进行处理后，通过</w:t>
                  </w:r>
                  <w:r>
                    <w:rPr>
                      <w:rFonts w:hint="default" w:ascii="Times New Roman" w:hAnsi="Times New Roman" w:eastAsia="宋体" w:cs="Times New Roman"/>
                      <w:color w:val="auto"/>
                      <w:sz w:val="21"/>
                      <w:szCs w:val="21"/>
                      <w:lang w:val="en-US" w:eastAsia="zh-CN"/>
                    </w:rPr>
                    <w:t>1根15m</w:t>
                  </w:r>
                  <w:r>
                    <w:rPr>
                      <w:rFonts w:hint="eastAsia" w:ascii="Times New Roman" w:hAnsi="Times New Roman" w:eastAsia="宋体" w:cs="Times New Roman"/>
                      <w:color w:val="auto"/>
                      <w:sz w:val="21"/>
                      <w:szCs w:val="21"/>
                      <w:lang w:val="en-US" w:eastAsia="zh-CN"/>
                    </w:rPr>
                    <w:t>高排气筒</w:t>
                  </w:r>
                  <w:r>
                    <w:rPr>
                      <w:rFonts w:hint="eastAsia" w:cs="Times New Roman"/>
                      <w:color w:val="auto"/>
                      <w:sz w:val="21"/>
                      <w:szCs w:val="21"/>
                      <w:lang w:val="en-US" w:eastAsia="zh-CN"/>
                    </w:rPr>
                    <w:t>达标</w:t>
                  </w:r>
                  <w:r>
                    <w:rPr>
                      <w:rFonts w:hint="eastAsia" w:ascii="Times New Roman" w:hAnsi="Times New Roman" w:eastAsia="宋体" w:cs="Times New Roman"/>
                      <w:color w:val="auto"/>
                      <w:sz w:val="21"/>
                      <w:szCs w:val="21"/>
                      <w:lang w:val="en-US" w:eastAsia="zh-CN"/>
                    </w:rPr>
                    <w:t>排放（与打磨等废气共用1根排气筒）。</w:t>
                  </w:r>
                </w:p>
                <w:p w14:paraId="3358C828">
                  <w:pPr>
                    <w:pStyle w:val="27"/>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调漆、喷漆、烘干、塑粉固化过程产生的废气经</w:t>
                  </w:r>
                  <w:r>
                    <w:rPr>
                      <w:rFonts w:hint="eastAsia" w:cs="Times New Roman"/>
                      <w:color w:val="auto"/>
                      <w:sz w:val="21"/>
                      <w:szCs w:val="21"/>
                      <w:lang w:val="en-US" w:eastAsia="zh-CN"/>
                    </w:rPr>
                    <w:t>过滤棉+活性炭吸附/脱附+催化燃烧装置（离线）</w:t>
                  </w:r>
                  <w:r>
                    <w:rPr>
                      <w:rFonts w:hint="eastAsia" w:ascii="Times New Roman" w:hAnsi="Times New Roman" w:eastAsia="宋体" w:cs="Times New Roman"/>
                      <w:color w:val="auto"/>
                      <w:sz w:val="21"/>
                      <w:szCs w:val="21"/>
                      <w:lang w:val="en-US" w:eastAsia="zh-CN"/>
                    </w:rPr>
                    <w:t>处理后，通过</w:t>
                  </w:r>
                  <w:r>
                    <w:rPr>
                      <w:rFonts w:hint="default" w:ascii="Times New Roman" w:hAnsi="Times New Roman" w:eastAsia="宋体" w:cs="Times New Roman"/>
                      <w:color w:val="auto"/>
                      <w:sz w:val="21"/>
                      <w:szCs w:val="21"/>
                      <w:lang w:val="en-US" w:eastAsia="zh-CN"/>
                    </w:rPr>
                    <w:t>1根15m</w:t>
                  </w:r>
                  <w:r>
                    <w:rPr>
                      <w:rFonts w:hint="eastAsia" w:ascii="Times New Roman" w:hAnsi="Times New Roman" w:eastAsia="宋体" w:cs="Times New Roman"/>
                      <w:color w:val="auto"/>
                      <w:sz w:val="21"/>
                      <w:szCs w:val="21"/>
                      <w:lang w:val="en-US" w:eastAsia="zh-CN"/>
                    </w:rPr>
                    <w:t>高排气筒</w:t>
                  </w:r>
                  <w:r>
                    <w:rPr>
                      <w:rFonts w:hint="eastAsia" w:cs="Times New Roman"/>
                      <w:color w:val="auto"/>
                      <w:sz w:val="21"/>
                      <w:szCs w:val="21"/>
                      <w:lang w:val="en-US" w:eastAsia="zh-CN"/>
                    </w:rPr>
                    <w:t>达标</w:t>
                  </w:r>
                  <w:r>
                    <w:rPr>
                      <w:rFonts w:hint="eastAsia" w:ascii="Times New Roman" w:hAnsi="Times New Roman" w:eastAsia="宋体" w:cs="Times New Roman"/>
                      <w:color w:val="auto"/>
                      <w:sz w:val="21"/>
                      <w:szCs w:val="21"/>
                      <w:lang w:val="en-US" w:eastAsia="zh-CN"/>
                    </w:rPr>
                    <w:t>排放。</w:t>
                  </w:r>
                </w:p>
                <w:p w14:paraId="2336FAFE">
                  <w:pPr>
                    <w:pStyle w:val="27"/>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）烘干</w:t>
                  </w:r>
                  <w:r>
                    <w:rPr>
                      <w:rFonts w:hint="eastAsia" w:cs="Times New Roman"/>
                      <w:color w:val="auto"/>
                      <w:sz w:val="21"/>
                      <w:szCs w:val="21"/>
                      <w:highlight w:val="none"/>
                      <w:lang w:val="en-US" w:eastAsia="zh-CN"/>
                    </w:rPr>
                    <w:t>化</w:t>
                  </w:r>
                  <w:r>
                    <w:rPr>
                      <w:rFonts w:hint="eastAsia" w:ascii="Times New Roman" w:hAnsi="Times New Roman" w:eastAsia="宋体" w:cs="Times New Roman"/>
                      <w:color w:val="auto"/>
                      <w:sz w:val="21"/>
                      <w:szCs w:val="21"/>
                      <w:highlight w:val="none"/>
                      <w:lang w:val="en-US" w:eastAsia="zh-CN"/>
                    </w:rPr>
                    <w:t>过程</w:t>
                  </w:r>
                  <w:r>
                    <w:rPr>
                      <w:rFonts w:hint="eastAsia" w:cs="Times New Roman"/>
                      <w:color w:val="auto"/>
                      <w:sz w:val="21"/>
                      <w:szCs w:val="21"/>
                      <w:highlight w:val="none"/>
                      <w:lang w:val="en-US" w:eastAsia="zh-CN"/>
                    </w:rPr>
                    <w:t>燃料燃烧</w:t>
                  </w:r>
                  <w:r>
                    <w:rPr>
                      <w:rFonts w:hint="eastAsia" w:ascii="Times New Roman" w:hAnsi="Times New Roman" w:eastAsia="宋体" w:cs="Times New Roman"/>
                      <w:color w:val="auto"/>
                      <w:sz w:val="21"/>
                      <w:szCs w:val="21"/>
                      <w:highlight w:val="none"/>
                      <w:lang w:val="en-US" w:eastAsia="zh-CN"/>
                    </w:rPr>
                    <w:t>产生的废气，经低氮燃烧器进入烘干房，</w:t>
                  </w:r>
                  <w:r>
                    <w:rPr>
                      <w:rFonts w:hint="eastAsia"/>
                      <w:color w:val="auto"/>
                      <w:sz w:val="21"/>
                      <w:szCs w:val="21"/>
                      <w:highlight w:val="none"/>
                      <w:lang w:val="en-US" w:eastAsia="zh-CN"/>
                    </w:rPr>
                    <w:t>与喷漆烘干废气经一套过滤棉+活性炭吸附/脱附+催化燃烧装置处理后经同一根15m高排气筒排放。</w:t>
                  </w:r>
                </w:p>
              </w:tc>
            </w:tr>
            <w:tr w14:paraId="4FD84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14:paraId="6FD6059E">
                  <w:pPr>
                    <w:pStyle w:val="27"/>
                    <w:keepNext w:val="0"/>
                    <w:keepLines w:val="0"/>
                    <w:pageBreakBefore w:val="0"/>
                    <w:widowControl w:val="0"/>
                    <w:kinsoku/>
                    <w:overflowPunct/>
                    <w:autoSpaceDE/>
                    <w:autoSpaceDN/>
                    <w:bidi w:val="0"/>
                    <w:adjustRightInd/>
                    <w:snapToGrid/>
                    <w:textAlignment w:val="auto"/>
                    <w:rPr>
                      <w:rFonts w:hint="default"/>
                      <w:color w:val="0070C0"/>
                      <w:sz w:val="21"/>
                      <w:szCs w:val="21"/>
                    </w:rPr>
                  </w:pPr>
                </w:p>
              </w:tc>
              <w:tc>
                <w:tcPr>
                  <w:tcW w:w="1272" w:type="dxa"/>
                  <w:tcBorders>
                    <w:tl2br w:val="nil"/>
                    <w:tr2bl w:val="nil"/>
                  </w:tcBorders>
                  <w:noWrap w:val="0"/>
                  <w:vAlign w:val="center"/>
                </w:tcPr>
                <w:p w14:paraId="342B8719">
                  <w:pPr>
                    <w:pStyle w:val="27"/>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废水</w:t>
                  </w:r>
                </w:p>
              </w:tc>
              <w:tc>
                <w:tcPr>
                  <w:tcW w:w="5624" w:type="dxa"/>
                  <w:tcBorders>
                    <w:tl2br w:val="nil"/>
                    <w:tr2bl w:val="nil"/>
                  </w:tcBorders>
                  <w:noWrap w:val="0"/>
                  <w:vAlign w:val="center"/>
                </w:tcPr>
                <w:p w14:paraId="17160462">
                  <w:pPr>
                    <w:pStyle w:val="27"/>
                    <w:keepNext w:val="0"/>
                    <w:keepLines w:val="0"/>
                    <w:pageBreakBefore w:val="0"/>
                    <w:widowControl w:val="0"/>
                    <w:kinsoku/>
                    <w:wordWrap w:val="0"/>
                    <w:overflowPunct/>
                    <w:topLinePunct/>
                    <w:autoSpaceDE/>
                    <w:autoSpaceDN/>
                    <w:bidi w:val="0"/>
                    <w:adjustRightInd/>
                    <w:snapToGrid/>
                    <w:ind w:firstLine="0" w:firstLineChars="0"/>
                    <w:jc w:val="lef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无生产废水产生，生活废水泼洒厂区地面抑尘。</w:t>
                  </w:r>
                </w:p>
              </w:tc>
            </w:tr>
            <w:tr w14:paraId="2EC67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14:paraId="29AE9401">
                  <w:pPr>
                    <w:pStyle w:val="27"/>
                    <w:keepNext w:val="0"/>
                    <w:keepLines w:val="0"/>
                    <w:pageBreakBefore w:val="0"/>
                    <w:widowControl w:val="0"/>
                    <w:kinsoku/>
                    <w:overflowPunct/>
                    <w:autoSpaceDE/>
                    <w:autoSpaceDN/>
                    <w:bidi w:val="0"/>
                    <w:adjustRightInd/>
                    <w:snapToGrid/>
                    <w:textAlignment w:val="auto"/>
                    <w:rPr>
                      <w:rFonts w:hint="default"/>
                      <w:color w:val="0070C0"/>
                      <w:sz w:val="21"/>
                      <w:szCs w:val="21"/>
                    </w:rPr>
                  </w:pPr>
                </w:p>
              </w:tc>
              <w:tc>
                <w:tcPr>
                  <w:tcW w:w="1272" w:type="dxa"/>
                  <w:tcBorders>
                    <w:tl2br w:val="nil"/>
                    <w:tr2bl w:val="nil"/>
                  </w:tcBorders>
                  <w:noWrap w:val="0"/>
                  <w:vAlign w:val="center"/>
                </w:tcPr>
                <w:p w14:paraId="0AA9DB3D">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噪声</w:t>
                  </w:r>
                </w:p>
              </w:tc>
              <w:tc>
                <w:tcPr>
                  <w:tcW w:w="5624" w:type="dxa"/>
                  <w:tcBorders>
                    <w:tl2br w:val="nil"/>
                    <w:tr2bl w:val="nil"/>
                  </w:tcBorders>
                  <w:noWrap w:val="0"/>
                  <w:vAlign w:val="center"/>
                </w:tcPr>
                <w:p w14:paraId="1C5000CF">
                  <w:pPr>
                    <w:pStyle w:val="27"/>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生产设备均置于封闭的生产车间内，基础加装减振垫</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厂房隔声、距离衰减等措施</w:t>
                  </w:r>
                  <w:r>
                    <w:rPr>
                      <w:rFonts w:hint="eastAsia" w:ascii="宋体" w:hAnsi="宋体" w:eastAsia="宋体" w:cs="宋体"/>
                      <w:color w:val="auto"/>
                      <w:sz w:val="21"/>
                      <w:szCs w:val="21"/>
                    </w:rPr>
                    <w:t>。</w:t>
                  </w:r>
                </w:p>
              </w:tc>
            </w:tr>
            <w:tr w14:paraId="264E6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14:paraId="4CB70563">
                  <w:pPr>
                    <w:pStyle w:val="27"/>
                    <w:keepNext w:val="0"/>
                    <w:keepLines w:val="0"/>
                    <w:pageBreakBefore w:val="0"/>
                    <w:widowControl w:val="0"/>
                    <w:kinsoku/>
                    <w:overflowPunct/>
                    <w:autoSpaceDE/>
                    <w:autoSpaceDN/>
                    <w:bidi w:val="0"/>
                    <w:adjustRightInd/>
                    <w:snapToGrid/>
                    <w:textAlignment w:val="auto"/>
                    <w:rPr>
                      <w:rFonts w:hint="default"/>
                      <w:color w:val="0070C0"/>
                      <w:sz w:val="21"/>
                      <w:szCs w:val="21"/>
                    </w:rPr>
                  </w:pPr>
                </w:p>
              </w:tc>
              <w:tc>
                <w:tcPr>
                  <w:tcW w:w="1272" w:type="dxa"/>
                  <w:tcBorders>
                    <w:tl2br w:val="nil"/>
                    <w:tr2bl w:val="nil"/>
                  </w:tcBorders>
                  <w:noWrap w:val="0"/>
                  <w:vAlign w:val="center"/>
                </w:tcPr>
                <w:p w14:paraId="7AFE45A5">
                  <w:pPr>
                    <w:pStyle w:val="27"/>
                    <w:keepNext w:val="0"/>
                    <w:keepLines w:val="0"/>
                    <w:pageBreakBefore w:val="0"/>
                    <w:widowControl w:val="0"/>
                    <w:kinsoku/>
                    <w:overflowPunct/>
                    <w:autoSpaceDE/>
                    <w:autoSpaceDN/>
                    <w:bidi w:val="0"/>
                    <w:adjustRightInd/>
                    <w:snapToGrid/>
                    <w:textAlignment w:val="auto"/>
                    <w:rPr>
                      <w:rFonts w:hint="default"/>
                      <w:color w:val="auto"/>
                      <w:sz w:val="21"/>
                      <w:szCs w:val="21"/>
                    </w:rPr>
                  </w:pPr>
                  <w:r>
                    <w:rPr>
                      <w:rFonts w:hint="default"/>
                      <w:color w:val="auto"/>
                      <w:sz w:val="21"/>
                      <w:szCs w:val="21"/>
                    </w:rPr>
                    <w:t>固废</w:t>
                  </w:r>
                </w:p>
              </w:tc>
              <w:tc>
                <w:tcPr>
                  <w:tcW w:w="5624" w:type="dxa"/>
                  <w:tcBorders>
                    <w:tl2br w:val="nil"/>
                    <w:tr2bl w:val="nil"/>
                  </w:tcBorders>
                  <w:noWrap w:val="0"/>
                  <w:vAlign w:val="center"/>
                </w:tcPr>
                <w:p w14:paraId="528ECABE">
                  <w:pPr>
                    <w:pStyle w:val="27"/>
                    <w:keepNext w:val="0"/>
                    <w:keepLines w:val="0"/>
                    <w:pageBreakBefore w:val="0"/>
                    <w:widowControl w:val="0"/>
                    <w:kinsoku/>
                    <w:overflowPunct/>
                    <w:autoSpaceDE/>
                    <w:autoSpaceDN/>
                    <w:bidi w:val="0"/>
                    <w:adjustRightInd/>
                    <w:snapToGrid/>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一般固体废物、职工生活垃圾集中收集，外售相关企业或者送当地环卫部门指定地点统一处理；危险废物暂存于危险废物暂存间，定期由有资质的公司进行处置。</w:t>
                  </w:r>
                </w:p>
              </w:tc>
            </w:tr>
            <w:tr w14:paraId="71D99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1" w:type="dxa"/>
                  <w:vMerge w:val="continue"/>
                  <w:tcBorders>
                    <w:tl2br w:val="nil"/>
                    <w:tr2bl w:val="nil"/>
                  </w:tcBorders>
                  <w:noWrap w:val="0"/>
                  <w:vAlign w:val="center"/>
                </w:tcPr>
                <w:p w14:paraId="167BF998">
                  <w:pPr>
                    <w:pStyle w:val="27"/>
                    <w:keepNext w:val="0"/>
                    <w:keepLines w:val="0"/>
                    <w:pageBreakBefore w:val="0"/>
                    <w:widowControl w:val="0"/>
                    <w:kinsoku/>
                    <w:overflowPunct/>
                    <w:autoSpaceDE/>
                    <w:autoSpaceDN/>
                    <w:bidi w:val="0"/>
                    <w:adjustRightInd/>
                    <w:snapToGrid/>
                    <w:textAlignment w:val="auto"/>
                    <w:rPr>
                      <w:rFonts w:hint="default"/>
                      <w:color w:val="0070C0"/>
                      <w:sz w:val="21"/>
                      <w:szCs w:val="21"/>
                    </w:rPr>
                  </w:pPr>
                </w:p>
              </w:tc>
              <w:tc>
                <w:tcPr>
                  <w:tcW w:w="1272" w:type="dxa"/>
                  <w:tcBorders>
                    <w:tl2br w:val="nil"/>
                    <w:tr2bl w:val="nil"/>
                  </w:tcBorders>
                  <w:noWrap w:val="0"/>
                  <w:vAlign w:val="center"/>
                </w:tcPr>
                <w:p w14:paraId="673CBF77">
                  <w:pPr>
                    <w:pStyle w:val="27"/>
                    <w:keepNext w:val="0"/>
                    <w:keepLines w:val="0"/>
                    <w:pageBreakBefore w:val="0"/>
                    <w:widowControl w:val="0"/>
                    <w:kinsoku/>
                    <w:overflowPunct/>
                    <w:autoSpaceDE/>
                    <w:autoSpaceDN/>
                    <w:bidi w:val="0"/>
                    <w:adjustRightInd/>
                    <w:snapToGrid/>
                    <w:textAlignment w:val="auto"/>
                    <w:rPr>
                      <w:rFonts w:hint="eastAsia" w:eastAsia="宋体"/>
                      <w:color w:val="auto"/>
                      <w:sz w:val="21"/>
                      <w:szCs w:val="21"/>
                      <w:lang w:val="en-US" w:eastAsia="zh-CN"/>
                    </w:rPr>
                  </w:pPr>
                  <w:r>
                    <w:rPr>
                      <w:rFonts w:hint="eastAsia"/>
                      <w:color w:val="auto"/>
                      <w:sz w:val="21"/>
                      <w:szCs w:val="21"/>
                      <w:lang w:val="en-US" w:eastAsia="zh-CN"/>
                    </w:rPr>
                    <w:t>防渗</w:t>
                  </w:r>
                </w:p>
              </w:tc>
              <w:tc>
                <w:tcPr>
                  <w:tcW w:w="5624" w:type="dxa"/>
                  <w:tcBorders>
                    <w:tl2br w:val="nil"/>
                    <w:tr2bl w:val="nil"/>
                  </w:tcBorders>
                  <w:noWrap w:val="0"/>
                  <w:vAlign w:val="center"/>
                </w:tcPr>
                <w:p w14:paraId="0D93A732">
                  <w:pPr>
                    <w:pStyle w:val="27"/>
                    <w:keepNext w:val="0"/>
                    <w:keepLines w:val="0"/>
                    <w:pageBreakBefore w:val="0"/>
                    <w:widowControl w:val="0"/>
                    <w:kinsoku/>
                    <w:overflowPunct/>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⑴简单防渗区：厂区地面（除绿化用地）全部进行硬化处理。</w:t>
                  </w:r>
                </w:p>
                <w:p w14:paraId="25661870">
                  <w:pPr>
                    <w:pStyle w:val="27"/>
                    <w:keepNext w:val="0"/>
                    <w:keepLines w:val="0"/>
                    <w:pageBreakBefore w:val="0"/>
                    <w:widowControl w:val="0"/>
                    <w:kinsoku/>
                    <w:overflowPunct/>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⑵一般防渗区：车间地面、一般固废存储区进行硬化处理，采用C15混凝土，厚度150mm，渗透系数小于1.0×10</w:t>
                  </w:r>
                  <w:r>
                    <w:rPr>
                      <w:rFonts w:hint="default" w:ascii="Times New Roman" w:hAnsi="Times New Roman" w:eastAsia="宋体" w:cs="Times New Roman"/>
                      <w:color w:val="auto"/>
                      <w:sz w:val="21"/>
                      <w:szCs w:val="21"/>
                      <w:vertAlign w:val="superscript"/>
                      <w:lang w:val="en-US" w:eastAsia="zh-CN"/>
                    </w:rPr>
                    <w:t>-7</w:t>
                  </w:r>
                  <w:r>
                    <w:rPr>
                      <w:rFonts w:hint="default" w:ascii="Times New Roman" w:hAnsi="Times New Roman" w:eastAsia="宋体" w:cs="Times New Roman"/>
                      <w:color w:val="auto"/>
                      <w:sz w:val="21"/>
                      <w:szCs w:val="21"/>
                      <w:lang w:val="en-US" w:eastAsia="zh-CN"/>
                    </w:rPr>
                    <w:t>cm/s。</w:t>
                  </w:r>
                </w:p>
                <w:p w14:paraId="73B84B44">
                  <w:pPr>
                    <w:pStyle w:val="27"/>
                    <w:keepNext w:val="0"/>
                    <w:keepLines w:val="0"/>
                    <w:pageBreakBefore w:val="0"/>
                    <w:widowControl w:val="0"/>
                    <w:kinsoku/>
                    <w:overflowPunct/>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⑶重点防渗区：</w:t>
                  </w:r>
                </w:p>
                <w:p w14:paraId="2CDEEC9D">
                  <w:pPr>
                    <w:pStyle w:val="27"/>
                    <w:keepNext w:val="0"/>
                    <w:keepLines w:val="0"/>
                    <w:pageBreakBefore w:val="0"/>
                    <w:widowControl w:val="0"/>
                    <w:kinsoku/>
                    <w:overflowPunct/>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 1 \* GB3 \* MERGEFORMAT </w:instrText>
                  </w:r>
                  <w:r>
                    <w:rPr>
                      <w:rFonts w:hint="default" w:ascii="Times New Roman" w:hAnsi="Times New Roman" w:eastAsia="宋体" w:cs="Times New Roman"/>
                      <w:color w:val="auto"/>
                      <w:sz w:val="21"/>
                      <w:szCs w:val="21"/>
                      <w:lang w:val="en-US" w:eastAsia="zh-CN"/>
                    </w:rPr>
                    <w:fldChar w:fldCharType="separate"/>
                  </w:r>
                  <w:r>
                    <w:rPr>
                      <w:color w:val="auto"/>
                    </w:rPr>
                    <w:t>①</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危险品库房、喷漆房、烘干房设置20cm高围堰，地面均采用防渗混凝土进行防渗处理，渗透系数小于1.0×10</w:t>
                  </w:r>
                  <w:r>
                    <w:rPr>
                      <w:rFonts w:hint="default" w:ascii="Times New Roman" w:hAnsi="Times New Roman" w:eastAsia="宋体" w:cs="Times New Roman"/>
                      <w:color w:val="auto"/>
                      <w:sz w:val="21"/>
                      <w:szCs w:val="21"/>
                      <w:vertAlign w:val="superscript"/>
                      <w:lang w:val="en-US" w:eastAsia="zh-CN"/>
                    </w:rPr>
                    <w:t>-10</w:t>
                  </w:r>
                  <w:r>
                    <w:rPr>
                      <w:rFonts w:hint="default" w:ascii="Times New Roman" w:hAnsi="Times New Roman" w:eastAsia="宋体" w:cs="Times New Roman"/>
                      <w:color w:val="auto"/>
                      <w:sz w:val="21"/>
                      <w:szCs w:val="21"/>
                      <w:lang w:val="en-US" w:eastAsia="zh-CN"/>
                    </w:rPr>
                    <w:t>cm/s。</w:t>
                  </w:r>
                </w:p>
                <w:p w14:paraId="52FC56FE">
                  <w:pPr>
                    <w:pStyle w:val="27"/>
                    <w:keepNext w:val="0"/>
                    <w:keepLines w:val="0"/>
                    <w:pageBreakBefore w:val="0"/>
                    <w:widowControl w:val="0"/>
                    <w:kinsoku/>
                    <w:overflowPunct/>
                    <w:autoSpaceDE/>
                    <w:autoSpaceDN/>
                    <w:bidi w:val="0"/>
                    <w:adjustRightInd/>
                    <w:snapToGrid/>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 2 \* GB3 \* MERGEFORMAT </w:instrText>
                  </w:r>
                  <w:r>
                    <w:rPr>
                      <w:rFonts w:hint="default" w:ascii="Times New Roman" w:hAnsi="Times New Roman" w:eastAsia="宋体" w:cs="Times New Roman"/>
                      <w:color w:val="auto"/>
                      <w:sz w:val="21"/>
                      <w:szCs w:val="21"/>
                      <w:lang w:val="en-US" w:eastAsia="zh-CN"/>
                    </w:rPr>
                    <w:fldChar w:fldCharType="separate"/>
                  </w:r>
                  <w:r>
                    <w:rPr>
                      <w:color w:val="auto"/>
                    </w:rPr>
                    <w:t>②</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危废暂存间地面及裙角作防渗处理，内壁设2毫米厚高密度聚乙烯，或至少2毫米厚的其它人工材料，确保防渗系数≤1.0×10</w:t>
                  </w:r>
                  <w:r>
                    <w:rPr>
                      <w:rFonts w:hint="default" w:ascii="Times New Roman" w:hAnsi="Times New Roman" w:eastAsia="宋体" w:cs="Times New Roman"/>
                      <w:color w:val="auto"/>
                      <w:sz w:val="21"/>
                      <w:szCs w:val="21"/>
                      <w:vertAlign w:val="superscript"/>
                      <w:lang w:val="en-US" w:eastAsia="zh-CN"/>
                    </w:rPr>
                    <w:t>-10</w:t>
                  </w:r>
                  <w:r>
                    <w:rPr>
                      <w:rFonts w:hint="default" w:ascii="Times New Roman" w:hAnsi="Times New Roman" w:eastAsia="宋体" w:cs="Times New Roman"/>
                      <w:color w:val="auto"/>
                      <w:sz w:val="21"/>
                      <w:szCs w:val="21"/>
                      <w:lang w:val="en-US" w:eastAsia="zh-CN"/>
                    </w:rPr>
                    <w:t>cm/s。</w:t>
                  </w:r>
                </w:p>
              </w:tc>
            </w:tr>
          </w:tbl>
          <w:p w14:paraId="0349D62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s="Times New Roman"/>
                <w:color w:val="auto"/>
                <w:kern w:val="2"/>
                <w:sz w:val="24"/>
                <w:szCs w:val="24"/>
                <w:highlight w:val="none"/>
                <w:lang w:val="en-US" w:eastAsia="zh-CN" w:bidi="ar-SA"/>
              </w:rPr>
            </w:pPr>
            <w:r>
              <w:rPr>
                <w:rFonts w:hint="eastAsia"/>
                <w:color w:val="auto"/>
                <w:sz w:val="24"/>
                <w:szCs w:val="24"/>
                <w:highlight w:val="none"/>
                <w:lang w:val="en-US" w:eastAsia="zh-CN"/>
              </w:rPr>
              <w:t>6、主要产品及产能</w:t>
            </w:r>
            <w:r>
              <w:rPr>
                <w:rFonts w:hint="default"/>
                <w:color w:val="auto"/>
                <w:sz w:val="24"/>
                <w:szCs w:val="24"/>
                <w:highlight w:val="none"/>
              </w:rPr>
              <w:t>：</w:t>
            </w:r>
            <w:r>
              <w:rPr>
                <w:rFonts w:hint="eastAsia"/>
                <w:color w:val="auto"/>
                <w:sz w:val="24"/>
                <w:szCs w:val="24"/>
                <w:highlight w:val="none"/>
                <w:lang w:val="en-US" w:eastAsia="zh-CN"/>
              </w:rPr>
              <w:t>本项目主要进行</w:t>
            </w:r>
            <w:r>
              <w:rPr>
                <w:rFonts w:hint="eastAsia" w:cs="Times New Roman"/>
                <w:color w:val="auto"/>
                <w:kern w:val="2"/>
                <w:sz w:val="24"/>
                <w:szCs w:val="24"/>
                <w:highlight w:val="none"/>
                <w:lang w:val="en-US" w:eastAsia="zh-CN" w:bidi="ar-SA"/>
              </w:rPr>
              <w:t>通用设备及零部件的生产，项目建成后年产通用设备及零部件5000套</w:t>
            </w:r>
            <w:r>
              <w:rPr>
                <w:rFonts w:hint="eastAsia"/>
                <w:color w:val="auto"/>
                <w:sz w:val="24"/>
                <w:szCs w:val="24"/>
                <w:highlight w:val="none"/>
                <w:lang w:val="en-US" w:eastAsia="zh-CN"/>
              </w:rPr>
              <w:t>。</w:t>
            </w:r>
            <w:r>
              <w:rPr>
                <w:rFonts w:hint="eastAsia" w:cs="Times New Roman"/>
                <w:color w:val="auto"/>
                <w:kern w:val="2"/>
                <w:sz w:val="24"/>
                <w:szCs w:val="24"/>
                <w:highlight w:val="none"/>
                <w:lang w:val="en-US" w:eastAsia="zh-CN" w:bidi="ar-SA"/>
              </w:rPr>
              <w:t>主要包括风机、气泵、安全阀、压力容器等。本项目主要是根据客户需求进行生产，根据客户需求不同部分产品可能有所变动</w:t>
            </w:r>
            <w:r>
              <w:rPr>
                <w:rFonts w:hint="eastAsia"/>
                <w:color w:val="auto"/>
                <w:sz w:val="24"/>
                <w:szCs w:val="24"/>
                <w:highlight w:val="none"/>
                <w:lang w:val="en-US" w:eastAsia="zh-CN"/>
              </w:rPr>
              <w:t>。</w:t>
            </w:r>
          </w:p>
          <w:p w14:paraId="7C0927FE">
            <w:pPr>
              <w:pStyle w:val="34"/>
              <w:bidi w:val="0"/>
              <w:rPr>
                <w:rFonts w:hint="default"/>
                <w:color w:val="auto"/>
                <w:sz w:val="24"/>
                <w:szCs w:val="24"/>
                <w:highlight w:val="none"/>
              </w:rPr>
            </w:pPr>
            <w:r>
              <w:rPr>
                <w:rFonts w:hint="default"/>
                <w:color w:val="auto"/>
                <w:sz w:val="21"/>
                <w:szCs w:val="21"/>
                <w:highlight w:val="none"/>
              </w:rPr>
              <w:t>表</w:t>
            </w:r>
            <w:r>
              <w:rPr>
                <w:rFonts w:hint="eastAsia"/>
                <w:color w:val="auto"/>
                <w:sz w:val="21"/>
                <w:szCs w:val="21"/>
                <w:highlight w:val="none"/>
                <w:lang w:val="en-US" w:eastAsia="zh-CN"/>
              </w:rPr>
              <w:t>7  本项目主要产品方案一览</w:t>
            </w:r>
            <w:r>
              <w:rPr>
                <w:rFonts w:hint="default"/>
                <w:color w:val="auto"/>
                <w:sz w:val="21"/>
                <w:szCs w:val="21"/>
                <w:highlight w:val="none"/>
              </w:rPr>
              <w:t>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30"/>
              <w:gridCol w:w="2565"/>
              <w:gridCol w:w="1275"/>
              <w:gridCol w:w="2619"/>
            </w:tblGrid>
            <w:tr w14:paraId="3CCB3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0" w:type="dxa"/>
                  <w:tcBorders>
                    <w:tl2br w:val="nil"/>
                    <w:tr2bl w:val="nil"/>
                  </w:tcBorders>
                  <w:noWrap w:val="0"/>
                  <w:vAlign w:val="center"/>
                </w:tcPr>
                <w:p w14:paraId="2C0517B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2565" w:type="dxa"/>
                  <w:tcBorders>
                    <w:tl2br w:val="nil"/>
                    <w:tr2bl w:val="nil"/>
                  </w:tcBorders>
                  <w:noWrap w:val="0"/>
                  <w:vAlign w:val="center"/>
                </w:tcPr>
                <w:p w14:paraId="77F597D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275" w:type="dxa"/>
                  <w:tcBorders>
                    <w:tl2br w:val="nil"/>
                    <w:tr2bl w:val="nil"/>
                  </w:tcBorders>
                  <w:noWrap w:val="0"/>
                  <w:vAlign w:val="center"/>
                </w:tcPr>
                <w:p w14:paraId="301B9BB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w:t>
                  </w:r>
                </w:p>
              </w:tc>
              <w:tc>
                <w:tcPr>
                  <w:tcW w:w="2619" w:type="dxa"/>
                  <w:tcBorders>
                    <w:tl2br w:val="nil"/>
                    <w:tr2bl w:val="nil"/>
                  </w:tcBorders>
                  <w:noWrap w:val="0"/>
                  <w:vAlign w:val="center"/>
                </w:tcPr>
                <w:p w14:paraId="1485848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产品产量</w:t>
                  </w:r>
                </w:p>
              </w:tc>
            </w:tr>
            <w:tr w14:paraId="1AD50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0" w:type="dxa"/>
                  <w:tcBorders>
                    <w:tl2br w:val="nil"/>
                    <w:tr2bl w:val="nil"/>
                  </w:tcBorders>
                  <w:noWrap w:val="0"/>
                  <w:vAlign w:val="center"/>
                </w:tcPr>
                <w:p w14:paraId="6E54F5C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p>
              </w:tc>
              <w:tc>
                <w:tcPr>
                  <w:tcW w:w="2565" w:type="dxa"/>
                  <w:tcBorders>
                    <w:tl2br w:val="nil"/>
                    <w:tr2bl w:val="nil"/>
                  </w:tcBorders>
                  <w:noWrap w:val="0"/>
                  <w:vAlign w:val="center"/>
                </w:tcPr>
                <w:p w14:paraId="53ED405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highlight w:val="none"/>
                      <w:lang w:val="en-US" w:eastAsia="zh-CN" w:bidi="ar-SA"/>
                    </w:rPr>
                  </w:pPr>
                  <w:r>
                    <w:rPr>
                      <w:rFonts w:hint="eastAsia" w:cs="Times New Roman"/>
                      <w:b w:val="0"/>
                      <w:bCs/>
                      <w:kern w:val="24"/>
                      <w:sz w:val="21"/>
                      <w:szCs w:val="21"/>
                      <w:highlight w:val="none"/>
                      <w:lang w:val="en-US" w:eastAsia="zh-CN" w:bidi="ar-SA"/>
                    </w:rPr>
                    <w:t>风机</w:t>
                  </w:r>
                </w:p>
              </w:tc>
              <w:tc>
                <w:tcPr>
                  <w:tcW w:w="1275" w:type="dxa"/>
                  <w:tcBorders>
                    <w:tl2br w:val="nil"/>
                    <w:tr2bl w:val="nil"/>
                  </w:tcBorders>
                  <w:noWrap w:val="0"/>
                  <w:vAlign w:val="center"/>
                </w:tcPr>
                <w:p w14:paraId="234DE79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eastAsia" w:cs="Times New Roman"/>
                      <w:color w:val="auto"/>
                      <w:sz w:val="21"/>
                      <w:szCs w:val="21"/>
                      <w:lang w:val="en-US" w:eastAsia="zh-CN"/>
                    </w:rPr>
                    <w:t>套/年</w:t>
                  </w:r>
                </w:p>
              </w:tc>
              <w:tc>
                <w:tcPr>
                  <w:tcW w:w="2619" w:type="dxa"/>
                  <w:tcBorders>
                    <w:tl2br w:val="nil"/>
                    <w:tr2bl w:val="nil"/>
                  </w:tcBorders>
                  <w:noWrap w:val="0"/>
                  <w:vAlign w:val="center"/>
                </w:tcPr>
                <w:p w14:paraId="6A6A5EF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eastAsia" w:cs="Times New Roman"/>
                      <w:b w:val="0"/>
                      <w:bCs/>
                      <w:kern w:val="24"/>
                      <w:sz w:val="21"/>
                      <w:szCs w:val="21"/>
                      <w:lang w:val="en-US" w:eastAsia="zh-CN" w:bidi="ar-SA"/>
                    </w:rPr>
                    <w:t>2000</w:t>
                  </w:r>
                </w:p>
              </w:tc>
            </w:tr>
            <w:tr w14:paraId="56AD3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0" w:type="dxa"/>
                  <w:tcBorders>
                    <w:tl2br w:val="nil"/>
                    <w:tr2bl w:val="nil"/>
                  </w:tcBorders>
                  <w:noWrap w:val="0"/>
                  <w:vAlign w:val="center"/>
                </w:tcPr>
                <w:p w14:paraId="60211828">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p>
              </w:tc>
              <w:tc>
                <w:tcPr>
                  <w:tcW w:w="2565" w:type="dxa"/>
                  <w:tcBorders>
                    <w:tl2br w:val="nil"/>
                    <w:tr2bl w:val="nil"/>
                  </w:tcBorders>
                  <w:noWrap w:val="0"/>
                  <w:vAlign w:val="center"/>
                </w:tcPr>
                <w:p w14:paraId="6FD52B4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highlight w:val="none"/>
                      <w:lang w:val="en-US" w:eastAsia="zh-CN" w:bidi="ar-SA"/>
                    </w:rPr>
                  </w:pPr>
                  <w:r>
                    <w:rPr>
                      <w:rFonts w:hint="eastAsia" w:cs="Times New Roman"/>
                      <w:b w:val="0"/>
                      <w:bCs/>
                      <w:kern w:val="24"/>
                      <w:sz w:val="21"/>
                      <w:szCs w:val="21"/>
                      <w:highlight w:val="none"/>
                      <w:lang w:val="en-US" w:eastAsia="zh-CN" w:bidi="ar-SA"/>
                    </w:rPr>
                    <w:t>气泵</w:t>
                  </w:r>
                </w:p>
              </w:tc>
              <w:tc>
                <w:tcPr>
                  <w:tcW w:w="1275" w:type="dxa"/>
                  <w:tcBorders>
                    <w:tl2br w:val="nil"/>
                    <w:tr2bl w:val="nil"/>
                  </w:tcBorders>
                  <w:noWrap w:val="0"/>
                  <w:vAlign w:val="center"/>
                </w:tcPr>
                <w:p w14:paraId="726C3EC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套/年</w:t>
                  </w:r>
                </w:p>
              </w:tc>
              <w:tc>
                <w:tcPr>
                  <w:tcW w:w="2619" w:type="dxa"/>
                  <w:tcBorders>
                    <w:tl2br w:val="nil"/>
                    <w:tr2bl w:val="nil"/>
                  </w:tcBorders>
                  <w:noWrap w:val="0"/>
                  <w:vAlign w:val="center"/>
                </w:tcPr>
                <w:p w14:paraId="094A898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eastAsia" w:cs="Times New Roman"/>
                      <w:b w:val="0"/>
                      <w:bCs/>
                      <w:kern w:val="24"/>
                      <w:sz w:val="21"/>
                      <w:szCs w:val="21"/>
                      <w:lang w:val="en-US" w:eastAsia="zh-CN" w:bidi="ar-SA"/>
                    </w:rPr>
                    <w:t>1000</w:t>
                  </w:r>
                </w:p>
              </w:tc>
            </w:tr>
            <w:tr w14:paraId="7E2F90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0" w:type="dxa"/>
                  <w:tcBorders>
                    <w:tl2br w:val="nil"/>
                    <w:tr2bl w:val="nil"/>
                  </w:tcBorders>
                  <w:noWrap w:val="0"/>
                  <w:vAlign w:val="center"/>
                </w:tcPr>
                <w:p w14:paraId="1CF9133F">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w:t>
                  </w:r>
                </w:p>
              </w:tc>
              <w:tc>
                <w:tcPr>
                  <w:tcW w:w="2565" w:type="dxa"/>
                  <w:tcBorders>
                    <w:tl2br w:val="nil"/>
                    <w:tr2bl w:val="nil"/>
                  </w:tcBorders>
                  <w:noWrap w:val="0"/>
                  <w:vAlign w:val="center"/>
                </w:tcPr>
                <w:p w14:paraId="046A7A9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highlight w:val="none"/>
                      <w:lang w:val="en-US" w:eastAsia="zh-CN" w:bidi="ar-SA"/>
                    </w:rPr>
                  </w:pPr>
                  <w:r>
                    <w:rPr>
                      <w:rFonts w:hint="eastAsia" w:cs="Times New Roman"/>
                      <w:b w:val="0"/>
                      <w:bCs/>
                      <w:kern w:val="24"/>
                      <w:sz w:val="21"/>
                      <w:szCs w:val="21"/>
                      <w:highlight w:val="none"/>
                      <w:lang w:val="en-US" w:eastAsia="zh-CN" w:bidi="ar-SA"/>
                    </w:rPr>
                    <w:t>安全阀</w:t>
                  </w:r>
                </w:p>
              </w:tc>
              <w:tc>
                <w:tcPr>
                  <w:tcW w:w="1275" w:type="dxa"/>
                  <w:tcBorders>
                    <w:tl2br w:val="nil"/>
                    <w:tr2bl w:val="nil"/>
                  </w:tcBorders>
                  <w:noWrap w:val="0"/>
                  <w:vAlign w:val="center"/>
                </w:tcPr>
                <w:p w14:paraId="33A8525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套/年</w:t>
                  </w:r>
                </w:p>
              </w:tc>
              <w:tc>
                <w:tcPr>
                  <w:tcW w:w="2619" w:type="dxa"/>
                  <w:tcBorders>
                    <w:tl2br w:val="nil"/>
                    <w:tr2bl w:val="nil"/>
                  </w:tcBorders>
                  <w:noWrap w:val="0"/>
                  <w:vAlign w:val="center"/>
                </w:tcPr>
                <w:p w14:paraId="0DB51A5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eastAsia" w:cs="Times New Roman"/>
                      <w:b w:val="0"/>
                      <w:bCs/>
                      <w:kern w:val="24"/>
                      <w:sz w:val="21"/>
                      <w:szCs w:val="21"/>
                      <w:lang w:val="en-US" w:eastAsia="zh-CN" w:bidi="ar-SA"/>
                    </w:rPr>
                    <w:t>1000</w:t>
                  </w:r>
                </w:p>
              </w:tc>
            </w:tr>
            <w:tr w14:paraId="1BFAD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30" w:type="dxa"/>
                  <w:tcBorders>
                    <w:tl2br w:val="nil"/>
                    <w:tr2bl w:val="nil"/>
                  </w:tcBorders>
                  <w:noWrap w:val="0"/>
                  <w:vAlign w:val="center"/>
                </w:tcPr>
                <w:p w14:paraId="7C032DD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p>
              </w:tc>
              <w:tc>
                <w:tcPr>
                  <w:tcW w:w="2565" w:type="dxa"/>
                  <w:tcBorders>
                    <w:tl2br w:val="nil"/>
                    <w:tr2bl w:val="nil"/>
                  </w:tcBorders>
                  <w:noWrap w:val="0"/>
                  <w:vAlign w:val="center"/>
                </w:tcPr>
                <w:p w14:paraId="639F46B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kern w:val="24"/>
                      <w:sz w:val="21"/>
                      <w:szCs w:val="21"/>
                      <w:highlight w:val="none"/>
                      <w:lang w:val="en-US" w:eastAsia="zh-CN" w:bidi="ar-SA"/>
                    </w:rPr>
                  </w:pPr>
                  <w:r>
                    <w:rPr>
                      <w:rFonts w:hint="eastAsia" w:cs="Times New Roman"/>
                      <w:b w:val="0"/>
                      <w:bCs/>
                      <w:kern w:val="24"/>
                      <w:sz w:val="21"/>
                      <w:szCs w:val="21"/>
                      <w:highlight w:val="none"/>
                      <w:lang w:val="en-US" w:eastAsia="zh-CN" w:bidi="ar-SA"/>
                    </w:rPr>
                    <w:t>压力容器</w:t>
                  </w:r>
                </w:p>
              </w:tc>
              <w:tc>
                <w:tcPr>
                  <w:tcW w:w="1275" w:type="dxa"/>
                  <w:tcBorders>
                    <w:tl2br w:val="nil"/>
                    <w:tr2bl w:val="nil"/>
                  </w:tcBorders>
                  <w:noWrap w:val="0"/>
                  <w:vAlign w:val="center"/>
                </w:tcPr>
                <w:p w14:paraId="1D336AF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套/年</w:t>
                  </w:r>
                </w:p>
              </w:tc>
              <w:tc>
                <w:tcPr>
                  <w:tcW w:w="2619" w:type="dxa"/>
                  <w:tcBorders>
                    <w:tl2br w:val="nil"/>
                    <w:tr2bl w:val="nil"/>
                  </w:tcBorders>
                  <w:noWrap w:val="0"/>
                  <w:vAlign w:val="center"/>
                </w:tcPr>
                <w:p w14:paraId="787E23C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kern w:val="24"/>
                      <w:sz w:val="21"/>
                      <w:szCs w:val="21"/>
                      <w:lang w:val="en-US" w:eastAsia="zh-CN" w:bidi="ar-SA"/>
                    </w:rPr>
                  </w:pPr>
                  <w:r>
                    <w:rPr>
                      <w:rFonts w:hint="eastAsia" w:cs="Times New Roman"/>
                      <w:b w:val="0"/>
                      <w:bCs/>
                      <w:kern w:val="24"/>
                      <w:sz w:val="21"/>
                      <w:szCs w:val="21"/>
                      <w:lang w:val="en-US" w:eastAsia="zh-CN" w:bidi="ar-SA"/>
                    </w:rPr>
                    <w:t>1000</w:t>
                  </w:r>
                </w:p>
              </w:tc>
            </w:tr>
          </w:tbl>
          <w:p w14:paraId="2B86F3DE">
            <w:pPr>
              <w:bidi w:val="0"/>
              <w:rPr>
                <w:rFonts w:hint="default"/>
                <w:color w:val="0070C0"/>
                <w:sz w:val="24"/>
                <w:szCs w:val="24"/>
                <w:highlight w:val="none"/>
              </w:rPr>
            </w:pPr>
            <w:r>
              <w:rPr>
                <w:rFonts w:hint="eastAsia"/>
                <w:color w:val="auto"/>
                <w:sz w:val="24"/>
                <w:szCs w:val="24"/>
                <w:highlight w:val="none"/>
                <w:lang w:val="en-US" w:eastAsia="zh-CN"/>
              </w:rPr>
              <w:t>7、</w:t>
            </w:r>
            <w:r>
              <w:rPr>
                <w:rFonts w:hint="default"/>
                <w:color w:val="auto"/>
                <w:sz w:val="24"/>
                <w:szCs w:val="24"/>
                <w:highlight w:val="none"/>
              </w:rPr>
              <w:t>工作制度及定员：</w:t>
            </w:r>
            <w:r>
              <w:rPr>
                <w:rFonts w:hint="default"/>
                <w:color w:val="000000" w:themeColor="text1"/>
                <w:sz w:val="24"/>
                <w:szCs w:val="24"/>
                <w:highlight w:val="none"/>
                <w14:textFill>
                  <w14:solidFill>
                    <w14:schemeClr w14:val="tx1"/>
                  </w14:solidFill>
                </w14:textFill>
              </w:rPr>
              <w:t>项目年工作</w:t>
            </w:r>
            <w:r>
              <w:rPr>
                <w:rFonts w:hint="eastAsia"/>
                <w:color w:val="000000" w:themeColor="text1"/>
                <w:sz w:val="24"/>
                <w:szCs w:val="24"/>
                <w:highlight w:val="none"/>
                <w:lang w:val="en-US" w:eastAsia="zh-CN"/>
                <w14:textFill>
                  <w14:solidFill>
                    <w14:schemeClr w14:val="tx1"/>
                  </w14:solidFill>
                </w14:textFill>
              </w:rPr>
              <w:t>300</w:t>
            </w:r>
            <w:r>
              <w:rPr>
                <w:rFonts w:hint="default"/>
                <w:color w:val="000000" w:themeColor="text1"/>
                <w:sz w:val="24"/>
                <w:szCs w:val="24"/>
                <w:highlight w:val="none"/>
                <w14:textFill>
                  <w14:solidFill>
                    <w14:schemeClr w14:val="tx1"/>
                  </w14:solidFill>
                </w14:textFill>
              </w:rPr>
              <w:t>天，每天</w:t>
            </w:r>
            <w:r>
              <w:rPr>
                <w:rFonts w:hint="eastAsia"/>
                <w:color w:val="000000" w:themeColor="text1"/>
                <w:sz w:val="24"/>
                <w:szCs w:val="24"/>
                <w:highlight w:val="none"/>
                <w:lang w:val="en-US" w:eastAsia="zh-CN"/>
                <w14:textFill>
                  <w14:solidFill>
                    <w14:schemeClr w14:val="tx1"/>
                  </w14:solidFill>
                </w14:textFill>
              </w:rPr>
              <w:t>1</w:t>
            </w:r>
            <w:r>
              <w:rPr>
                <w:rFonts w:hint="default"/>
                <w:color w:val="000000" w:themeColor="text1"/>
                <w:sz w:val="24"/>
                <w:szCs w:val="24"/>
                <w:highlight w:val="none"/>
                <w14:textFill>
                  <w14:solidFill>
                    <w14:schemeClr w14:val="tx1"/>
                  </w14:solidFill>
                </w14:textFill>
              </w:rPr>
              <w:t>班，每班</w:t>
            </w:r>
            <w:r>
              <w:rPr>
                <w:rFonts w:hint="eastAsia"/>
                <w:color w:val="000000" w:themeColor="text1"/>
                <w:sz w:val="24"/>
                <w:szCs w:val="24"/>
                <w:highlight w:val="none"/>
                <w:lang w:val="en-US" w:eastAsia="zh-CN"/>
                <w14:textFill>
                  <w14:solidFill>
                    <w14:schemeClr w14:val="tx1"/>
                  </w14:solidFill>
                </w14:textFill>
              </w:rPr>
              <w:t>8h</w:t>
            </w:r>
            <w:r>
              <w:rPr>
                <w:rFonts w:hint="default"/>
                <w:color w:val="000000" w:themeColor="text1"/>
                <w:sz w:val="24"/>
                <w:szCs w:val="24"/>
                <w:highlight w:val="none"/>
                <w14:textFill>
                  <w14:solidFill>
                    <w14:schemeClr w14:val="tx1"/>
                  </w14:solidFill>
                </w14:textFill>
              </w:rPr>
              <w:t>。劳动定员</w:t>
            </w:r>
            <w:r>
              <w:rPr>
                <w:rFonts w:hint="eastAsia"/>
                <w:color w:val="000000" w:themeColor="text1"/>
                <w:sz w:val="24"/>
                <w:szCs w:val="24"/>
                <w:highlight w:val="none"/>
                <w:lang w:val="en-US" w:eastAsia="zh-CN"/>
                <w14:textFill>
                  <w14:solidFill>
                    <w14:schemeClr w14:val="tx1"/>
                  </w14:solidFill>
                </w14:textFill>
              </w:rPr>
              <w:t>5人</w:t>
            </w:r>
            <w:r>
              <w:rPr>
                <w:rFonts w:hint="default"/>
                <w:color w:val="000000" w:themeColor="text1"/>
                <w:sz w:val="24"/>
                <w:szCs w:val="24"/>
                <w:highlight w:val="none"/>
                <w14:textFill>
                  <w14:solidFill>
                    <w14:schemeClr w14:val="tx1"/>
                  </w14:solidFill>
                </w14:textFill>
              </w:rPr>
              <w:t>。</w:t>
            </w:r>
          </w:p>
          <w:p w14:paraId="341C8D7B">
            <w:pPr>
              <w:bidi w:val="0"/>
              <w:rPr>
                <w:rFonts w:hint="default"/>
                <w:color w:val="auto"/>
                <w:sz w:val="24"/>
                <w:szCs w:val="24"/>
              </w:rPr>
            </w:pPr>
            <w:r>
              <w:rPr>
                <w:rFonts w:hint="eastAsia"/>
                <w:color w:val="auto"/>
                <w:sz w:val="24"/>
                <w:szCs w:val="24"/>
                <w:lang w:val="en-US" w:eastAsia="zh-CN"/>
              </w:rPr>
              <w:t>8、</w:t>
            </w:r>
            <w:r>
              <w:rPr>
                <w:rFonts w:hint="default"/>
                <w:color w:val="auto"/>
                <w:sz w:val="24"/>
                <w:szCs w:val="24"/>
              </w:rPr>
              <w:t>主要原辅材料及能源消耗见下表。</w:t>
            </w:r>
          </w:p>
          <w:p w14:paraId="6E1926A3">
            <w:pPr>
              <w:pStyle w:val="34"/>
              <w:bidi w:val="0"/>
              <w:rPr>
                <w:rFonts w:hint="default"/>
                <w:color w:val="auto"/>
                <w:sz w:val="24"/>
                <w:szCs w:val="24"/>
                <w:highlight w:val="none"/>
              </w:rPr>
            </w:pPr>
            <w:r>
              <w:rPr>
                <w:rFonts w:hint="default"/>
                <w:color w:val="auto"/>
                <w:sz w:val="21"/>
                <w:szCs w:val="21"/>
                <w:highlight w:val="none"/>
              </w:rPr>
              <w:t>表</w:t>
            </w:r>
            <w:r>
              <w:rPr>
                <w:rFonts w:hint="eastAsia"/>
                <w:color w:val="auto"/>
                <w:sz w:val="21"/>
                <w:szCs w:val="21"/>
                <w:highlight w:val="none"/>
                <w:lang w:val="en-US" w:eastAsia="zh-CN"/>
              </w:rPr>
              <w:t>8  本项目</w:t>
            </w:r>
            <w:r>
              <w:rPr>
                <w:rFonts w:hint="default"/>
                <w:color w:val="auto"/>
                <w:sz w:val="21"/>
                <w:szCs w:val="21"/>
                <w:highlight w:val="none"/>
              </w:rPr>
              <w:t>主要原辅材料及能源消耗表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1"/>
              <w:gridCol w:w="956"/>
              <w:gridCol w:w="956"/>
              <w:gridCol w:w="1216"/>
              <w:gridCol w:w="1125"/>
              <w:gridCol w:w="3055"/>
            </w:tblGrid>
            <w:tr w14:paraId="340BF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0AFB7AA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912" w:type="dxa"/>
                  <w:gridSpan w:val="2"/>
                  <w:tcBorders>
                    <w:tl2br w:val="nil"/>
                    <w:tr2bl w:val="nil"/>
                  </w:tcBorders>
                  <w:noWrap w:val="0"/>
                  <w:vAlign w:val="center"/>
                </w:tcPr>
                <w:p w14:paraId="7214B38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216" w:type="dxa"/>
                  <w:tcBorders>
                    <w:tl2br w:val="nil"/>
                    <w:tr2bl w:val="nil"/>
                  </w:tcBorders>
                  <w:noWrap w:val="0"/>
                  <w:vAlign w:val="center"/>
                </w:tcPr>
                <w:p w14:paraId="0FC22565">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w:t>
                  </w:r>
                </w:p>
              </w:tc>
              <w:tc>
                <w:tcPr>
                  <w:tcW w:w="1125" w:type="dxa"/>
                  <w:tcBorders>
                    <w:tl2br w:val="nil"/>
                    <w:tr2bl w:val="nil"/>
                  </w:tcBorders>
                  <w:noWrap w:val="0"/>
                  <w:vAlign w:val="center"/>
                </w:tcPr>
                <w:p w14:paraId="21C1BD7F">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消耗量</w:t>
                  </w:r>
                </w:p>
              </w:tc>
              <w:tc>
                <w:tcPr>
                  <w:tcW w:w="3055" w:type="dxa"/>
                  <w:tcBorders>
                    <w:tl2br w:val="nil"/>
                    <w:tr2bl w:val="nil"/>
                  </w:tcBorders>
                  <w:noWrap w:val="0"/>
                  <w:vAlign w:val="center"/>
                </w:tcPr>
                <w:p w14:paraId="29F9E74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备注</w:t>
                  </w:r>
                </w:p>
              </w:tc>
            </w:tr>
            <w:tr w14:paraId="4134D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00ED4A3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p>
              </w:tc>
              <w:tc>
                <w:tcPr>
                  <w:tcW w:w="1912" w:type="dxa"/>
                  <w:gridSpan w:val="2"/>
                  <w:tcBorders>
                    <w:tl2br w:val="nil"/>
                    <w:tr2bl w:val="nil"/>
                  </w:tcBorders>
                  <w:noWrap w:val="0"/>
                  <w:vAlign w:val="center"/>
                </w:tcPr>
                <w:p w14:paraId="73558C0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b w:val="0"/>
                      <w:bCs/>
                      <w:kern w:val="24"/>
                      <w:sz w:val="21"/>
                      <w:szCs w:val="21"/>
                      <w:highlight w:val="none"/>
                      <w:lang w:val="en-US" w:eastAsia="zh-CN"/>
                    </w:rPr>
                    <w:t>型材</w:t>
                  </w:r>
                </w:p>
              </w:tc>
              <w:tc>
                <w:tcPr>
                  <w:tcW w:w="1216" w:type="dxa"/>
                  <w:tcBorders>
                    <w:tl2br w:val="nil"/>
                    <w:tr2bl w:val="nil"/>
                  </w:tcBorders>
                  <w:noWrap w:val="0"/>
                  <w:vAlign w:val="center"/>
                </w:tcPr>
                <w:p w14:paraId="5F5E0E7F">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125" w:type="dxa"/>
                  <w:tcBorders>
                    <w:tl2br w:val="nil"/>
                    <w:tr2bl w:val="nil"/>
                  </w:tcBorders>
                  <w:noWrap w:val="0"/>
                  <w:vAlign w:val="center"/>
                </w:tcPr>
                <w:p w14:paraId="155521C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2500</w:t>
                  </w:r>
                </w:p>
              </w:tc>
              <w:tc>
                <w:tcPr>
                  <w:tcW w:w="3055" w:type="dxa"/>
                  <w:tcBorders>
                    <w:tl2br w:val="nil"/>
                    <w:tr2bl w:val="nil"/>
                  </w:tcBorders>
                  <w:noWrap w:val="0"/>
                  <w:vAlign w:val="center"/>
                </w:tcPr>
                <w:p w14:paraId="5B0436B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r>
            <w:tr w14:paraId="769230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5B0131B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p>
              </w:tc>
              <w:tc>
                <w:tcPr>
                  <w:tcW w:w="1912" w:type="dxa"/>
                  <w:gridSpan w:val="2"/>
                  <w:tcBorders>
                    <w:tl2br w:val="nil"/>
                    <w:tr2bl w:val="nil"/>
                  </w:tcBorders>
                  <w:noWrap w:val="0"/>
                  <w:vAlign w:val="center"/>
                </w:tcPr>
                <w:p w14:paraId="6487DB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000000"/>
                      <w:kern w:val="0"/>
                      <w:sz w:val="21"/>
                      <w:szCs w:val="21"/>
                      <w:lang w:val="en-US" w:eastAsia="zh-CN" w:bidi="ar"/>
                    </w:rPr>
                    <w:t>钢材</w:t>
                  </w:r>
                </w:p>
              </w:tc>
              <w:tc>
                <w:tcPr>
                  <w:tcW w:w="1216" w:type="dxa"/>
                  <w:tcBorders>
                    <w:tl2br w:val="nil"/>
                    <w:tr2bl w:val="nil"/>
                  </w:tcBorders>
                  <w:noWrap w:val="0"/>
                  <w:vAlign w:val="center"/>
                </w:tcPr>
                <w:p w14:paraId="4B38C33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125" w:type="dxa"/>
                  <w:tcBorders>
                    <w:tl2br w:val="nil"/>
                    <w:tr2bl w:val="nil"/>
                  </w:tcBorders>
                  <w:noWrap w:val="0"/>
                  <w:vAlign w:val="center"/>
                </w:tcPr>
                <w:p w14:paraId="0B1CE67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500</w:t>
                  </w:r>
                </w:p>
              </w:tc>
              <w:tc>
                <w:tcPr>
                  <w:tcW w:w="3055" w:type="dxa"/>
                  <w:tcBorders>
                    <w:tl2br w:val="nil"/>
                    <w:tr2bl w:val="nil"/>
                  </w:tcBorders>
                  <w:noWrap w:val="0"/>
                  <w:vAlign w:val="center"/>
                </w:tcPr>
                <w:p w14:paraId="1865D6D5">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r>
            <w:tr w14:paraId="585F6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621" w:type="dxa"/>
                  <w:tcBorders>
                    <w:tl2br w:val="nil"/>
                    <w:tr2bl w:val="nil"/>
                  </w:tcBorders>
                  <w:noWrap w:val="0"/>
                  <w:vAlign w:val="center"/>
                </w:tcPr>
                <w:p w14:paraId="258A538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w:t>
                  </w:r>
                </w:p>
              </w:tc>
              <w:tc>
                <w:tcPr>
                  <w:tcW w:w="1912" w:type="dxa"/>
                  <w:gridSpan w:val="2"/>
                  <w:tcBorders>
                    <w:tl2br w:val="nil"/>
                    <w:tr2bl w:val="nil"/>
                  </w:tcBorders>
                  <w:noWrap w:val="0"/>
                  <w:vAlign w:val="center"/>
                </w:tcPr>
                <w:p w14:paraId="13E2AB3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highlight w:val="none"/>
                      <w:lang w:val="en-US" w:eastAsia="zh-CN" w:bidi="ar-SA"/>
                    </w:rPr>
                  </w:pPr>
                  <w:r>
                    <w:rPr>
                      <w:rFonts w:hint="default" w:ascii="Times New Roman" w:hAnsi="Times New Roman" w:eastAsia="宋体" w:cs="Times New Roman"/>
                      <w:b w:val="0"/>
                      <w:bCs/>
                      <w:kern w:val="24"/>
                      <w:sz w:val="21"/>
                      <w:szCs w:val="21"/>
                      <w:highlight w:val="none"/>
                      <w:lang w:val="en-US" w:eastAsia="zh-CN"/>
                    </w:rPr>
                    <w:t>焊条</w:t>
                  </w:r>
                </w:p>
              </w:tc>
              <w:tc>
                <w:tcPr>
                  <w:tcW w:w="1216" w:type="dxa"/>
                  <w:tcBorders>
                    <w:tl2br w:val="nil"/>
                    <w:tr2bl w:val="nil"/>
                  </w:tcBorders>
                  <w:noWrap w:val="0"/>
                  <w:vAlign w:val="center"/>
                </w:tcPr>
                <w:p w14:paraId="39DB0C4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color w:val="auto"/>
                      <w:sz w:val="21"/>
                      <w:szCs w:val="21"/>
                      <w:lang w:val="en-US" w:eastAsia="zh-CN"/>
                    </w:rPr>
                    <w:t>t/a</w:t>
                  </w:r>
                </w:p>
              </w:tc>
              <w:tc>
                <w:tcPr>
                  <w:tcW w:w="1125" w:type="dxa"/>
                  <w:tcBorders>
                    <w:tl2br w:val="nil"/>
                    <w:tr2bl w:val="nil"/>
                  </w:tcBorders>
                  <w:noWrap w:val="0"/>
                  <w:vAlign w:val="center"/>
                </w:tcPr>
                <w:p w14:paraId="44886E0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b w:val="0"/>
                      <w:bCs/>
                      <w:kern w:val="24"/>
                      <w:sz w:val="21"/>
                      <w:szCs w:val="21"/>
                      <w:lang w:val="en-US" w:eastAsia="zh-CN"/>
                    </w:rPr>
                    <w:t>0.</w:t>
                  </w:r>
                  <w:r>
                    <w:rPr>
                      <w:rFonts w:hint="eastAsia" w:ascii="Times New Roman" w:hAnsi="Times New Roman" w:eastAsia="宋体" w:cs="Times New Roman"/>
                      <w:b w:val="0"/>
                      <w:bCs/>
                      <w:kern w:val="24"/>
                      <w:sz w:val="21"/>
                      <w:szCs w:val="21"/>
                      <w:lang w:val="en-US" w:eastAsia="zh-CN"/>
                    </w:rPr>
                    <w:t>0</w:t>
                  </w:r>
                  <w:r>
                    <w:rPr>
                      <w:rFonts w:hint="default" w:ascii="Times New Roman" w:hAnsi="Times New Roman" w:eastAsia="宋体" w:cs="Times New Roman"/>
                      <w:b w:val="0"/>
                      <w:bCs/>
                      <w:kern w:val="24"/>
                      <w:sz w:val="21"/>
                      <w:szCs w:val="21"/>
                      <w:lang w:val="en-US" w:eastAsia="zh-CN"/>
                    </w:rPr>
                    <w:t>5</w:t>
                  </w:r>
                </w:p>
              </w:tc>
              <w:tc>
                <w:tcPr>
                  <w:tcW w:w="3055" w:type="dxa"/>
                  <w:tcBorders>
                    <w:tl2br w:val="nil"/>
                    <w:tr2bl w:val="nil"/>
                  </w:tcBorders>
                  <w:noWrap w:val="0"/>
                  <w:vAlign w:val="center"/>
                </w:tcPr>
                <w:p w14:paraId="06892F9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sz w:val="21"/>
                      <w:szCs w:val="21"/>
                    </w:rPr>
                    <w:t>钛钙型焊条</w:t>
                  </w:r>
                </w:p>
              </w:tc>
            </w:tr>
            <w:tr w14:paraId="01E18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1541C12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w:t>
                  </w:r>
                </w:p>
              </w:tc>
              <w:tc>
                <w:tcPr>
                  <w:tcW w:w="1912" w:type="dxa"/>
                  <w:gridSpan w:val="2"/>
                  <w:tcBorders>
                    <w:tl2br w:val="nil"/>
                    <w:tr2bl w:val="nil"/>
                  </w:tcBorders>
                  <w:noWrap w:val="0"/>
                  <w:vAlign w:val="center"/>
                </w:tcPr>
                <w:p w14:paraId="6F0D6A2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highlight w:val="none"/>
                      <w:lang w:val="en-US" w:eastAsia="zh-CN" w:bidi="ar-SA"/>
                    </w:rPr>
                  </w:pPr>
                  <w:r>
                    <w:rPr>
                      <w:rFonts w:hint="default" w:ascii="Times New Roman" w:hAnsi="Times New Roman" w:eastAsia="宋体" w:cs="Times New Roman"/>
                      <w:b w:val="0"/>
                      <w:bCs/>
                      <w:kern w:val="24"/>
                      <w:sz w:val="21"/>
                      <w:szCs w:val="21"/>
                      <w:highlight w:val="none"/>
                      <w:lang w:val="en-US" w:eastAsia="zh-CN"/>
                    </w:rPr>
                    <w:t>焊丝</w:t>
                  </w:r>
                </w:p>
              </w:tc>
              <w:tc>
                <w:tcPr>
                  <w:tcW w:w="1216" w:type="dxa"/>
                  <w:tcBorders>
                    <w:tl2br w:val="nil"/>
                    <w:tr2bl w:val="nil"/>
                  </w:tcBorders>
                  <w:noWrap w:val="0"/>
                  <w:vAlign w:val="center"/>
                </w:tcPr>
                <w:p w14:paraId="256A90A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color w:val="auto"/>
                      <w:sz w:val="21"/>
                      <w:szCs w:val="21"/>
                      <w:lang w:val="en-US" w:eastAsia="zh-CN"/>
                    </w:rPr>
                    <w:t>t/a</w:t>
                  </w:r>
                </w:p>
              </w:tc>
              <w:tc>
                <w:tcPr>
                  <w:tcW w:w="1125" w:type="dxa"/>
                  <w:tcBorders>
                    <w:tl2br w:val="nil"/>
                    <w:tr2bl w:val="nil"/>
                  </w:tcBorders>
                  <w:noWrap w:val="0"/>
                  <w:vAlign w:val="center"/>
                </w:tcPr>
                <w:p w14:paraId="400747E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eastAsia" w:ascii="Times New Roman" w:hAnsi="Times New Roman" w:eastAsia="宋体" w:cs="Times New Roman"/>
                      <w:b w:val="0"/>
                      <w:bCs/>
                      <w:kern w:val="24"/>
                      <w:sz w:val="21"/>
                      <w:szCs w:val="21"/>
                      <w:lang w:val="en-US" w:eastAsia="zh-CN"/>
                    </w:rPr>
                    <w:t>0.1</w:t>
                  </w:r>
                </w:p>
              </w:tc>
              <w:tc>
                <w:tcPr>
                  <w:tcW w:w="3055" w:type="dxa"/>
                  <w:tcBorders>
                    <w:tl2br w:val="nil"/>
                    <w:tr2bl w:val="nil"/>
                  </w:tcBorders>
                  <w:noWrap w:val="0"/>
                  <w:vAlign w:val="center"/>
                </w:tcPr>
                <w:p w14:paraId="646A752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color w:val="auto"/>
                      <w:sz w:val="21"/>
                      <w:szCs w:val="21"/>
                      <w:lang w:val="en-US" w:eastAsia="zh-CN"/>
                    </w:rPr>
                    <w:t>实芯焊丝</w:t>
                  </w:r>
                </w:p>
              </w:tc>
            </w:tr>
            <w:tr w14:paraId="1C704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27DA3A75">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w:t>
                  </w:r>
                </w:p>
              </w:tc>
              <w:tc>
                <w:tcPr>
                  <w:tcW w:w="1912" w:type="dxa"/>
                  <w:gridSpan w:val="2"/>
                  <w:tcBorders>
                    <w:tl2br w:val="nil"/>
                    <w:tr2bl w:val="nil"/>
                  </w:tcBorders>
                  <w:noWrap w:val="0"/>
                  <w:vAlign w:val="center"/>
                </w:tcPr>
                <w:p w14:paraId="1968B54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二氧化碳</w:t>
                  </w:r>
                </w:p>
              </w:tc>
              <w:tc>
                <w:tcPr>
                  <w:tcW w:w="1216" w:type="dxa"/>
                  <w:tcBorders>
                    <w:tl2br w:val="nil"/>
                    <w:tr2bl w:val="nil"/>
                  </w:tcBorders>
                  <w:noWrap w:val="0"/>
                  <w:vAlign w:val="center"/>
                </w:tcPr>
                <w:p w14:paraId="45E5E0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瓶/a</w:t>
                  </w:r>
                </w:p>
              </w:tc>
              <w:tc>
                <w:tcPr>
                  <w:tcW w:w="1125" w:type="dxa"/>
                  <w:tcBorders>
                    <w:tl2br w:val="nil"/>
                    <w:tr2bl w:val="nil"/>
                  </w:tcBorders>
                  <w:noWrap w:val="0"/>
                  <w:vAlign w:val="center"/>
                </w:tcPr>
                <w:p w14:paraId="0269831B">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100</w:t>
                  </w:r>
                </w:p>
              </w:tc>
              <w:tc>
                <w:tcPr>
                  <w:tcW w:w="3055" w:type="dxa"/>
                  <w:tcBorders>
                    <w:tl2br w:val="nil"/>
                    <w:tr2bl w:val="nil"/>
                  </w:tcBorders>
                  <w:noWrap w:val="0"/>
                  <w:vAlign w:val="center"/>
                </w:tcPr>
                <w:p w14:paraId="2CEEA94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每瓶20L</w:t>
                  </w:r>
                </w:p>
              </w:tc>
            </w:tr>
            <w:tr w14:paraId="73B2F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71FEC5E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6</w:t>
                  </w:r>
                </w:p>
              </w:tc>
              <w:tc>
                <w:tcPr>
                  <w:tcW w:w="1912" w:type="dxa"/>
                  <w:gridSpan w:val="2"/>
                  <w:tcBorders>
                    <w:tl2br w:val="nil"/>
                    <w:tr2bl w:val="nil"/>
                  </w:tcBorders>
                  <w:noWrap w:val="0"/>
                  <w:vAlign w:val="center"/>
                </w:tcPr>
                <w:p w14:paraId="0823752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氩气</w:t>
                  </w:r>
                </w:p>
              </w:tc>
              <w:tc>
                <w:tcPr>
                  <w:tcW w:w="1216" w:type="dxa"/>
                  <w:tcBorders>
                    <w:tl2br w:val="nil"/>
                    <w:tr2bl w:val="nil"/>
                  </w:tcBorders>
                  <w:noWrap w:val="0"/>
                  <w:vAlign w:val="center"/>
                </w:tcPr>
                <w:p w14:paraId="5CED84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瓶/a</w:t>
                  </w:r>
                </w:p>
              </w:tc>
              <w:tc>
                <w:tcPr>
                  <w:tcW w:w="1125" w:type="dxa"/>
                  <w:tcBorders>
                    <w:tl2br w:val="nil"/>
                    <w:tr2bl w:val="nil"/>
                  </w:tcBorders>
                  <w:noWrap w:val="0"/>
                  <w:vAlign w:val="center"/>
                </w:tcPr>
                <w:p w14:paraId="572D386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10</w:t>
                  </w:r>
                </w:p>
              </w:tc>
              <w:tc>
                <w:tcPr>
                  <w:tcW w:w="3055" w:type="dxa"/>
                  <w:tcBorders>
                    <w:tl2br w:val="nil"/>
                    <w:tr2bl w:val="nil"/>
                  </w:tcBorders>
                  <w:noWrap w:val="0"/>
                  <w:vAlign w:val="center"/>
                </w:tcPr>
                <w:p w14:paraId="67C7F92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每瓶20L</w:t>
                  </w:r>
                </w:p>
              </w:tc>
            </w:tr>
            <w:tr w14:paraId="1648E3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22A7EC8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7</w:t>
                  </w:r>
                </w:p>
              </w:tc>
              <w:tc>
                <w:tcPr>
                  <w:tcW w:w="1912" w:type="dxa"/>
                  <w:gridSpan w:val="2"/>
                  <w:tcBorders>
                    <w:tl2br w:val="nil"/>
                    <w:tr2bl w:val="nil"/>
                  </w:tcBorders>
                  <w:noWrap w:val="0"/>
                  <w:vAlign w:val="center"/>
                </w:tcPr>
                <w:p w14:paraId="6ED99AA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磨料</w:t>
                  </w:r>
                </w:p>
              </w:tc>
              <w:tc>
                <w:tcPr>
                  <w:tcW w:w="1216" w:type="dxa"/>
                  <w:tcBorders>
                    <w:tl2br w:val="nil"/>
                    <w:tr2bl w:val="nil"/>
                  </w:tcBorders>
                  <w:noWrap w:val="0"/>
                  <w:vAlign w:val="center"/>
                </w:tcPr>
                <w:p w14:paraId="5778D8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lang w:val="en-US" w:eastAsia="zh-CN" w:bidi="ar-SA"/>
                    </w:rPr>
                    <w:t>t/a</w:t>
                  </w:r>
                </w:p>
              </w:tc>
              <w:tc>
                <w:tcPr>
                  <w:tcW w:w="1125" w:type="dxa"/>
                  <w:tcBorders>
                    <w:tl2br w:val="nil"/>
                    <w:tr2bl w:val="nil"/>
                  </w:tcBorders>
                  <w:noWrap w:val="0"/>
                  <w:vAlign w:val="center"/>
                </w:tcPr>
                <w:p w14:paraId="360F3DC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0.01</w:t>
                  </w:r>
                </w:p>
              </w:tc>
              <w:tc>
                <w:tcPr>
                  <w:tcW w:w="3055" w:type="dxa"/>
                  <w:tcBorders>
                    <w:tl2br w:val="nil"/>
                    <w:tr2bl w:val="nil"/>
                  </w:tcBorders>
                  <w:noWrap w:val="0"/>
                  <w:vAlign w:val="center"/>
                </w:tcPr>
                <w:p w14:paraId="66CD8CDF">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lang w:val="en-US" w:eastAsia="zh-CN" w:bidi="ar-SA"/>
                    </w:rPr>
                    <w:t>袋装</w:t>
                  </w:r>
                </w:p>
              </w:tc>
            </w:tr>
            <w:tr w14:paraId="2BB63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1D468F55">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w:t>
                  </w:r>
                </w:p>
              </w:tc>
              <w:tc>
                <w:tcPr>
                  <w:tcW w:w="1912" w:type="dxa"/>
                  <w:gridSpan w:val="2"/>
                  <w:tcBorders>
                    <w:tl2br w:val="nil"/>
                    <w:tr2bl w:val="nil"/>
                  </w:tcBorders>
                  <w:noWrap w:val="0"/>
                  <w:vAlign w:val="center"/>
                </w:tcPr>
                <w:p w14:paraId="2F3CA04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钢丸</w:t>
                  </w:r>
                </w:p>
              </w:tc>
              <w:tc>
                <w:tcPr>
                  <w:tcW w:w="1216" w:type="dxa"/>
                  <w:tcBorders>
                    <w:tl2br w:val="nil"/>
                    <w:tr2bl w:val="nil"/>
                  </w:tcBorders>
                  <w:noWrap w:val="0"/>
                  <w:vAlign w:val="center"/>
                </w:tcPr>
                <w:p w14:paraId="7A60BD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lang w:val="en-US" w:eastAsia="zh-CN" w:bidi="ar-SA"/>
                    </w:rPr>
                    <w:t>t/a</w:t>
                  </w:r>
                </w:p>
              </w:tc>
              <w:tc>
                <w:tcPr>
                  <w:tcW w:w="1125" w:type="dxa"/>
                  <w:tcBorders>
                    <w:tl2br w:val="nil"/>
                    <w:tr2bl w:val="nil"/>
                  </w:tcBorders>
                  <w:noWrap w:val="0"/>
                  <w:vAlign w:val="center"/>
                </w:tcPr>
                <w:p w14:paraId="07A2D408">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0.01</w:t>
                  </w:r>
                </w:p>
              </w:tc>
              <w:tc>
                <w:tcPr>
                  <w:tcW w:w="3055" w:type="dxa"/>
                  <w:tcBorders>
                    <w:tl2br w:val="nil"/>
                    <w:tr2bl w:val="nil"/>
                  </w:tcBorders>
                  <w:noWrap w:val="0"/>
                  <w:vAlign w:val="center"/>
                </w:tcPr>
                <w:p w14:paraId="53BF2B7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lang w:val="en-US" w:eastAsia="zh-CN" w:bidi="ar-SA"/>
                    </w:rPr>
                    <w:t>袋装</w:t>
                  </w:r>
                </w:p>
              </w:tc>
            </w:tr>
            <w:tr w14:paraId="4E230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01E4524B">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w:t>
                  </w:r>
                </w:p>
              </w:tc>
              <w:tc>
                <w:tcPr>
                  <w:tcW w:w="1912" w:type="dxa"/>
                  <w:gridSpan w:val="2"/>
                  <w:tcBorders>
                    <w:tl2br w:val="nil"/>
                    <w:tr2bl w:val="nil"/>
                  </w:tcBorders>
                  <w:noWrap w:val="0"/>
                  <w:vAlign w:val="center"/>
                </w:tcPr>
                <w:p w14:paraId="6722E90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塑粉</w:t>
                  </w:r>
                </w:p>
              </w:tc>
              <w:tc>
                <w:tcPr>
                  <w:tcW w:w="1216" w:type="dxa"/>
                  <w:tcBorders>
                    <w:tl2br w:val="nil"/>
                    <w:tr2bl w:val="nil"/>
                  </w:tcBorders>
                  <w:noWrap w:val="0"/>
                  <w:vAlign w:val="center"/>
                </w:tcPr>
                <w:p w14:paraId="66DC6C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t/a</w:t>
                  </w:r>
                </w:p>
              </w:tc>
              <w:tc>
                <w:tcPr>
                  <w:tcW w:w="1125" w:type="dxa"/>
                  <w:tcBorders>
                    <w:tl2br w:val="nil"/>
                    <w:tr2bl w:val="nil"/>
                  </w:tcBorders>
                  <w:noWrap w:val="0"/>
                  <w:vAlign w:val="center"/>
                </w:tcPr>
                <w:p w14:paraId="66769E6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5</w:t>
                  </w:r>
                </w:p>
              </w:tc>
              <w:tc>
                <w:tcPr>
                  <w:tcW w:w="3055" w:type="dxa"/>
                  <w:tcBorders>
                    <w:tl2br w:val="nil"/>
                    <w:tr2bl w:val="nil"/>
                  </w:tcBorders>
                  <w:noWrap w:val="0"/>
                  <w:vAlign w:val="center"/>
                </w:tcPr>
                <w:p w14:paraId="04A8D93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SA"/>
                    </w:rPr>
                    <w:t>袋装</w:t>
                  </w:r>
                </w:p>
              </w:tc>
            </w:tr>
            <w:tr w14:paraId="33686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24C1B95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10</w:t>
                  </w:r>
                </w:p>
              </w:tc>
              <w:tc>
                <w:tcPr>
                  <w:tcW w:w="1912" w:type="dxa"/>
                  <w:gridSpan w:val="2"/>
                  <w:tcBorders>
                    <w:tl2br w:val="nil"/>
                    <w:tr2bl w:val="nil"/>
                  </w:tcBorders>
                  <w:noWrap w:val="0"/>
                  <w:vAlign w:val="center"/>
                </w:tcPr>
                <w:p w14:paraId="5E4EC78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切削液</w:t>
                  </w:r>
                </w:p>
              </w:tc>
              <w:tc>
                <w:tcPr>
                  <w:tcW w:w="1216" w:type="dxa"/>
                  <w:tcBorders>
                    <w:tl2br w:val="nil"/>
                    <w:tr2bl w:val="nil"/>
                  </w:tcBorders>
                  <w:noWrap w:val="0"/>
                  <w:vAlign w:val="center"/>
                </w:tcPr>
                <w:p w14:paraId="00666F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lang w:val="en-US" w:eastAsia="zh-CN" w:bidi="ar-SA"/>
                    </w:rPr>
                    <w:t>t/a</w:t>
                  </w:r>
                </w:p>
              </w:tc>
              <w:tc>
                <w:tcPr>
                  <w:tcW w:w="1125" w:type="dxa"/>
                  <w:tcBorders>
                    <w:tl2br w:val="nil"/>
                    <w:tr2bl w:val="nil"/>
                  </w:tcBorders>
                  <w:noWrap w:val="0"/>
                  <w:vAlign w:val="center"/>
                </w:tcPr>
                <w:p w14:paraId="2A70199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0.01</w:t>
                  </w:r>
                </w:p>
              </w:tc>
              <w:tc>
                <w:tcPr>
                  <w:tcW w:w="3055" w:type="dxa"/>
                  <w:tcBorders>
                    <w:tl2br w:val="nil"/>
                    <w:tr2bl w:val="nil"/>
                  </w:tcBorders>
                  <w:noWrap w:val="0"/>
                  <w:vAlign w:val="center"/>
                </w:tcPr>
                <w:p w14:paraId="368947A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桶装，10kg/桶，最大储存量</w:t>
                  </w:r>
                  <w:r>
                    <w:rPr>
                      <w:rFonts w:hint="default" w:ascii="Times New Roman" w:hAnsi="Times New Roman" w:eastAsia="宋体" w:cs="Times New Roman"/>
                      <w:sz w:val="21"/>
                      <w:szCs w:val="21"/>
                      <w:highlight w:val="none"/>
                    </w:rPr>
                    <w:t>0.</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val="en-US" w:eastAsia="zh-CN"/>
                    </w:rPr>
                    <w:t>t</w:t>
                  </w:r>
                </w:p>
              </w:tc>
            </w:tr>
            <w:tr w14:paraId="0D980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70BD312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11</w:t>
                  </w:r>
                </w:p>
              </w:tc>
              <w:tc>
                <w:tcPr>
                  <w:tcW w:w="1912" w:type="dxa"/>
                  <w:gridSpan w:val="2"/>
                  <w:tcBorders>
                    <w:tl2br w:val="nil"/>
                    <w:tr2bl w:val="nil"/>
                  </w:tcBorders>
                  <w:noWrap w:val="0"/>
                  <w:vAlign w:val="center"/>
                </w:tcPr>
                <w:p w14:paraId="12BF6EE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液压油</w:t>
                  </w:r>
                </w:p>
              </w:tc>
              <w:tc>
                <w:tcPr>
                  <w:tcW w:w="1216" w:type="dxa"/>
                  <w:tcBorders>
                    <w:tl2br w:val="nil"/>
                    <w:tr2bl w:val="nil"/>
                  </w:tcBorders>
                  <w:noWrap w:val="0"/>
                  <w:vAlign w:val="center"/>
                </w:tcPr>
                <w:p w14:paraId="4D489B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lang w:val="en-US" w:eastAsia="zh-CN" w:bidi="ar-SA"/>
                    </w:rPr>
                    <w:t>t/a</w:t>
                  </w:r>
                </w:p>
              </w:tc>
              <w:tc>
                <w:tcPr>
                  <w:tcW w:w="1125" w:type="dxa"/>
                  <w:tcBorders>
                    <w:tl2br w:val="nil"/>
                    <w:tr2bl w:val="nil"/>
                  </w:tcBorders>
                  <w:noWrap w:val="0"/>
                  <w:vAlign w:val="center"/>
                </w:tcPr>
                <w:p w14:paraId="07DD78E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0.01</w:t>
                  </w:r>
                </w:p>
              </w:tc>
              <w:tc>
                <w:tcPr>
                  <w:tcW w:w="3055" w:type="dxa"/>
                  <w:tcBorders>
                    <w:tl2br w:val="nil"/>
                    <w:tr2bl w:val="nil"/>
                  </w:tcBorders>
                  <w:noWrap w:val="0"/>
                  <w:vAlign w:val="center"/>
                </w:tcPr>
                <w:p w14:paraId="3460B07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桶装，10kg/桶，最大储存量</w:t>
                  </w:r>
                  <w:r>
                    <w:rPr>
                      <w:rFonts w:hint="default" w:ascii="Times New Roman" w:hAnsi="Times New Roman" w:eastAsia="宋体" w:cs="Times New Roman"/>
                      <w:sz w:val="21"/>
                      <w:szCs w:val="21"/>
                      <w:highlight w:val="none"/>
                    </w:rPr>
                    <w:t>0.</w:t>
                  </w:r>
                  <w:r>
                    <w:rPr>
                      <w:rFonts w:hint="default"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val="en-US" w:eastAsia="zh-CN"/>
                    </w:rPr>
                    <w:t>t</w:t>
                  </w:r>
                </w:p>
              </w:tc>
            </w:tr>
            <w:tr w14:paraId="13CB8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27E8AF0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12</w:t>
                  </w:r>
                </w:p>
              </w:tc>
              <w:tc>
                <w:tcPr>
                  <w:tcW w:w="1912" w:type="dxa"/>
                  <w:gridSpan w:val="2"/>
                  <w:tcBorders>
                    <w:tl2br w:val="nil"/>
                    <w:tr2bl w:val="nil"/>
                  </w:tcBorders>
                  <w:noWrap w:val="0"/>
                  <w:vAlign w:val="center"/>
                </w:tcPr>
                <w:p w14:paraId="20740F2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润滑油</w:t>
                  </w:r>
                </w:p>
              </w:tc>
              <w:tc>
                <w:tcPr>
                  <w:tcW w:w="1216" w:type="dxa"/>
                  <w:tcBorders>
                    <w:tl2br w:val="nil"/>
                    <w:tr2bl w:val="nil"/>
                  </w:tcBorders>
                  <w:noWrap w:val="0"/>
                  <w:vAlign w:val="center"/>
                </w:tcPr>
                <w:p w14:paraId="098350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rPr>
                    <w:t>t/a</w:t>
                  </w:r>
                </w:p>
              </w:tc>
              <w:tc>
                <w:tcPr>
                  <w:tcW w:w="1125" w:type="dxa"/>
                  <w:tcBorders>
                    <w:tl2br w:val="nil"/>
                    <w:tr2bl w:val="nil"/>
                  </w:tcBorders>
                  <w:noWrap w:val="0"/>
                  <w:vAlign w:val="center"/>
                </w:tcPr>
                <w:p w14:paraId="0AF97B6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02</w:t>
                  </w:r>
                </w:p>
              </w:tc>
              <w:tc>
                <w:tcPr>
                  <w:tcW w:w="3055" w:type="dxa"/>
                  <w:tcBorders>
                    <w:tl2br w:val="nil"/>
                    <w:tr2bl w:val="nil"/>
                  </w:tcBorders>
                  <w:noWrap w:val="0"/>
                  <w:vAlign w:val="center"/>
                </w:tcPr>
                <w:p w14:paraId="17897425">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桶装，10kg/桶，最大储存量</w:t>
                  </w:r>
                  <w:r>
                    <w:rPr>
                      <w:rFonts w:hint="default" w:ascii="Times New Roman" w:hAnsi="Times New Roman" w:eastAsia="宋体" w:cs="Times New Roman"/>
                      <w:sz w:val="21"/>
                      <w:szCs w:val="21"/>
                      <w:highlight w:val="none"/>
                    </w:rPr>
                    <w:t>0.</w:t>
                  </w:r>
                  <w:r>
                    <w:rPr>
                      <w:rFonts w:hint="default" w:ascii="Times New Roman" w:hAnsi="Times New Roman" w:eastAsia="宋体" w:cs="Times New Roman"/>
                      <w:sz w:val="21"/>
                      <w:szCs w:val="21"/>
                      <w:highlight w:val="none"/>
                      <w:lang w:val="en-US" w:eastAsia="zh-CN"/>
                    </w:rPr>
                    <w:t>02t</w:t>
                  </w:r>
                </w:p>
              </w:tc>
            </w:tr>
            <w:tr w14:paraId="1359E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71E392F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13</w:t>
                  </w:r>
                </w:p>
              </w:tc>
              <w:tc>
                <w:tcPr>
                  <w:tcW w:w="1912" w:type="dxa"/>
                  <w:gridSpan w:val="2"/>
                  <w:tcBorders>
                    <w:tl2br w:val="nil"/>
                    <w:tr2bl w:val="nil"/>
                  </w:tcBorders>
                  <w:noWrap w:val="0"/>
                  <w:vAlign w:val="center"/>
                </w:tcPr>
                <w:p w14:paraId="032723A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催化剂</w:t>
                  </w:r>
                </w:p>
              </w:tc>
              <w:tc>
                <w:tcPr>
                  <w:tcW w:w="1216" w:type="dxa"/>
                  <w:tcBorders>
                    <w:tl2br w:val="nil"/>
                    <w:tr2bl w:val="nil"/>
                  </w:tcBorders>
                  <w:noWrap w:val="0"/>
                  <w:vAlign w:val="center"/>
                </w:tcPr>
                <w:p w14:paraId="053DB3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val="0"/>
                      <w:kern w:val="0"/>
                      <w:sz w:val="21"/>
                      <w:szCs w:val="21"/>
                      <w:lang w:val="en-US" w:eastAsia="zh-CN"/>
                    </w:rPr>
                  </w:pPr>
                  <w:r>
                    <w:rPr>
                      <w:rFonts w:hint="default" w:ascii="Times New Roman" w:hAnsi="Times New Roman" w:eastAsia="宋体" w:cs="Times New Roman"/>
                      <w:bCs/>
                      <w:snapToGrid w:val="0"/>
                      <w:kern w:val="0"/>
                      <w:sz w:val="21"/>
                      <w:szCs w:val="21"/>
                      <w:lang w:val="en-US" w:eastAsia="zh-CN"/>
                    </w:rPr>
                    <w:t>t/a</w:t>
                  </w:r>
                </w:p>
              </w:tc>
              <w:tc>
                <w:tcPr>
                  <w:tcW w:w="1125" w:type="dxa"/>
                  <w:tcBorders>
                    <w:tl2br w:val="nil"/>
                    <w:tr2bl w:val="nil"/>
                  </w:tcBorders>
                  <w:noWrap w:val="0"/>
                  <w:vAlign w:val="center"/>
                </w:tcPr>
                <w:p w14:paraId="7161EF1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0.01</w:t>
                  </w:r>
                </w:p>
              </w:tc>
              <w:tc>
                <w:tcPr>
                  <w:tcW w:w="3055" w:type="dxa"/>
                  <w:tcBorders>
                    <w:tl2br w:val="nil"/>
                    <w:tr2bl w:val="nil"/>
                  </w:tcBorders>
                  <w:noWrap w:val="0"/>
                  <w:vAlign w:val="center"/>
                </w:tcPr>
                <w:p w14:paraId="43FE275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lang w:val="en-US" w:eastAsia="zh-CN"/>
                    </w:rPr>
                  </w:pPr>
                </w:p>
              </w:tc>
            </w:tr>
            <w:tr w14:paraId="0B64D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3ECD8A7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14</w:t>
                  </w:r>
                </w:p>
              </w:tc>
              <w:tc>
                <w:tcPr>
                  <w:tcW w:w="1912" w:type="dxa"/>
                  <w:gridSpan w:val="2"/>
                  <w:tcBorders>
                    <w:tl2br w:val="nil"/>
                    <w:tr2bl w:val="nil"/>
                  </w:tcBorders>
                  <w:noWrap w:val="0"/>
                  <w:vAlign w:val="center"/>
                </w:tcPr>
                <w:p w14:paraId="4E20A2D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过滤棉</w:t>
                  </w:r>
                </w:p>
              </w:tc>
              <w:tc>
                <w:tcPr>
                  <w:tcW w:w="1216" w:type="dxa"/>
                  <w:tcBorders>
                    <w:tl2br w:val="nil"/>
                    <w:tr2bl w:val="nil"/>
                  </w:tcBorders>
                  <w:noWrap w:val="0"/>
                  <w:vAlign w:val="center"/>
                </w:tcPr>
                <w:p w14:paraId="36A632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m</w:t>
                  </w:r>
                  <w:r>
                    <w:rPr>
                      <w:rFonts w:hint="default" w:ascii="Times New Roman" w:hAnsi="Times New Roman" w:eastAsia="宋体" w:cs="Times New Roman"/>
                      <w:bCs/>
                      <w:sz w:val="21"/>
                      <w:szCs w:val="21"/>
                      <w:vertAlign w:val="superscript"/>
                    </w:rPr>
                    <w:t>2</w:t>
                  </w:r>
                  <w:r>
                    <w:rPr>
                      <w:rFonts w:hint="default" w:ascii="Times New Roman" w:hAnsi="Times New Roman" w:eastAsia="宋体" w:cs="Times New Roman"/>
                      <w:bCs/>
                      <w:sz w:val="21"/>
                      <w:szCs w:val="21"/>
                    </w:rPr>
                    <w:t>/a</w:t>
                  </w:r>
                </w:p>
              </w:tc>
              <w:tc>
                <w:tcPr>
                  <w:tcW w:w="1125" w:type="dxa"/>
                  <w:tcBorders>
                    <w:tl2br w:val="nil"/>
                    <w:tr2bl w:val="nil"/>
                  </w:tcBorders>
                  <w:noWrap w:val="0"/>
                  <w:vAlign w:val="center"/>
                </w:tcPr>
                <w:p w14:paraId="175D0F3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72</w:t>
                  </w:r>
                </w:p>
              </w:tc>
              <w:tc>
                <w:tcPr>
                  <w:tcW w:w="3055" w:type="dxa"/>
                  <w:tcBorders>
                    <w:tl2br w:val="nil"/>
                    <w:tr2bl w:val="nil"/>
                  </w:tcBorders>
                  <w:noWrap w:val="0"/>
                  <w:vAlign w:val="center"/>
                </w:tcPr>
                <w:p w14:paraId="0647E98F">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14:paraId="3E24A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511D7AA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15</w:t>
                  </w:r>
                </w:p>
              </w:tc>
              <w:tc>
                <w:tcPr>
                  <w:tcW w:w="1912" w:type="dxa"/>
                  <w:gridSpan w:val="2"/>
                  <w:tcBorders>
                    <w:tl2br w:val="nil"/>
                    <w:tr2bl w:val="nil"/>
                  </w:tcBorders>
                  <w:noWrap w:val="0"/>
                  <w:vAlign w:val="center"/>
                </w:tcPr>
                <w:p w14:paraId="5C2750F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活性炭</w:t>
                  </w:r>
                </w:p>
              </w:tc>
              <w:tc>
                <w:tcPr>
                  <w:tcW w:w="1216" w:type="dxa"/>
                  <w:tcBorders>
                    <w:tl2br w:val="nil"/>
                    <w:tr2bl w:val="nil"/>
                  </w:tcBorders>
                  <w:noWrap w:val="0"/>
                  <w:vAlign w:val="center"/>
                </w:tcPr>
                <w:p w14:paraId="75312E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t/a</w:t>
                  </w:r>
                </w:p>
              </w:tc>
              <w:tc>
                <w:tcPr>
                  <w:tcW w:w="1125" w:type="dxa"/>
                  <w:tcBorders>
                    <w:tl2br w:val="nil"/>
                    <w:tr2bl w:val="nil"/>
                  </w:tcBorders>
                  <w:noWrap w:val="0"/>
                  <w:vAlign w:val="center"/>
                </w:tcPr>
                <w:p w14:paraId="002D5F6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2</w:t>
                  </w:r>
                </w:p>
              </w:tc>
              <w:tc>
                <w:tcPr>
                  <w:tcW w:w="3055" w:type="dxa"/>
                  <w:tcBorders>
                    <w:tl2br w:val="nil"/>
                    <w:tr2bl w:val="nil"/>
                  </w:tcBorders>
                  <w:noWrap w:val="0"/>
                  <w:vAlign w:val="center"/>
                </w:tcPr>
                <w:p w14:paraId="798023F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p>
              </w:tc>
            </w:tr>
            <w:tr w14:paraId="44B32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51E0108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16</w:t>
                  </w:r>
                </w:p>
              </w:tc>
              <w:tc>
                <w:tcPr>
                  <w:tcW w:w="1912" w:type="dxa"/>
                  <w:gridSpan w:val="2"/>
                  <w:tcBorders>
                    <w:tl2br w:val="nil"/>
                    <w:tr2bl w:val="nil"/>
                  </w:tcBorders>
                  <w:noWrap w:val="0"/>
                  <w:vAlign w:val="center"/>
                </w:tcPr>
                <w:p w14:paraId="339EEEE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腻子</w:t>
                  </w:r>
                </w:p>
              </w:tc>
              <w:tc>
                <w:tcPr>
                  <w:tcW w:w="1216" w:type="dxa"/>
                  <w:tcBorders>
                    <w:tl2br w:val="nil"/>
                    <w:tr2bl w:val="nil"/>
                  </w:tcBorders>
                  <w:noWrap w:val="0"/>
                  <w:vAlign w:val="center"/>
                </w:tcPr>
                <w:p w14:paraId="3D03E4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t/a</w:t>
                  </w:r>
                </w:p>
              </w:tc>
              <w:tc>
                <w:tcPr>
                  <w:tcW w:w="1125" w:type="dxa"/>
                  <w:tcBorders>
                    <w:tl2br w:val="nil"/>
                    <w:tr2bl w:val="nil"/>
                  </w:tcBorders>
                  <w:noWrap w:val="0"/>
                  <w:vAlign w:val="center"/>
                </w:tcPr>
                <w:p w14:paraId="5028B72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1</w:t>
                  </w:r>
                </w:p>
              </w:tc>
              <w:tc>
                <w:tcPr>
                  <w:tcW w:w="3055" w:type="dxa"/>
                  <w:tcBorders>
                    <w:tl2br w:val="nil"/>
                    <w:tr2bl w:val="nil"/>
                  </w:tcBorders>
                  <w:noWrap w:val="0"/>
                  <w:vAlign w:val="center"/>
                </w:tcPr>
                <w:p w14:paraId="2BCAF7ED">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袋装</w:t>
                  </w:r>
                </w:p>
              </w:tc>
            </w:tr>
            <w:tr w14:paraId="4DC51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54D5C24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17</w:t>
                  </w:r>
                </w:p>
              </w:tc>
              <w:tc>
                <w:tcPr>
                  <w:tcW w:w="1912" w:type="dxa"/>
                  <w:gridSpan w:val="2"/>
                  <w:tcBorders>
                    <w:tl2br w:val="nil"/>
                    <w:tr2bl w:val="nil"/>
                  </w:tcBorders>
                  <w:noWrap w:val="0"/>
                  <w:vAlign w:val="center"/>
                </w:tcPr>
                <w:p w14:paraId="42ED8EDD">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固化剂</w:t>
                  </w:r>
                </w:p>
              </w:tc>
              <w:tc>
                <w:tcPr>
                  <w:tcW w:w="1216" w:type="dxa"/>
                  <w:tcBorders>
                    <w:tl2br w:val="nil"/>
                    <w:tr2bl w:val="nil"/>
                  </w:tcBorders>
                  <w:noWrap w:val="0"/>
                  <w:vAlign w:val="center"/>
                </w:tcPr>
                <w:p w14:paraId="30CB3F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125" w:type="dxa"/>
                  <w:tcBorders>
                    <w:tl2br w:val="nil"/>
                    <w:tr2bl w:val="nil"/>
                  </w:tcBorders>
                  <w:noWrap w:val="0"/>
                  <w:vAlign w:val="center"/>
                </w:tcPr>
                <w:p w14:paraId="53438B7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0.</w:t>
                  </w:r>
                  <w:r>
                    <w:rPr>
                      <w:rFonts w:hint="eastAsia"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1</w:t>
                  </w:r>
                </w:p>
              </w:tc>
              <w:tc>
                <w:tcPr>
                  <w:tcW w:w="3055" w:type="dxa"/>
                  <w:tcBorders>
                    <w:tl2br w:val="nil"/>
                    <w:tr2bl w:val="nil"/>
                  </w:tcBorders>
                  <w:noWrap w:val="0"/>
                  <w:vAlign w:val="center"/>
                </w:tcPr>
                <w:p w14:paraId="74D04F3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highlight w:val="none"/>
                      <w:lang w:val="en-US" w:eastAsia="zh-CN"/>
                    </w:rPr>
                    <w:t>10kg/桶，最大储存量0.01t</w:t>
                  </w:r>
                </w:p>
              </w:tc>
            </w:tr>
            <w:tr w14:paraId="443C9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4CD2510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18</w:t>
                  </w:r>
                </w:p>
              </w:tc>
              <w:tc>
                <w:tcPr>
                  <w:tcW w:w="1912" w:type="dxa"/>
                  <w:gridSpan w:val="2"/>
                  <w:tcBorders>
                    <w:tl2br w:val="nil"/>
                    <w:tr2bl w:val="nil"/>
                  </w:tcBorders>
                  <w:noWrap w:val="0"/>
                  <w:vAlign w:val="center"/>
                </w:tcPr>
                <w:p w14:paraId="6C1536F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稀释剂</w:t>
                  </w:r>
                </w:p>
              </w:tc>
              <w:tc>
                <w:tcPr>
                  <w:tcW w:w="1216" w:type="dxa"/>
                  <w:tcBorders>
                    <w:tl2br w:val="nil"/>
                    <w:tr2bl w:val="nil"/>
                  </w:tcBorders>
                  <w:noWrap w:val="0"/>
                  <w:vAlign w:val="center"/>
                </w:tcPr>
                <w:p w14:paraId="2634BCB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125" w:type="dxa"/>
                  <w:tcBorders>
                    <w:tl2br w:val="nil"/>
                    <w:tr2bl w:val="nil"/>
                  </w:tcBorders>
                  <w:noWrap w:val="0"/>
                  <w:vAlign w:val="center"/>
                </w:tcPr>
                <w:p w14:paraId="08154C9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8</w:t>
                  </w:r>
                </w:p>
              </w:tc>
              <w:tc>
                <w:tcPr>
                  <w:tcW w:w="3055" w:type="dxa"/>
                  <w:tcBorders>
                    <w:tl2br w:val="nil"/>
                    <w:tr2bl w:val="nil"/>
                  </w:tcBorders>
                  <w:noWrap w:val="0"/>
                  <w:vAlign w:val="center"/>
                </w:tcPr>
                <w:p w14:paraId="669969DB">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桶装，最大储存量0.05t</w:t>
                  </w:r>
                </w:p>
              </w:tc>
            </w:tr>
            <w:tr w14:paraId="3B22E2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75D2B0C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19</w:t>
                  </w:r>
                </w:p>
              </w:tc>
              <w:tc>
                <w:tcPr>
                  <w:tcW w:w="956" w:type="dxa"/>
                  <w:vMerge w:val="restart"/>
                  <w:tcBorders>
                    <w:tl2br w:val="nil"/>
                    <w:tr2bl w:val="nil"/>
                  </w:tcBorders>
                  <w:noWrap w:val="0"/>
                  <w:vAlign w:val="center"/>
                </w:tcPr>
                <w:p w14:paraId="643A978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水性漆</w:t>
                  </w:r>
                </w:p>
              </w:tc>
              <w:tc>
                <w:tcPr>
                  <w:tcW w:w="956" w:type="dxa"/>
                  <w:tcBorders>
                    <w:tl2br w:val="nil"/>
                    <w:tr2bl w:val="nil"/>
                  </w:tcBorders>
                  <w:noWrap w:val="0"/>
                  <w:vAlign w:val="center"/>
                </w:tcPr>
                <w:p w14:paraId="5A1A94E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底漆</w:t>
                  </w:r>
                </w:p>
              </w:tc>
              <w:tc>
                <w:tcPr>
                  <w:tcW w:w="1216" w:type="dxa"/>
                  <w:tcBorders>
                    <w:tl2br w:val="nil"/>
                    <w:tr2bl w:val="nil"/>
                  </w:tcBorders>
                  <w:noWrap w:val="0"/>
                  <w:vAlign w:val="center"/>
                </w:tcPr>
                <w:p w14:paraId="42BF55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125" w:type="dxa"/>
                  <w:tcBorders>
                    <w:tl2br w:val="nil"/>
                    <w:tr2bl w:val="nil"/>
                  </w:tcBorders>
                  <w:noWrap w:val="0"/>
                  <w:vAlign w:val="center"/>
                </w:tcPr>
                <w:p w14:paraId="55EB925B">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w:t>
                  </w:r>
                </w:p>
              </w:tc>
              <w:tc>
                <w:tcPr>
                  <w:tcW w:w="3055" w:type="dxa"/>
                  <w:tcBorders>
                    <w:tl2br w:val="nil"/>
                    <w:tr2bl w:val="nil"/>
                  </w:tcBorders>
                  <w:noWrap w:val="0"/>
                  <w:vAlign w:val="center"/>
                </w:tcPr>
                <w:p w14:paraId="122BB0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最大储存量0.1t</w:t>
                  </w:r>
                </w:p>
              </w:tc>
            </w:tr>
            <w:tr w14:paraId="0D4DF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6FADC9D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20</w:t>
                  </w:r>
                </w:p>
              </w:tc>
              <w:tc>
                <w:tcPr>
                  <w:tcW w:w="956" w:type="dxa"/>
                  <w:vMerge w:val="continue"/>
                  <w:tcBorders>
                    <w:tl2br w:val="nil"/>
                    <w:tr2bl w:val="nil"/>
                  </w:tcBorders>
                  <w:noWrap w:val="0"/>
                  <w:vAlign w:val="center"/>
                </w:tcPr>
                <w:p w14:paraId="112EE50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956" w:type="dxa"/>
                  <w:tcBorders>
                    <w:tl2br w:val="nil"/>
                    <w:tr2bl w:val="nil"/>
                  </w:tcBorders>
                  <w:noWrap w:val="0"/>
                  <w:vAlign w:val="center"/>
                </w:tcPr>
                <w:p w14:paraId="1F60912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面漆</w:t>
                  </w:r>
                </w:p>
              </w:tc>
              <w:tc>
                <w:tcPr>
                  <w:tcW w:w="1216" w:type="dxa"/>
                  <w:tcBorders>
                    <w:tl2br w:val="nil"/>
                    <w:tr2bl w:val="nil"/>
                  </w:tcBorders>
                  <w:noWrap w:val="0"/>
                  <w:vAlign w:val="center"/>
                </w:tcPr>
                <w:p w14:paraId="3BD2D7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125" w:type="dxa"/>
                  <w:tcBorders>
                    <w:tl2br w:val="nil"/>
                    <w:tr2bl w:val="nil"/>
                  </w:tcBorders>
                  <w:noWrap w:val="0"/>
                  <w:vAlign w:val="center"/>
                </w:tcPr>
                <w:p w14:paraId="570C255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3055" w:type="dxa"/>
                  <w:tcBorders>
                    <w:tl2br w:val="nil"/>
                    <w:tr2bl w:val="nil"/>
                  </w:tcBorders>
                  <w:noWrap w:val="0"/>
                  <w:vAlign w:val="center"/>
                </w:tcPr>
                <w:p w14:paraId="2072BA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最大储存量0.1t</w:t>
                  </w:r>
                </w:p>
              </w:tc>
            </w:tr>
            <w:tr w14:paraId="2125B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1A711DE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w:t>
                  </w:r>
                </w:p>
              </w:tc>
              <w:tc>
                <w:tcPr>
                  <w:tcW w:w="956" w:type="dxa"/>
                  <w:vMerge w:val="continue"/>
                  <w:tcBorders>
                    <w:tl2br w:val="nil"/>
                    <w:tr2bl w:val="nil"/>
                  </w:tcBorders>
                  <w:noWrap w:val="0"/>
                  <w:vAlign w:val="center"/>
                </w:tcPr>
                <w:p w14:paraId="4D9F6DE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956" w:type="dxa"/>
                  <w:tcBorders>
                    <w:tl2br w:val="nil"/>
                    <w:tr2bl w:val="nil"/>
                  </w:tcBorders>
                  <w:noWrap w:val="0"/>
                  <w:vAlign w:val="center"/>
                </w:tcPr>
                <w:p w14:paraId="391FBAA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清漆</w:t>
                  </w:r>
                </w:p>
              </w:tc>
              <w:tc>
                <w:tcPr>
                  <w:tcW w:w="1216" w:type="dxa"/>
                  <w:tcBorders>
                    <w:tl2br w:val="nil"/>
                    <w:tr2bl w:val="nil"/>
                  </w:tcBorders>
                  <w:noWrap w:val="0"/>
                  <w:vAlign w:val="center"/>
                </w:tcPr>
                <w:p w14:paraId="3A0D59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t/a</w:t>
                  </w:r>
                </w:p>
              </w:tc>
              <w:tc>
                <w:tcPr>
                  <w:tcW w:w="1125" w:type="dxa"/>
                  <w:tcBorders>
                    <w:tl2br w:val="nil"/>
                    <w:tr2bl w:val="nil"/>
                  </w:tcBorders>
                  <w:noWrap w:val="0"/>
                  <w:vAlign w:val="center"/>
                </w:tcPr>
                <w:p w14:paraId="069D508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3055" w:type="dxa"/>
                  <w:tcBorders>
                    <w:tl2br w:val="nil"/>
                    <w:tr2bl w:val="nil"/>
                  </w:tcBorders>
                  <w:noWrap w:val="0"/>
                  <w:vAlign w:val="center"/>
                </w:tcPr>
                <w:p w14:paraId="68FBD6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最大储存量0.1t</w:t>
                  </w:r>
                </w:p>
              </w:tc>
            </w:tr>
            <w:tr w14:paraId="10162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616316F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23</w:t>
                  </w:r>
                </w:p>
              </w:tc>
              <w:tc>
                <w:tcPr>
                  <w:tcW w:w="956" w:type="dxa"/>
                  <w:vMerge w:val="restart"/>
                  <w:tcBorders>
                    <w:tl2br w:val="nil"/>
                    <w:tr2bl w:val="nil"/>
                  </w:tcBorders>
                  <w:noWrap w:val="0"/>
                  <w:vAlign w:val="center"/>
                </w:tcPr>
                <w:p w14:paraId="062DC9A8">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油</w:t>
                  </w:r>
                  <w:r>
                    <w:rPr>
                      <w:rFonts w:hint="default" w:ascii="Times New Roman" w:hAnsi="Times New Roman" w:eastAsia="宋体" w:cs="Times New Roman"/>
                      <w:color w:val="auto"/>
                      <w:sz w:val="21"/>
                      <w:szCs w:val="21"/>
                      <w:lang w:val="en-US" w:eastAsia="zh-CN"/>
                    </w:rPr>
                    <w:t>性</w:t>
                  </w:r>
                  <w:r>
                    <w:rPr>
                      <w:rFonts w:hint="default" w:ascii="Times New Roman" w:hAnsi="Times New Roman" w:eastAsia="宋体" w:cs="Times New Roman"/>
                      <w:color w:val="auto"/>
                      <w:sz w:val="21"/>
                      <w:szCs w:val="21"/>
                    </w:rPr>
                    <w:t>漆</w:t>
                  </w:r>
                </w:p>
              </w:tc>
              <w:tc>
                <w:tcPr>
                  <w:tcW w:w="956" w:type="dxa"/>
                  <w:tcBorders>
                    <w:tl2br w:val="nil"/>
                    <w:tr2bl w:val="nil"/>
                  </w:tcBorders>
                  <w:noWrap w:val="0"/>
                  <w:vAlign w:val="center"/>
                </w:tcPr>
                <w:p w14:paraId="0C0E468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底漆</w:t>
                  </w:r>
                </w:p>
              </w:tc>
              <w:tc>
                <w:tcPr>
                  <w:tcW w:w="1216" w:type="dxa"/>
                  <w:tcBorders>
                    <w:tl2br w:val="nil"/>
                    <w:tr2bl w:val="nil"/>
                  </w:tcBorders>
                  <w:noWrap w:val="0"/>
                  <w:vAlign w:val="center"/>
                </w:tcPr>
                <w:p w14:paraId="26F2A9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125" w:type="dxa"/>
                  <w:tcBorders>
                    <w:tl2br w:val="nil"/>
                    <w:tr2bl w:val="nil"/>
                  </w:tcBorders>
                  <w:noWrap w:val="0"/>
                  <w:vAlign w:val="center"/>
                </w:tcPr>
                <w:p w14:paraId="4F53DFD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r>
                    <w:rPr>
                      <w:rFonts w:hint="eastAsia" w:cs="Times New Roman"/>
                      <w:color w:val="auto"/>
                      <w:kern w:val="2"/>
                      <w:sz w:val="21"/>
                      <w:szCs w:val="21"/>
                      <w:lang w:val="en-US" w:eastAsia="zh-CN" w:bidi="ar-SA"/>
                    </w:rPr>
                    <w:t>8</w:t>
                  </w:r>
                </w:p>
              </w:tc>
              <w:tc>
                <w:tcPr>
                  <w:tcW w:w="3055" w:type="dxa"/>
                  <w:tcBorders>
                    <w:tl2br w:val="nil"/>
                    <w:tr2bl w:val="nil"/>
                  </w:tcBorders>
                  <w:noWrap w:val="0"/>
                  <w:vAlign w:val="center"/>
                </w:tcPr>
                <w:p w14:paraId="3DB84A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最大储存量0.05t</w:t>
                  </w:r>
                </w:p>
              </w:tc>
            </w:tr>
            <w:tr w14:paraId="134D5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5804088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24</w:t>
                  </w:r>
                </w:p>
              </w:tc>
              <w:tc>
                <w:tcPr>
                  <w:tcW w:w="956" w:type="dxa"/>
                  <w:vMerge w:val="continue"/>
                  <w:tcBorders>
                    <w:tl2br w:val="nil"/>
                    <w:tr2bl w:val="nil"/>
                  </w:tcBorders>
                  <w:noWrap w:val="0"/>
                  <w:vAlign w:val="center"/>
                </w:tcPr>
                <w:p w14:paraId="4D5F947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956" w:type="dxa"/>
                  <w:tcBorders>
                    <w:tl2br w:val="nil"/>
                    <w:tr2bl w:val="nil"/>
                  </w:tcBorders>
                  <w:noWrap w:val="0"/>
                  <w:vAlign w:val="center"/>
                </w:tcPr>
                <w:p w14:paraId="62D9760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面漆</w:t>
                  </w:r>
                </w:p>
              </w:tc>
              <w:tc>
                <w:tcPr>
                  <w:tcW w:w="1216" w:type="dxa"/>
                  <w:tcBorders>
                    <w:tl2br w:val="nil"/>
                    <w:tr2bl w:val="nil"/>
                  </w:tcBorders>
                  <w:noWrap w:val="0"/>
                  <w:vAlign w:val="center"/>
                </w:tcPr>
                <w:p w14:paraId="66DCF3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125" w:type="dxa"/>
                  <w:tcBorders>
                    <w:tl2br w:val="nil"/>
                    <w:tr2bl w:val="nil"/>
                  </w:tcBorders>
                  <w:noWrap w:val="0"/>
                  <w:vAlign w:val="center"/>
                </w:tcPr>
                <w:p w14:paraId="3B67D53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w:t>
                  </w:r>
                  <w:r>
                    <w:rPr>
                      <w:rFonts w:hint="eastAsia" w:cs="Times New Roman"/>
                      <w:color w:val="auto"/>
                      <w:kern w:val="2"/>
                      <w:sz w:val="21"/>
                      <w:szCs w:val="21"/>
                      <w:lang w:val="en-US" w:eastAsia="zh-CN" w:bidi="ar-SA"/>
                    </w:rPr>
                    <w:t>4</w:t>
                  </w:r>
                </w:p>
              </w:tc>
              <w:tc>
                <w:tcPr>
                  <w:tcW w:w="3055" w:type="dxa"/>
                  <w:tcBorders>
                    <w:tl2br w:val="nil"/>
                    <w:tr2bl w:val="nil"/>
                  </w:tcBorders>
                  <w:noWrap w:val="0"/>
                  <w:vAlign w:val="center"/>
                </w:tcPr>
                <w:p w14:paraId="0C223A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最大储存量0.05t</w:t>
                  </w:r>
                </w:p>
              </w:tc>
            </w:tr>
            <w:tr w14:paraId="4B5BF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4B725EAB">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25</w:t>
                  </w:r>
                </w:p>
              </w:tc>
              <w:tc>
                <w:tcPr>
                  <w:tcW w:w="956" w:type="dxa"/>
                  <w:vMerge w:val="continue"/>
                  <w:tcBorders>
                    <w:tl2br w:val="nil"/>
                    <w:tr2bl w:val="nil"/>
                  </w:tcBorders>
                  <w:noWrap w:val="0"/>
                  <w:vAlign w:val="center"/>
                </w:tcPr>
                <w:p w14:paraId="2D26950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956" w:type="dxa"/>
                  <w:tcBorders>
                    <w:tl2br w:val="nil"/>
                    <w:tr2bl w:val="nil"/>
                  </w:tcBorders>
                  <w:noWrap w:val="0"/>
                  <w:vAlign w:val="center"/>
                </w:tcPr>
                <w:p w14:paraId="7428806B">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清漆</w:t>
                  </w:r>
                </w:p>
              </w:tc>
              <w:tc>
                <w:tcPr>
                  <w:tcW w:w="1216" w:type="dxa"/>
                  <w:tcBorders>
                    <w:tl2br w:val="nil"/>
                    <w:tr2bl w:val="nil"/>
                  </w:tcBorders>
                  <w:noWrap w:val="0"/>
                  <w:vAlign w:val="center"/>
                </w:tcPr>
                <w:p w14:paraId="5304C3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125" w:type="dxa"/>
                  <w:tcBorders>
                    <w:tl2br w:val="nil"/>
                    <w:tr2bl w:val="nil"/>
                  </w:tcBorders>
                  <w:noWrap w:val="0"/>
                  <w:vAlign w:val="center"/>
                </w:tcPr>
                <w:p w14:paraId="62992E7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w:t>
                  </w:r>
                  <w:r>
                    <w:rPr>
                      <w:rFonts w:hint="eastAsia" w:cs="Times New Roman"/>
                      <w:color w:val="auto"/>
                      <w:kern w:val="2"/>
                      <w:sz w:val="21"/>
                      <w:szCs w:val="21"/>
                      <w:lang w:val="en-US" w:eastAsia="zh-CN" w:bidi="ar-SA"/>
                    </w:rPr>
                    <w:t>4</w:t>
                  </w:r>
                </w:p>
              </w:tc>
              <w:tc>
                <w:tcPr>
                  <w:tcW w:w="3055" w:type="dxa"/>
                  <w:tcBorders>
                    <w:tl2br w:val="nil"/>
                    <w:tr2bl w:val="nil"/>
                  </w:tcBorders>
                  <w:noWrap w:val="0"/>
                  <w:vAlign w:val="center"/>
                </w:tcPr>
                <w:p w14:paraId="763BC2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最大储存量0.05t</w:t>
                  </w:r>
                </w:p>
              </w:tc>
            </w:tr>
            <w:tr w14:paraId="64B2B4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0F52A7F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26</w:t>
                  </w:r>
                </w:p>
              </w:tc>
              <w:tc>
                <w:tcPr>
                  <w:tcW w:w="1912" w:type="dxa"/>
                  <w:gridSpan w:val="2"/>
                  <w:tcBorders>
                    <w:tl2br w:val="nil"/>
                    <w:tr2bl w:val="nil"/>
                  </w:tcBorders>
                  <w:noWrap w:val="0"/>
                  <w:vAlign w:val="center"/>
                </w:tcPr>
                <w:p w14:paraId="711C87B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水</w:t>
                  </w:r>
                </w:p>
              </w:tc>
              <w:tc>
                <w:tcPr>
                  <w:tcW w:w="1216" w:type="dxa"/>
                  <w:tcBorders>
                    <w:tl2br w:val="nil"/>
                    <w:tr2bl w:val="nil"/>
                  </w:tcBorders>
                  <w:noWrap w:val="0"/>
                  <w:vAlign w:val="center"/>
                </w:tcPr>
                <w:p w14:paraId="0E5C1C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/a</w:t>
                  </w:r>
                </w:p>
              </w:tc>
              <w:tc>
                <w:tcPr>
                  <w:tcW w:w="1125" w:type="dxa"/>
                  <w:tcBorders>
                    <w:tl2br w:val="nil"/>
                    <w:tr2bl w:val="nil"/>
                  </w:tcBorders>
                  <w:noWrap w:val="0"/>
                  <w:vAlign w:val="center"/>
                </w:tcPr>
                <w:p w14:paraId="71DC490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112.5</w:t>
                  </w:r>
                </w:p>
              </w:tc>
              <w:tc>
                <w:tcPr>
                  <w:tcW w:w="3055" w:type="dxa"/>
                  <w:tcBorders>
                    <w:tl2br w:val="nil"/>
                    <w:tr2bl w:val="nil"/>
                  </w:tcBorders>
                  <w:noWrap w:val="0"/>
                  <w:vAlign w:val="center"/>
                </w:tcPr>
                <w:p w14:paraId="6F71BCB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厂区内的原有地下水井</w:t>
                  </w:r>
                </w:p>
              </w:tc>
            </w:tr>
            <w:tr w14:paraId="65280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42D82CC8">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w:t>
                  </w:r>
                </w:p>
              </w:tc>
              <w:tc>
                <w:tcPr>
                  <w:tcW w:w="1912" w:type="dxa"/>
                  <w:gridSpan w:val="2"/>
                  <w:tcBorders>
                    <w:tl2br w:val="nil"/>
                    <w:tr2bl w:val="nil"/>
                  </w:tcBorders>
                  <w:noWrap w:val="0"/>
                  <w:vAlign w:val="center"/>
                </w:tcPr>
                <w:p w14:paraId="25777C3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电</w:t>
                  </w:r>
                </w:p>
              </w:tc>
              <w:tc>
                <w:tcPr>
                  <w:tcW w:w="1216" w:type="dxa"/>
                  <w:tcBorders>
                    <w:tl2br w:val="nil"/>
                    <w:tr2bl w:val="nil"/>
                  </w:tcBorders>
                  <w:noWrap w:val="0"/>
                  <w:vAlign w:val="center"/>
                </w:tcPr>
                <w:p w14:paraId="532B05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万k</w:t>
                  </w:r>
                  <w:r>
                    <w:rPr>
                      <w:rFonts w:hint="default" w:ascii="Times New Roman" w:hAnsi="Times New Roman" w:eastAsia="宋体" w:cs="Times New Roman"/>
                      <w:color w:val="000000"/>
                      <w:kern w:val="0"/>
                      <w:sz w:val="21"/>
                      <w:szCs w:val="21"/>
                      <w:lang w:val="en-US" w:eastAsia="zh-CN"/>
                    </w:rPr>
                    <w:t>W</w:t>
                  </w:r>
                  <w:r>
                    <w:rPr>
                      <w:rFonts w:hint="default" w:ascii="Times New Roman" w:hAnsi="Times New Roman" w:eastAsia="宋体" w:cs="Times New Roman"/>
                      <w:color w:val="000000"/>
                      <w:kern w:val="0"/>
                      <w:sz w:val="21"/>
                      <w:szCs w:val="21"/>
                    </w:rPr>
                    <w:t>h/a</w:t>
                  </w:r>
                </w:p>
              </w:tc>
              <w:tc>
                <w:tcPr>
                  <w:tcW w:w="1125" w:type="dxa"/>
                  <w:tcBorders>
                    <w:tl2br w:val="nil"/>
                    <w:tr2bl w:val="nil"/>
                  </w:tcBorders>
                  <w:noWrap w:val="0"/>
                  <w:vAlign w:val="center"/>
                </w:tcPr>
                <w:p w14:paraId="76C949CB">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w:t>
                  </w:r>
                </w:p>
              </w:tc>
              <w:tc>
                <w:tcPr>
                  <w:tcW w:w="3055" w:type="dxa"/>
                  <w:tcBorders>
                    <w:tl2br w:val="nil"/>
                    <w:tr2bl w:val="nil"/>
                  </w:tcBorders>
                  <w:noWrap w:val="0"/>
                  <w:vAlign w:val="center"/>
                </w:tcPr>
                <w:p w14:paraId="2B81BB0F">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市政</w:t>
                  </w:r>
                </w:p>
              </w:tc>
            </w:tr>
            <w:tr w14:paraId="2CB6E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1" w:type="dxa"/>
                  <w:tcBorders>
                    <w:tl2br w:val="nil"/>
                    <w:tr2bl w:val="nil"/>
                  </w:tcBorders>
                  <w:noWrap w:val="0"/>
                  <w:vAlign w:val="center"/>
                </w:tcPr>
                <w:p w14:paraId="0E574D7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29</w:t>
                  </w:r>
                </w:p>
              </w:tc>
              <w:tc>
                <w:tcPr>
                  <w:tcW w:w="1912" w:type="dxa"/>
                  <w:gridSpan w:val="2"/>
                  <w:tcBorders>
                    <w:tl2br w:val="nil"/>
                    <w:tr2bl w:val="nil"/>
                  </w:tcBorders>
                  <w:noWrap w:val="0"/>
                  <w:vAlign w:val="center"/>
                </w:tcPr>
                <w:p w14:paraId="6D3D2C8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液化石油气</w:t>
                  </w:r>
                </w:p>
              </w:tc>
              <w:tc>
                <w:tcPr>
                  <w:tcW w:w="1216" w:type="dxa"/>
                  <w:tcBorders>
                    <w:tl2br w:val="nil"/>
                    <w:tr2bl w:val="nil"/>
                  </w:tcBorders>
                  <w:noWrap w:val="0"/>
                  <w:vAlign w:val="center"/>
                </w:tcPr>
                <w:p w14:paraId="40AA16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/a</w:t>
                  </w:r>
                </w:p>
              </w:tc>
              <w:tc>
                <w:tcPr>
                  <w:tcW w:w="1125" w:type="dxa"/>
                  <w:tcBorders>
                    <w:tl2br w:val="nil"/>
                    <w:tr2bl w:val="nil"/>
                  </w:tcBorders>
                  <w:noWrap w:val="0"/>
                  <w:vAlign w:val="center"/>
                </w:tcPr>
                <w:p w14:paraId="782256F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200</w:t>
                  </w:r>
                </w:p>
              </w:tc>
              <w:tc>
                <w:tcPr>
                  <w:tcW w:w="3055" w:type="dxa"/>
                  <w:tcBorders>
                    <w:tl2br w:val="nil"/>
                    <w:tr2bl w:val="nil"/>
                  </w:tcBorders>
                  <w:noWrap w:val="0"/>
                  <w:vAlign w:val="center"/>
                </w:tcPr>
                <w:p w14:paraId="7A50429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50kg气瓶装</w:t>
                  </w:r>
                  <w:r>
                    <w:rPr>
                      <w:rFonts w:hint="default" w:ascii="Times New Roman" w:hAnsi="Times New Roman" w:eastAsia="宋体" w:cs="Times New Roman"/>
                      <w:sz w:val="21"/>
                      <w:szCs w:val="21"/>
                      <w:lang w:val="en-US" w:eastAsia="zh-CN"/>
                    </w:rPr>
                    <w:t>，最大储存量0.</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t</w:t>
                  </w:r>
                </w:p>
              </w:tc>
            </w:tr>
          </w:tbl>
          <w:p w14:paraId="7EC31FAE">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fldChar w:fldCharType="begin"/>
            </w:r>
            <w:r>
              <w:rPr>
                <w:rFonts w:hint="default" w:ascii="Times New Roman" w:hAnsi="Times New Roman" w:eastAsia="宋体" w:cs="Times New Roman"/>
                <w:b/>
                <w:bCs/>
                <w:color w:val="auto"/>
                <w:sz w:val="21"/>
                <w:szCs w:val="21"/>
                <w:highlight w:val="none"/>
              </w:rPr>
              <w:instrText xml:space="preserve"> = 1 \* GB3 \* MERGEFORMAT </w:instrText>
            </w:r>
            <w:r>
              <w:rPr>
                <w:rFonts w:hint="default" w:ascii="Times New Roman" w:hAnsi="Times New Roman" w:eastAsia="宋体" w:cs="Times New Roman"/>
                <w:b/>
                <w:bCs/>
                <w:color w:val="auto"/>
                <w:sz w:val="21"/>
                <w:szCs w:val="21"/>
                <w:highlight w:val="none"/>
              </w:rPr>
              <w:fldChar w:fldCharType="separate"/>
            </w:r>
            <w:r>
              <w:rPr>
                <w:color w:val="auto"/>
                <w:highlight w:val="none"/>
              </w:rPr>
              <w:t>①</w:t>
            </w:r>
            <w:r>
              <w:rPr>
                <w:rFonts w:hint="default" w:ascii="Times New Roman" w:hAnsi="Times New Roman" w:eastAsia="宋体" w:cs="Times New Roman"/>
                <w:b/>
                <w:bCs/>
                <w:color w:val="auto"/>
                <w:sz w:val="21"/>
                <w:szCs w:val="21"/>
                <w:highlight w:val="none"/>
              </w:rPr>
              <w:fldChar w:fldCharType="end"/>
            </w:r>
            <w:r>
              <w:rPr>
                <w:rFonts w:hint="eastAsia" w:cs="Times New Roman"/>
                <w:b w:val="0"/>
                <w:bCs w:val="0"/>
                <w:color w:val="auto"/>
                <w:sz w:val="24"/>
                <w:szCs w:val="24"/>
                <w:highlight w:val="none"/>
                <w:lang w:val="en-US" w:eastAsia="zh-CN"/>
              </w:rPr>
              <w:t>油漆</w:t>
            </w:r>
          </w:p>
          <w:p w14:paraId="6234E5E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cs="Times New Roman"/>
                <w:b/>
                <w:bCs/>
                <w:color w:val="auto"/>
                <w:sz w:val="21"/>
                <w:szCs w:val="21"/>
                <w:lang w:val="en-US" w:eastAsia="zh-CN"/>
              </w:rPr>
              <w:t>9</w:t>
            </w:r>
            <w:r>
              <w:rPr>
                <w:rFonts w:hint="default" w:ascii="Times New Roman" w:hAnsi="Times New Roman" w:eastAsia="宋体" w:cs="Times New Roman"/>
                <w:b/>
                <w:bCs/>
                <w:color w:val="auto"/>
                <w:sz w:val="21"/>
                <w:szCs w:val="21"/>
              </w:rPr>
              <w:t xml:space="preserve">  </w:t>
            </w:r>
            <w:r>
              <w:rPr>
                <w:rFonts w:hint="eastAsia" w:cs="Times New Roman"/>
                <w:b/>
                <w:bCs/>
                <w:color w:val="auto"/>
                <w:sz w:val="21"/>
                <w:szCs w:val="21"/>
                <w:lang w:val="en-US" w:eastAsia="zh-CN"/>
              </w:rPr>
              <w:t>油性漆</w:t>
            </w:r>
            <w:r>
              <w:rPr>
                <w:rFonts w:hint="default" w:ascii="Times New Roman" w:hAnsi="Times New Roman" w:eastAsia="宋体" w:cs="Times New Roman"/>
                <w:b/>
                <w:bCs/>
                <w:color w:val="auto"/>
                <w:sz w:val="21"/>
                <w:szCs w:val="21"/>
              </w:rPr>
              <w:t>各组分含量表</w:t>
            </w:r>
          </w:p>
          <w:tbl>
            <w:tblPr>
              <w:tblStyle w:val="20"/>
              <w:tblW w:w="829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645"/>
              <w:gridCol w:w="540"/>
              <w:gridCol w:w="465"/>
              <w:gridCol w:w="201"/>
              <w:gridCol w:w="255"/>
              <w:gridCol w:w="159"/>
              <w:gridCol w:w="735"/>
              <w:gridCol w:w="396"/>
              <w:gridCol w:w="167"/>
              <w:gridCol w:w="810"/>
              <w:gridCol w:w="210"/>
              <w:gridCol w:w="74"/>
              <w:gridCol w:w="383"/>
              <w:gridCol w:w="585"/>
              <w:gridCol w:w="128"/>
              <w:gridCol w:w="59"/>
              <w:gridCol w:w="533"/>
              <w:gridCol w:w="600"/>
              <w:gridCol w:w="469"/>
            </w:tblGrid>
            <w:tr w14:paraId="03D0B9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91" w:type="dxa"/>
                  <w:gridSpan w:val="20"/>
                  <w:tcBorders>
                    <w:tl2br w:val="nil"/>
                    <w:tr2bl w:val="nil"/>
                  </w:tcBorders>
                  <w:noWrap w:val="0"/>
                  <w:vAlign w:val="center"/>
                </w:tcPr>
                <w:p w14:paraId="322950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rPr>
                    <w:t>底漆</w:t>
                  </w:r>
                </w:p>
              </w:tc>
            </w:tr>
            <w:tr w14:paraId="4A64FC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77" w:type="dxa"/>
                  <w:tcBorders>
                    <w:tl2br w:val="nil"/>
                    <w:tr2bl w:val="nil"/>
                  </w:tcBorders>
                  <w:noWrap w:val="0"/>
                  <w:vAlign w:val="center"/>
                </w:tcPr>
                <w:p w14:paraId="6B94B6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rPr>
                    <w:t>名称</w:t>
                  </w:r>
                </w:p>
              </w:tc>
              <w:tc>
                <w:tcPr>
                  <w:tcW w:w="645" w:type="dxa"/>
                  <w:tcBorders>
                    <w:tl2br w:val="nil"/>
                    <w:tr2bl w:val="nil"/>
                  </w:tcBorders>
                  <w:noWrap w:val="0"/>
                  <w:vAlign w:val="center"/>
                </w:tcPr>
                <w:p w14:paraId="611A59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二氧化钛</w:t>
                  </w:r>
                </w:p>
              </w:tc>
              <w:tc>
                <w:tcPr>
                  <w:tcW w:w="540" w:type="dxa"/>
                  <w:tcBorders>
                    <w:tl2br w:val="nil"/>
                    <w:tr2bl w:val="nil"/>
                  </w:tcBorders>
                  <w:noWrap w:val="0"/>
                  <w:vAlign w:val="center"/>
                </w:tcPr>
                <w:p w14:paraId="5F3A90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白云石</w:t>
                  </w:r>
                </w:p>
              </w:tc>
              <w:tc>
                <w:tcPr>
                  <w:tcW w:w="465" w:type="dxa"/>
                  <w:tcBorders>
                    <w:tl2br w:val="nil"/>
                    <w:tr2bl w:val="nil"/>
                  </w:tcBorders>
                  <w:noWrap w:val="0"/>
                  <w:vAlign w:val="center"/>
                </w:tcPr>
                <w:p w14:paraId="26BBC2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方英石</w:t>
                  </w:r>
                </w:p>
              </w:tc>
              <w:tc>
                <w:tcPr>
                  <w:tcW w:w="615" w:type="dxa"/>
                  <w:gridSpan w:val="3"/>
                  <w:tcBorders>
                    <w:tl2br w:val="nil"/>
                    <w:tr2bl w:val="nil"/>
                  </w:tcBorders>
                  <w:noWrap w:val="0"/>
                  <w:vAlign w:val="center"/>
                </w:tcPr>
                <w:p w14:paraId="10ACDF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二氧化硅</w:t>
                  </w:r>
                </w:p>
              </w:tc>
              <w:tc>
                <w:tcPr>
                  <w:tcW w:w="735" w:type="dxa"/>
                  <w:tcBorders>
                    <w:tl2br w:val="nil"/>
                    <w:tr2bl w:val="nil"/>
                  </w:tcBorders>
                  <w:noWrap w:val="0"/>
                  <w:vAlign w:val="center"/>
                </w:tcPr>
                <w:p w14:paraId="583A62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氧化锌</w:t>
                  </w:r>
                </w:p>
              </w:tc>
              <w:tc>
                <w:tcPr>
                  <w:tcW w:w="563" w:type="dxa"/>
                  <w:gridSpan w:val="2"/>
                  <w:tcBorders>
                    <w:tl2br w:val="nil"/>
                    <w:tr2bl w:val="nil"/>
                  </w:tcBorders>
                  <w:noWrap w:val="0"/>
                  <w:vAlign w:val="center"/>
                </w:tcPr>
                <w:p w14:paraId="5F82F4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磷酸钾</w:t>
                  </w:r>
                </w:p>
              </w:tc>
              <w:tc>
                <w:tcPr>
                  <w:tcW w:w="810" w:type="dxa"/>
                  <w:tcBorders>
                    <w:tl2br w:val="nil"/>
                    <w:tr2bl w:val="nil"/>
                  </w:tcBorders>
                  <w:noWrap w:val="0"/>
                  <w:vAlign w:val="center"/>
                </w:tcPr>
                <w:p w14:paraId="2883DE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轻芳烃溶剂石脑油</w:t>
                  </w:r>
                </w:p>
              </w:tc>
              <w:tc>
                <w:tcPr>
                  <w:tcW w:w="667" w:type="dxa"/>
                  <w:gridSpan w:val="3"/>
                  <w:tcBorders>
                    <w:tl2br w:val="nil"/>
                    <w:tr2bl w:val="nil"/>
                  </w:tcBorders>
                  <w:noWrap w:val="0"/>
                  <w:vAlign w:val="center"/>
                </w:tcPr>
                <w:p w14:paraId="4D5369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其他固分</w:t>
                  </w:r>
                </w:p>
              </w:tc>
              <w:tc>
                <w:tcPr>
                  <w:tcW w:w="585" w:type="dxa"/>
                  <w:tcBorders>
                    <w:tl2br w:val="nil"/>
                    <w:tr2bl w:val="nil"/>
                  </w:tcBorders>
                  <w:noWrap w:val="0"/>
                  <w:vAlign w:val="center"/>
                </w:tcPr>
                <w:p w14:paraId="25A745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二甲苯</w:t>
                  </w:r>
                </w:p>
              </w:tc>
              <w:tc>
                <w:tcPr>
                  <w:tcW w:w="720" w:type="dxa"/>
                  <w:gridSpan w:val="3"/>
                  <w:tcBorders>
                    <w:tl2br w:val="nil"/>
                    <w:tr2bl w:val="nil"/>
                  </w:tcBorders>
                  <w:noWrap w:val="0"/>
                  <w:vAlign w:val="center"/>
                </w:tcPr>
                <w:p w14:paraId="6B3C4D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乙酸正丁酯</w:t>
                  </w:r>
                </w:p>
              </w:tc>
              <w:tc>
                <w:tcPr>
                  <w:tcW w:w="600" w:type="dxa"/>
                  <w:tcBorders>
                    <w:tl2br w:val="nil"/>
                    <w:tr2bl w:val="nil"/>
                  </w:tcBorders>
                  <w:noWrap w:val="0"/>
                  <w:vAlign w:val="center"/>
                </w:tcPr>
                <w:p w14:paraId="5730E7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1,2,4-三甲苯</w:t>
                  </w:r>
                </w:p>
              </w:tc>
              <w:tc>
                <w:tcPr>
                  <w:tcW w:w="469" w:type="dxa"/>
                  <w:tcBorders>
                    <w:tl2br w:val="nil"/>
                    <w:tr2bl w:val="nil"/>
                  </w:tcBorders>
                  <w:noWrap w:val="0"/>
                  <w:vAlign w:val="center"/>
                </w:tcPr>
                <w:p w14:paraId="503A25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乙基苯</w:t>
                  </w:r>
                </w:p>
              </w:tc>
            </w:tr>
            <w:tr w14:paraId="338867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77" w:type="dxa"/>
                  <w:tcBorders>
                    <w:tl2br w:val="nil"/>
                    <w:tr2bl w:val="nil"/>
                  </w:tcBorders>
                  <w:noWrap w:val="0"/>
                  <w:vAlign w:val="center"/>
                </w:tcPr>
                <w:p w14:paraId="48C22B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含量%</w:t>
                  </w:r>
                </w:p>
              </w:tc>
              <w:tc>
                <w:tcPr>
                  <w:tcW w:w="645" w:type="dxa"/>
                  <w:tcBorders>
                    <w:tl2br w:val="nil"/>
                    <w:tr2bl w:val="nil"/>
                  </w:tcBorders>
                  <w:noWrap w:val="0"/>
                  <w:vAlign w:val="center"/>
                </w:tcPr>
                <w:p w14:paraId="1A9131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5-10</w:t>
                  </w:r>
                </w:p>
              </w:tc>
              <w:tc>
                <w:tcPr>
                  <w:tcW w:w="540" w:type="dxa"/>
                  <w:tcBorders>
                    <w:tl2br w:val="nil"/>
                    <w:tr2bl w:val="nil"/>
                  </w:tcBorders>
                  <w:noWrap w:val="0"/>
                  <w:vAlign w:val="center"/>
                </w:tcPr>
                <w:p w14:paraId="0DA8F7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3-5</w:t>
                  </w:r>
                </w:p>
              </w:tc>
              <w:tc>
                <w:tcPr>
                  <w:tcW w:w="465" w:type="dxa"/>
                  <w:tcBorders>
                    <w:tl2br w:val="nil"/>
                    <w:tr2bl w:val="nil"/>
                  </w:tcBorders>
                  <w:noWrap w:val="0"/>
                  <w:vAlign w:val="center"/>
                </w:tcPr>
                <w:p w14:paraId="0C23E9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3-5</w:t>
                  </w:r>
                </w:p>
              </w:tc>
              <w:tc>
                <w:tcPr>
                  <w:tcW w:w="615" w:type="dxa"/>
                  <w:gridSpan w:val="3"/>
                  <w:tcBorders>
                    <w:tl2br w:val="nil"/>
                    <w:tr2bl w:val="nil"/>
                  </w:tcBorders>
                  <w:noWrap w:val="0"/>
                  <w:vAlign w:val="center"/>
                </w:tcPr>
                <w:p w14:paraId="42951E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0.3-1</w:t>
                  </w:r>
                </w:p>
              </w:tc>
              <w:tc>
                <w:tcPr>
                  <w:tcW w:w="735" w:type="dxa"/>
                  <w:tcBorders>
                    <w:tl2br w:val="nil"/>
                    <w:tr2bl w:val="nil"/>
                  </w:tcBorders>
                  <w:noWrap w:val="0"/>
                  <w:vAlign w:val="center"/>
                </w:tcPr>
                <w:p w14:paraId="0E2511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0.1-0.3</w:t>
                  </w:r>
                </w:p>
              </w:tc>
              <w:tc>
                <w:tcPr>
                  <w:tcW w:w="563" w:type="dxa"/>
                  <w:gridSpan w:val="2"/>
                  <w:tcBorders>
                    <w:tl2br w:val="nil"/>
                    <w:tr2bl w:val="nil"/>
                  </w:tcBorders>
                  <w:noWrap w:val="0"/>
                  <w:vAlign w:val="center"/>
                </w:tcPr>
                <w:p w14:paraId="3AC401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5-10</w:t>
                  </w:r>
                </w:p>
              </w:tc>
              <w:tc>
                <w:tcPr>
                  <w:tcW w:w="810" w:type="dxa"/>
                  <w:tcBorders>
                    <w:tl2br w:val="nil"/>
                    <w:tr2bl w:val="nil"/>
                  </w:tcBorders>
                  <w:noWrap w:val="0"/>
                  <w:vAlign w:val="center"/>
                </w:tcPr>
                <w:p w14:paraId="00527D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1-3</w:t>
                  </w:r>
                </w:p>
              </w:tc>
              <w:tc>
                <w:tcPr>
                  <w:tcW w:w="667" w:type="dxa"/>
                  <w:gridSpan w:val="3"/>
                  <w:tcBorders>
                    <w:tl2br w:val="nil"/>
                    <w:tr2bl w:val="nil"/>
                  </w:tcBorders>
                  <w:noWrap w:val="0"/>
                  <w:vAlign w:val="center"/>
                </w:tcPr>
                <w:p w14:paraId="1CB55C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40-50</w:t>
                  </w:r>
                </w:p>
              </w:tc>
              <w:tc>
                <w:tcPr>
                  <w:tcW w:w="585" w:type="dxa"/>
                  <w:tcBorders>
                    <w:tl2br w:val="nil"/>
                    <w:tr2bl w:val="nil"/>
                  </w:tcBorders>
                  <w:noWrap w:val="0"/>
                  <w:vAlign w:val="center"/>
                </w:tcPr>
                <w:p w14:paraId="3BAEF9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5-10</w:t>
                  </w:r>
                </w:p>
              </w:tc>
              <w:tc>
                <w:tcPr>
                  <w:tcW w:w="720" w:type="dxa"/>
                  <w:gridSpan w:val="3"/>
                  <w:tcBorders>
                    <w:tl2br w:val="nil"/>
                    <w:tr2bl w:val="nil"/>
                  </w:tcBorders>
                  <w:noWrap w:val="0"/>
                  <w:vAlign w:val="center"/>
                </w:tcPr>
                <w:p w14:paraId="300526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10-20</w:t>
                  </w:r>
                </w:p>
              </w:tc>
              <w:tc>
                <w:tcPr>
                  <w:tcW w:w="600" w:type="dxa"/>
                  <w:tcBorders>
                    <w:tl2br w:val="nil"/>
                    <w:tr2bl w:val="nil"/>
                  </w:tcBorders>
                  <w:noWrap w:val="0"/>
                  <w:vAlign w:val="center"/>
                </w:tcPr>
                <w:p w14:paraId="103579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1-3</w:t>
                  </w:r>
                </w:p>
              </w:tc>
              <w:tc>
                <w:tcPr>
                  <w:tcW w:w="469" w:type="dxa"/>
                  <w:tcBorders>
                    <w:tl2br w:val="nil"/>
                    <w:tr2bl w:val="nil"/>
                  </w:tcBorders>
                  <w:noWrap w:val="0"/>
                  <w:vAlign w:val="center"/>
                </w:tcPr>
                <w:p w14:paraId="6E615E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1-3</w:t>
                  </w:r>
                </w:p>
              </w:tc>
            </w:tr>
            <w:tr w14:paraId="02E567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91" w:type="dxa"/>
                  <w:gridSpan w:val="20"/>
                  <w:tcBorders>
                    <w:tl2br w:val="nil"/>
                    <w:tr2bl w:val="nil"/>
                  </w:tcBorders>
                  <w:noWrap w:val="0"/>
                  <w:vAlign w:val="center"/>
                </w:tcPr>
                <w:p w14:paraId="757865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b/>
                      <w:bCs/>
                      <w:color w:val="auto"/>
                      <w:sz w:val="21"/>
                      <w:szCs w:val="21"/>
                      <w:lang w:val="en-US" w:eastAsia="zh-CN"/>
                    </w:rPr>
                    <w:t>面漆</w:t>
                  </w:r>
                </w:p>
              </w:tc>
            </w:tr>
            <w:tr w14:paraId="498970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77" w:type="dxa"/>
                  <w:tcBorders>
                    <w:tl2br w:val="nil"/>
                    <w:tr2bl w:val="nil"/>
                  </w:tcBorders>
                  <w:noWrap w:val="0"/>
                  <w:vAlign w:val="center"/>
                </w:tcPr>
                <w:p w14:paraId="69AFAF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名称</w:t>
                  </w:r>
                </w:p>
              </w:tc>
              <w:tc>
                <w:tcPr>
                  <w:tcW w:w="2106" w:type="dxa"/>
                  <w:gridSpan w:val="5"/>
                  <w:tcBorders>
                    <w:tl2br w:val="nil"/>
                    <w:tr2bl w:val="nil"/>
                  </w:tcBorders>
                  <w:noWrap w:val="0"/>
                  <w:vAlign w:val="center"/>
                </w:tcPr>
                <w:p w14:paraId="56226D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z w:val="18"/>
                      <w:szCs w:val="18"/>
                    </w:rPr>
                    <w:t>丙烯酸氨基聚酯</w:t>
                  </w:r>
                </w:p>
              </w:tc>
              <w:tc>
                <w:tcPr>
                  <w:tcW w:w="1457" w:type="dxa"/>
                  <w:gridSpan w:val="4"/>
                  <w:tcBorders>
                    <w:tl2br w:val="nil"/>
                    <w:tr2bl w:val="nil"/>
                  </w:tcBorders>
                  <w:noWrap w:val="0"/>
                  <w:vAlign w:val="center"/>
                </w:tcPr>
                <w:p w14:paraId="72C478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醋酸丁酯</w:t>
                  </w:r>
                </w:p>
              </w:tc>
              <w:tc>
                <w:tcPr>
                  <w:tcW w:w="1020" w:type="dxa"/>
                  <w:gridSpan w:val="2"/>
                  <w:tcBorders>
                    <w:tl2br w:val="nil"/>
                    <w:tr2bl w:val="nil"/>
                  </w:tcBorders>
                  <w:noWrap w:val="0"/>
                  <w:vAlign w:val="center"/>
                </w:tcPr>
                <w:p w14:paraId="0089D5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苯</w:t>
                  </w:r>
                </w:p>
              </w:tc>
              <w:tc>
                <w:tcPr>
                  <w:tcW w:w="1170" w:type="dxa"/>
                  <w:gridSpan w:val="4"/>
                  <w:tcBorders>
                    <w:tl2br w:val="nil"/>
                    <w:tr2bl w:val="nil"/>
                  </w:tcBorders>
                  <w:noWrap w:val="0"/>
                  <w:vAlign w:val="center"/>
                </w:tcPr>
                <w:p w14:paraId="24687E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甲苯</w:t>
                  </w:r>
                </w:p>
              </w:tc>
              <w:tc>
                <w:tcPr>
                  <w:tcW w:w="1661" w:type="dxa"/>
                  <w:gridSpan w:val="4"/>
                  <w:tcBorders>
                    <w:tl2br w:val="nil"/>
                    <w:tr2bl w:val="nil"/>
                  </w:tcBorders>
                  <w:noWrap w:val="0"/>
                  <w:vAlign w:val="center"/>
                </w:tcPr>
                <w:p w14:paraId="31814F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z w:val="18"/>
                      <w:szCs w:val="18"/>
                    </w:rPr>
                    <w:t>二甲苯</w:t>
                  </w:r>
                </w:p>
              </w:tc>
            </w:tr>
            <w:tr w14:paraId="522C31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77" w:type="dxa"/>
                  <w:tcBorders>
                    <w:tl2br w:val="nil"/>
                    <w:tr2bl w:val="nil"/>
                  </w:tcBorders>
                  <w:noWrap w:val="0"/>
                  <w:vAlign w:val="center"/>
                </w:tcPr>
                <w:p w14:paraId="383715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含量%</w:t>
                  </w:r>
                </w:p>
              </w:tc>
              <w:tc>
                <w:tcPr>
                  <w:tcW w:w="2106" w:type="dxa"/>
                  <w:gridSpan w:val="5"/>
                  <w:tcBorders>
                    <w:tl2br w:val="nil"/>
                    <w:tr2bl w:val="nil"/>
                  </w:tcBorders>
                  <w:noWrap w:val="0"/>
                  <w:vAlign w:val="center"/>
                </w:tcPr>
                <w:p w14:paraId="2BBFA6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7</w:t>
                  </w:r>
                  <w:r>
                    <w:rPr>
                      <w:rFonts w:hint="eastAsia" w:ascii="Times New Roman" w:hAnsi="Times New Roman" w:eastAsia="宋体" w:cs="Times New Roman"/>
                      <w:sz w:val="18"/>
                      <w:szCs w:val="18"/>
                      <w:lang w:val="en-US" w:eastAsia="zh-CN"/>
                    </w:rPr>
                    <w:t>2</w:t>
                  </w:r>
                </w:p>
              </w:tc>
              <w:tc>
                <w:tcPr>
                  <w:tcW w:w="1457" w:type="dxa"/>
                  <w:gridSpan w:val="4"/>
                  <w:tcBorders>
                    <w:tl2br w:val="nil"/>
                    <w:tr2bl w:val="nil"/>
                  </w:tcBorders>
                  <w:noWrap w:val="0"/>
                  <w:vAlign w:val="center"/>
                </w:tcPr>
                <w:p w14:paraId="277102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1</w:t>
                  </w:r>
                  <w:r>
                    <w:rPr>
                      <w:rFonts w:hint="eastAsia" w:ascii="Times New Roman" w:hAnsi="Times New Roman" w:eastAsia="宋体" w:cs="Times New Roman"/>
                      <w:sz w:val="18"/>
                      <w:szCs w:val="18"/>
                      <w:lang w:val="en-US" w:eastAsia="zh-CN"/>
                    </w:rPr>
                    <w:t>4</w:t>
                  </w:r>
                </w:p>
              </w:tc>
              <w:tc>
                <w:tcPr>
                  <w:tcW w:w="1020" w:type="dxa"/>
                  <w:gridSpan w:val="2"/>
                  <w:tcBorders>
                    <w:tl2br w:val="nil"/>
                    <w:tr2bl w:val="nil"/>
                  </w:tcBorders>
                  <w:noWrap w:val="0"/>
                  <w:vAlign w:val="center"/>
                </w:tcPr>
                <w:p w14:paraId="6177EF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2</w:t>
                  </w:r>
                </w:p>
              </w:tc>
              <w:tc>
                <w:tcPr>
                  <w:tcW w:w="1170" w:type="dxa"/>
                  <w:gridSpan w:val="4"/>
                  <w:tcBorders>
                    <w:tl2br w:val="nil"/>
                    <w:tr2bl w:val="nil"/>
                  </w:tcBorders>
                  <w:noWrap w:val="0"/>
                  <w:vAlign w:val="center"/>
                </w:tcPr>
                <w:p w14:paraId="161939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4</w:t>
                  </w:r>
                </w:p>
              </w:tc>
              <w:tc>
                <w:tcPr>
                  <w:tcW w:w="1661" w:type="dxa"/>
                  <w:gridSpan w:val="4"/>
                  <w:tcBorders>
                    <w:tl2br w:val="nil"/>
                    <w:tr2bl w:val="nil"/>
                  </w:tcBorders>
                  <w:noWrap w:val="0"/>
                  <w:vAlign w:val="center"/>
                </w:tcPr>
                <w:p w14:paraId="7812A8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z w:val="18"/>
                      <w:szCs w:val="18"/>
                    </w:rPr>
                    <w:t>8</w:t>
                  </w:r>
                </w:p>
              </w:tc>
            </w:tr>
            <w:tr w14:paraId="0308B9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291" w:type="dxa"/>
                  <w:gridSpan w:val="20"/>
                  <w:tcBorders>
                    <w:tl2br w:val="nil"/>
                    <w:tr2bl w:val="nil"/>
                  </w:tcBorders>
                  <w:noWrap w:val="0"/>
                  <w:vAlign w:val="center"/>
                </w:tcPr>
                <w:p w14:paraId="4FC3F2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b/>
                      <w:bCs/>
                      <w:color w:val="auto"/>
                      <w:sz w:val="21"/>
                      <w:szCs w:val="21"/>
                      <w:lang w:val="en-US" w:eastAsia="zh-CN"/>
                    </w:rPr>
                    <w:t>清漆</w:t>
                  </w:r>
                </w:p>
              </w:tc>
            </w:tr>
            <w:tr w14:paraId="02F8B9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77" w:type="dxa"/>
                  <w:tcBorders>
                    <w:tl2br w:val="nil"/>
                    <w:tr2bl w:val="nil"/>
                  </w:tcBorders>
                  <w:noWrap w:val="0"/>
                  <w:vAlign w:val="center"/>
                </w:tcPr>
                <w:p w14:paraId="2C9E6D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名称</w:t>
                  </w:r>
                </w:p>
              </w:tc>
              <w:tc>
                <w:tcPr>
                  <w:tcW w:w="1851" w:type="dxa"/>
                  <w:gridSpan w:val="4"/>
                  <w:tcBorders>
                    <w:tl2br w:val="nil"/>
                    <w:tr2bl w:val="nil"/>
                  </w:tcBorders>
                  <w:noWrap w:val="0"/>
                  <w:vAlign w:val="center"/>
                </w:tcPr>
                <w:p w14:paraId="18D0C5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丙烯酸树脂</w:t>
                  </w:r>
                </w:p>
              </w:tc>
              <w:tc>
                <w:tcPr>
                  <w:tcW w:w="1545" w:type="dxa"/>
                  <w:gridSpan w:val="4"/>
                  <w:tcBorders>
                    <w:tl2br w:val="nil"/>
                    <w:tr2bl w:val="nil"/>
                  </w:tcBorders>
                  <w:noWrap w:val="0"/>
                  <w:vAlign w:val="center"/>
                </w:tcPr>
                <w:p w14:paraId="24D609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氨基树脂</w:t>
                  </w:r>
                </w:p>
              </w:tc>
              <w:tc>
                <w:tcPr>
                  <w:tcW w:w="1261" w:type="dxa"/>
                  <w:gridSpan w:val="4"/>
                  <w:tcBorders>
                    <w:tl2br w:val="nil"/>
                    <w:tr2bl w:val="nil"/>
                  </w:tcBorders>
                  <w:noWrap w:val="0"/>
                  <w:vAlign w:val="center"/>
                </w:tcPr>
                <w:p w14:paraId="69C42D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聚醚树脂</w:t>
                  </w:r>
                </w:p>
              </w:tc>
              <w:tc>
                <w:tcPr>
                  <w:tcW w:w="1155" w:type="dxa"/>
                  <w:gridSpan w:val="4"/>
                  <w:tcBorders>
                    <w:tl2br w:val="nil"/>
                    <w:tr2bl w:val="nil"/>
                  </w:tcBorders>
                  <w:noWrap w:val="0"/>
                  <w:vAlign w:val="center"/>
                </w:tcPr>
                <w:p w14:paraId="6D9FAF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二甲苯</w:t>
                  </w:r>
                </w:p>
              </w:tc>
              <w:tc>
                <w:tcPr>
                  <w:tcW w:w="1602" w:type="dxa"/>
                  <w:gridSpan w:val="3"/>
                  <w:tcBorders>
                    <w:tl2br w:val="nil"/>
                    <w:tr2bl w:val="nil"/>
                  </w:tcBorders>
                  <w:noWrap w:val="0"/>
                  <w:vAlign w:val="center"/>
                </w:tcPr>
                <w:p w14:paraId="04A429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醋酸丁酯</w:t>
                  </w:r>
                </w:p>
              </w:tc>
            </w:tr>
            <w:tr w14:paraId="510CFB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77" w:type="dxa"/>
                  <w:tcBorders>
                    <w:tl2br w:val="nil"/>
                    <w:tr2bl w:val="nil"/>
                  </w:tcBorders>
                  <w:noWrap w:val="0"/>
                  <w:vAlign w:val="center"/>
                </w:tcPr>
                <w:p w14:paraId="42770E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含量%</w:t>
                  </w:r>
                </w:p>
              </w:tc>
              <w:tc>
                <w:tcPr>
                  <w:tcW w:w="1851" w:type="dxa"/>
                  <w:gridSpan w:val="4"/>
                  <w:tcBorders>
                    <w:tl2br w:val="nil"/>
                    <w:tr2bl w:val="nil"/>
                  </w:tcBorders>
                  <w:noWrap w:val="0"/>
                  <w:vAlign w:val="center"/>
                </w:tcPr>
                <w:p w14:paraId="580086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58</w:t>
                  </w:r>
                </w:p>
              </w:tc>
              <w:tc>
                <w:tcPr>
                  <w:tcW w:w="1545" w:type="dxa"/>
                  <w:gridSpan w:val="4"/>
                  <w:tcBorders>
                    <w:tl2br w:val="nil"/>
                    <w:tr2bl w:val="nil"/>
                  </w:tcBorders>
                  <w:noWrap w:val="0"/>
                  <w:vAlign w:val="center"/>
                </w:tcPr>
                <w:p w14:paraId="129720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6</w:t>
                  </w:r>
                </w:p>
              </w:tc>
              <w:tc>
                <w:tcPr>
                  <w:tcW w:w="1261" w:type="dxa"/>
                  <w:gridSpan w:val="4"/>
                  <w:tcBorders>
                    <w:tl2br w:val="nil"/>
                    <w:tr2bl w:val="nil"/>
                  </w:tcBorders>
                  <w:noWrap w:val="0"/>
                  <w:vAlign w:val="center"/>
                </w:tcPr>
                <w:p w14:paraId="5D3FDC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6</w:t>
                  </w:r>
                </w:p>
              </w:tc>
              <w:tc>
                <w:tcPr>
                  <w:tcW w:w="1155" w:type="dxa"/>
                  <w:gridSpan w:val="4"/>
                  <w:tcBorders>
                    <w:tl2br w:val="nil"/>
                    <w:tr2bl w:val="nil"/>
                  </w:tcBorders>
                  <w:noWrap w:val="0"/>
                  <w:vAlign w:val="center"/>
                </w:tcPr>
                <w:p w14:paraId="113A12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5</w:t>
                  </w:r>
                </w:p>
              </w:tc>
              <w:tc>
                <w:tcPr>
                  <w:tcW w:w="1602" w:type="dxa"/>
                  <w:gridSpan w:val="3"/>
                  <w:tcBorders>
                    <w:tl2br w:val="nil"/>
                    <w:tr2bl w:val="nil"/>
                  </w:tcBorders>
                  <w:noWrap w:val="0"/>
                  <w:vAlign w:val="center"/>
                </w:tcPr>
                <w:p w14:paraId="0B9ACE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25</w:t>
                  </w:r>
                </w:p>
              </w:tc>
            </w:tr>
          </w:tbl>
          <w:p w14:paraId="5F68EFB4">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cs="Times New Roman"/>
                <w:b/>
                <w:bCs/>
                <w:color w:val="auto"/>
                <w:sz w:val="21"/>
                <w:szCs w:val="21"/>
                <w:lang w:val="en-US" w:eastAsia="zh-CN"/>
              </w:rPr>
              <w:t>10</w:t>
            </w:r>
            <w:r>
              <w:rPr>
                <w:rFonts w:hint="default" w:ascii="Times New Roman" w:hAnsi="Times New Roman" w:eastAsia="宋体" w:cs="Times New Roman"/>
                <w:b/>
                <w:bCs/>
                <w:color w:val="auto"/>
                <w:sz w:val="21"/>
                <w:szCs w:val="21"/>
              </w:rPr>
              <w:t xml:space="preserve">  稀释剂各组分含量表</w:t>
            </w:r>
          </w:p>
          <w:tbl>
            <w:tblPr>
              <w:tblStyle w:val="20"/>
              <w:tblW w:w="78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943"/>
              <w:gridCol w:w="935"/>
              <w:gridCol w:w="1314"/>
              <w:gridCol w:w="915"/>
              <w:gridCol w:w="1095"/>
              <w:gridCol w:w="1005"/>
            </w:tblGrid>
            <w:tr w14:paraId="4F248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0" w:type="dxa"/>
                  <w:tcBorders>
                    <w:tl2br w:val="nil"/>
                    <w:tr2bl w:val="nil"/>
                  </w:tcBorders>
                  <w:noWrap w:val="0"/>
                  <w:vAlign w:val="center"/>
                </w:tcPr>
                <w:p w14:paraId="30A9010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943" w:type="dxa"/>
                  <w:tcBorders>
                    <w:tl2br w:val="nil"/>
                    <w:tr2bl w:val="nil"/>
                  </w:tcBorders>
                  <w:noWrap w:val="0"/>
                  <w:vAlign w:val="center"/>
                </w:tcPr>
                <w:p w14:paraId="6BD7185C">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异丁醇</w:t>
                  </w:r>
                </w:p>
              </w:tc>
              <w:tc>
                <w:tcPr>
                  <w:tcW w:w="935" w:type="dxa"/>
                  <w:tcBorders>
                    <w:tl2br w:val="nil"/>
                    <w:tr2bl w:val="nil"/>
                  </w:tcBorders>
                  <w:noWrap w:val="0"/>
                  <w:vAlign w:val="center"/>
                </w:tcPr>
                <w:p w14:paraId="06198D0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环己酮</w:t>
                  </w:r>
                </w:p>
              </w:tc>
              <w:tc>
                <w:tcPr>
                  <w:tcW w:w="1314" w:type="dxa"/>
                  <w:tcBorders>
                    <w:tl2br w:val="nil"/>
                    <w:tr2bl w:val="nil"/>
                  </w:tcBorders>
                  <w:noWrap w:val="0"/>
                  <w:vAlign w:val="center"/>
                </w:tcPr>
                <w:p w14:paraId="5F8BA15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二丙酮醇</w:t>
                  </w:r>
                </w:p>
              </w:tc>
              <w:tc>
                <w:tcPr>
                  <w:tcW w:w="915" w:type="dxa"/>
                  <w:tcBorders>
                    <w:tl2br w:val="nil"/>
                    <w:tr2bl w:val="nil"/>
                  </w:tcBorders>
                  <w:noWrap w:val="0"/>
                  <w:vAlign w:val="center"/>
                </w:tcPr>
                <w:p w14:paraId="2BCCCB2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苯</w:t>
                  </w:r>
                </w:p>
              </w:tc>
              <w:tc>
                <w:tcPr>
                  <w:tcW w:w="1095" w:type="dxa"/>
                  <w:tcBorders>
                    <w:tl2br w:val="nil"/>
                    <w:tr2bl w:val="nil"/>
                  </w:tcBorders>
                  <w:noWrap w:val="0"/>
                  <w:vAlign w:val="center"/>
                </w:tcPr>
                <w:p w14:paraId="028FE24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甲苯</w:t>
                  </w:r>
                </w:p>
              </w:tc>
              <w:tc>
                <w:tcPr>
                  <w:tcW w:w="1005" w:type="dxa"/>
                  <w:tcBorders>
                    <w:tl2br w:val="nil"/>
                    <w:tr2bl w:val="nil"/>
                  </w:tcBorders>
                  <w:noWrap w:val="0"/>
                  <w:vAlign w:val="center"/>
                </w:tcPr>
                <w:p w14:paraId="1474C40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二甲苯</w:t>
                  </w:r>
                </w:p>
              </w:tc>
            </w:tr>
            <w:tr w14:paraId="69E45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0" w:type="dxa"/>
                  <w:tcBorders>
                    <w:tl2br w:val="nil"/>
                    <w:tr2bl w:val="nil"/>
                  </w:tcBorders>
                  <w:noWrap w:val="0"/>
                  <w:vAlign w:val="center"/>
                </w:tcPr>
                <w:p w14:paraId="39496FA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稀释剂含量%</w:t>
                  </w:r>
                </w:p>
              </w:tc>
              <w:tc>
                <w:tcPr>
                  <w:tcW w:w="943" w:type="dxa"/>
                  <w:tcBorders>
                    <w:tl2br w:val="nil"/>
                    <w:tr2bl w:val="nil"/>
                  </w:tcBorders>
                  <w:noWrap w:val="0"/>
                  <w:vAlign w:val="center"/>
                </w:tcPr>
                <w:p w14:paraId="4FF81E7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36</w:t>
                  </w:r>
                </w:p>
              </w:tc>
              <w:tc>
                <w:tcPr>
                  <w:tcW w:w="935" w:type="dxa"/>
                  <w:tcBorders>
                    <w:tl2br w:val="nil"/>
                    <w:tr2bl w:val="nil"/>
                  </w:tcBorders>
                  <w:noWrap w:val="0"/>
                  <w:vAlign w:val="center"/>
                </w:tcPr>
                <w:p w14:paraId="390E7A3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1314" w:type="dxa"/>
                  <w:tcBorders>
                    <w:tl2br w:val="nil"/>
                    <w:tr2bl w:val="nil"/>
                  </w:tcBorders>
                  <w:noWrap w:val="0"/>
                  <w:vAlign w:val="center"/>
                </w:tcPr>
                <w:p w14:paraId="253B979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915" w:type="dxa"/>
                  <w:tcBorders>
                    <w:tl2br w:val="nil"/>
                    <w:tr2bl w:val="nil"/>
                  </w:tcBorders>
                  <w:noWrap w:val="0"/>
                  <w:vAlign w:val="center"/>
                </w:tcPr>
                <w:p w14:paraId="1F8BFFE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1095" w:type="dxa"/>
                  <w:tcBorders>
                    <w:tl2br w:val="nil"/>
                    <w:tr2bl w:val="nil"/>
                  </w:tcBorders>
                  <w:noWrap w:val="0"/>
                  <w:vAlign w:val="center"/>
                </w:tcPr>
                <w:p w14:paraId="595EEED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1005" w:type="dxa"/>
                  <w:tcBorders>
                    <w:tl2br w:val="nil"/>
                    <w:tr2bl w:val="nil"/>
                  </w:tcBorders>
                  <w:noWrap w:val="0"/>
                  <w:vAlign w:val="center"/>
                </w:tcPr>
                <w:p w14:paraId="3AE8B2C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bl>
          <w:p w14:paraId="24CED6EF">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21"/>
                <w:szCs w:val="21"/>
              </w:rPr>
              <w:t>表</w:t>
            </w:r>
            <w:r>
              <w:rPr>
                <w:rFonts w:hint="eastAsia" w:cs="Times New Roman"/>
                <w:b/>
                <w:bCs/>
                <w:color w:val="auto"/>
                <w:sz w:val="21"/>
                <w:szCs w:val="21"/>
                <w:lang w:val="en-US" w:eastAsia="zh-CN"/>
              </w:rPr>
              <w:t>11</w:t>
            </w:r>
            <w:r>
              <w:rPr>
                <w:rFonts w:hint="default" w:ascii="Times New Roman" w:hAnsi="Times New Roman" w:eastAsia="宋体" w:cs="Times New Roman"/>
                <w:b/>
                <w:bCs/>
                <w:color w:val="auto"/>
                <w:sz w:val="21"/>
                <w:szCs w:val="21"/>
              </w:rPr>
              <w:t xml:space="preserve">  </w:t>
            </w:r>
            <w:r>
              <w:rPr>
                <w:rFonts w:hint="default" w:ascii="Times New Roman" w:hAnsi="Times New Roman" w:eastAsia="宋体" w:cs="Times New Roman"/>
                <w:b/>
                <w:bCs/>
                <w:color w:val="auto"/>
                <w:sz w:val="21"/>
                <w:szCs w:val="21"/>
                <w:lang w:eastAsia="zh-CN"/>
              </w:rPr>
              <w:t>固化</w:t>
            </w:r>
            <w:r>
              <w:rPr>
                <w:rFonts w:hint="default" w:ascii="Times New Roman" w:hAnsi="Times New Roman" w:eastAsia="宋体" w:cs="Times New Roman"/>
                <w:b/>
                <w:bCs/>
                <w:color w:val="auto"/>
                <w:sz w:val="21"/>
                <w:szCs w:val="21"/>
              </w:rPr>
              <w:t>剂各组分含量表</w:t>
            </w:r>
          </w:p>
          <w:tbl>
            <w:tblPr>
              <w:tblStyle w:val="20"/>
              <w:tblW w:w="67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2401"/>
              <w:gridCol w:w="2200"/>
            </w:tblGrid>
            <w:tr w14:paraId="74A22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3" w:type="dxa"/>
                  <w:tcBorders>
                    <w:tl2br w:val="nil"/>
                    <w:tr2bl w:val="nil"/>
                  </w:tcBorders>
                  <w:noWrap w:val="0"/>
                  <w:vAlign w:val="center"/>
                </w:tcPr>
                <w:p w14:paraId="2719421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401" w:type="dxa"/>
                  <w:tcBorders>
                    <w:tl2br w:val="nil"/>
                    <w:tr2bl w:val="nil"/>
                  </w:tcBorders>
                  <w:noWrap w:val="0"/>
                  <w:vAlign w:val="center"/>
                </w:tcPr>
                <w:p w14:paraId="5E3BC42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异氰酸酯</w:t>
                  </w:r>
                </w:p>
              </w:tc>
              <w:tc>
                <w:tcPr>
                  <w:tcW w:w="2200" w:type="dxa"/>
                  <w:tcBorders>
                    <w:tl2br w:val="nil"/>
                    <w:tr2bl w:val="nil"/>
                  </w:tcBorders>
                  <w:noWrap w:val="0"/>
                  <w:vAlign w:val="center"/>
                </w:tcPr>
                <w:p w14:paraId="6BBF9D6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丁酯</w:t>
                  </w:r>
                </w:p>
              </w:tc>
            </w:tr>
            <w:tr w14:paraId="2FFCE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23" w:type="dxa"/>
                  <w:tcBorders>
                    <w:tl2br w:val="nil"/>
                    <w:tr2bl w:val="nil"/>
                  </w:tcBorders>
                  <w:noWrap w:val="0"/>
                  <w:vAlign w:val="center"/>
                </w:tcPr>
                <w:p w14:paraId="5A5C879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固化剂</w:t>
                  </w:r>
                  <w:r>
                    <w:rPr>
                      <w:rFonts w:hint="default" w:ascii="Times New Roman" w:hAnsi="Times New Roman" w:eastAsia="宋体" w:cs="Times New Roman"/>
                      <w:sz w:val="21"/>
                      <w:szCs w:val="21"/>
                    </w:rPr>
                    <w:t>含量%</w:t>
                  </w:r>
                </w:p>
              </w:tc>
              <w:tc>
                <w:tcPr>
                  <w:tcW w:w="2401" w:type="dxa"/>
                  <w:tcBorders>
                    <w:tl2br w:val="nil"/>
                    <w:tr2bl w:val="nil"/>
                  </w:tcBorders>
                  <w:noWrap w:val="0"/>
                  <w:vAlign w:val="center"/>
                </w:tcPr>
                <w:p w14:paraId="2FC37D3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76</w:t>
                  </w:r>
                </w:p>
              </w:tc>
              <w:tc>
                <w:tcPr>
                  <w:tcW w:w="2200" w:type="dxa"/>
                  <w:tcBorders>
                    <w:tl2br w:val="nil"/>
                    <w:tr2bl w:val="nil"/>
                  </w:tcBorders>
                  <w:noWrap w:val="0"/>
                  <w:vAlign w:val="center"/>
                </w:tcPr>
                <w:p w14:paraId="2D88E588">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24</w:t>
                  </w:r>
                </w:p>
              </w:tc>
            </w:tr>
          </w:tbl>
          <w:p w14:paraId="29506AD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cs="Times New Roman"/>
                <w:b/>
                <w:bCs/>
                <w:color w:val="auto"/>
                <w:sz w:val="21"/>
                <w:szCs w:val="21"/>
                <w:lang w:val="en-US" w:eastAsia="zh-CN"/>
              </w:rPr>
              <w:t>12</w:t>
            </w:r>
            <w:r>
              <w:rPr>
                <w:rFonts w:hint="default" w:ascii="Times New Roman" w:hAnsi="Times New Roman" w:eastAsia="宋体" w:cs="Times New Roman"/>
                <w:b/>
                <w:bCs/>
                <w:color w:val="auto"/>
                <w:sz w:val="21"/>
                <w:szCs w:val="21"/>
              </w:rPr>
              <w:t xml:space="preserve"> </w:t>
            </w:r>
            <w:r>
              <w:rPr>
                <w:rFonts w:hint="eastAsia" w:cs="Times New Roman"/>
                <w:b/>
                <w:bCs/>
                <w:color w:val="auto"/>
                <w:sz w:val="21"/>
                <w:szCs w:val="21"/>
                <w:lang w:val="en-US" w:eastAsia="zh-CN"/>
              </w:rPr>
              <w:t xml:space="preserve"> 水性漆</w:t>
            </w:r>
            <w:r>
              <w:rPr>
                <w:rFonts w:hint="default" w:ascii="Times New Roman" w:hAnsi="Times New Roman" w:eastAsia="宋体" w:cs="Times New Roman"/>
                <w:b/>
                <w:bCs/>
                <w:color w:val="auto"/>
                <w:sz w:val="21"/>
                <w:szCs w:val="21"/>
              </w:rPr>
              <w:t>各组分含量表</w:t>
            </w:r>
          </w:p>
          <w:tbl>
            <w:tblPr>
              <w:tblStyle w:val="20"/>
              <w:tblW w:w="696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156"/>
              <w:gridCol w:w="1254"/>
              <w:gridCol w:w="1255"/>
              <w:gridCol w:w="1503"/>
              <w:gridCol w:w="1795"/>
            </w:tblGrid>
            <w:tr w14:paraId="7DE1AA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63" w:type="dxa"/>
                  <w:gridSpan w:val="5"/>
                  <w:tcBorders>
                    <w:tl2br w:val="nil"/>
                    <w:tr2bl w:val="nil"/>
                  </w:tcBorders>
                  <w:noWrap w:val="0"/>
                  <w:vAlign w:val="center"/>
                </w:tcPr>
                <w:p w14:paraId="24F6B9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b/>
                      <w:bCs/>
                      <w:sz w:val="21"/>
                      <w:szCs w:val="21"/>
                      <w:lang w:val="en-US" w:eastAsia="zh-CN"/>
                    </w:rPr>
                    <w:t>底漆</w:t>
                  </w:r>
                </w:p>
              </w:tc>
            </w:tr>
            <w:tr w14:paraId="390A46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56" w:type="dxa"/>
                  <w:tcBorders>
                    <w:tl2br w:val="nil"/>
                    <w:tr2bl w:val="nil"/>
                  </w:tcBorders>
                  <w:noWrap w:val="0"/>
                  <w:vAlign w:val="center"/>
                </w:tcPr>
                <w:p w14:paraId="3EAED5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名称</w:t>
                  </w:r>
                </w:p>
              </w:tc>
              <w:tc>
                <w:tcPr>
                  <w:tcW w:w="1254" w:type="dxa"/>
                  <w:tcBorders>
                    <w:tl2br w:val="nil"/>
                    <w:tr2bl w:val="nil"/>
                  </w:tcBorders>
                  <w:noWrap w:val="0"/>
                  <w:vAlign w:val="center"/>
                </w:tcPr>
                <w:p w14:paraId="07C6ED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聚氨酯</w:t>
                  </w:r>
                </w:p>
              </w:tc>
              <w:tc>
                <w:tcPr>
                  <w:tcW w:w="1255" w:type="dxa"/>
                  <w:tcBorders>
                    <w:tl2br w:val="nil"/>
                    <w:tr2bl w:val="nil"/>
                  </w:tcBorders>
                  <w:noWrap w:val="0"/>
                  <w:vAlign w:val="center"/>
                </w:tcPr>
                <w:p w14:paraId="59502A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填料</w:t>
                  </w:r>
                </w:p>
              </w:tc>
              <w:tc>
                <w:tcPr>
                  <w:tcW w:w="1503" w:type="dxa"/>
                  <w:tcBorders>
                    <w:tl2br w:val="nil"/>
                    <w:tr2bl w:val="nil"/>
                  </w:tcBorders>
                  <w:noWrap w:val="0"/>
                  <w:vAlign w:val="center"/>
                </w:tcPr>
                <w:p w14:paraId="00B008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cs="Times New Roman"/>
                      <w:sz w:val="21"/>
                      <w:szCs w:val="21"/>
                      <w:lang w:val="en-US" w:eastAsia="zh-CN"/>
                    </w:rPr>
                    <w:t>丁醇</w:t>
                  </w:r>
                </w:p>
              </w:tc>
              <w:tc>
                <w:tcPr>
                  <w:tcW w:w="1795" w:type="dxa"/>
                  <w:tcBorders>
                    <w:tl2br w:val="nil"/>
                    <w:tr2bl w:val="nil"/>
                  </w:tcBorders>
                  <w:noWrap w:val="0"/>
                  <w:vAlign w:val="center"/>
                </w:tcPr>
                <w:p w14:paraId="04E779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其他</w:t>
                  </w:r>
                </w:p>
              </w:tc>
            </w:tr>
            <w:tr w14:paraId="550ADB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56" w:type="dxa"/>
                  <w:tcBorders>
                    <w:tl2br w:val="nil"/>
                    <w:tr2bl w:val="nil"/>
                  </w:tcBorders>
                  <w:noWrap w:val="0"/>
                  <w:vAlign w:val="center"/>
                </w:tcPr>
                <w:p w14:paraId="17C42D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含量%</w:t>
                  </w:r>
                </w:p>
              </w:tc>
              <w:tc>
                <w:tcPr>
                  <w:tcW w:w="1254" w:type="dxa"/>
                  <w:tcBorders>
                    <w:tl2br w:val="nil"/>
                    <w:tr2bl w:val="nil"/>
                  </w:tcBorders>
                  <w:noWrap w:val="0"/>
                  <w:vAlign w:val="center"/>
                </w:tcPr>
                <w:p w14:paraId="2E7B28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w:t>
                  </w:r>
                </w:p>
              </w:tc>
              <w:tc>
                <w:tcPr>
                  <w:tcW w:w="1255" w:type="dxa"/>
                  <w:tcBorders>
                    <w:tl2br w:val="nil"/>
                    <w:tr2bl w:val="nil"/>
                  </w:tcBorders>
                  <w:noWrap w:val="0"/>
                  <w:vAlign w:val="center"/>
                </w:tcPr>
                <w:p w14:paraId="46014A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37</w:t>
                  </w:r>
                </w:p>
              </w:tc>
              <w:tc>
                <w:tcPr>
                  <w:tcW w:w="1503" w:type="dxa"/>
                  <w:tcBorders>
                    <w:tl2br w:val="nil"/>
                    <w:tr2bl w:val="nil"/>
                  </w:tcBorders>
                  <w:noWrap w:val="0"/>
                  <w:vAlign w:val="center"/>
                </w:tcPr>
                <w:p w14:paraId="2379DB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2.6</w:t>
                  </w:r>
                </w:p>
              </w:tc>
              <w:tc>
                <w:tcPr>
                  <w:tcW w:w="1795" w:type="dxa"/>
                  <w:tcBorders>
                    <w:tl2br w:val="nil"/>
                    <w:tr2bl w:val="nil"/>
                  </w:tcBorders>
                  <w:noWrap w:val="0"/>
                  <w:vAlign w:val="center"/>
                </w:tcPr>
                <w:p w14:paraId="032EA7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10.4</w:t>
                  </w:r>
                </w:p>
              </w:tc>
            </w:tr>
            <w:tr w14:paraId="7490B2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63" w:type="dxa"/>
                  <w:gridSpan w:val="5"/>
                  <w:tcBorders>
                    <w:tl2br w:val="nil"/>
                    <w:tr2bl w:val="nil"/>
                  </w:tcBorders>
                  <w:noWrap w:val="0"/>
                  <w:vAlign w:val="center"/>
                </w:tcPr>
                <w:p w14:paraId="0E6A31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b/>
                      <w:bCs/>
                      <w:color w:val="auto"/>
                      <w:sz w:val="21"/>
                      <w:szCs w:val="21"/>
                      <w:lang w:val="en-US" w:eastAsia="zh-CN"/>
                    </w:rPr>
                    <w:t>面</w:t>
                  </w:r>
                  <w:r>
                    <w:rPr>
                      <w:rFonts w:hint="default" w:ascii="Times New Roman" w:hAnsi="Times New Roman" w:eastAsia="宋体" w:cs="Times New Roman"/>
                      <w:b/>
                      <w:bCs/>
                      <w:color w:val="auto"/>
                      <w:sz w:val="21"/>
                      <w:szCs w:val="21"/>
                    </w:rPr>
                    <w:t>漆</w:t>
                  </w:r>
                </w:p>
              </w:tc>
            </w:tr>
            <w:tr w14:paraId="694CB6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56" w:type="dxa"/>
                  <w:tcBorders>
                    <w:tl2br w:val="nil"/>
                    <w:tr2bl w:val="nil"/>
                  </w:tcBorders>
                  <w:noWrap w:val="0"/>
                  <w:vAlign w:val="center"/>
                </w:tcPr>
                <w:p w14:paraId="6338CC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名称</w:t>
                  </w:r>
                </w:p>
              </w:tc>
              <w:tc>
                <w:tcPr>
                  <w:tcW w:w="1254" w:type="dxa"/>
                  <w:tcBorders>
                    <w:tl2br w:val="nil"/>
                    <w:tr2bl w:val="nil"/>
                  </w:tcBorders>
                  <w:noWrap w:val="0"/>
                  <w:vAlign w:val="center"/>
                </w:tcPr>
                <w:p w14:paraId="05034A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聚氨酯</w:t>
                  </w:r>
                </w:p>
              </w:tc>
              <w:tc>
                <w:tcPr>
                  <w:tcW w:w="1255" w:type="dxa"/>
                  <w:tcBorders>
                    <w:tl2br w:val="nil"/>
                    <w:tr2bl w:val="nil"/>
                  </w:tcBorders>
                  <w:noWrap w:val="0"/>
                  <w:vAlign w:val="center"/>
                </w:tcPr>
                <w:p w14:paraId="175BF1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填料</w:t>
                  </w:r>
                </w:p>
              </w:tc>
              <w:tc>
                <w:tcPr>
                  <w:tcW w:w="1503" w:type="dxa"/>
                  <w:tcBorders>
                    <w:tl2br w:val="nil"/>
                    <w:tr2bl w:val="nil"/>
                  </w:tcBorders>
                  <w:noWrap w:val="0"/>
                  <w:vAlign w:val="center"/>
                </w:tcPr>
                <w:p w14:paraId="39E242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乙酸丁酯</w:t>
                  </w:r>
                </w:p>
              </w:tc>
              <w:tc>
                <w:tcPr>
                  <w:tcW w:w="1795" w:type="dxa"/>
                  <w:tcBorders>
                    <w:tl2br w:val="nil"/>
                    <w:tr2bl w:val="nil"/>
                  </w:tcBorders>
                  <w:noWrap w:val="0"/>
                  <w:vAlign w:val="center"/>
                </w:tcPr>
                <w:p w14:paraId="3D5AA9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其他</w:t>
                  </w:r>
                </w:p>
              </w:tc>
            </w:tr>
            <w:tr w14:paraId="7AA825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56" w:type="dxa"/>
                  <w:tcBorders>
                    <w:tl2br w:val="nil"/>
                    <w:tr2bl w:val="nil"/>
                  </w:tcBorders>
                  <w:noWrap w:val="0"/>
                  <w:vAlign w:val="center"/>
                </w:tcPr>
                <w:p w14:paraId="06DC22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含量%</w:t>
                  </w:r>
                </w:p>
              </w:tc>
              <w:tc>
                <w:tcPr>
                  <w:tcW w:w="1254" w:type="dxa"/>
                  <w:tcBorders>
                    <w:tl2br w:val="nil"/>
                    <w:tr2bl w:val="nil"/>
                  </w:tcBorders>
                  <w:noWrap w:val="0"/>
                  <w:vAlign w:val="center"/>
                </w:tcPr>
                <w:p w14:paraId="2A7D8C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41.7</w:t>
                  </w:r>
                </w:p>
              </w:tc>
              <w:tc>
                <w:tcPr>
                  <w:tcW w:w="1255" w:type="dxa"/>
                  <w:tcBorders>
                    <w:tl2br w:val="nil"/>
                    <w:tr2bl w:val="nil"/>
                  </w:tcBorders>
                  <w:noWrap w:val="0"/>
                  <w:vAlign w:val="center"/>
                </w:tcPr>
                <w:p w14:paraId="1B205C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43.5</w:t>
                  </w:r>
                </w:p>
              </w:tc>
              <w:tc>
                <w:tcPr>
                  <w:tcW w:w="1503" w:type="dxa"/>
                  <w:tcBorders>
                    <w:tl2br w:val="nil"/>
                    <w:tr2bl w:val="nil"/>
                  </w:tcBorders>
                  <w:noWrap w:val="0"/>
                  <w:vAlign w:val="center"/>
                </w:tcPr>
                <w:p w14:paraId="1AA03E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2.0</w:t>
                  </w:r>
                </w:p>
              </w:tc>
              <w:tc>
                <w:tcPr>
                  <w:tcW w:w="1795" w:type="dxa"/>
                  <w:tcBorders>
                    <w:tl2br w:val="nil"/>
                    <w:tr2bl w:val="nil"/>
                  </w:tcBorders>
                  <w:noWrap w:val="0"/>
                  <w:vAlign w:val="center"/>
                </w:tcPr>
                <w:p w14:paraId="6836F9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12.8</w:t>
                  </w:r>
                </w:p>
              </w:tc>
            </w:tr>
            <w:tr w14:paraId="55001F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63" w:type="dxa"/>
                  <w:gridSpan w:val="5"/>
                  <w:tcBorders>
                    <w:tl2br w:val="nil"/>
                    <w:tr2bl w:val="nil"/>
                  </w:tcBorders>
                  <w:noWrap w:val="0"/>
                  <w:vAlign w:val="center"/>
                </w:tcPr>
                <w:p w14:paraId="778121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b/>
                      <w:bCs/>
                      <w:color w:val="auto"/>
                      <w:sz w:val="21"/>
                      <w:szCs w:val="21"/>
                      <w:lang w:val="en-US" w:eastAsia="zh-CN"/>
                    </w:rPr>
                    <w:t>清</w:t>
                  </w:r>
                  <w:r>
                    <w:rPr>
                      <w:rFonts w:hint="default" w:ascii="Times New Roman" w:hAnsi="Times New Roman" w:eastAsia="宋体" w:cs="Times New Roman"/>
                      <w:b/>
                      <w:bCs/>
                      <w:color w:val="auto"/>
                      <w:sz w:val="21"/>
                      <w:szCs w:val="21"/>
                    </w:rPr>
                    <w:t>漆</w:t>
                  </w:r>
                </w:p>
              </w:tc>
            </w:tr>
            <w:tr w14:paraId="62D479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56" w:type="dxa"/>
                  <w:tcBorders>
                    <w:tl2br w:val="nil"/>
                    <w:tr2bl w:val="nil"/>
                  </w:tcBorders>
                  <w:noWrap w:val="0"/>
                  <w:vAlign w:val="center"/>
                </w:tcPr>
                <w:p w14:paraId="1EDB81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名称</w:t>
                  </w:r>
                </w:p>
              </w:tc>
              <w:tc>
                <w:tcPr>
                  <w:tcW w:w="1254" w:type="dxa"/>
                  <w:tcBorders>
                    <w:tl2br w:val="nil"/>
                    <w:tr2bl w:val="nil"/>
                  </w:tcBorders>
                  <w:noWrap w:val="0"/>
                  <w:vAlign w:val="center"/>
                </w:tcPr>
                <w:p w14:paraId="4C3364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聚氨酯</w:t>
                  </w:r>
                </w:p>
              </w:tc>
              <w:tc>
                <w:tcPr>
                  <w:tcW w:w="1255" w:type="dxa"/>
                  <w:tcBorders>
                    <w:tl2br w:val="nil"/>
                    <w:tr2bl w:val="nil"/>
                  </w:tcBorders>
                  <w:noWrap w:val="0"/>
                  <w:vAlign w:val="center"/>
                </w:tcPr>
                <w:p w14:paraId="4B1DF3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填料</w:t>
                  </w:r>
                </w:p>
              </w:tc>
              <w:tc>
                <w:tcPr>
                  <w:tcW w:w="1503" w:type="dxa"/>
                  <w:tcBorders>
                    <w:tl2br w:val="nil"/>
                    <w:tr2bl w:val="nil"/>
                  </w:tcBorders>
                  <w:noWrap w:val="0"/>
                  <w:vAlign w:val="center"/>
                </w:tcPr>
                <w:p w14:paraId="3F95F7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丙二醇</w:t>
                  </w:r>
                </w:p>
              </w:tc>
              <w:tc>
                <w:tcPr>
                  <w:tcW w:w="1795" w:type="dxa"/>
                  <w:tcBorders>
                    <w:tl2br w:val="nil"/>
                    <w:tr2bl w:val="nil"/>
                  </w:tcBorders>
                  <w:noWrap w:val="0"/>
                  <w:vAlign w:val="center"/>
                </w:tcPr>
                <w:p w14:paraId="27AB3E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其他</w:t>
                  </w:r>
                </w:p>
              </w:tc>
            </w:tr>
            <w:tr w14:paraId="477F04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56" w:type="dxa"/>
                  <w:tcBorders>
                    <w:tl2br w:val="nil"/>
                    <w:tr2bl w:val="nil"/>
                  </w:tcBorders>
                  <w:noWrap w:val="0"/>
                  <w:vAlign w:val="center"/>
                </w:tcPr>
                <w:p w14:paraId="43A697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含量%</w:t>
                  </w:r>
                </w:p>
              </w:tc>
              <w:tc>
                <w:tcPr>
                  <w:tcW w:w="1254" w:type="dxa"/>
                  <w:tcBorders>
                    <w:tl2br w:val="nil"/>
                    <w:tr2bl w:val="nil"/>
                  </w:tcBorders>
                  <w:noWrap w:val="0"/>
                  <w:vAlign w:val="center"/>
                </w:tcPr>
                <w:p w14:paraId="24C55E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48</w:t>
                  </w:r>
                </w:p>
              </w:tc>
              <w:tc>
                <w:tcPr>
                  <w:tcW w:w="1255" w:type="dxa"/>
                  <w:tcBorders>
                    <w:tl2br w:val="nil"/>
                    <w:tr2bl w:val="nil"/>
                  </w:tcBorders>
                  <w:noWrap w:val="0"/>
                  <w:vAlign w:val="center"/>
                </w:tcPr>
                <w:p w14:paraId="540C4A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37</w:t>
                  </w:r>
                </w:p>
              </w:tc>
              <w:tc>
                <w:tcPr>
                  <w:tcW w:w="1503" w:type="dxa"/>
                  <w:tcBorders>
                    <w:tl2br w:val="nil"/>
                    <w:tr2bl w:val="nil"/>
                  </w:tcBorders>
                  <w:noWrap w:val="0"/>
                  <w:vAlign w:val="center"/>
                </w:tcPr>
                <w:p w14:paraId="388245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8</w:t>
                  </w:r>
                </w:p>
              </w:tc>
              <w:tc>
                <w:tcPr>
                  <w:tcW w:w="1795" w:type="dxa"/>
                  <w:tcBorders>
                    <w:tl2br w:val="nil"/>
                    <w:tr2bl w:val="nil"/>
                  </w:tcBorders>
                  <w:noWrap w:val="0"/>
                  <w:vAlign w:val="center"/>
                </w:tcPr>
                <w:p w14:paraId="241909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7</w:t>
                  </w:r>
                </w:p>
              </w:tc>
            </w:tr>
          </w:tbl>
          <w:p w14:paraId="7BBD537A">
            <w:pPr>
              <w:bidi w:val="0"/>
              <w:rPr>
                <w:rFonts w:hint="eastAsia" w:ascii="Times New Roman" w:hAnsi="Times New Roman" w:eastAsia="宋体" w:cs="Times New Roman"/>
                <w:color w:val="auto"/>
                <w:sz w:val="24"/>
                <w:szCs w:val="24"/>
                <w:highlight w:val="yellow"/>
                <w:lang w:val="en-US" w:eastAsia="zh-CN"/>
              </w:rPr>
            </w:pPr>
            <w:r>
              <w:rPr>
                <w:rFonts w:hint="eastAsia"/>
                <w:color w:val="auto"/>
                <w:lang w:eastAsia="zh-CN"/>
              </w:rPr>
              <w:t>根据</w:t>
            </w:r>
            <w:r>
              <w:rPr>
                <w:rFonts w:hint="eastAsia"/>
                <w:color w:val="auto"/>
                <w:lang w:val="en-US" w:eastAsia="zh-CN"/>
              </w:rPr>
              <w:t>建设单位</w:t>
            </w:r>
            <w:r>
              <w:rPr>
                <w:rFonts w:hint="eastAsia"/>
                <w:color w:val="auto"/>
                <w:lang w:eastAsia="zh-CN"/>
              </w:rPr>
              <w:t>提供的检验报告</w:t>
            </w:r>
            <w:r>
              <w:rPr>
                <w:rFonts w:hint="eastAsia"/>
                <w:color w:val="auto"/>
                <w:lang w:val="en-US" w:eastAsia="zh-CN"/>
              </w:rPr>
              <w:t>可知</w:t>
            </w:r>
            <w:r>
              <w:rPr>
                <w:rFonts w:hint="eastAsia"/>
                <w:color w:val="auto"/>
                <w:lang w:eastAsia="zh-CN"/>
              </w:rPr>
              <w:t>，本项目</w:t>
            </w:r>
            <w:r>
              <w:rPr>
                <w:rFonts w:hint="eastAsia"/>
                <w:color w:val="auto"/>
                <w:lang w:val="en-US" w:eastAsia="zh-CN"/>
              </w:rPr>
              <w:t>使用的</w:t>
            </w:r>
            <w:r>
              <w:rPr>
                <w:rFonts w:hint="eastAsia"/>
                <w:lang w:eastAsia="zh-CN"/>
              </w:rPr>
              <w:t>水性漆挥发性有机物含量为</w:t>
            </w:r>
            <w:r>
              <w:rPr>
                <w:rFonts w:hint="eastAsia"/>
                <w:lang w:val="en-US" w:eastAsia="zh-CN"/>
              </w:rPr>
              <w:t>138</w:t>
            </w:r>
            <w:r>
              <w:rPr>
                <w:rFonts w:hint="eastAsia"/>
                <w:lang w:eastAsia="zh-CN"/>
              </w:rPr>
              <w:t>g/L，满足《低挥发性有机化合物含量涂料产品技术要求》（</w:t>
            </w:r>
            <w:r>
              <w:rPr>
                <w:rFonts w:hint="eastAsia"/>
                <w:lang w:val="en-US" w:eastAsia="zh-CN"/>
              </w:rPr>
              <w:t>GB/T38597-2020</w:t>
            </w:r>
            <w:r>
              <w:rPr>
                <w:rFonts w:hint="eastAsia"/>
                <w:lang w:eastAsia="zh-CN"/>
              </w:rPr>
              <w:t>）文件表</w:t>
            </w:r>
            <w:r>
              <w:rPr>
                <w:rFonts w:hint="eastAsia"/>
                <w:lang w:val="en-US" w:eastAsia="zh-CN"/>
              </w:rPr>
              <w:t>1水性涂料</w:t>
            </w:r>
            <w:r>
              <w:rPr>
                <w:rFonts w:hint="eastAsia"/>
                <w:lang w:eastAsia="zh-CN"/>
              </w:rPr>
              <w:t>：</w:t>
            </w:r>
            <w:r>
              <w:rPr>
                <w:rFonts w:hint="eastAsia"/>
                <w:lang w:val="en-US" w:eastAsia="zh-CN"/>
              </w:rPr>
              <w:t>机械设备涂料底漆VOC</w:t>
            </w:r>
            <w:r>
              <w:rPr>
                <w:rFonts w:hint="eastAsia"/>
                <w:lang w:eastAsia="zh-CN"/>
              </w:rPr>
              <w:t>限</w:t>
            </w:r>
            <w:r>
              <w:rPr>
                <w:rFonts w:hint="eastAsia"/>
                <w:lang w:val="en-US" w:eastAsia="zh-CN"/>
              </w:rPr>
              <w:t>量</w:t>
            </w:r>
            <w:r>
              <w:rPr>
                <w:rFonts w:hint="eastAsia"/>
                <w:lang w:eastAsia="zh-CN"/>
              </w:rPr>
              <w:t>值</w:t>
            </w:r>
            <w:r>
              <w:rPr>
                <w:rFonts w:hint="eastAsia"/>
                <w:lang w:val="en-US" w:eastAsia="zh-CN"/>
              </w:rPr>
              <w:t>250g/L、面漆VOC</w:t>
            </w:r>
            <w:r>
              <w:rPr>
                <w:rFonts w:hint="eastAsia"/>
                <w:lang w:eastAsia="zh-CN"/>
              </w:rPr>
              <w:t>限</w:t>
            </w:r>
            <w:r>
              <w:rPr>
                <w:rFonts w:hint="eastAsia"/>
                <w:lang w:val="en-US" w:eastAsia="zh-CN"/>
              </w:rPr>
              <w:t>量</w:t>
            </w:r>
            <w:r>
              <w:rPr>
                <w:rFonts w:hint="eastAsia"/>
                <w:lang w:eastAsia="zh-CN"/>
              </w:rPr>
              <w:t>值</w:t>
            </w:r>
            <w:r>
              <w:rPr>
                <w:rFonts w:hint="eastAsia"/>
                <w:lang w:val="en-US" w:eastAsia="zh-CN"/>
              </w:rPr>
              <w:t>300g/L的</w:t>
            </w:r>
            <w:r>
              <w:rPr>
                <w:rFonts w:hint="eastAsia"/>
                <w:lang w:eastAsia="zh-CN"/>
              </w:rPr>
              <w:t>要求；</w:t>
            </w:r>
            <w:r>
              <w:rPr>
                <w:rFonts w:hint="eastAsia"/>
                <w:lang w:val="en-US" w:eastAsia="zh-CN"/>
              </w:rPr>
              <w:t>本项目使用的溶剂型面漆</w:t>
            </w:r>
            <w:r>
              <w:rPr>
                <w:rFonts w:hint="eastAsia"/>
                <w:lang w:eastAsia="zh-CN"/>
              </w:rPr>
              <w:t>挥发性有机物含量为</w:t>
            </w:r>
            <w:r>
              <w:rPr>
                <w:rFonts w:hint="eastAsia"/>
                <w:lang w:val="en-US" w:eastAsia="zh-CN"/>
              </w:rPr>
              <w:t>106</w:t>
            </w:r>
            <w:r>
              <w:rPr>
                <w:rFonts w:hint="eastAsia"/>
                <w:lang w:eastAsia="zh-CN"/>
              </w:rPr>
              <w:t>g/L，</w:t>
            </w:r>
            <w:r>
              <w:rPr>
                <w:rFonts w:hint="eastAsia"/>
                <w:lang w:val="en-US" w:eastAsia="zh-CN"/>
              </w:rPr>
              <w:t>溶剂型底漆</w:t>
            </w:r>
            <w:r>
              <w:rPr>
                <w:rFonts w:hint="eastAsia"/>
                <w:lang w:eastAsia="zh-CN"/>
              </w:rPr>
              <w:t>挥发性有机物含量为</w:t>
            </w:r>
            <w:r>
              <w:rPr>
                <w:rFonts w:hint="eastAsia"/>
                <w:lang w:val="en-US" w:eastAsia="zh-CN"/>
              </w:rPr>
              <w:t>212</w:t>
            </w:r>
            <w:r>
              <w:rPr>
                <w:rFonts w:hint="eastAsia"/>
                <w:lang w:eastAsia="zh-CN"/>
              </w:rPr>
              <w:t>g/L，</w:t>
            </w:r>
            <w:r>
              <w:rPr>
                <w:rFonts w:hint="eastAsia"/>
                <w:lang w:val="en-US" w:eastAsia="zh-CN"/>
              </w:rPr>
              <w:t>满足</w:t>
            </w:r>
            <w:r>
              <w:rPr>
                <w:rFonts w:hint="eastAsia"/>
                <w:sz w:val="24"/>
                <w:szCs w:val="24"/>
                <w:lang w:eastAsia="zh-CN"/>
              </w:rPr>
              <w:t>《低挥发性有机化合物含量涂料</w:t>
            </w:r>
            <w:r>
              <w:rPr>
                <w:rFonts w:hint="eastAsia"/>
                <w:spacing w:val="0"/>
                <w:sz w:val="24"/>
                <w:szCs w:val="24"/>
                <w:lang w:eastAsia="zh-CN"/>
              </w:rPr>
              <w:t>产品技术要求》（</w:t>
            </w:r>
            <w:r>
              <w:rPr>
                <w:rFonts w:hint="eastAsia"/>
                <w:spacing w:val="0"/>
                <w:sz w:val="24"/>
                <w:szCs w:val="24"/>
                <w:lang w:val="en-US" w:eastAsia="zh-CN"/>
              </w:rPr>
              <w:t>GB/T38597-2020</w:t>
            </w:r>
            <w:r>
              <w:rPr>
                <w:rFonts w:hint="eastAsia"/>
                <w:spacing w:val="0"/>
                <w:sz w:val="24"/>
                <w:szCs w:val="24"/>
                <w:lang w:eastAsia="zh-CN"/>
              </w:rPr>
              <w:t>）表</w:t>
            </w:r>
            <w:r>
              <w:rPr>
                <w:rFonts w:hint="eastAsia"/>
                <w:spacing w:val="0"/>
                <w:sz w:val="24"/>
                <w:szCs w:val="24"/>
                <w:lang w:val="en-US" w:eastAsia="zh-CN"/>
              </w:rPr>
              <w:t>2溶剂型涂料</w:t>
            </w:r>
            <w:r>
              <w:rPr>
                <w:rFonts w:hint="eastAsia"/>
                <w:sz w:val="24"/>
                <w:szCs w:val="24"/>
                <w:lang w:eastAsia="zh-CN"/>
              </w:rPr>
              <w:t>：</w:t>
            </w:r>
            <w:r>
              <w:rPr>
                <w:rFonts w:hint="eastAsia"/>
                <w:sz w:val="24"/>
                <w:szCs w:val="24"/>
                <w:lang w:val="en-US" w:eastAsia="zh-CN"/>
              </w:rPr>
              <w:t>机械设备涂料</w:t>
            </w:r>
            <w:r>
              <w:rPr>
                <w:rFonts w:hint="eastAsia"/>
                <w:sz w:val="24"/>
                <w:szCs w:val="24"/>
                <w:lang w:eastAsia="zh-CN"/>
              </w:rPr>
              <w:t>底漆</w:t>
            </w:r>
            <w:r>
              <w:rPr>
                <w:rFonts w:hint="eastAsia"/>
                <w:lang w:val="en-US" w:eastAsia="zh-CN"/>
              </w:rPr>
              <w:t>VOC</w:t>
            </w:r>
            <w:r>
              <w:rPr>
                <w:rFonts w:hint="eastAsia"/>
                <w:sz w:val="24"/>
                <w:szCs w:val="24"/>
                <w:lang w:eastAsia="zh-CN"/>
              </w:rPr>
              <w:t>限量值</w:t>
            </w:r>
            <w:r>
              <w:rPr>
                <w:rFonts w:hint="eastAsia"/>
                <w:sz w:val="24"/>
                <w:szCs w:val="24"/>
                <w:lang w:val="en-US" w:eastAsia="zh-CN"/>
              </w:rPr>
              <w:t>420g/L，面漆</w:t>
            </w:r>
            <w:r>
              <w:rPr>
                <w:rFonts w:hint="eastAsia"/>
                <w:lang w:val="en-US" w:eastAsia="zh-CN"/>
              </w:rPr>
              <w:t>VOC</w:t>
            </w:r>
            <w:r>
              <w:rPr>
                <w:rFonts w:hint="eastAsia"/>
                <w:sz w:val="24"/>
                <w:szCs w:val="24"/>
                <w:lang w:eastAsia="zh-CN"/>
              </w:rPr>
              <w:t>限量值</w:t>
            </w:r>
            <w:r>
              <w:rPr>
                <w:rFonts w:hint="eastAsia"/>
                <w:sz w:val="24"/>
                <w:szCs w:val="24"/>
                <w:lang w:val="en-US" w:eastAsia="zh-CN"/>
              </w:rPr>
              <w:t>420g/L的</w:t>
            </w:r>
            <w:r>
              <w:rPr>
                <w:rFonts w:hint="eastAsia"/>
                <w:sz w:val="24"/>
                <w:szCs w:val="24"/>
                <w:lang w:eastAsia="zh-CN"/>
              </w:rPr>
              <w:t>要求。因此，</w:t>
            </w:r>
            <w:r>
              <w:rPr>
                <w:rFonts w:hint="eastAsia"/>
                <w:sz w:val="24"/>
                <w:szCs w:val="24"/>
                <w:lang w:val="en-US" w:eastAsia="zh-CN"/>
              </w:rPr>
              <w:t>本项目</w:t>
            </w:r>
            <w:r>
              <w:rPr>
                <w:rFonts w:hint="eastAsia"/>
                <w:sz w:val="24"/>
                <w:szCs w:val="24"/>
                <w:lang w:eastAsia="zh-CN"/>
              </w:rPr>
              <w:t>所用漆料均属于低挥发性有机化合物含量涂料。</w:t>
            </w:r>
          </w:p>
          <w:p w14:paraId="48FC607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eastAsia="宋体" w:cs="Times New Roman"/>
                <w:color w:val="auto"/>
                <w:kern w:val="2"/>
                <w:sz w:val="24"/>
                <w:szCs w:val="24"/>
                <w:highlight w:val="none"/>
                <w:shd w:val="clear" w:color="auto" w:fill="auto"/>
                <w:lang w:val="zh-CN" w:eastAsia="zh-CN" w:bidi="ar-SA"/>
              </w:rPr>
              <w:fldChar w:fldCharType="begin"/>
            </w:r>
            <w:r>
              <w:rPr>
                <w:rFonts w:hint="default" w:ascii="Times New Roman" w:hAnsi="Times New Roman" w:eastAsia="宋体" w:cs="Times New Roman"/>
                <w:color w:val="auto"/>
                <w:kern w:val="2"/>
                <w:sz w:val="24"/>
                <w:szCs w:val="24"/>
                <w:highlight w:val="none"/>
                <w:shd w:val="clear" w:color="auto" w:fill="auto"/>
                <w:lang w:val="zh-CN" w:eastAsia="zh-CN" w:bidi="ar-SA"/>
              </w:rPr>
              <w:instrText xml:space="preserve"> = 2 \* GB3 \* MERGEFORMAT </w:instrText>
            </w:r>
            <w:r>
              <w:rPr>
                <w:rFonts w:hint="default" w:ascii="Times New Roman" w:hAnsi="Times New Roman" w:eastAsia="宋体" w:cs="Times New Roman"/>
                <w:color w:val="auto"/>
                <w:kern w:val="2"/>
                <w:sz w:val="24"/>
                <w:szCs w:val="24"/>
                <w:highlight w:val="none"/>
                <w:shd w:val="clear" w:color="auto" w:fill="auto"/>
                <w:lang w:val="zh-CN" w:eastAsia="zh-CN" w:bidi="ar-SA"/>
              </w:rPr>
              <w:fldChar w:fldCharType="separate"/>
            </w:r>
            <w:r>
              <w:rPr>
                <w:rFonts w:hint="eastAsia" w:ascii="Times New Roman" w:hAnsi="Times New Roman" w:eastAsia="宋体" w:cs="Times New Roman"/>
                <w:color w:val="auto"/>
                <w:kern w:val="2"/>
                <w:sz w:val="24"/>
                <w:szCs w:val="24"/>
                <w:highlight w:val="none"/>
                <w:shd w:val="clear" w:color="auto" w:fill="auto"/>
                <w:lang w:val="en-US" w:eastAsia="zh-CN" w:bidi="ar-SA"/>
              </w:rPr>
              <w:t>②</w:t>
            </w:r>
            <w:r>
              <w:rPr>
                <w:rFonts w:hint="default" w:ascii="Times New Roman" w:hAnsi="Times New Roman" w:eastAsia="宋体" w:cs="Times New Roman"/>
                <w:color w:val="auto"/>
                <w:kern w:val="2"/>
                <w:sz w:val="24"/>
                <w:szCs w:val="24"/>
                <w:highlight w:val="none"/>
                <w:shd w:val="clear" w:color="auto" w:fill="auto"/>
                <w:lang w:val="zh-CN" w:eastAsia="zh-CN" w:bidi="ar-SA"/>
              </w:rPr>
              <w:fldChar w:fldCharType="end"/>
            </w:r>
            <w:r>
              <w:rPr>
                <w:rFonts w:hint="eastAsia" w:ascii="Times New Roman" w:hAnsi="Times New Roman" w:eastAsia="宋体" w:cs="Times New Roman"/>
                <w:color w:val="auto"/>
                <w:kern w:val="2"/>
                <w:sz w:val="24"/>
                <w:szCs w:val="24"/>
                <w:highlight w:val="none"/>
                <w:shd w:val="clear" w:color="auto" w:fill="auto"/>
                <w:lang w:val="en-US" w:eastAsia="zh-CN" w:bidi="ar-SA"/>
              </w:rPr>
              <w:t>塑粉</w:t>
            </w:r>
          </w:p>
          <w:p w14:paraId="6E306CA6">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表</w:t>
            </w:r>
            <w:r>
              <w:rPr>
                <w:rFonts w:hint="eastAsia" w:cs="Times New Roman"/>
                <w:b/>
                <w:bCs/>
                <w:color w:val="auto"/>
                <w:sz w:val="21"/>
                <w:szCs w:val="21"/>
                <w:highlight w:val="none"/>
                <w:lang w:val="en-US" w:eastAsia="zh-CN"/>
              </w:rPr>
              <w:t>13</w:t>
            </w:r>
            <w:r>
              <w:rPr>
                <w:rFonts w:hint="default"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lang w:val="en-US" w:eastAsia="zh-CN"/>
              </w:rPr>
              <w:t>塑粉成分一览表</w:t>
            </w:r>
          </w:p>
          <w:tbl>
            <w:tblPr>
              <w:tblStyle w:val="20"/>
              <w:tblW w:w="79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500"/>
              <w:gridCol w:w="1170"/>
              <w:gridCol w:w="1140"/>
              <w:gridCol w:w="1155"/>
              <w:gridCol w:w="1483"/>
            </w:tblGrid>
            <w:tr w14:paraId="0F14A0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8" w:type="dxa"/>
                  <w:tcBorders>
                    <w:tl2br w:val="nil"/>
                    <w:tr2bl w:val="nil"/>
                  </w:tcBorders>
                  <w:noWrap w:val="0"/>
                  <w:vAlign w:val="center"/>
                </w:tcPr>
                <w:p w14:paraId="17DD8D2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组分</w:t>
                  </w:r>
                </w:p>
              </w:tc>
              <w:tc>
                <w:tcPr>
                  <w:tcW w:w="1500" w:type="dxa"/>
                  <w:tcBorders>
                    <w:tl2br w:val="nil"/>
                    <w:tr2bl w:val="nil"/>
                  </w:tcBorders>
                  <w:noWrap w:val="0"/>
                  <w:vAlign w:val="center"/>
                </w:tcPr>
                <w:p w14:paraId="3BED9A2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环氧树脂</w:t>
                  </w:r>
                </w:p>
              </w:tc>
              <w:tc>
                <w:tcPr>
                  <w:tcW w:w="1170" w:type="dxa"/>
                  <w:tcBorders>
                    <w:tl2br w:val="nil"/>
                    <w:tr2bl w:val="nil"/>
                  </w:tcBorders>
                  <w:noWrap w:val="0"/>
                  <w:vAlign w:val="center"/>
                </w:tcPr>
                <w:p w14:paraId="37BE4D5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颜料</w:t>
                  </w:r>
                </w:p>
              </w:tc>
              <w:tc>
                <w:tcPr>
                  <w:tcW w:w="1140" w:type="dxa"/>
                  <w:tcBorders>
                    <w:tl2br w:val="nil"/>
                    <w:tr2bl w:val="nil"/>
                  </w:tcBorders>
                  <w:noWrap w:val="0"/>
                  <w:vAlign w:val="center"/>
                </w:tcPr>
                <w:p w14:paraId="524545E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填料</w:t>
                  </w:r>
                </w:p>
              </w:tc>
              <w:tc>
                <w:tcPr>
                  <w:tcW w:w="1155" w:type="dxa"/>
                  <w:tcBorders>
                    <w:tl2br w:val="nil"/>
                    <w:tr2bl w:val="nil"/>
                  </w:tcBorders>
                  <w:noWrap w:val="0"/>
                  <w:vAlign w:val="center"/>
                </w:tcPr>
                <w:p w14:paraId="60FDC27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助剂</w:t>
                  </w:r>
                </w:p>
              </w:tc>
              <w:tc>
                <w:tcPr>
                  <w:tcW w:w="1483" w:type="dxa"/>
                  <w:tcBorders>
                    <w:tl2br w:val="nil"/>
                    <w:tr2bl w:val="nil"/>
                  </w:tcBorders>
                  <w:noWrap w:val="0"/>
                  <w:vAlign w:val="center"/>
                </w:tcPr>
                <w:p w14:paraId="60E8C71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挥发份</w:t>
                  </w:r>
                </w:p>
              </w:tc>
            </w:tr>
            <w:tr w14:paraId="418B7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8" w:type="dxa"/>
                  <w:tcBorders>
                    <w:tl2br w:val="nil"/>
                    <w:tr2bl w:val="nil"/>
                  </w:tcBorders>
                  <w:noWrap w:val="0"/>
                  <w:vAlign w:val="center"/>
                </w:tcPr>
                <w:p w14:paraId="5E70EF9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含量（%）</w:t>
                  </w:r>
                </w:p>
              </w:tc>
              <w:tc>
                <w:tcPr>
                  <w:tcW w:w="1500" w:type="dxa"/>
                  <w:tcBorders>
                    <w:tl2br w:val="nil"/>
                    <w:tr2bl w:val="nil"/>
                  </w:tcBorders>
                  <w:noWrap w:val="0"/>
                  <w:vAlign w:val="center"/>
                </w:tcPr>
                <w:p w14:paraId="07ABBC53">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60</w:t>
                  </w:r>
                </w:p>
              </w:tc>
              <w:tc>
                <w:tcPr>
                  <w:tcW w:w="1170" w:type="dxa"/>
                  <w:tcBorders>
                    <w:tl2br w:val="nil"/>
                    <w:tr2bl w:val="nil"/>
                  </w:tcBorders>
                  <w:noWrap w:val="0"/>
                  <w:vAlign w:val="center"/>
                </w:tcPr>
                <w:p w14:paraId="6BAB09A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1140" w:type="dxa"/>
                  <w:tcBorders>
                    <w:tl2br w:val="nil"/>
                    <w:tr2bl w:val="nil"/>
                  </w:tcBorders>
                  <w:noWrap w:val="0"/>
                  <w:vAlign w:val="center"/>
                </w:tcPr>
                <w:p w14:paraId="71B8D74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w:t>
                  </w:r>
                </w:p>
              </w:tc>
              <w:tc>
                <w:tcPr>
                  <w:tcW w:w="1155" w:type="dxa"/>
                  <w:tcBorders>
                    <w:tl2br w:val="nil"/>
                    <w:tr2bl w:val="nil"/>
                  </w:tcBorders>
                  <w:noWrap w:val="0"/>
                  <w:vAlign w:val="center"/>
                </w:tcPr>
                <w:p w14:paraId="5E600473">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w:t>
                  </w:r>
                </w:p>
              </w:tc>
              <w:tc>
                <w:tcPr>
                  <w:tcW w:w="1483" w:type="dxa"/>
                  <w:tcBorders>
                    <w:tl2br w:val="nil"/>
                    <w:tr2bl w:val="nil"/>
                  </w:tcBorders>
                  <w:noWrap w:val="0"/>
                  <w:vAlign w:val="center"/>
                </w:tcPr>
                <w:p w14:paraId="493185E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r>
          </w:tbl>
          <w:p w14:paraId="6C8AA7A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eastAsia" w:ascii="Times New Roman" w:hAnsi="Times New Roman" w:eastAsia="宋体" w:cs="Times New Roman"/>
                <w:color w:val="auto"/>
                <w:kern w:val="2"/>
                <w:sz w:val="24"/>
                <w:szCs w:val="24"/>
                <w:highlight w:val="none"/>
                <w:shd w:val="clear" w:color="auto" w:fill="auto"/>
                <w:lang w:val="en-US" w:eastAsia="zh-CN" w:bidi="ar-SA"/>
              </w:rPr>
              <w:fldChar w:fldCharType="begin"/>
            </w:r>
            <w:r>
              <w:rPr>
                <w:rFonts w:hint="eastAsia" w:ascii="Times New Roman" w:hAnsi="Times New Roman" w:eastAsia="宋体" w:cs="Times New Roman"/>
                <w:color w:val="auto"/>
                <w:kern w:val="2"/>
                <w:sz w:val="24"/>
                <w:szCs w:val="24"/>
                <w:highlight w:val="none"/>
                <w:shd w:val="clear" w:color="auto" w:fill="auto"/>
                <w:lang w:val="en-US" w:eastAsia="zh-CN" w:bidi="ar-SA"/>
              </w:rPr>
              <w:instrText xml:space="preserve"> = 3 \* GB3 \* MERGEFORMAT </w:instrText>
            </w:r>
            <w:r>
              <w:rPr>
                <w:rFonts w:hint="eastAsia" w:ascii="Times New Roman" w:hAnsi="Times New Roman" w:eastAsia="宋体" w:cs="Times New Roman"/>
                <w:color w:val="auto"/>
                <w:kern w:val="2"/>
                <w:sz w:val="24"/>
                <w:szCs w:val="24"/>
                <w:highlight w:val="none"/>
                <w:shd w:val="clear" w:color="auto" w:fill="auto"/>
                <w:lang w:val="en-US" w:eastAsia="zh-CN" w:bidi="ar-SA"/>
              </w:rPr>
              <w:fldChar w:fldCharType="separate"/>
            </w:r>
            <w:r>
              <w:rPr>
                <w:rFonts w:hint="default" w:ascii="Times New Roman" w:hAnsi="Times New Roman" w:eastAsia="宋体" w:cs="Times New Roman"/>
                <w:color w:val="auto"/>
                <w:kern w:val="2"/>
                <w:sz w:val="24"/>
                <w:szCs w:val="24"/>
                <w:highlight w:val="none"/>
                <w:shd w:val="clear" w:color="auto" w:fill="auto"/>
                <w:lang w:val="en-US" w:eastAsia="zh-CN" w:bidi="ar-SA"/>
              </w:rPr>
              <w:t>③</w:t>
            </w:r>
            <w:r>
              <w:rPr>
                <w:rFonts w:hint="eastAsia" w:ascii="Times New Roman" w:hAnsi="Times New Roman" w:eastAsia="宋体" w:cs="Times New Roman"/>
                <w:color w:val="auto"/>
                <w:kern w:val="2"/>
                <w:sz w:val="24"/>
                <w:szCs w:val="24"/>
                <w:highlight w:val="none"/>
                <w:shd w:val="clear" w:color="auto" w:fill="auto"/>
                <w:lang w:val="en-US" w:eastAsia="zh-CN" w:bidi="ar-SA"/>
              </w:rPr>
              <w:fldChar w:fldCharType="end"/>
            </w:r>
            <w:r>
              <w:rPr>
                <w:rFonts w:hint="eastAsia" w:ascii="Times New Roman" w:hAnsi="Times New Roman" w:eastAsia="宋体" w:cs="Times New Roman"/>
                <w:color w:val="auto"/>
                <w:kern w:val="2"/>
                <w:sz w:val="24"/>
                <w:szCs w:val="24"/>
                <w:highlight w:val="none"/>
                <w:shd w:val="clear" w:color="auto" w:fill="auto"/>
                <w:lang w:val="en-US" w:eastAsia="zh-CN" w:bidi="ar-SA"/>
              </w:rPr>
              <w:t>液化石油气</w:t>
            </w:r>
          </w:p>
          <w:p w14:paraId="1523CAD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default" w:ascii="Times New Roman" w:hAnsi="Times New Roman" w:eastAsia="宋体" w:cs="Times New Roman"/>
                <w:color w:val="auto"/>
                <w:kern w:val="2"/>
                <w:sz w:val="24"/>
                <w:szCs w:val="24"/>
                <w:highlight w:val="none"/>
                <w:shd w:val="clear" w:color="auto" w:fill="auto"/>
                <w:lang w:val="en-US" w:eastAsia="zh-CN" w:bidi="ar-SA"/>
              </w:rPr>
              <w:t>液化石油气是炼油厂在进行原油催化裂解与热裂解时所得到的</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begin"/>
            </w:r>
            <w:r>
              <w:rPr>
                <w:rFonts w:hint="default" w:ascii="Times New Roman" w:hAnsi="Times New Roman" w:eastAsia="宋体" w:cs="Times New Roman"/>
                <w:color w:val="auto"/>
                <w:kern w:val="2"/>
                <w:sz w:val="24"/>
                <w:szCs w:val="24"/>
                <w:highlight w:val="none"/>
                <w:shd w:val="clear" w:color="auto" w:fill="auto"/>
                <w:lang w:val="en-US" w:eastAsia="zh-CN" w:bidi="ar-SA"/>
              </w:rPr>
              <w:instrText xml:space="preserve"> HYPERLINK "https://baike.so.com/doc/287856-304805.html" \t "https://baike.so.com/doc/_blank" </w:instrTex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separate"/>
            </w:r>
            <w:r>
              <w:rPr>
                <w:rFonts w:hint="default" w:ascii="Times New Roman" w:hAnsi="Times New Roman" w:eastAsia="宋体" w:cs="Times New Roman"/>
                <w:color w:val="auto"/>
                <w:kern w:val="2"/>
                <w:sz w:val="24"/>
                <w:szCs w:val="24"/>
                <w:highlight w:val="none"/>
                <w:shd w:val="clear" w:color="auto" w:fill="auto"/>
                <w:lang w:val="en-US" w:eastAsia="zh-CN" w:bidi="ar-SA"/>
              </w:rPr>
              <w:t>副产品</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end"/>
            </w:r>
            <w:r>
              <w:rPr>
                <w:rFonts w:hint="default" w:ascii="Times New Roman" w:hAnsi="Times New Roman" w:eastAsia="宋体" w:cs="Times New Roman"/>
                <w:color w:val="auto"/>
                <w:kern w:val="2"/>
                <w:sz w:val="24"/>
                <w:szCs w:val="24"/>
                <w:highlight w:val="none"/>
                <w:shd w:val="clear" w:color="auto" w:fill="auto"/>
                <w:lang w:val="en-US" w:eastAsia="zh-CN" w:bidi="ar-SA"/>
              </w:rPr>
              <w:t>。催化</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begin"/>
            </w:r>
            <w:r>
              <w:rPr>
                <w:rFonts w:hint="default" w:ascii="Times New Roman" w:hAnsi="Times New Roman" w:eastAsia="宋体" w:cs="Times New Roman"/>
                <w:color w:val="auto"/>
                <w:kern w:val="2"/>
                <w:sz w:val="24"/>
                <w:szCs w:val="24"/>
                <w:highlight w:val="none"/>
                <w:shd w:val="clear" w:color="auto" w:fill="auto"/>
                <w:lang w:val="en-US" w:eastAsia="zh-CN" w:bidi="ar-SA"/>
              </w:rPr>
              <w:instrText xml:space="preserve"> HYPERLINK "https://baike.so.com/doc/503129-532754.html" \t "https://baike.so.com/doc/_blank" </w:instrTex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separate"/>
            </w:r>
            <w:r>
              <w:rPr>
                <w:rFonts w:hint="default" w:ascii="Times New Roman" w:hAnsi="Times New Roman" w:eastAsia="宋体" w:cs="Times New Roman"/>
                <w:color w:val="auto"/>
                <w:kern w:val="2"/>
                <w:sz w:val="24"/>
                <w:szCs w:val="24"/>
                <w:highlight w:val="none"/>
                <w:shd w:val="clear" w:color="auto" w:fill="auto"/>
                <w:lang w:val="en-US" w:eastAsia="zh-CN" w:bidi="ar-SA"/>
              </w:rPr>
              <w:t>裂解气</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end"/>
            </w:r>
            <w:r>
              <w:rPr>
                <w:rFonts w:hint="default" w:ascii="Times New Roman" w:hAnsi="Times New Roman" w:eastAsia="宋体" w:cs="Times New Roman"/>
                <w:color w:val="auto"/>
                <w:kern w:val="2"/>
                <w:sz w:val="24"/>
                <w:szCs w:val="24"/>
                <w:highlight w:val="none"/>
                <w:shd w:val="clear" w:color="auto" w:fill="auto"/>
                <w:lang w:val="en-US" w:eastAsia="zh-CN" w:bidi="ar-SA"/>
              </w:rPr>
              <w:t>的主要成份如下(%):氢气5~6.</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begin"/>
            </w:r>
            <w:r>
              <w:rPr>
                <w:rFonts w:hint="default" w:ascii="Times New Roman" w:hAnsi="Times New Roman" w:eastAsia="宋体" w:cs="Times New Roman"/>
                <w:color w:val="auto"/>
                <w:kern w:val="2"/>
                <w:sz w:val="24"/>
                <w:szCs w:val="24"/>
                <w:highlight w:val="none"/>
                <w:shd w:val="clear" w:color="auto" w:fill="auto"/>
                <w:lang w:val="en-US" w:eastAsia="zh-CN" w:bidi="ar-SA"/>
              </w:rPr>
              <w:instrText xml:space="preserve"> HYPERLINK "https://baike.so.com/doc/3567782-3751996.html" \t "https://baike.so.com/doc/_blank" </w:instrTex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separate"/>
            </w:r>
            <w:r>
              <w:rPr>
                <w:rFonts w:hint="default" w:ascii="Times New Roman" w:hAnsi="Times New Roman" w:eastAsia="宋体" w:cs="Times New Roman"/>
                <w:color w:val="auto"/>
                <w:kern w:val="2"/>
                <w:sz w:val="24"/>
                <w:szCs w:val="24"/>
                <w:highlight w:val="none"/>
                <w:shd w:val="clear" w:color="auto" w:fill="auto"/>
                <w:lang w:val="en-US" w:eastAsia="zh-CN" w:bidi="ar-SA"/>
              </w:rPr>
              <w:t>甲烷</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end"/>
            </w:r>
            <w:r>
              <w:rPr>
                <w:rFonts w:hint="default" w:ascii="Times New Roman" w:hAnsi="Times New Roman" w:eastAsia="宋体" w:cs="Times New Roman"/>
                <w:color w:val="auto"/>
                <w:kern w:val="2"/>
                <w:sz w:val="24"/>
                <w:szCs w:val="24"/>
                <w:highlight w:val="none"/>
                <w:shd w:val="clear" w:color="auto" w:fill="auto"/>
                <w:lang w:val="en-US" w:eastAsia="zh-CN" w:bidi="ar-SA"/>
              </w:rPr>
              <w:t>10.乙烷3~5.乙烯3.丙烷16~20.丙烯6~11.丁烷42~46.丁烯5~6，含5个</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begin"/>
            </w:r>
            <w:r>
              <w:rPr>
                <w:rFonts w:hint="default" w:ascii="Times New Roman" w:hAnsi="Times New Roman" w:eastAsia="宋体" w:cs="Times New Roman"/>
                <w:color w:val="auto"/>
                <w:kern w:val="2"/>
                <w:sz w:val="24"/>
                <w:szCs w:val="24"/>
                <w:highlight w:val="none"/>
                <w:shd w:val="clear" w:color="auto" w:fill="auto"/>
                <w:lang w:val="en-US" w:eastAsia="zh-CN" w:bidi="ar-SA"/>
              </w:rPr>
              <w:instrText xml:space="preserve"> HYPERLINK "https://baike.so.com/doc/1753385-1853919.html" \t "https://baike.so.com/doc/_blank" </w:instrTex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separate"/>
            </w:r>
            <w:r>
              <w:rPr>
                <w:rFonts w:hint="default" w:ascii="Times New Roman" w:hAnsi="Times New Roman" w:eastAsia="宋体" w:cs="Times New Roman"/>
                <w:color w:val="auto"/>
                <w:kern w:val="2"/>
                <w:sz w:val="24"/>
                <w:szCs w:val="24"/>
                <w:highlight w:val="none"/>
                <w:shd w:val="clear" w:color="auto" w:fill="auto"/>
                <w:lang w:val="en-US" w:eastAsia="zh-CN" w:bidi="ar-SA"/>
              </w:rPr>
              <w:t>碳原子</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end"/>
            </w:r>
            <w:r>
              <w:rPr>
                <w:rFonts w:hint="default" w:ascii="Times New Roman" w:hAnsi="Times New Roman" w:eastAsia="宋体" w:cs="Times New Roman"/>
                <w:color w:val="auto"/>
                <w:kern w:val="2"/>
                <w:sz w:val="24"/>
                <w:szCs w:val="24"/>
                <w:highlight w:val="none"/>
                <w:shd w:val="clear" w:color="auto" w:fill="auto"/>
                <w:lang w:val="en-US" w:eastAsia="zh-CN" w:bidi="ar-SA"/>
              </w:rPr>
              <w:t>以上的烃类5~12。热裂解气的主要成份如下(%):氢气12.</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begin"/>
            </w:r>
            <w:r>
              <w:rPr>
                <w:rFonts w:hint="default" w:ascii="Times New Roman" w:hAnsi="Times New Roman" w:eastAsia="宋体" w:cs="Times New Roman"/>
                <w:color w:val="auto"/>
                <w:kern w:val="2"/>
                <w:sz w:val="24"/>
                <w:szCs w:val="24"/>
                <w:highlight w:val="none"/>
                <w:shd w:val="clear" w:color="auto" w:fill="auto"/>
                <w:lang w:val="en-US" w:eastAsia="zh-CN" w:bidi="ar-SA"/>
              </w:rPr>
              <w:instrText xml:space="preserve"> HYPERLINK "https://baike.so.com/doc/3567782-3751996.html" \t "https://baike.so.com/doc/_blank" </w:instrTex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separate"/>
            </w:r>
            <w:r>
              <w:rPr>
                <w:rFonts w:hint="default" w:ascii="Times New Roman" w:hAnsi="Times New Roman" w:eastAsia="宋体" w:cs="Times New Roman"/>
                <w:color w:val="auto"/>
                <w:kern w:val="2"/>
                <w:sz w:val="24"/>
                <w:szCs w:val="24"/>
                <w:highlight w:val="none"/>
                <w:shd w:val="clear" w:color="auto" w:fill="auto"/>
                <w:lang w:val="en-US" w:eastAsia="zh-CN" w:bidi="ar-SA"/>
              </w:rPr>
              <w:t>甲烷</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end"/>
            </w:r>
            <w:r>
              <w:rPr>
                <w:rFonts w:hint="default" w:ascii="Times New Roman" w:hAnsi="Times New Roman" w:eastAsia="宋体" w:cs="Times New Roman"/>
                <w:color w:val="auto"/>
                <w:kern w:val="2"/>
                <w:sz w:val="24"/>
                <w:szCs w:val="24"/>
                <w:highlight w:val="none"/>
                <w:shd w:val="clear" w:color="auto" w:fill="auto"/>
                <w:lang w:val="en-US" w:eastAsia="zh-CN" w:bidi="ar-SA"/>
              </w:rPr>
              <w:t>5~7.乙烷5~7.</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begin"/>
            </w:r>
            <w:r>
              <w:rPr>
                <w:rFonts w:hint="default" w:ascii="Times New Roman" w:hAnsi="Times New Roman" w:eastAsia="宋体" w:cs="Times New Roman"/>
                <w:color w:val="auto"/>
                <w:kern w:val="2"/>
                <w:sz w:val="24"/>
                <w:szCs w:val="24"/>
                <w:highlight w:val="none"/>
                <w:shd w:val="clear" w:color="auto" w:fill="auto"/>
                <w:lang w:val="en-US" w:eastAsia="zh-CN" w:bidi="ar-SA"/>
              </w:rPr>
              <w:instrText xml:space="preserve"> HYPERLINK "https://baike.so.com/doc/1002011-1059373.html" \t "https://baike.so.com/doc/_blank" </w:instrTex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separate"/>
            </w:r>
            <w:r>
              <w:rPr>
                <w:rFonts w:hint="default" w:ascii="Times New Roman" w:hAnsi="Times New Roman" w:eastAsia="宋体" w:cs="Times New Roman"/>
                <w:color w:val="auto"/>
                <w:kern w:val="2"/>
                <w:sz w:val="24"/>
                <w:szCs w:val="24"/>
                <w:highlight w:val="none"/>
                <w:shd w:val="clear" w:color="auto" w:fill="auto"/>
                <w:lang w:val="en-US" w:eastAsia="zh-CN" w:bidi="ar-SA"/>
              </w:rPr>
              <w:t>乙烯</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end"/>
            </w:r>
            <w:r>
              <w:rPr>
                <w:rFonts w:hint="default" w:ascii="Times New Roman" w:hAnsi="Times New Roman" w:eastAsia="宋体" w:cs="Times New Roman"/>
                <w:color w:val="auto"/>
                <w:kern w:val="2"/>
                <w:sz w:val="24"/>
                <w:szCs w:val="24"/>
                <w:highlight w:val="none"/>
                <w:shd w:val="clear" w:color="auto" w:fill="auto"/>
                <w:lang w:val="en-US" w:eastAsia="zh-CN" w:bidi="ar-SA"/>
              </w:rPr>
              <w:t>16~18.丙烷0.5.丙烯7~8.丁烷0.2.丁烯4~5，含5个碳原子以上的烃类2~3。硫含量为小于等于20mg/m</w:t>
            </w:r>
            <w:r>
              <w:rPr>
                <w:rFonts w:hint="default" w:ascii="Times New Roman" w:hAnsi="Times New Roman" w:eastAsia="宋体" w:cs="Times New Roman"/>
                <w:color w:val="auto"/>
                <w:kern w:val="2"/>
                <w:sz w:val="24"/>
                <w:szCs w:val="24"/>
                <w:highlight w:val="none"/>
                <w:shd w:val="clear" w:color="auto" w:fill="auto"/>
                <w:vertAlign w:val="superscript"/>
                <w:lang w:val="en-US" w:eastAsia="zh-CN" w:bidi="ar-SA"/>
              </w:rPr>
              <w:t>3</w:t>
            </w:r>
            <w:r>
              <w:rPr>
                <w:rFonts w:hint="default" w:ascii="Times New Roman" w:hAnsi="Times New Roman" w:eastAsia="宋体" w:cs="Times New Roman"/>
                <w:color w:val="auto"/>
                <w:kern w:val="2"/>
                <w:sz w:val="24"/>
                <w:szCs w:val="24"/>
                <w:highlight w:val="none"/>
                <w:shd w:val="clear" w:color="auto" w:fill="auto"/>
                <w:lang w:val="en-US" w:eastAsia="zh-CN" w:bidi="ar-SA"/>
              </w:rPr>
              <w:t>。这些碳氢化合物都容易液化，将它们压缩到只占原体积的1/250~l/33，贮存于耐高压的钢罐中，使用时拧开液化气罐的</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begin"/>
            </w:r>
            <w:r>
              <w:rPr>
                <w:rFonts w:hint="default" w:ascii="Times New Roman" w:hAnsi="Times New Roman" w:eastAsia="宋体" w:cs="Times New Roman"/>
                <w:color w:val="auto"/>
                <w:kern w:val="2"/>
                <w:sz w:val="24"/>
                <w:szCs w:val="24"/>
                <w:highlight w:val="none"/>
                <w:shd w:val="clear" w:color="auto" w:fill="auto"/>
                <w:lang w:val="en-US" w:eastAsia="zh-CN" w:bidi="ar-SA"/>
              </w:rPr>
              <w:instrText xml:space="preserve"> HYPERLINK "https://baike.so.com/doc/4951060-5172483.html" \t "https://baike.so.com/doc/_blank" </w:instrTex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separate"/>
            </w:r>
            <w:r>
              <w:rPr>
                <w:rFonts w:hint="default" w:ascii="Times New Roman" w:hAnsi="Times New Roman" w:eastAsia="宋体" w:cs="Times New Roman"/>
                <w:color w:val="auto"/>
                <w:kern w:val="2"/>
                <w:sz w:val="24"/>
                <w:szCs w:val="24"/>
                <w:highlight w:val="none"/>
                <w:shd w:val="clear" w:color="auto" w:fill="auto"/>
                <w:lang w:val="en-US" w:eastAsia="zh-CN" w:bidi="ar-SA"/>
              </w:rPr>
              <w:t>阀门</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end"/>
            </w:r>
            <w:r>
              <w:rPr>
                <w:rFonts w:hint="default" w:ascii="Times New Roman" w:hAnsi="Times New Roman" w:eastAsia="宋体" w:cs="Times New Roman"/>
                <w:color w:val="auto"/>
                <w:kern w:val="2"/>
                <w:sz w:val="24"/>
                <w:szCs w:val="24"/>
                <w:highlight w:val="none"/>
                <w:shd w:val="clear" w:color="auto" w:fill="auto"/>
                <w:lang w:val="en-US" w:eastAsia="zh-CN" w:bidi="ar-SA"/>
              </w:rPr>
              <w:t>，可燃性的</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begin"/>
            </w:r>
            <w:r>
              <w:rPr>
                <w:rFonts w:hint="default" w:ascii="Times New Roman" w:hAnsi="Times New Roman" w:eastAsia="宋体" w:cs="Times New Roman"/>
                <w:color w:val="auto"/>
                <w:kern w:val="2"/>
                <w:sz w:val="24"/>
                <w:szCs w:val="24"/>
                <w:highlight w:val="none"/>
                <w:shd w:val="clear" w:color="auto" w:fill="auto"/>
                <w:lang w:val="en-US" w:eastAsia="zh-CN" w:bidi="ar-SA"/>
              </w:rPr>
              <w:instrText xml:space="preserve"> HYPERLINK "https://baike.so.com/doc/7641770-7915865.html" \t "https://baike.so.com/doc/_blank" </w:instrTex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separate"/>
            </w:r>
            <w:r>
              <w:rPr>
                <w:rFonts w:hint="default" w:ascii="Times New Roman" w:hAnsi="Times New Roman" w:eastAsia="宋体" w:cs="Times New Roman"/>
                <w:color w:val="auto"/>
                <w:kern w:val="2"/>
                <w:sz w:val="24"/>
                <w:szCs w:val="24"/>
                <w:highlight w:val="none"/>
                <w:shd w:val="clear" w:color="auto" w:fill="auto"/>
                <w:lang w:val="en-US" w:eastAsia="zh-CN" w:bidi="ar-SA"/>
              </w:rPr>
              <w:t>碳氢化合物气体</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end"/>
            </w:r>
            <w:r>
              <w:rPr>
                <w:rFonts w:hint="default" w:ascii="Times New Roman" w:hAnsi="Times New Roman" w:eastAsia="宋体" w:cs="Times New Roman"/>
                <w:color w:val="auto"/>
                <w:kern w:val="2"/>
                <w:sz w:val="24"/>
                <w:szCs w:val="24"/>
                <w:highlight w:val="none"/>
                <w:shd w:val="clear" w:color="auto" w:fill="auto"/>
                <w:lang w:val="en-US" w:eastAsia="zh-CN" w:bidi="ar-SA"/>
              </w:rPr>
              <w:t>就会通过管道进入</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begin"/>
            </w:r>
            <w:r>
              <w:rPr>
                <w:rFonts w:hint="default" w:ascii="Times New Roman" w:hAnsi="Times New Roman" w:eastAsia="宋体" w:cs="Times New Roman"/>
                <w:color w:val="auto"/>
                <w:kern w:val="2"/>
                <w:sz w:val="24"/>
                <w:szCs w:val="24"/>
                <w:highlight w:val="none"/>
                <w:shd w:val="clear" w:color="auto" w:fill="auto"/>
                <w:lang w:val="en-US" w:eastAsia="zh-CN" w:bidi="ar-SA"/>
              </w:rPr>
              <w:instrText xml:space="preserve"> HYPERLINK "https://baike.so.com/doc/460358-487445.html" \t "https://baike.so.com/doc/_blank" </w:instrTex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separate"/>
            </w:r>
            <w:r>
              <w:rPr>
                <w:rFonts w:hint="default" w:ascii="Times New Roman" w:hAnsi="Times New Roman" w:eastAsia="宋体" w:cs="Times New Roman"/>
                <w:color w:val="auto"/>
                <w:kern w:val="2"/>
                <w:sz w:val="24"/>
                <w:szCs w:val="24"/>
                <w:highlight w:val="none"/>
                <w:shd w:val="clear" w:color="auto" w:fill="auto"/>
                <w:lang w:val="en-US" w:eastAsia="zh-CN" w:bidi="ar-SA"/>
              </w:rPr>
              <w:t>燃烧器</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end"/>
            </w:r>
            <w:r>
              <w:rPr>
                <w:rFonts w:hint="default" w:ascii="Times New Roman" w:hAnsi="Times New Roman" w:eastAsia="宋体" w:cs="Times New Roman"/>
                <w:color w:val="auto"/>
                <w:kern w:val="2"/>
                <w:sz w:val="24"/>
                <w:szCs w:val="24"/>
                <w:highlight w:val="none"/>
                <w:shd w:val="clear" w:color="auto" w:fill="auto"/>
                <w:lang w:val="en-US" w:eastAsia="zh-CN" w:bidi="ar-SA"/>
              </w:rPr>
              <w:t>。点燃后形成淡蓝色火焰，燃烧过程中产生大量热。并可根据需要，调整火力，使用起来既方便又卫生。液化石油气虽然使用方便，但也有不安全的</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begin"/>
            </w:r>
            <w:r>
              <w:rPr>
                <w:rFonts w:hint="default" w:ascii="Times New Roman" w:hAnsi="Times New Roman" w:eastAsia="宋体" w:cs="Times New Roman"/>
                <w:color w:val="auto"/>
                <w:kern w:val="2"/>
                <w:sz w:val="24"/>
                <w:szCs w:val="24"/>
                <w:highlight w:val="none"/>
                <w:shd w:val="clear" w:color="auto" w:fill="auto"/>
                <w:lang w:val="en-US" w:eastAsia="zh-CN" w:bidi="ar-SA"/>
              </w:rPr>
              <w:instrText xml:space="preserve"> HYPERLINK "https://baike.so.com/doc/5591804-5804404.html" \t "https://baike.so.com/doc/_blank" </w:instrTex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separate"/>
            </w:r>
            <w:r>
              <w:rPr>
                <w:rFonts w:hint="default" w:ascii="Times New Roman" w:hAnsi="Times New Roman" w:eastAsia="宋体" w:cs="Times New Roman"/>
                <w:color w:val="auto"/>
                <w:kern w:val="2"/>
                <w:sz w:val="24"/>
                <w:szCs w:val="24"/>
                <w:highlight w:val="none"/>
                <w:shd w:val="clear" w:color="auto" w:fill="auto"/>
                <w:lang w:val="en-US" w:eastAsia="zh-CN" w:bidi="ar-SA"/>
              </w:rPr>
              <w:t>隐患</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end"/>
            </w:r>
            <w:r>
              <w:rPr>
                <w:rFonts w:hint="default" w:ascii="Times New Roman" w:hAnsi="Times New Roman" w:eastAsia="宋体" w:cs="Times New Roman"/>
                <w:color w:val="auto"/>
                <w:kern w:val="2"/>
                <w:sz w:val="24"/>
                <w:szCs w:val="24"/>
                <w:highlight w:val="none"/>
                <w:shd w:val="clear" w:color="auto" w:fill="auto"/>
                <w:lang w:val="en-US" w:eastAsia="zh-CN" w:bidi="ar-SA"/>
              </w:rPr>
              <w:t>。万一管道漏气或阀门未关严，液化石油气向室内扩散，当含量达到</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begin"/>
            </w:r>
            <w:r>
              <w:rPr>
                <w:rFonts w:hint="default" w:ascii="Times New Roman" w:hAnsi="Times New Roman" w:eastAsia="宋体" w:cs="Times New Roman"/>
                <w:color w:val="auto"/>
                <w:kern w:val="2"/>
                <w:sz w:val="24"/>
                <w:szCs w:val="24"/>
                <w:highlight w:val="none"/>
                <w:shd w:val="clear" w:color="auto" w:fill="auto"/>
                <w:lang w:val="en-US" w:eastAsia="zh-CN" w:bidi="ar-SA"/>
              </w:rPr>
              <w:instrText xml:space="preserve"> HYPERLINK "https://baike.so.com/doc/625906-662542.html" \t "https://baike.so.com/doc/_blank" </w:instrTex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separate"/>
            </w:r>
            <w:r>
              <w:rPr>
                <w:rFonts w:hint="default" w:ascii="Times New Roman" w:hAnsi="Times New Roman" w:eastAsia="宋体" w:cs="Times New Roman"/>
                <w:color w:val="auto"/>
                <w:kern w:val="2"/>
                <w:sz w:val="24"/>
                <w:szCs w:val="24"/>
                <w:highlight w:val="none"/>
                <w:shd w:val="clear" w:color="auto" w:fill="auto"/>
                <w:lang w:val="en-US" w:eastAsia="zh-CN" w:bidi="ar-SA"/>
              </w:rPr>
              <w:t>爆炸极限</w:t>
            </w:r>
            <w:r>
              <w:rPr>
                <w:rFonts w:hint="default" w:ascii="Times New Roman" w:hAnsi="Times New Roman" w:eastAsia="宋体" w:cs="Times New Roman"/>
                <w:color w:val="auto"/>
                <w:kern w:val="2"/>
                <w:sz w:val="24"/>
                <w:szCs w:val="24"/>
                <w:highlight w:val="none"/>
                <w:shd w:val="clear" w:color="auto" w:fill="auto"/>
                <w:lang w:val="en-US" w:eastAsia="zh-CN" w:bidi="ar-SA"/>
              </w:rPr>
              <w:fldChar w:fldCharType="end"/>
            </w:r>
            <w:r>
              <w:rPr>
                <w:rFonts w:hint="default" w:ascii="Times New Roman" w:hAnsi="Times New Roman" w:eastAsia="宋体" w:cs="Times New Roman"/>
                <w:color w:val="auto"/>
                <w:kern w:val="2"/>
                <w:sz w:val="24"/>
                <w:szCs w:val="24"/>
                <w:highlight w:val="none"/>
                <w:shd w:val="clear" w:color="auto" w:fill="auto"/>
                <w:lang w:val="en-US" w:eastAsia="zh-CN" w:bidi="ar-SA"/>
              </w:rPr>
              <w:t>(1.7%~10%)时，遇到火星或电火花就会发生爆炸。为了提醒人们及时发现液化气是否泄漏，加工厂常向液化气中混入少量有恶臭味的硫醇或硫醚类化合物。一旦有液化气泄漏，立即闻到这种气味</w:t>
            </w:r>
            <w:r>
              <w:rPr>
                <w:rFonts w:hint="eastAsia" w:ascii="Times New Roman" w:hAnsi="Times New Roman" w:cs="Times New Roman"/>
                <w:color w:val="auto"/>
                <w:kern w:val="2"/>
                <w:sz w:val="24"/>
                <w:szCs w:val="24"/>
                <w:highlight w:val="none"/>
                <w:shd w:val="clear" w:color="auto" w:fill="auto"/>
                <w:lang w:val="en-US" w:eastAsia="zh-CN" w:bidi="ar-SA"/>
              </w:rPr>
              <w:t>，</w:t>
            </w:r>
            <w:r>
              <w:rPr>
                <w:rFonts w:hint="default" w:ascii="Times New Roman" w:hAnsi="Times New Roman" w:eastAsia="宋体" w:cs="Times New Roman"/>
                <w:color w:val="auto"/>
                <w:kern w:val="2"/>
                <w:sz w:val="24"/>
                <w:szCs w:val="24"/>
                <w:highlight w:val="none"/>
                <w:shd w:val="clear" w:color="auto" w:fill="auto"/>
                <w:lang w:val="en-US" w:eastAsia="zh-CN" w:bidi="ar-SA"/>
              </w:rPr>
              <w:t>而采取应急措施。</w:t>
            </w:r>
          </w:p>
          <w:p w14:paraId="58BECD5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kern w:val="2"/>
                <w:sz w:val="24"/>
                <w:szCs w:val="24"/>
                <w:highlight w:val="none"/>
                <w:shd w:val="clear" w:color="auto" w:fill="auto"/>
                <w:lang w:val="en-US" w:eastAsia="zh-CN" w:bidi="ar-SA"/>
              </w:rPr>
            </w:pPr>
            <w:r>
              <w:rPr>
                <w:rFonts w:hint="eastAsia" w:ascii="Times New Roman" w:hAnsi="Times New Roman" w:eastAsia="宋体" w:cs="Times New Roman"/>
                <w:color w:val="auto"/>
                <w:kern w:val="2"/>
                <w:sz w:val="24"/>
                <w:szCs w:val="24"/>
                <w:highlight w:val="none"/>
                <w:shd w:val="clear" w:color="auto" w:fill="auto"/>
                <w:lang w:val="en-US" w:eastAsia="zh-CN" w:bidi="ar-SA"/>
              </w:rPr>
              <w:t>9、</w:t>
            </w:r>
            <w:r>
              <w:rPr>
                <w:rFonts w:hint="default" w:ascii="Times New Roman" w:hAnsi="Times New Roman" w:eastAsia="宋体" w:cs="Times New Roman"/>
                <w:color w:val="auto"/>
                <w:kern w:val="2"/>
                <w:sz w:val="24"/>
                <w:szCs w:val="24"/>
                <w:highlight w:val="none"/>
                <w:shd w:val="clear" w:color="auto" w:fill="auto"/>
                <w:lang w:val="en-US" w:eastAsia="zh-CN" w:bidi="ar-SA"/>
              </w:rPr>
              <w:t>主要生产设备见下表。</w:t>
            </w:r>
          </w:p>
          <w:p w14:paraId="5FEB9F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b/>
                <w:bCs/>
                <w:color w:val="auto"/>
                <w:sz w:val="21"/>
                <w:szCs w:val="21"/>
                <w:highlight w:val="yellow"/>
                <w:lang w:val="en-US" w:eastAsia="zh-CN"/>
              </w:rPr>
            </w:pPr>
            <w:r>
              <w:rPr>
                <w:rFonts w:hint="eastAsia"/>
                <w:b/>
                <w:bCs/>
                <w:color w:val="auto"/>
                <w:sz w:val="21"/>
                <w:szCs w:val="21"/>
                <w:highlight w:val="none"/>
                <w:lang w:val="en-US" w:eastAsia="zh-CN"/>
              </w:rPr>
              <w:t>表14  主要生产设备一览表</w:t>
            </w:r>
          </w:p>
          <w:tbl>
            <w:tblPr>
              <w:tblStyle w:val="21"/>
              <w:tblW w:w="80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35"/>
              <w:gridCol w:w="1973"/>
              <w:gridCol w:w="860"/>
              <w:gridCol w:w="765"/>
              <w:gridCol w:w="2434"/>
            </w:tblGrid>
            <w:tr w14:paraId="2BDDB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2EC8BAA5">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val="en-US" w:eastAsia="zh-CN"/>
                    </w:rPr>
                    <w:t>序号</w:t>
                  </w:r>
                </w:p>
              </w:tc>
              <w:tc>
                <w:tcPr>
                  <w:tcW w:w="1235" w:type="dxa"/>
                  <w:tcBorders>
                    <w:tl2br w:val="nil"/>
                    <w:tr2bl w:val="nil"/>
                  </w:tcBorders>
                  <w:noWrap w:val="0"/>
                  <w:vAlign w:val="center"/>
                </w:tcPr>
                <w:p w14:paraId="0A5CC2BE">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主要工艺</w:t>
                  </w:r>
                </w:p>
              </w:tc>
              <w:tc>
                <w:tcPr>
                  <w:tcW w:w="1973" w:type="dxa"/>
                  <w:tcBorders>
                    <w:tl2br w:val="nil"/>
                    <w:tr2bl w:val="nil"/>
                  </w:tcBorders>
                  <w:noWrap w:val="0"/>
                  <w:vAlign w:val="center"/>
                </w:tcPr>
                <w:p w14:paraId="2FEF0B5A">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名称</w:t>
                  </w:r>
                </w:p>
              </w:tc>
              <w:tc>
                <w:tcPr>
                  <w:tcW w:w="860" w:type="dxa"/>
                  <w:tcBorders>
                    <w:tl2br w:val="nil"/>
                    <w:tr2bl w:val="nil"/>
                  </w:tcBorders>
                  <w:noWrap w:val="0"/>
                  <w:vAlign w:val="center"/>
                </w:tcPr>
                <w:p w14:paraId="5B8D4CCF">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数量</w:t>
                  </w:r>
                </w:p>
              </w:tc>
              <w:tc>
                <w:tcPr>
                  <w:tcW w:w="765" w:type="dxa"/>
                  <w:tcBorders>
                    <w:tl2br w:val="nil"/>
                    <w:tr2bl w:val="nil"/>
                  </w:tcBorders>
                  <w:noWrap w:val="0"/>
                  <w:vAlign w:val="center"/>
                </w:tcPr>
                <w:p w14:paraId="179C7BDB">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单位</w:t>
                  </w:r>
                </w:p>
              </w:tc>
              <w:tc>
                <w:tcPr>
                  <w:tcW w:w="2434" w:type="dxa"/>
                  <w:tcBorders>
                    <w:tl2br w:val="nil"/>
                    <w:tr2bl w:val="nil"/>
                  </w:tcBorders>
                  <w:noWrap w:val="0"/>
                  <w:vAlign w:val="center"/>
                </w:tcPr>
                <w:p w14:paraId="07D711A2">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备注</w:t>
                  </w:r>
                </w:p>
              </w:tc>
            </w:tr>
            <w:tr w14:paraId="12840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1D738BBA">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tcBorders>
                    <w:tl2br w:val="nil"/>
                    <w:tr2bl w:val="nil"/>
                  </w:tcBorders>
                  <w:noWrap w:val="0"/>
                  <w:vAlign w:val="center"/>
                </w:tcPr>
                <w:p w14:paraId="6925A9CD">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切割工序</w:t>
                  </w:r>
                </w:p>
              </w:tc>
              <w:tc>
                <w:tcPr>
                  <w:tcW w:w="1973" w:type="dxa"/>
                  <w:tcBorders>
                    <w:tl2br w:val="nil"/>
                    <w:tr2bl w:val="nil"/>
                  </w:tcBorders>
                  <w:noWrap w:val="0"/>
                  <w:vAlign w:val="center"/>
                </w:tcPr>
                <w:p w14:paraId="384D63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4"/>
                      <w:sz w:val="21"/>
                      <w:szCs w:val="21"/>
                      <w:highlight w:val="none"/>
                      <w:lang w:val="en-US" w:eastAsia="zh-CN"/>
                    </w:rPr>
                    <w:t>金属圆锯机</w:t>
                  </w:r>
                </w:p>
              </w:tc>
              <w:tc>
                <w:tcPr>
                  <w:tcW w:w="860" w:type="dxa"/>
                  <w:tcBorders>
                    <w:tl2br w:val="nil"/>
                    <w:tr2bl w:val="nil"/>
                  </w:tcBorders>
                  <w:noWrap w:val="0"/>
                  <w:vAlign w:val="center"/>
                </w:tcPr>
                <w:p w14:paraId="1C01C29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765" w:type="dxa"/>
                  <w:tcBorders>
                    <w:tl2br w:val="nil"/>
                    <w:tr2bl w:val="nil"/>
                  </w:tcBorders>
                  <w:noWrap w:val="0"/>
                  <w:vAlign w:val="center"/>
                </w:tcPr>
                <w:p w14:paraId="719D5E3B">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175752C7">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kern w:val="24"/>
                      <w:sz w:val="21"/>
                      <w:szCs w:val="21"/>
                      <w:highlight w:val="none"/>
                      <w:lang w:val="en-US" w:eastAsia="zh-CN"/>
                    </w:rPr>
                    <w:t>275型</w:t>
                  </w:r>
                </w:p>
              </w:tc>
            </w:tr>
            <w:tr w14:paraId="460CBB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6BA73FE3">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restart"/>
                  <w:tcBorders>
                    <w:tl2br w:val="nil"/>
                    <w:tr2bl w:val="nil"/>
                  </w:tcBorders>
                  <w:noWrap w:val="0"/>
                  <w:vAlign w:val="center"/>
                </w:tcPr>
                <w:p w14:paraId="051CDDBF">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焊接</w:t>
                  </w:r>
                  <w:r>
                    <w:rPr>
                      <w:rFonts w:hint="default" w:ascii="Times New Roman" w:hAnsi="Times New Roman" w:eastAsia="宋体" w:cs="Times New Roman"/>
                      <w:bCs/>
                      <w:color w:val="auto"/>
                      <w:kern w:val="2"/>
                      <w:sz w:val="21"/>
                      <w:szCs w:val="21"/>
                      <w:lang w:val="en-US" w:eastAsia="zh-CN" w:bidi="ar-SA"/>
                    </w:rPr>
                    <w:t>工序</w:t>
                  </w:r>
                </w:p>
              </w:tc>
              <w:tc>
                <w:tcPr>
                  <w:tcW w:w="1973" w:type="dxa"/>
                  <w:tcBorders>
                    <w:tl2br w:val="nil"/>
                    <w:tr2bl w:val="nil"/>
                  </w:tcBorders>
                  <w:noWrap w:val="0"/>
                  <w:vAlign w:val="center"/>
                </w:tcPr>
                <w:p w14:paraId="34D227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电焊机</w:t>
                  </w:r>
                </w:p>
              </w:tc>
              <w:tc>
                <w:tcPr>
                  <w:tcW w:w="860" w:type="dxa"/>
                  <w:tcBorders>
                    <w:tl2br w:val="nil"/>
                    <w:tr2bl w:val="nil"/>
                  </w:tcBorders>
                  <w:noWrap w:val="0"/>
                  <w:vAlign w:val="center"/>
                </w:tcPr>
                <w:p w14:paraId="08A461D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2</w:t>
                  </w:r>
                </w:p>
              </w:tc>
              <w:tc>
                <w:tcPr>
                  <w:tcW w:w="765" w:type="dxa"/>
                  <w:tcBorders>
                    <w:tl2br w:val="nil"/>
                    <w:tr2bl w:val="nil"/>
                  </w:tcBorders>
                  <w:noWrap w:val="0"/>
                  <w:vAlign w:val="center"/>
                </w:tcPr>
                <w:p w14:paraId="37F19FB0">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7EF2788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200型</w:t>
                  </w:r>
                </w:p>
              </w:tc>
            </w:tr>
            <w:tr w14:paraId="519302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351AEF01">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726F693A">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5C9FF3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氩弧焊机</w:t>
                  </w:r>
                </w:p>
              </w:tc>
              <w:tc>
                <w:tcPr>
                  <w:tcW w:w="860" w:type="dxa"/>
                  <w:tcBorders>
                    <w:tl2br w:val="nil"/>
                    <w:tr2bl w:val="nil"/>
                  </w:tcBorders>
                  <w:noWrap w:val="0"/>
                  <w:vAlign w:val="center"/>
                </w:tcPr>
                <w:p w14:paraId="0BFFCF7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2</w:t>
                  </w:r>
                </w:p>
              </w:tc>
              <w:tc>
                <w:tcPr>
                  <w:tcW w:w="765" w:type="dxa"/>
                  <w:tcBorders>
                    <w:tl2br w:val="nil"/>
                    <w:tr2bl w:val="nil"/>
                  </w:tcBorders>
                  <w:noWrap w:val="0"/>
                  <w:vAlign w:val="center"/>
                </w:tcPr>
                <w:p w14:paraId="079428C6">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44111F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315型</w:t>
                  </w:r>
                </w:p>
              </w:tc>
            </w:tr>
            <w:tr w14:paraId="19974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168B7BA6">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0C381273">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605B9C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二氧化碳保护焊机</w:t>
                  </w:r>
                </w:p>
              </w:tc>
              <w:tc>
                <w:tcPr>
                  <w:tcW w:w="860" w:type="dxa"/>
                  <w:tcBorders>
                    <w:tl2br w:val="nil"/>
                    <w:tr2bl w:val="nil"/>
                  </w:tcBorders>
                  <w:noWrap w:val="0"/>
                  <w:vAlign w:val="center"/>
                </w:tcPr>
                <w:p w14:paraId="177F518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2</w:t>
                  </w:r>
                </w:p>
              </w:tc>
              <w:tc>
                <w:tcPr>
                  <w:tcW w:w="765" w:type="dxa"/>
                  <w:tcBorders>
                    <w:tl2br w:val="nil"/>
                    <w:tr2bl w:val="nil"/>
                  </w:tcBorders>
                  <w:noWrap w:val="0"/>
                  <w:vAlign w:val="center"/>
                </w:tcPr>
                <w:p w14:paraId="0719E5C2">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7EF4D9B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200型</w:t>
                  </w:r>
                </w:p>
              </w:tc>
            </w:tr>
            <w:tr w14:paraId="478A2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7DDB2715">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tcBorders>
                    <w:tl2br w:val="nil"/>
                    <w:tr2bl w:val="nil"/>
                  </w:tcBorders>
                  <w:noWrap w:val="0"/>
                  <w:vAlign w:val="center"/>
                </w:tcPr>
                <w:p w14:paraId="34940D01">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打磨</w:t>
                  </w:r>
                  <w:r>
                    <w:rPr>
                      <w:rFonts w:hint="default" w:ascii="Times New Roman" w:hAnsi="Times New Roman" w:eastAsia="宋体" w:cs="Times New Roman"/>
                      <w:bCs/>
                      <w:color w:val="auto"/>
                      <w:kern w:val="2"/>
                      <w:sz w:val="21"/>
                      <w:szCs w:val="21"/>
                      <w:lang w:val="en-US" w:eastAsia="zh-CN" w:bidi="ar-SA"/>
                    </w:rPr>
                    <w:t>工序</w:t>
                  </w:r>
                </w:p>
              </w:tc>
              <w:tc>
                <w:tcPr>
                  <w:tcW w:w="1973" w:type="dxa"/>
                  <w:tcBorders>
                    <w:tl2br w:val="nil"/>
                    <w:tr2bl w:val="nil"/>
                  </w:tcBorders>
                  <w:noWrap w:val="0"/>
                  <w:vAlign w:val="center"/>
                </w:tcPr>
                <w:p w14:paraId="5887AB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打</w:t>
                  </w:r>
                  <w:r>
                    <w:rPr>
                      <w:rFonts w:hint="default" w:ascii="Times New Roman" w:hAnsi="Times New Roman" w:eastAsia="宋体" w:cs="Times New Roman"/>
                      <w:sz w:val="21"/>
                      <w:szCs w:val="21"/>
                      <w:vertAlign w:val="baseline"/>
                      <w:lang w:val="en-US" w:eastAsia="zh-CN"/>
                    </w:rPr>
                    <w:t>磨机</w:t>
                  </w:r>
                </w:p>
              </w:tc>
              <w:tc>
                <w:tcPr>
                  <w:tcW w:w="860" w:type="dxa"/>
                  <w:tcBorders>
                    <w:tl2br w:val="nil"/>
                    <w:tr2bl w:val="nil"/>
                  </w:tcBorders>
                  <w:noWrap w:val="0"/>
                  <w:vAlign w:val="center"/>
                </w:tcPr>
                <w:p w14:paraId="633946B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eastAsia" w:cs="Times New Roman"/>
                      <w:kern w:val="24"/>
                      <w:sz w:val="21"/>
                      <w:szCs w:val="21"/>
                      <w:highlight w:val="none"/>
                      <w:lang w:val="en-US" w:eastAsia="zh-CN" w:bidi="ar-SA"/>
                    </w:rPr>
                    <w:t>3</w:t>
                  </w:r>
                </w:p>
              </w:tc>
              <w:tc>
                <w:tcPr>
                  <w:tcW w:w="765" w:type="dxa"/>
                  <w:tcBorders>
                    <w:tl2br w:val="nil"/>
                    <w:tr2bl w:val="nil"/>
                  </w:tcBorders>
                  <w:noWrap w:val="0"/>
                  <w:vAlign w:val="center"/>
                </w:tcPr>
                <w:p w14:paraId="7564F9ED">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7BBFBCE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125型</w:t>
                  </w:r>
                </w:p>
              </w:tc>
            </w:tr>
            <w:tr w14:paraId="0E3C9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5ABD93F9">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restart"/>
                  <w:tcBorders>
                    <w:tl2br w:val="nil"/>
                    <w:tr2bl w:val="nil"/>
                  </w:tcBorders>
                  <w:noWrap w:val="0"/>
                  <w:vAlign w:val="center"/>
                </w:tcPr>
                <w:p w14:paraId="79DADDC9">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成型工序</w:t>
                  </w:r>
                </w:p>
              </w:tc>
              <w:tc>
                <w:tcPr>
                  <w:tcW w:w="1973" w:type="dxa"/>
                  <w:tcBorders>
                    <w:tl2br w:val="nil"/>
                    <w:tr2bl w:val="nil"/>
                  </w:tcBorders>
                  <w:noWrap w:val="0"/>
                  <w:vAlign w:val="center"/>
                </w:tcPr>
                <w:p w14:paraId="73E973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折弯机</w:t>
                  </w:r>
                </w:p>
              </w:tc>
              <w:tc>
                <w:tcPr>
                  <w:tcW w:w="860" w:type="dxa"/>
                  <w:tcBorders>
                    <w:tl2br w:val="nil"/>
                    <w:tr2bl w:val="nil"/>
                  </w:tcBorders>
                  <w:noWrap w:val="0"/>
                  <w:vAlign w:val="center"/>
                </w:tcPr>
                <w:p w14:paraId="67503FB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14:paraId="20EBE53B">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2356D2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WE67K-200</w:t>
                  </w:r>
                </w:p>
              </w:tc>
            </w:tr>
            <w:tr w14:paraId="71643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3251A0C6">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0F8974C4">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4E91EA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液压机</w:t>
                  </w:r>
                </w:p>
              </w:tc>
              <w:tc>
                <w:tcPr>
                  <w:tcW w:w="860" w:type="dxa"/>
                  <w:tcBorders>
                    <w:tl2br w:val="nil"/>
                    <w:tr2bl w:val="nil"/>
                  </w:tcBorders>
                  <w:noWrap w:val="0"/>
                  <w:vAlign w:val="center"/>
                </w:tcPr>
                <w:p w14:paraId="42A885B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14:paraId="345D89CC">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35A903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315T/YZT-630</w:t>
                  </w:r>
                </w:p>
              </w:tc>
            </w:tr>
            <w:tr w14:paraId="05BCB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7E6B8DD4">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2D1A2380">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6CD1CD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卷板机</w:t>
                  </w:r>
                </w:p>
              </w:tc>
              <w:tc>
                <w:tcPr>
                  <w:tcW w:w="860" w:type="dxa"/>
                  <w:tcBorders>
                    <w:tl2br w:val="nil"/>
                    <w:tr2bl w:val="nil"/>
                  </w:tcBorders>
                  <w:noWrap w:val="0"/>
                  <w:vAlign w:val="center"/>
                </w:tcPr>
                <w:p w14:paraId="2732ADA5">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14:paraId="3143FA75">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49ECAA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DTJB001</w:t>
                  </w:r>
                </w:p>
              </w:tc>
            </w:tr>
            <w:tr w14:paraId="34476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396CD3C1">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restart"/>
                  <w:tcBorders>
                    <w:tl2br w:val="nil"/>
                    <w:tr2bl w:val="nil"/>
                  </w:tcBorders>
                  <w:noWrap w:val="0"/>
                  <w:vAlign w:val="center"/>
                </w:tcPr>
                <w:p w14:paraId="1D0B242B">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机加工工序</w:t>
                  </w:r>
                </w:p>
              </w:tc>
              <w:tc>
                <w:tcPr>
                  <w:tcW w:w="1973" w:type="dxa"/>
                  <w:tcBorders>
                    <w:tl2br w:val="nil"/>
                    <w:tr2bl w:val="nil"/>
                  </w:tcBorders>
                  <w:noWrap w:val="0"/>
                  <w:vAlign w:val="center"/>
                </w:tcPr>
                <w:p w14:paraId="5025E0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普通车床</w:t>
                  </w:r>
                </w:p>
              </w:tc>
              <w:tc>
                <w:tcPr>
                  <w:tcW w:w="860" w:type="dxa"/>
                  <w:tcBorders>
                    <w:tl2br w:val="nil"/>
                    <w:tr2bl w:val="nil"/>
                  </w:tcBorders>
                  <w:noWrap w:val="0"/>
                  <w:vAlign w:val="center"/>
                </w:tcPr>
                <w:p w14:paraId="656B8BA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14:paraId="7EDDC98B">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4D3FA4C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w:t>
                  </w:r>
                </w:p>
              </w:tc>
            </w:tr>
            <w:tr w14:paraId="32C8B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18900070">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2ABDE402">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44C6FE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数控车床</w:t>
                  </w:r>
                </w:p>
              </w:tc>
              <w:tc>
                <w:tcPr>
                  <w:tcW w:w="860" w:type="dxa"/>
                  <w:tcBorders>
                    <w:tl2br w:val="nil"/>
                    <w:tr2bl w:val="nil"/>
                  </w:tcBorders>
                  <w:noWrap w:val="0"/>
                  <w:vAlign w:val="center"/>
                </w:tcPr>
                <w:p w14:paraId="4FF53F9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14:paraId="25296375">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482190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CAK3655</w:t>
                  </w:r>
                </w:p>
              </w:tc>
            </w:tr>
            <w:tr w14:paraId="6EA37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402FE497">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1AC9D5DC">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7C9A8E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color w:val="000000"/>
                      <w:kern w:val="0"/>
                      <w:sz w:val="21"/>
                      <w:szCs w:val="21"/>
                      <w:lang w:val="en-US" w:eastAsia="zh-CN" w:bidi="ar"/>
                    </w:rPr>
                    <w:t>立式升降台铣床</w:t>
                  </w:r>
                </w:p>
              </w:tc>
              <w:tc>
                <w:tcPr>
                  <w:tcW w:w="860" w:type="dxa"/>
                  <w:tcBorders>
                    <w:tl2br w:val="nil"/>
                    <w:tr2bl w:val="nil"/>
                  </w:tcBorders>
                  <w:noWrap w:val="0"/>
                  <w:vAlign w:val="center"/>
                </w:tcPr>
                <w:p w14:paraId="28A20F2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14:paraId="25B3DDB1">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4995A55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w:t>
                  </w:r>
                </w:p>
              </w:tc>
            </w:tr>
            <w:tr w14:paraId="38A39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05CC8856">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480BD111">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1DC080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立式钻床</w:t>
                  </w:r>
                </w:p>
              </w:tc>
              <w:tc>
                <w:tcPr>
                  <w:tcW w:w="860" w:type="dxa"/>
                  <w:tcBorders>
                    <w:tl2br w:val="nil"/>
                    <w:tr2bl w:val="nil"/>
                  </w:tcBorders>
                  <w:noWrap w:val="0"/>
                  <w:vAlign w:val="center"/>
                </w:tcPr>
                <w:p w14:paraId="58EBA35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p>
              </w:tc>
              <w:tc>
                <w:tcPr>
                  <w:tcW w:w="765" w:type="dxa"/>
                  <w:tcBorders>
                    <w:tl2br w:val="nil"/>
                    <w:tr2bl w:val="nil"/>
                  </w:tcBorders>
                  <w:noWrap w:val="0"/>
                  <w:vAlign w:val="center"/>
                </w:tcPr>
                <w:p w14:paraId="722D5ACB">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74CB89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Z25</w:t>
                  </w:r>
                </w:p>
              </w:tc>
            </w:tr>
            <w:tr w14:paraId="57CB4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270DF357">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0D28ED72">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066518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牛头刨床</w:t>
                  </w:r>
                </w:p>
              </w:tc>
              <w:tc>
                <w:tcPr>
                  <w:tcW w:w="860" w:type="dxa"/>
                  <w:tcBorders>
                    <w:tl2br w:val="nil"/>
                    <w:tr2bl w:val="nil"/>
                  </w:tcBorders>
                  <w:noWrap w:val="0"/>
                  <w:vAlign w:val="center"/>
                </w:tcPr>
                <w:p w14:paraId="602A16C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765" w:type="dxa"/>
                  <w:tcBorders>
                    <w:tl2br w:val="nil"/>
                    <w:tr2bl w:val="nil"/>
                  </w:tcBorders>
                  <w:noWrap w:val="0"/>
                  <w:vAlign w:val="center"/>
                </w:tcPr>
                <w:p w14:paraId="2D4B8489">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78BDE2A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w:t>
                  </w:r>
                </w:p>
              </w:tc>
            </w:tr>
            <w:tr w14:paraId="6A490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388349BB">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35EB89DA">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67D196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color w:val="000000"/>
                      <w:kern w:val="0"/>
                      <w:sz w:val="21"/>
                      <w:szCs w:val="21"/>
                      <w:lang w:val="en-US" w:eastAsia="zh-CN" w:bidi="ar"/>
                    </w:rPr>
                    <w:t>卧轴距台平面</w:t>
                  </w:r>
                  <w:r>
                    <w:rPr>
                      <w:rFonts w:hint="default" w:ascii="Times New Roman" w:hAnsi="Times New Roman" w:eastAsia="宋体" w:cs="Times New Roman"/>
                      <w:sz w:val="21"/>
                      <w:szCs w:val="21"/>
                      <w:vertAlign w:val="baseline"/>
                      <w:lang w:val="en-US" w:eastAsia="zh-CN"/>
                    </w:rPr>
                    <w:t>磨床</w:t>
                  </w:r>
                </w:p>
              </w:tc>
              <w:tc>
                <w:tcPr>
                  <w:tcW w:w="860" w:type="dxa"/>
                  <w:tcBorders>
                    <w:tl2br w:val="nil"/>
                    <w:tr2bl w:val="nil"/>
                  </w:tcBorders>
                  <w:noWrap w:val="0"/>
                  <w:vAlign w:val="center"/>
                </w:tcPr>
                <w:p w14:paraId="5CA9A0B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765" w:type="dxa"/>
                  <w:tcBorders>
                    <w:tl2br w:val="nil"/>
                    <w:tr2bl w:val="nil"/>
                  </w:tcBorders>
                  <w:noWrap w:val="0"/>
                  <w:vAlign w:val="center"/>
                </w:tcPr>
                <w:p w14:paraId="746F3E43">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1FAD46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M7150X30/H8</w:t>
                  </w:r>
                </w:p>
              </w:tc>
            </w:tr>
            <w:tr w14:paraId="68800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30BD671E">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restart"/>
                  <w:tcBorders>
                    <w:tl2br w:val="nil"/>
                    <w:tr2bl w:val="nil"/>
                  </w:tcBorders>
                  <w:noWrap w:val="0"/>
                  <w:vAlign w:val="center"/>
                </w:tcPr>
                <w:p w14:paraId="7F744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color w:val="000000"/>
                      <w:kern w:val="0"/>
                      <w:sz w:val="21"/>
                      <w:szCs w:val="21"/>
                      <w:lang w:val="en-US" w:eastAsia="zh-CN" w:bidi="ar"/>
                    </w:rPr>
                    <w:t>表面清理工序</w:t>
                  </w:r>
                </w:p>
              </w:tc>
              <w:tc>
                <w:tcPr>
                  <w:tcW w:w="1973" w:type="dxa"/>
                  <w:tcBorders>
                    <w:tl2br w:val="nil"/>
                    <w:tr2bl w:val="nil"/>
                  </w:tcBorders>
                  <w:noWrap w:val="0"/>
                  <w:vAlign w:val="center"/>
                </w:tcPr>
                <w:p w14:paraId="1BA642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打砂</w:t>
                  </w:r>
                  <w:r>
                    <w:rPr>
                      <w:rFonts w:hint="default" w:ascii="Times New Roman" w:hAnsi="Times New Roman" w:eastAsia="宋体" w:cs="Times New Roman"/>
                      <w:sz w:val="21"/>
                      <w:szCs w:val="21"/>
                      <w:vertAlign w:val="baseline"/>
                      <w:lang w:val="en-US" w:eastAsia="zh-CN"/>
                    </w:rPr>
                    <w:t>机</w:t>
                  </w:r>
                </w:p>
              </w:tc>
              <w:tc>
                <w:tcPr>
                  <w:tcW w:w="860" w:type="dxa"/>
                  <w:tcBorders>
                    <w:tl2br w:val="nil"/>
                    <w:tr2bl w:val="nil"/>
                  </w:tcBorders>
                  <w:noWrap w:val="0"/>
                  <w:vAlign w:val="center"/>
                </w:tcPr>
                <w:p w14:paraId="1FFE076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rPr>
                    <w:t>1</w:t>
                  </w:r>
                </w:p>
              </w:tc>
              <w:tc>
                <w:tcPr>
                  <w:tcW w:w="765" w:type="dxa"/>
                  <w:tcBorders>
                    <w:tl2br w:val="nil"/>
                    <w:tr2bl w:val="nil"/>
                  </w:tcBorders>
                  <w:noWrap w:val="0"/>
                  <w:vAlign w:val="center"/>
                </w:tcPr>
                <w:p w14:paraId="3601E5B7">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20293F8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rPr>
                    <w:t>Yt420</w:t>
                  </w:r>
                </w:p>
              </w:tc>
            </w:tr>
            <w:tr w14:paraId="53132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34522CB2">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14A182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cs="Times New Roman"/>
                      <w:color w:val="000000"/>
                      <w:kern w:val="0"/>
                      <w:sz w:val="21"/>
                      <w:szCs w:val="21"/>
                      <w:lang w:val="en-US" w:eastAsia="zh-CN" w:bidi="ar"/>
                    </w:rPr>
                  </w:pPr>
                </w:p>
              </w:tc>
              <w:tc>
                <w:tcPr>
                  <w:tcW w:w="1973" w:type="dxa"/>
                  <w:tcBorders>
                    <w:tl2br w:val="nil"/>
                    <w:tr2bl w:val="nil"/>
                  </w:tcBorders>
                  <w:noWrap w:val="0"/>
                  <w:vAlign w:val="center"/>
                </w:tcPr>
                <w:p w14:paraId="17F2C4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抛丸机</w:t>
                  </w:r>
                </w:p>
              </w:tc>
              <w:tc>
                <w:tcPr>
                  <w:tcW w:w="860" w:type="dxa"/>
                  <w:tcBorders>
                    <w:tl2br w:val="nil"/>
                    <w:tr2bl w:val="nil"/>
                  </w:tcBorders>
                  <w:noWrap w:val="0"/>
                  <w:vAlign w:val="center"/>
                </w:tcPr>
                <w:p w14:paraId="176262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w:t>
                  </w:r>
                </w:p>
              </w:tc>
              <w:tc>
                <w:tcPr>
                  <w:tcW w:w="765" w:type="dxa"/>
                  <w:tcBorders>
                    <w:tl2br w:val="nil"/>
                    <w:tr2bl w:val="nil"/>
                  </w:tcBorders>
                  <w:noWrap w:val="0"/>
                  <w:vAlign w:val="center"/>
                </w:tcPr>
                <w:p w14:paraId="30B627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vertAlign w:val="baseline"/>
                      <w:lang w:val="en-US" w:eastAsia="zh-CN"/>
                    </w:rPr>
                  </w:pPr>
                  <w:r>
                    <w:rPr>
                      <w:rFonts w:hint="default" w:cs="Times New Roman"/>
                      <w:color w:val="auto"/>
                      <w:sz w:val="21"/>
                      <w:szCs w:val="21"/>
                      <w:highlight w:val="none"/>
                      <w:vertAlign w:val="baseline"/>
                      <w:lang w:val="en-US" w:eastAsia="zh-CN"/>
                    </w:rPr>
                    <w:t>台</w:t>
                  </w:r>
                </w:p>
              </w:tc>
              <w:tc>
                <w:tcPr>
                  <w:tcW w:w="2434" w:type="dxa"/>
                  <w:tcBorders>
                    <w:tl2br w:val="nil"/>
                    <w:tr2bl w:val="nil"/>
                  </w:tcBorders>
                  <w:noWrap w:val="0"/>
                  <w:vAlign w:val="center"/>
                </w:tcPr>
                <w:p w14:paraId="3A09B9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履带式-Q324</w:t>
                  </w:r>
                </w:p>
              </w:tc>
            </w:tr>
            <w:tr w14:paraId="0E792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31EF8195">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restart"/>
                  <w:tcBorders>
                    <w:tl2br w:val="nil"/>
                    <w:tr2bl w:val="nil"/>
                  </w:tcBorders>
                  <w:noWrap w:val="0"/>
                  <w:vAlign w:val="center"/>
                </w:tcPr>
                <w:p w14:paraId="71D7747B">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喷漆工序</w:t>
                  </w:r>
                </w:p>
              </w:tc>
              <w:tc>
                <w:tcPr>
                  <w:tcW w:w="1973" w:type="dxa"/>
                  <w:tcBorders>
                    <w:tl2br w:val="nil"/>
                    <w:tr2bl w:val="nil"/>
                  </w:tcBorders>
                  <w:noWrap w:val="0"/>
                  <w:vAlign w:val="center"/>
                </w:tcPr>
                <w:p w14:paraId="1FF166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highlight w:val="none"/>
                      <w:vertAlign w:val="baseline"/>
                      <w:lang w:val="en-US" w:eastAsia="zh-CN" w:bidi="ar-SA"/>
                    </w:rPr>
                  </w:pPr>
                  <w:r>
                    <w:rPr>
                      <w:rFonts w:hint="eastAsia" w:cs="Times New Roman"/>
                      <w:sz w:val="21"/>
                      <w:szCs w:val="21"/>
                      <w:highlight w:val="none"/>
                      <w:vertAlign w:val="baseline"/>
                      <w:lang w:val="en-US" w:eastAsia="zh-CN"/>
                    </w:rPr>
                    <w:t>喷漆房</w:t>
                  </w:r>
                </w:p>
              </w:tc>
              <w:tc>
                <w:tcPr>
                  <w:tcW w:w="860" w:type="dxa"/>
                  <w:tcBorders>
                    <w:tl2br w:val="nil"/>
                    <w:tr2bl w:val="nil"/>
                  </w:tcBorders>
                  <w:noWrap w:val="0"/>
                  <w:vAlign w:val="center"/>
                </w:tcPr>
                <w:p w14:paraId="2889BBC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eastAsia" w:cs="Times New Roman"/>
                      <w:kern w:val="24"/>
                      <w:sz w:val="21"/>
                      <w:szCs w:val="21"/>
                      <w:highlight w:val="none"/>
                      <w:lang w:val="en-US" w:eastAsia="zh-CN" w:bidi="ar-SA"/>
                    </w:rPr>
                    <w:t>3</w:t>
                  </w:r>
                </w:p>
              </w:tc>
              <w:tc>
                <w:tcPr>
                  <w:tcW w:w="765" w:type="dxa"/>
                  <w:tcBorders>
                    <w:tl2br w:val="nil"/>
                    <w:tr2bl w:val="nil"/>
                  </w:tcBorders>
                  <w:noWrap w:val="0"/>
                  <w:vAlign w:val="center"/>
                </w:tcPr>
                <w:p w14:paraId="797454A2">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座</w:t>
                  </w:r>
                </w:p>
              </w:tc>
              <w:tc>
                <w:tcPr>
                  <w:tcW w:w="2434" w:type="dxa"/>
                  <w:tcBorders>
                    <w:tl2br w:val="nil"/>
                    <w:tr2bl w:val="nil"/>
                  </w:tcBorders>
                  <w:noWrap w:val="0"/>
                  <w:vAlign w:val="center"/>
                </w:tcPr>
                <w:p w14:paraId="2A41F81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rPr>
                  </w:pPr>
                  <w:r>
                    <w:rPr>
                      <w:rFonts w:hint="default" w:ascii="Times New Roman" w:hAnsi="Times New Roman" w:eastAsia="宋体" w:cs="Times New Roman"/>
                      <w:kern w:val="24"/>
                      <w:sz w:val="21"/>
                      <w:szCs w:val="21"/>
                      <w:highlight w:val="none"/>
                      <w:lang w:val="en-US" w:eastAsia="zh-CN"/>
                    </w:rPr>
                    <w:t>10m×5m×2.5m×2</w:t>
                  </w:r>
                </w:p>
                <w:p w14:paraId="42BEA802">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4"/>
                      <w:sz w:val="21"/>
                      <w:szCs w:val="21"/>
                      <w:highlight w:val="none"/>
                      <w:lang w:val="en-US" w:eastAsia="zh-CN"/>
                    </w:rPr>
                  </w:pPr>
                  <w:r>
                    <w:rPr>
                      <w:rFonts w:hint="default" w:ascii="Times New Roman" w:hAnsi="Times New Roman" w:eastAsia="宋体" w:cs="Times New Roman"/>
                      <w:kern w:val="24"/>
                      <w:sz w:val="21"/>
                      <w:szCs w:val="21"/>
                      <w:highlight w:val="none"/>
                      <w:lang w:val="en-US" w:eastAsia="zh-CN"/>
                    </w:rPr>
                    <w:t>5.4m×5m×2.5m</w:t>
                  </w:r>
                </w:p>
                <w:p w14:paraId="0AB03DC3">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kern w:val="24"/>
                      <w:sz w:val="21"/>
                      <w:szCs w:val="21"/>
                      <w:highlight w:val="none"/>
                      <w:lang w:val="en-US" w:eastAsia="zh-CN"/>
                    </w:rPr>
                    <w:t>（</w:t>
                  </w:r>
                  <w:r>
                    <w:rPr>
                      <w:rFonts w:hint="default" w:ascii="Times New Roman" w:hAnsi="Times New Roman" w:cs="Times New Roman"/>
                      <w:bCs/>
                      <w:color w:val="auto"/>
                      <w:sz w:val="21"/>
                      <w:szCs w:val="21"/>
                      <w:lang w:val="en-US" w:eastAsia="zh-CN"/>
                    </w:rPr>
                    <w:t>调漆在喷漆房内进行</w:t>
                  </w:r>
                  <w:r>
                    <w:rPr>
                      <w:rFonts w:hint="default" w:ascii="Times New Roman" w:hAnsi="Times New Roman" w:cs="Times New Roman"/>
                      <w:kern w:val="24"/>
                      <w:sz w:val="21"/>
                      <w:szCs w:val="21"/>
                      <w:highlight w:val="none"/>
                      <w:lang w:val="en-US" w:eastAsia="zh-CN"/>
                    </w:rPr>
                    <w:t>）</w:t>
                  </w:r>
                </w:p>
              </w:tc>
            </w:tr>
            <w:tr w14:paraId="56C28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65F9C93E">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326CCC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eastAsia" w:cs="Times New Roman"/>
                      <w:color w:val="000000"/>
                      <w:kern w:val="0"/>
                      <w:sz w:val="21"/>
                      <w:szCs w:val="21"/>
                      <w:lang w:val="en-US" w:eastAsia="zh-CN" w:bidi="ar"/>
                    </w:rPr>
                  </w:pPr>
                </w:p>
              </w:tc>
              <w:tc>
                <w:tcPr>
                  <w:tcW w:w="1973" w:type="dxa"/>
                  <w:tcBorders>
                    <w:tl2br w:val="nil"/>
                    <w:tr2bl w:val="nil"/>
                  </w:tcBorders>
                  <w:noWrap w:val="0"/>
                  <w:vAlign w:val="center"/>
                </w:tcPr>
                <w:p w14:paraId="77326C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highlight w:val="none"/>
                      <w:vertAlign w:val="baseline"/>
                      <w:lang w:val="en-US" w:eastAsia="zh-CN" w:bidi="ar-SA"/>
                    </w:rPr>
                  </w:pPr>
                  <w:r>
                    <w:rPr>
                      <w:rFonts w:hint="eastAsia" w:cs="Times New Roman"/>
                      <w:sz w:val="21"/>
                      <w:szCs w:val="21"/>
                      <w:highlight w:val="none"/>
                      <w:vertAlign w:val="baseline"/>
                      <w:lang w:val="en-US" w:eastAsia="zh-CN"/>
                    </w:rPr>
                    <w:t>烘干房</w:t>
                  </w:r>
                </w:p>
              </w:tc>
              <w:tc>
                <w:tcPr>
                  <w:tcW w:w="860" w:type="dxa"/>
                  <w:tcBorders>
                    <w:tl2br w:val="nil"/>
                    <w:tr2bl w:val="nil"/>
                  </w:tcBorders>
                  <w:noWrap w:val="0"/>
                  <w:vAlign w:val="center"/>
                </w:tcPr>
                <w:p w14:paraId="2807C1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eastAsia" w:cs="Times New Roman"/>
                      <w:kern w:val="24"/>
                      <w:sz w:val="21"/>
                      <w:szCs w:val="21"/>
                      <w:highlight w:val="none"/>
                      <w:lang w:val="en-US" w:eastAsia="zh-CN" w:bidi="ar-SA"/>
                    </w:rPr>
                    <w:t>2</w:t>
                  </w:r>
                </w:p>
              </w:tc>
              <w:tc>
                <w:tcPr>
                  <w:tcW w:w="765" w:type="dxa"/>
                  <w:tcBorders>
                    <w:tl2br w:val="nil"/>
                    <w:tr2bl w:val="nil"/>
                  </w:tcBorders>
                  <w:noWrap w:val="0"/>
                  <w:vAlign w:val="center"/>
                </w:tcPr>
                <w:p w14:paraId="32BCF59F">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kern w:val="24"/>
                      <w:sz w:val="21"/>
                      <w:szCs w:val="21"/>
                      <w:highlight w:val="none"/>
                      <w:lang w:val="en-US" w:eastAsia="zh-CN" w:bidi="ar-SA"/>
                    </w:rPr>
                    <w:t>座</w:t>
                  </w:r>
                </w:p>
              </w:tc>
              <w:tc>
                <w:tcPr>
                  <w:tcW w:w="2434" w:type="dxa"/>
                  <w:tcBorders>
                    <w:tl2br w:val="nil"/>
                    <w:tr2bl w:val="nil"/>
                  </w:tcBorders>
                  <w:noWrap w:val="0"/>
                  <w:vAlign w:val="center"/>
                </w:tcPr>
                <w:p w14:paraId="2347068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rPr>
                  </w:pPr>
                  <w:r>
                    <w:rPr>
                      <w:rFonts w:hint="default" w:ascii="Times New Roman" w:hAnsi="Times New Roman" w:eastAsia="宋体" w:cs="Times New Roman"/>
                      <w:kern w:val="24"/>
                      <w:sz w:val="21"/>
                      <w:szCs w:val="21"/>
                      <w:highlight w:val="none"/>
                      <w:lang w:val="en-US" w:eastAsia="zh-CN"/>
                    </w:rPr>
                    <w:t>10m×5m×2.5m</w:t>
                  </w:r>
                </w:p>
                <w:p w14:paraId="79459F5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rPr>
                    <w:t>5.4m×5m×2.5m</w:t>
                  </w:r>
                </w:p>
              </w:tc>
            </w:tr>
            <w:tr w14:paraId="7AD10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09B92B34">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53B6B129">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7F19B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sz w:val="21"/>
                      <w:szCs w:val="21"/>
                      <w:lang w:val="en-US" w:eastAsia="zh-CN"/>
                    </w:rPr>
                    <w:t>喷枪</w:t>
                  </w:r>
                </w:p>
              </w:tc>
              <w:tc>
                <w:tcPr>
                  <w:tcW w:w="860" w:type="dxa"/>
                  <w:tcBorders>
                    <w:tl2br w:val="nil"/>
                    <w:tr2bl w:val="nil"/>
                  </w:tcBorders>
                  <w:noWrap w:val="0"/>
                  <w:vAlign w:val="center"/>
                </w:tcPr>
                <w:p w14:paraId="6FE025E1">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3</w:t>
                  </w:r>
                </w:p>
              </w:tc>
              <w:tc>
                <w:tcPr>
                  <w:tcW w:w="765" w:type="dxa"/>
                  <w:tcBorders>
                    <w:tl2br w:val="nil"/>
                    <w:tr2bl w:val="nil"/>
                  </w:tcBorders>
                  <w:noWrap w:val="0"/>
                  <w:vAlign w:val="center"/>
                </w:tcPr>
                <w:p w14:paraId="0F458DDF">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1C3750DC">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w:t>
                  </w:r>
                </w:p>
              </w:tc>
            </w:tr>
            <w:tr w14:paraId="2F4DE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4DD1788F">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51878F10">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659225BB">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引风机</w:t>
                  </w:r>
                </w:p>
              </w:tc>
              <w:tc>
                <w:tcPr>
                  <w:tcW w:w="860" w:type="dxa"/>
                  <w:tcBorders>
                    <w:tl2br w:val="nil"/>
                    <w:tr2bl w:val="nil"/>
                  </w:tcBorders>
                  <w:noWrap w:val="0"/>
                  <w:vAlign w:val="center"/>
                </w:tcPr>
                <w:p w14:paraId="1F4CF1A2">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5</w:t>
                  </w:r>
                </w:p>
              </w:tc>
              <w:tc>
                <w:tcPr>
                  <w:tcW w:w="765" w:type="dxa"/>
                  <w:tcBorders>
                    <w:tl2br w:val="nil"/>
                    <w:tr2bl w:val="nil"/>
                  </w:tcBorders>
                  <w:noWrap w:val="0"/>
                  <w:vAlign w:val="center"/>
                </w:tcPr>
                <w:p w14:paraId="4A369CA3">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01EC31F7">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w:t>
                  </w:r>
                </w:p>
              </w:tc>
            </w:tr>
            <w:tr w14:paraId="157B7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5B6015FD">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05131B52">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38867D55">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循环风机</w:t>
                  </w:r>
                </w:p>
              </w:tc>
              <w:tc>
                <w:tcPr>
                  <w:tcW w:w="860" w:type="dxa"/>
                  <w:tcBorders>
                    <w:tl2br w:val="nil"/>
                    <w:tr2bl w:val="nil"/>
                  </w:tcBorders>
                  <w:noWrap w:val="0"/>
                  <w:vAlign w:val="center"/>
                </w:tcPr>
                <w:p w14:paraId="7900E144">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5</w:t>
                  </w:r>
                </w:p>
              </w:tc>
              <w:tc>
                <w:tcPr>
                  <w:tcW w:w="765" w:type="dxa"/>
                  <w:tcBorders>
                    <w:tl2br w:val="nil"/>
                    <w:tr2bl w:val="nil"/>
                  </w:tcBorders>
                  <w:noWrap w:val="0"/>
                  <w:vAlign w:val="center"/>
                </w:tcPr>
                <w:p w14:paraId="7EEC63E7">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18034AED">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w:t>
                  </w:r>
                </w:p>
              </w:tc>
            </w:tr>
            <w:tr w14:paraId="5D19D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5BE9A50E">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tcBorders>
                    <w:tl2br w:val="nil"/>
                    <w:tr2bl w:val="nil"/>
                  </w:tcBorders>
                  <w:noWrap w:val="0"/>
                  <w:vAlign w:val="center"/>
                </w:tcPr>
                <w:p w14:paraId="19649D14">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腻子打磨</w:t>
                  </w:r>
                </w:p>
              </w:tc>
              <w:tc>
                <w:tcPr>
                  <w:tcW w:w="1973" w:type="dxa"/>
                  <w:tcBorders>
                    <w:tl2br w:val="nil"/>
                    <w:tr2bl w:val="nil"/>
                  </w:tcBorders>
                  <w:noWrap w:val="0"/>
                  <w:vAlign w:val="center"/>
                </w:tcPr>
                <w:p w14:paraId="23317E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角磨机</w:t>
                  </w:r>
                </w:p>
              </w:tc>
              <w:tc>
                <w:tcPr>
                  <w:tcW w:w="860" w:type="dxa"/>
                  <w:tcBorders>
                    <w:tl2br w:val="nil"/>
                    <w:tr2bl w:val="nil"/>
                  </w:tcBorders>
                  <w:noWrap w:val="0"/>
                  <w:vAlign w:val="center"/>
                </w:tcPr>
                <w:p w14:paraId="293098B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bidi="ar-SA"/>
                    </w:rPr>
                    <w:t>1</w:t>
                  </w:r>
                </w:p>
              </w:tc>
              <w:tc>
                <w:tcPr>
                  <w:tcW w:w="765" w:type="dxa"/>
                  <w:tcBorders>
                    <w:tl2br w:val="nil"/>
                    <w:tr2bl w:val="nil"/>
                  </w:tcBorders>
                  <w:noWrap w:val="0"/>
                  <w:vAlign w:val="center"/>
                </w:tcPr>
                <w:p w14:paraId="0B42C014">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7BC1DA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eastAsia="宋体" w:cs="Times New Roman"/>
                      <w:kern w:val="24"/>
                      <w:sz w:val="21"/>
                      <w:szCs w:val="21"/>
                      <w:highlight w:val="none"/>
                      <w:lang w:val="en-US" w:eastAsia="zh-CN"/>
                    </w:rPr>
                    <w:t>100型</w:t>
                  </w:r>
                </w:p>
              </w:tc>
            </w:tr>
            <w:tr w14:paraId="7FD3A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55879E4E">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restart"/>
                  <w:tcBorders>
                    <w:tl2br w:val="nil"/>
                    <w:tr2bl w:val="nil"/>
                  </w:tcBorders>
                  <w:noWrap w:val="0"/>
                  <w:vAlign w:val="center"/>
                </w:tcPr>
                <w:p w14:paraId="5009A844">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辅助设备</w:t>
                  </w:r>
                </w:p>
              </w:tc>
              <w:tc>
                <w:tcPr>
                  <w:tcW w:w="1973" w:type="dxa"/>
                  <w:tcBorders>
                    <w:tl2br w:val="nil"/>
                    <w:tr2bl w:val="nil"/>
                  </w:tcBorders>
                  <w:noWrap w:val="0"/>
                  <w:vAlign w:val="center"/>
                </w:tcPr>
                <w:p w14:paraId="071412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cs="Times New Roman"/>
                      <w:sz w:val="21"/>
                      <w:szCs w:val="21"/>
                      <w:vertAlign w:val="baseline"/>
                      <w:lang w:val="en-US" w:eastAsia="zh-CN"/>
                    </w:rPr>
                    <w:t>空压机</w:t>
                  </w:r>
                </w:p>
              </w:tc>
              <w:tc>
                <w:tcPr>
                  <w:tcW w:w="860" w:type="dxa"/>
                  <w:tcBorders>
                    <w:tl2br w:val="nil"/>
                    <w:tr2bl w:val="nil"/>
                  </w:tcBorders>
                  <w:noWrap w:val="0"/>
                  <w:vAlign w:val="center"/>
                </w:tcPr>
                <w:p w14:paraId="6824136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eastAsia" w:cs="Times New Roman"/>
                      <w:kern w:val="24"/>
                      <w:sz w:val="21"/>
                      <w:szCs w:val="21"/>
                      <w:highlight w:val="none"/>
                      <w:lang w:val="en-US" w:eastAsia="zh-CN" w:bidi="ar-SA"/>
                    </w:rPr>
                    <w:t>1</w:t>
                  </w:r>
                </w:p>
              </w:tc>
              <w:tc>
                <w:tcPr>
                  <w:tcW w:w="765" w:type="dxa"/>
                  <w:tcBorders>
                    <w:tl2br w:val="nil"/>
                    <w:tr2bl w:val="nil"/>
                  </w:tcBorders>
                  <w:noWrap w:val="0"/>
                  <w:vAlign w:val="center"/>
                </w:tcPr>
                <w:p w14:paraId="64CC2130">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台</w:t>
                  </w:r>
                </w:p>
              </w:tc>
              <w:tc>
                <w:tcPr>
                  <w:tcW w:w="2434" w:type="dxa"/>
                  <w:tcBorders>
                    <w:tl2br w:val="nil"/>
                    <w:tr2bl w:val="nil"/>
                  </w:tcBorders>
                  <w:noWrap w:val="0"/>
                  <w:vAlign w:val="center"/>
                </w:tcPr>
                <w:p w14:paraId="0D8683C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cs="Times New Roman"/>
                      <w:kern w:val="24"/>
                      <w:sz w:val="21"/>
                      <w:szCs w:val="21"/>
                      <w:highlight w:val="none"/>
                      <w:lang w:val="en-US" w:eastAsia="zh-CN"/>
                    </w:rPr>
                    <w:t>55kw</w:t>
                  </w:r>
                </w:p>
              </w:tc>
            </w:tr>
            <w:tr w14:paraId="3CE13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4D17B677">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62070440">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973" w:type="dxa"/>
                  <w:tcBorders>
                    <w:tl2br w:val="nil"/>
                    <w:tr2bl w:val="nil"/>
                  </w:tcBorders>
                  <w:noWrap w:val="0"/>
                  <w:vAlign w:val="center"/>
                </w:tcPr>
                <w:p w14:paraId="49FBD8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甩干机</w:t>
                  </w:r>
                </w:p>
              </w:tc>
              <w:tc>
                <w:tcPr>
                  <w:tcW w:w="860" w:type="dxa"/>
                  <w:tcBorders>
                    <w:tl2br w:val="nil"/>
                    <w:tr2bl w:val="nil"/>
                  </w:tcBorders>
                  <w:noWrap w:val="0"/>
                  <w:vAlign w:val="center"/>
                </w:tcPr>
                <w:p w14:paraId="3F9926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1</w:t>
                  </w:r>
                </w:p>
              </w:tc>
              <w:tc>
                <w:tcPr>
                  <w:tcW w:w="765" w:type="dxa"/>
                  <w:tcBorders>
                    <w:tl2br w:val="nil"/>
                    <w:tr2bl w:val="nil"/>
                  </w:tcBorders>
                  <w:noWrap w:val="0"/>
                  <w:vAlign w:val="center"/>
                </w:tcPr>
                <w:p w14:paraId="75BA3D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台</w:t>
                  </w:r>
                </w:p>
              </w:tc>
              <w:tc>
                <w:tcPr>
                  <w:tcW w:w="2434" w:type="dxa"/>
                  <w:tcBorders>
                    <w:tl2br w:val="nil"/>
                    <w:tr2bl w:val="nil"/>
                  </w:tcBorders>
                  <w:noWrap w:val="0"/>
                  <w:vAlign w:val="center"/>
                </w:tcPr>
                <w:p w14:paraId="78DAE25C">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sz w:val="21"/>
                      <w:szCs w:val="21"/>
                      <w:highlight w:val="none"/>
                      <w:vertAlign w:val="baseline"/>
                      <w:lang w:val="en-US" w:eastAsia="zh-CN"/>
                    </w:rPr>
                    <w:t>18.5kw（</w:t>
                  </w:r>
                  <w:r>
                    <w:rPr>
                      <w:rFonts w:hint="default" w:ascii="Times New Roman" w:hAnsi="Times New Roman" w:cs="Times New Roman"/>
                      <w:sz w:val="21"/>
                      <w:szCs w:val="21"/>
                      <w:lang w:val="en-US" w:eastAsia="zh-CN"/>
                    </w:rPr>
                    <w:t>用于含油铁屑甩干</w:t>
                  </w:r>
                  <w:r>
                    <w:rPr>
                      <w:rFonts w:hint="default" w:ascii="Times New Roman" w:hAnsi="Times New Roman" w:cs="Times New Roman"/>
                      <w:sz w:val="21"/>
                      <w:szCs w:val="21"/>
                      <w:highlight w:val="none"/>
                      <w:vertAlign w:val="baseline"/>
                      <w:lang w:val="en-US" w:eastAsia="zh-CN"/>
                    </w:rPr>
                    <w:t>）</w:t>
                  </w:r>
                </w:p>
              </w:tc>
            </w:tr>
            <w:tr w14:paraId="37FAD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60A57C9E">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restart"/>
                  <w:tcBorders>
                    <w:tl2br w:val="nil"/>
                    <w:tr2bl w:val="nil"/>
                  </w:tcBorders>
                  <w:noWrap w:val="0"/>
                  <w:vAlign w:val="center"/>
                </w:tcPr>
                <w:p w14:paraId="4526DC24">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喷塑工序</w:t>
                  </w:r>
                </w:p>
              </w:tc>
              <w:tc>
                <w:tcPr>
                  <w:tcW w:w="1973" w:type="dxa"/>
                  <w:tcBorders>
                    <w:tl2br w:val="nil"/>
                    <w:tr2bl w:val="nil"/>
                  </w:tcBorders>
                  <w:noWrap w:val="0"/>
                  <w:vAlign w:val="center"/>
                </w:tcPr>
                <w:p w14:paraId="40D533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highlight w:val="none"/>
                      <w:vertAlign w:val="baseline"/>
                      <w:lang w:val="en-US" w:eastAsia="zh-CN" w:bidi="ar-SA"/>
                    </w:rPr>
                  </w:pPr>
                  <w:r>
                    <w:rPr>
                      <w:rFonts w:hint="eastAsia" w:cs="Times New Roman"/>
                      <w:sz w:val="21"/>
                      <w:szCs w:val="21"/>
                      <w:highlight w:val="none"/>
                      <w:vertAlign w:val="baseline"/>
                      <w:lang w:val="en-US" w:eastAsia="zh-CN"/>
                    </w:rPr>
                    <w:t>喷塑房</w:t>
                  </w:r>
                </w:p>
              </w:tc>
              <w:tc>
                <w:tcPr>
                  <w:tcW w:w="860" w:type="dxa"/>
                  <w:tcBorders>
                    <w:tl2br w:val="nil"/>
                    <w:tr2bl w:val="nil"/>
                  </w:tcBorders>
                  <w:noWrap w:val="0"/>
                  <w:vAlign w:val="center"/>
                </w:tcPr>
                <w:p w14:paraId="5DDCD20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24"/>
                      <w:sz w:val="21"/>
                      <w:szCs w:val="21"/>
                      <w:highlight w:val="none"/>
                      <w:lang w:val="en-US" w:eastAsia="zh-CN" w:bidi="ar-SA"/>
                    </w:rPr>
                  </w:pPr>
                  <w:r>
                    <w:rPr>
                      <w:rFonts w:hint="eastAsia" w:cs="Times New Roman"/>
                      <w:kern w:val="24"/>
                      <w:sz w:val="21"/>
                      <w:szCs w:val="21"/>
                      <w:highlight w:val="none"/>
                      <w:lang w:val="en-US" w:eastAsia="zh-CN" w:bidi="ar-SA"/>
                    </w:rPr>
                    <w:t>1</w:t>
                  </w:r>
                </w:p>
              </w:tc>
              <w:tc>
                <w:tcPr>
                  <w:tcW w:w="765" w:type="dxa"/>
                  <w:tcBorders>
                    <w:tl2br w:val="nil"/>
                    <w:tr2bl w:val="nil"/>
                  </w:tcBorders>
                  <w:noWrap w:val="0"/>
                  <w:vAlign w:val="center"/>
                </w:tcPr>
                <w:p w14:paraId="6268F4E4">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座</w:t>
                  </w:r>
                </w:p>
              </w:tc>
              <w:tc>
                <w:tcPr>
                  <w:tcW w:w="2434" w:type="dxa"/>
                  <w:tcBorders>
                    <w:tl2br w:val="nil"/>
                    <w:tr2bl w:val="nil"/>
                  </w:tcBorders>
                  <w:noWrap w:val="0"/>
                  <w:vAlign w:val="center"/>
                </w:tcPr>
                <w:p w14:paraId="402E0C4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default" w:ascii="Times New Roman" w:hAnsi="Times New Roman" w:cs="Times New Roman"/>
                      <w:color w:val="auto"/>
                      <w:sz w:val="21"/>
                      <w:szCs w:val="21"/>
                      <w:highlight w:val="none"/>
                      <w:vertAlign w:val="baseline"/>
                      <w:lang w:val="en-US" w:eastAsia="zh-CN"/>
                    </w:rPr>
                    <w:t>11m×5m×3m</w:t>
                  </w:r>
                </w:p>
              </w:tc>
            </w:tr>
            <w:tr w14:paraId="48E08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00A11638">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57510671">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536A94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eastAsia" w:cs="Times New Roman"/>
                      <w:sz w:val="21"/>
                      <w:szCs w:val="21"/>
                      <w:highlight w:val="none"/>
                      <w:vertAlign w:val="baseline"/>
                      <w:lang w:val="en-US" w:eastAsia="zh-CN"/>
                    </w:rPr>
                    <w:t>塑粉固化房</w:t>
                  </w:r>
                </w:p>
              </w:tc>
              <w:tc>
                <w:tcPr>
                  <w:tcW w:w="860" w:type="dxa"/>
                  <w:tcBorders>
                    <w:tl2br w:val="nil"/>
                    <w:tr2bl w:val="nil"/>
                  </w:tcBorders>
                  <w:noWrap w:val="0"/>
                  <w:vAlign w:val="center"/>
                </w:tcPr>
                <w:p w14:paraId="4DFD8D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bidi="ar-SA"/>
                    </w:rPr>
                  </w:pPr>
                  <w:r>
                    <w:rPr>
                      <w:rFonts w:hint="eastAsia" w:cs="Times New Roman"/>
                      <w:kern w:val="24"/>
                      <w:sz w:val="21"/>
                      <w:szCs w:val="21"/>
                      <w:highlight w:val="none"/>
                      <w:lang w:val="en-US" w:eastAsia="zh-CN" w:bidi="ar-SA"/>
                    </w:rPr>
                    <w:t>2</w:t>
                  </w:r>
                </w:p>
              </w:tc>
              <w:tc>
                <w:tcPr>
                  <w:tcW w:w="765" w:type="dxa"/>
                  <w:tcBorders>
                    <w:tl2br w:val="nil"/>
                    <w:tr2bl w:val="nil"/>
                  </w:tcBorders>
                  <w:noWrap w:val="0"/>
                  <w:vAlign w:val="center"/>
                </w:tcPr>
                <w:p w14:paraId="54CDDED5">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座</w:t>
                  </w:r>
                </w:p>
              </w:tc>
              <w:tc>
                <w:tcPr>
                  <w:tcW w:w="2434" w:type="dxa"/>
                  <w:tcBorders>
                    <w:tl2br w:val="nil"/>
                    <w:tr2bl w:val="nil"/>
                  </w:tcBorders>
                  <w:noWrap w:val="0"/>
                  <w:vAlign w:val="center"/>
                </w:tcPr>
                <w:p w14:paraId="39792D0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4"/>
                      <w:sz w:val="21"/>
                      <w:szCs w:val="21"/>
                      <w:highlight w:val="none"/>
                      <w:lang w:val="en-US" w:eastAsia="zh-CN"/>
                    </w:rPr>
                  </w:pPr>
                  <w:r>
                    <w:rPr>
                      <w:rFonts w:hint="default" w:ascii="Times New Roman" w:hAnsi="Times New Roman" w:eastAsia="宋体" w:cs="Times New Roman"/>
                      <w:kern w:val="24"/>
                      <w:sz w:val="21"/>
                      <w:szCs w:val="21"/>
                      <w:highlight w:val="none"/>
                      <w:lang w:val="en-US" w:eastAsia="zh-CN"/>
                    </w:rPr>
                    <w:t>6m×3m×3m</w:t>
                  </w:r>
                </w:p>
                <w:p w14:paraId="1E8804F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kern w:val="24"/>
                      <w:sz w:val="21"/>
                      <w:szCs w:val="21"/>
                      <w:highlight w:val="none"/>
                      <w:lang w:val="en-US" w:eastAsia="zh-CN"/>
                    </w:rPr>
                    <w:t>12m×3m×3m</w:t>
                  </w:r>
                </w:p>
              </w:tc>
            </w:tr>
            <w:tr w14:paraId="0619E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04A25456">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15B75F39">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4F93EFE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喷枪</w:t>
                  </w:r>
                </w:p>
              </w:tc>
              <w:tc>
                <w:tcPr>
                  <w:tcW w:w="860" w:type="dxa"/>
                  <w:tcBorders>
                    <w:tl2br w:val="nil"/>
                    <w:tr2bl w:val="nil"/>
                  </w:tcBorders>
                  <w:noWrap w:val="0"/>
                  <w:vAlign w:val="center"/>
                </w:tcPr>
                <w:p w14:paraId="0BE1A2B0">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1</w:t>
                  </w:r>
                </w:p>
              </w:tc>
              <w:tc>
                <w:tcPr>
                  <w:tcW w:w="765" w:type="dxa"/>
                  <w:tcBorders>
                    <w:tl2br w:val="nil"/>
                    <w:tr2bl w:val="nil"/>
                  </w:tcBorders>
                  <w:noWrap w:val="0"/>
                  <w:vAlign w:val="center"/>
                </w:tcPr>
                <w:p w14:paraId="766127E0">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7A776CE5">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r>
            <w:tr w14:paraId="1588A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24755E66">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51BB6FD8">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6B2F83A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引风机</w:t>
                  </w:r>
                </w:p>
              </w:tc>
              <w:tc>
                <w:tcPr>
                  <w:tcW w:w="860" w:type="dxa"/>
                  <w:tcBorders>
                    <w:tl2br w:val="nil"/>
                    <w:tr2bl w:val="nil"/>
                  </w:tcBorders>
                  <w:noWrap w:val="0"/>
                  <w:vAlign w:val="center"/>
                </w:tcPr>
                <w:p w14:paraId="5582B3FD">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2</w:t>
                  </w:r>
                </w:p>
              </w:tc>
              <w:tc>
                <w:tcPr>
                  <w:tcW w:w="765" w:type="dxa"/>
                  <w:tcBorders>
                    <w:tl2br w:val="nil"/>
                    <w:tr2bl w:val="nil"/>
                  </w:tcBorders>
                  <w:noWrap w:val="0"/>
                  <w:vAlign w:val="center"/>
                </w:tcPr>
                <w:p w14:paraId="038BC7CE">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188CD183">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r>
            <w:tr w14:paraId="42A8B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79D0A290">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7F905A98">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0082876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循环风机</w:t>
                  </w:r>
                </w:p>
              </w:tc>
              <w:tc>
                <w:tcPr>
                  <w:tcW w:w="860" w:type="dxa"/>
                  <w:tcBorders>
                    <w:tl2br w:val="nil"/>
                    <w:tr2bl w:val="nil"/>
                  </w:tcBorders>
                  <w:noWrap w:val="0"/>
                  <w:vAlign w:val="center"/>
                </w:tcPr>
                <w:p w14:paraId="634AC2ED">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2</w:t>
                  </w:r>
                </w:p>
              </w:tc>
              <w:tc>
                <w:tcPr>
                  <w:tcW w:w="765" w:type="dxa"/>
                  <w:tcBorders>
                    <w:tl2br w:val="nil"/>
                    <w:tr2bl w:val="nil"/>
                  </w:tcBorders>
                  <w:noWrap w:val="0"/>
                  <w:vAlign w:val="center"/>
                </w:tcPr>
                <w:p w14:paraId="01F2ED39">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台</w:t>
                  </w:r>
                </w:p>
              </w:tc>
              <w:tc>
                <w:tcPr>
                  <w:tcW w:w="2434" w:type="dxa"/>
                  <w:tcBorders>
                    <w:tl2br w:val="nil"/>
                    <w:tr2bl w:val="nil"/>
                  </w:tcBorders>
                  <w:noWrap w:val="0"/>
                  <w:vAlign w:val="center"/>
                </w:tcPr>
                <w:p w14:paraId="2F97D413">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r>
            <w:tr w14:paraId="6F9F0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33000BA7">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restart"/>
                  <w:tcBorders>
                    <w:tl2br w:val="nil"/>
                    <w:tr2bl w:val="nil"/>
                  </w:tcBorders>
                  <w:noWrap w:val="0"/>
                  <w:vAlign w:val="center"/>
                </w:tcPr>
                <w:p w14:paraId="4BE76460">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废气治理设施</w:t>
                  </w:r>
                </w:p>
              </w:tc>
              <w:tc>
                <w:tcPr>
                  <w:tcW w:w="1973" w:type="dxa"/>
                  <w:tcBorders>
                    <w:tl2br w:val="nil"/>
                    <w:tr2bl w:val="nil"/>
                  </w:tcBorders>
                  <w:noWrap w:val="0"/>
                  <w:vAlign w:val="center"/>
                </w:tcPr>
                <w:p w14:paraId="1BF2B9F9">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i w:val="0"/>
                      <w:color w:val="000000"/>
                      <w:kern w:val="0"/>
                      <w:sz w:val="21"/>
                      <w:szCs w:val="21"/>
                      <w:highlight w:val="none"/>
                      <w:u w:val="none"/>
                      <w:lang w:val="en-US" w:eastAsia="zh-CN" w:bidi="ar"/>
                    </w:rPr>
                    <w:t>过滤棉+活性炭吸附/脱附+催化燃烧装置（离线）</w:t>
                  </w:r>
                </w:p>
              </w:tc>
              <w:tc>
                <w:tcPr>
                  <w:tcW w:w="860" w:type="dxa"/>
                  <w:tcBorders>
                    <w:tl2br w:val="nil"/>
                    <w:tr2bl w:val="nil"/>
                  </w:tcBorders>
                  <w:noWrap w:val="0"/>
                  <w:vAlign w:val="center"/>
                </w:tcPr>
                <w:p w14:paraId="4644BBB3">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p>
              </w:tc>
              <w:tc>
                <w:tcPr>
                  <w:tcW w:w="765" w:type="dxa"/>
                  <w:tcBorders>
                    <w:tl2br w:val="nil"/>
                    <w:tr2bl w:val="nil"/>
                  </w:tcBorders>
                  <w:noWrap w:val="0"/>
                  <w:vAlign w:val="center"/>
                </w:tcPr>
                <w:p w14:paraId="4A8B5F6B">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套</w:t>
                  </w:r>
                </w:p>
              </w:tc>
              <w:tc>
                <w:tcPr>
                  <w:tcW w:w="2434" w:type="dxa"/>
                  <w:tcBorders>
                    <w:tl2br w:val="nil"/>
                    <w:tr2bl w:val="nil"/>
                  </w:tcBorders>
                  <w:noWrap w:val="0"/>
                  <w:vAlign w:val="center"/>
                </w:tcPr>
                <w:p w14:paraId="7FBE5121">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风机风量：</w:t>
                  </w:r>
                  <w:r>
                    <w:rPr>
                      <w:rFonts w:hint="eastAsia" w:ascii="Times New Roman" w:hAnsi="Times New Roman" w:cs="Times New Roman"/>
                      <w:bCs/>
                      <w:color w:val="auto"/>
                      <w:sz w:val="21"/>
                      <w:szCs w:val="21"/>
                      <w:highlight w:val="none"/>
                      <w:lang w:val="en-US" w:eastAsia="zh-CN"/>
                    </w:rPr>
                    <w:t>30</w:t>
                  </w:r>
                  <w:r>
                    <w:rPr>
                      <w:rFonts w:hint="default" w:ascii="Times New Roman" w:hAnsi="Times New Roman" w:eastAsia="宋体" w:cs="Times New Roman"/>
                      <w:bCs/>
                      <w:color w:val="auto"/>
                      <w:sz w:val="21"/>
                      <w:szCs w:val="21"/>
                      <w:highlight w:val="none"/>
                      <w:lang w:val="en-US" w:eastAsia="zh-CN"/>
                    </w:rPr>
                    <w:t>000m</w:t>
                  </w:r>
                  <w:r>
                    <w:rPr>
                      <w:rFonts w:hint="default" w:ascii="Times New Roman" w:hAnsi="Times New Roman" w:eastAsia="宋体" w:cs="Times New Roman"/>
                      <w:bCs/>
                      <w:color w:val="auto"/>
                      <w:sz w:val="21"/>
                      <w:szCs w:val="21"/>
                      <w:highlight w:val="none"/>
                      <w:vertAlign w:val="superscript"/>
                      <w:lang w:val="en-US" w:eastAsia="zh-CN"/>
                    </w:rPr>
                    <w:t>3</w:t>
                  </w:r>
                  <w:r>
                    <w:rPr>
                      <w:rFonts w:hint="default" w:ascii="Times New Roman" w:hAnsi="Times New Roman" w:eastAsia="宋体" w:cs="Times New Roman"/>
                      <w:bCs/>
                      <w:color w:val="auto"/>
                      <w:sz w:val="21"/>
                      <w:szCs w:val="21"/>
                      <w:highlight w:val="none"/>
                      <w:lang w:val="en-US" w:eastAsia="zh-CN"/>
                    </w:rPr>
                    <w:t>/h</w:t>
                  </w:r>
                </w:p>
              </w:tc>
            </w:tr>
            <w:tr w14:paraId="246E3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2B4DA134">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4FC812BD">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7FE30FBB">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bCs/>
                      <w:color w:val="auto"/>
                      <w:sz w:val="21"/>
                      <w:szCs w:val="21"/>
                      <w:lang w:val="en-US" w:eastAsia="zh-CN"/>
                    </w:rPr>
                    <w:t>袋式除尘装置</w:t>
                  </w:r>
                </w:p>
              </w:tc>
              <w:tc>
                <w:tcPr>
                  <w:tcW w:w="860" w:type="dxa"/>
                  <w:tcBorders>
                    <w:tl2br w:val="nil"/>
                    <w:tr2bl w:val="nil"/>
                  </w:tcBorders>
                  <w:noWrap w:val="0"/>
                  <w:vAlign w:val="center"/>
                </w:tcPr>
                <w:p w14:paraId="6D9D6362">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p>
              </w:tc>
              <w:tc>
                <w:tcPr>
                  <w:tcW w:w="765" w:type="dxa"/>
                  <w:tcBorders>
                    <w:tl2br w:val="nil"/>
                    <w:tr2bl w:val="nil"/>
                  </w:tcBorders>
                  <w:noWrap w:val="0"/>
                  <w:vAlign w:val="center"/>
                </w:tcPr>
                <w:p w14:paraId="14FECC07">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套</w:t>
                  </w:r>
                </w:p>
              </w:tc>
              <w:tc>
                <w:tcPr>
                  <w:tcW w:w="2434" w:type="dxa"/>
                  <w:tcBorders>
                    <w:tl2br w:val="nil"/>
                    <w:tr2bl w:val="nil"/>
                  </w:tcBorders>
                  <w:noWrap w:val="0"/>
                  <w:vAlign w:val="center"/>
                </w:tcPr>
                <w:p w14:paraId="45239404">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风机风量：</w:t>
                  </w:r>
                  <w:r>
                    <w:rPr>
                      <w:rFonts w:hint="default" w:ascii="Times New Roman" w:hAnsi="Times New Roman" w:cs="Times New Roman"/>
                      <w:bCs/>
                      <w:color w:val="auto"/>
                      <w:sz w:val="21"/>
                      <w:szCs w:val="21"/>
                      <w:highlight w:val="none"/>
                      <w:lang w:val="en-US" w:eastAsia="zh-CN"/>
                    </w:rPr>
                    <w:t>330</w:t>
                  </w:r>
                  <w:r>
                    <w:rPr>
                      <w:rFonts w:hint="default" w:ascii="Times New Roman" w:hAnsi="Times New Roman" w:eastAsia="宋体" w:cs="Times New Roman"/>
                      <w:bCs/>
                      <w:color w:val="auto"/>
                      <w:sz w:val="21"/>
                      <w:szCs w:val="21"/>
                      <w:highlight w:val="none"/>
                      <w:lang w:val="en-US" w:eastAsia="zh-CN"/>
                    </w:rPr>
                    <w:t>00m</w:t>
                  </w:r>
                  <w:r>
                    <w:rPr>
                      <w:rFonts w:hint="default" w:ascii="Times New Roman" w:hAnsi="Times New Roman" w:eastAsia="宋体" w:cs="Times New Roman"/>
                      <w:bCs/>
                      <w:color w:val="auto"/>
                      <w:sz w:val="21"/>
                      <w:szCs w:val="21"/>
                      <w:highlight w:val="none"/>
                      <w:vertAlign w:val="superscript"/>
                      <w:lang w:val="en-US" w:eastAsia="zh-CN"/>
                    </w:rPr>
                    <w:t>3</w:t>
                  </w:r>
                  <w:r>
                    <w:rPr>
                      <w:rFonts w:hint="default" w:ascii="Times New Roman" w:hAnsi="Times New Roman" w:eastAsia="宋体" w:cs="Times New Roman"/>
                      <w:bCs/>
                      <w:color w:val="auto"/>
                      <w:sz w:val="21"/>
                      <w:szCs w:val="21"/>
                      <w:highlight w:val="none"/>
                      <w:lang w:val="en-US" w:eastAsia="zh-CN"/>
                    </w:rPr>
                    <w:t>/h</w:t>
                  </w:r>
                </w:p>
              </w:tc>
            </w:tr>
            <w:tr w14:paraId="747B5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48F2EA55">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7E36E9B3">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6C751ABC">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bCs/>
                      <w:color w:val="auto"/>
                      <w:sz w:val="21"/>
                      <w:szCs w:val="21"/>
                      <w:lang w:val="en-US" w:eastAsia="zh-CN"/>
                    </w:rPr>
                    <w:t>袋式除尘装置</w:t>
                  </w:r>
                </w:p>
              </w:tc>
              <w:tc>
                <w:tcPr>
                  <w:tcW w:w="860" w:type="dxa"/>
                  <w:tcBorders>
                    <w:tl2br w:val="nil"/>
                    <w:tr2bl w:val="nil"/>
                  </w:tcBorders>
                  <w:noWrap w:val="0"/>
                  <w:vAlign w:val="center"/>
                </w:tcPr>
                <w:p w14:paraId="0EA0AEF0">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w:t>
                  </w:r>
                </w:p>
              </w:tc>
              <w:tc>
                <w:tcPr>
                  <w:tcW w:w="765" w:type="dxa"/>
                  <w:tcBorders>
                    <w:tl2br w:val="nil"/>
                    <w:tr2bl w:val="nil"/>
                  </w:tcBorders>
                  <w:noWrap w:val="0"/>
                  <w:vAlign w:val="center"/>
                </w:tcPr>
                <w:p w14:paraId="666740E7">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套</w:t>
                  </w:r>
                </w:p>
              </w:tc>
              <w:tc>
                <w:tcPr>
                  <w:tcW w:w="2434" w:type="dxa"/>
                  <w:tcBorders>
                    <w:tl2br w:val="nil"/>
                    <w:tr2bl w:val="nil"/>
                  </w:tcBorders>
                  <w:noWrap w:val="0"/>
                  <w:vAlign w:val="center"/>
                </w:tcPr>
                <w:p w14:paraId="58B391AC">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风机风量：</w:t>
                  </w:r>
                  <w:r>
                    <w:rPr>
                      <w:rFonts w:hint="default" w:ascii="Times New Roman" w:hAnsi="Times New Roman" w:cs="Times New Roman"/>
                      <w:bCs/>
                      <w:color w:val="auto"/>
                      <w:sz w:val="21"/>
                      <w:szCs w:val="21"/>
                      <w:highlight w:val="none"/>
                      <w:lang w:val="en-US" w:eastAsia="zh-CN"/>
                    </w:rPr>
                    <w:t>99</w:t>
                  </w:r>
                  <w:r>
                    <w:rPr>
                      <w:rFonts w:hint="default" w:ascii="Times New Roman" w:hAnsi="Times New Roman" w:eastAsia="宋体" w:cs="Times New Roman"/>
                      <w:bCs/>
                      <w:color w:val="auto"/>
                      <w:sz w:val="21"/>
                      <w:szCs w:val="21"/>
                      <w:highlight w:val="none"/>
                      <w:lang w:val="en-US" w:eastAsia="zh-CN"/>
                    </w:rPr>
                    <w:t>00m</w:t>
                  </w:r>
                  <w:r>
                    <w:rPr>
                      <w:rFonts w:hint="default" w:ascii="Times New Roman" w:hAnsi="Times New Roman" w:eastAsia="宋体" w:cs="Times New Roman"/>
                      <w:bCs/>
                      <w:color w:val="auto"/>
                      <w:sz w:val="21"/>
                      <w:szCs w:val="21"/>
                      <w:highlight w:val="none"/>
                      <w:vertAlign w:val="superscript"/>
                      <w:lang w:val="en-US" w:eastAsia="zh-CN"/>
                    </w:rPr>
                    <w:t>3</w:t>
                  </w:r>
                  <w:r>
                    <w:rPr>
                      <w:rFonts w:hint="default" w:ascii="Times New Roman" w:hAnsi="Times New Roman" w:eastAsia="宋体" w:cs="Times New Roman"/>
                      <w:bCs/>
                      <w:color w:val="auto"/>
                      <w:sz w:val="21"/>
                      <w:szCs w:val="21"/>
                      <w:highlight w:val="none"/>
                      <w:lang w:val="en-US" w:eastAsia="zh-CN"/>
                    </w:rPr>
                    <w:t>/h</w:t>
                  </w:r>
                </w:p>
              </w:tc>
            </w:tr>
            <w:tr w14:paraId="673A2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dxa"/>
                  <w:tcBorders>
                    <w:tl2br w:val="nil"/>
                    <w:tr2bl w:val="nil"/>
                  </w:tcBorders>
                  <w:noWrap w:val="0"/>
                  <w:vAlign w:val="center"/>
                </w:tcPr>
                <w:p w14:paraId="648F1C3A">
                  <w:pPr>
                    <w:pStyle w:val="3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235" w:type="dxa"/>
                  <w:vMerge w:val="continue"/>
                  <w:tcBorders>
                    <w:tl2br w:val="nil"/>
                    <w:tr2bl w:val="nil"/>
                  </w:tcBorders>
                  <w:noWrap w:val="0"/>
                  <w:vAlign w:val="center"/>
                </w:tcPr>
                <w:p w14:paraId="5DA7D283">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p>
              </w:tc>
              <w:tc>
                <w:tcPr>
                  <w:tcW w:w="1973" w:type="dxa"/>
                  <w:tcBorders>
                    <w:tl2br w:val="nil"/>
                    <w:tr2bl w:val="nil"/>
                  </w:tcBorders>
                  <w:noWrap w:val="0"/>
                  <w:vAlign w:val="center"/>
                </w:tcPr>
                <w:p w14:paraId="195A01A1">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移动式焊烟净化器</w:t>
                  </w:r>
                </w:p>
              </w:tc>
              <w:tc>
                <w:tcPr>
                  <w:tcW w:w="860" w:type="dxa"/>
                  <w:tcBorders>
                    <w:tl2br w:val="nil"/>
                    <w:tr2bl w:val="nil"/>
                  </w:tcBorders>
                  <w:noWrap w:val="0"/>
                  <w:vAlign w:val="center"/>
                </w:tcPr>
                <w:p w14:paraId="7746D067">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3</w:t>
                  </w:r>
                </w:p>
              </w:tc>
              <w:tc>
                <w:tcPr>
                  <w:tcW w:w="765" w:type="dxa"/>
                  <w:tcBorders>
                    <w:tl2br w:val="nil"/>
                    <w:tr2bl w:val="nil"/>
                  </w:tcBorders>
                  <w:noWrap w:val="0"/>
                  <w:vAlign w:val="center"/>
                </w:tcPr>
                <w:p w14:paraId="61D2578D">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套</w:t>
                  </w:r>
                </w:p>
              </w:tc>
              <w:tc>
                <w:tcPr>
                  <w:tcW w:w="2434" w:type="dxa"/>
                  <w:tcBorders>
                    <w:tl2br w:val="nil"/>
                    <w:tr2bl w:val="nil"/>
                  </w:tcBorders>
                  <w:noWrap w:val="0"/>
                  <w:vAlign w:val="center"/>
                </w:tcPr>
                <w:p w14:paraId="1A25BB1E">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风机风量：</w:t>
                  </w:r>
                  <w:r>
                    <w:rPr>
                      <w:rFonts w:hint="default" w:ascii="Times New Roman" w:hAnsi="Times New Roman" w:eastAsia="宋体" w:cs="Times New Roman"/>
                      <w:color w:val="auto"/>
                      <w:sz w:val="21"/>
                      <w:szCs w:val="21"/>
                      <w:lang w:val="en-US" w:eastAsia="zh-CN"/>
                    </w:rPr>
                    <w:t>3000m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/h</w:t>
                  </w:r>
                </w:p>
              </w:tc>
            </w:tr>
          </w:tbl>
          <w:p w14:paraId="7729C655">
            <w:pPr>
              <w:bidi w:val="0"/>
              <w:rPr>
                <w:rFonts w:hint="default"/>
                <w:color w:val="auto"/>
                <w:sz w:val="24"/>
                <w:szCs w:val="24"/>
              </w:rPr>
            </w:pPr>
            <w:r>
              <w:rPr>
                <w:rFonts w:hint="eastAsia"/>
                <w:color w:val="auto"/>
                <w:sz w:val="24"/>
                <w:szCs w:val="24"/>
                <w:lang w:val="en-US" w:eastAsia="zh-CN"/>
              </w:rPr>
              <w:t>10、</w:t>
            </w:r>
            <w:r>
              <w:rPr>
                <w:rFonts w:hint="default"/>
                <w:color w:val="auto"/>
                <w:sz w:val="24"/>
                <w:szCs w:val="24"/>
              </w:rPr>
              <w:t>给排水及采暖</w:t>
            </w:r>
          </w:p>
          <w:p w14:paraId="0A7D48E9">
            <w:pPr>
              <w:bidi w:val="0"/>
              <w:rPr>
                <w:rFonts w:hint="eastAsia"/>
                <w:color w:val="auto"/>
                <w:sz w:val="24"/>
                <w:szCs w:val="24"/>
                <w:highlight w:val="none"/>
                <w:lang w:val="en-US" w:eastAsia="zh-CN"/>
              </w:rPr>
            </w:pPr>
            <w:r>
              <w:rPr>
                <w:rFonts w:hint="eastAsia"/>
                <w:color w:val="auto"/>
                <w:sz w:val="24"/>
                <w:szCs w:val="24"/>
                <w:highlight w:val="none"/>
                <w:lang w:val="en-US" w:eastAsia="zh-CN"/>
              </w:rPr>
              <w:t>给排水</w:t>
            </w:r>
            <w:r>
              <w:rPr>
                <w:rFonts w:hint="default"/>
                <w:color w:val="auto"/>
                <w:sz w:val="24"/>
                <w:szCs w:val="24"/>
                <w:highlight w:val="none"/>
              </w:rPr>
              <w:t>：</w:t>
            </w:r>
            <w:r>
              <w:rPr>
                <w:rFonts w:hint="default" w:ascii="Times New Roman" w:hAnsi="Times New Roman" w:eastAsia="宋体" w:cs="Times New Roman"/>
                <w:color w:val="auto"/>
                <w:sz w:val="24"/>
                <w:szCs w:val="24"/>
                <w:highlight w:val="none"/>
                <w:lang w:eastAsia="zh-CN"/>
              </w:rPr>
              <w:t>本项目</w:t>
            </w:r>
            <w:r>
              <w:rPr>
                <w:rFonts w:hint="eastAsia" w:cs="Times New Roman"/>
                <w:color w:val="auto"/>
                <w:sz w:val="24"/>
                <w:szCs w:val="24"/>
                <w:highlight w:val="none"/>
                <w:vertAlign w:val="baseline"/>
                <w:lang w:val="en-US" w:eastAsia="zh-CN"/>
              </w:rPr>
              <w:t>厂区不设宿舍、食堂、洗浴设施，生活用水主要为冲厕用水、职工饮用、盥洗用水，用水量按</w:t>
            </w:r>
            <w:r>
              <w:rPr>
                <w:rFonts w:hint="eastAsia"/>
                <w:color w:val="auto"/>
                <w:highlight w:val="none"/>
                <w:lang w:val="en-US" w:eastAsia="zh-CN"/>
              </w:rPr>
              <w:t>25L</w:t>
            </w:r>
            <w:r>
              <w:rPr>
                <w:rFonts w:hint="default"/>
                <w:color w:val="auto"/>
                <w:highlight w:val="none"/>
              </w:rPr>
              <w:t>/</w:t>
            </w:r>
            <w:r>
              <w:rPr>
                <w:rFonts w:hint="eastAsia"/>
                <w:color w:val="auto"/>
                <w:highlight w:val="none"/>
                <w:lang w:eastAsia="zh-CN"/>
              </w:rPr>
              <w:t>（</w:t>
            </w:r>
            <w:r>
              <w:rPr>
                <w:rFonts w:hint="default"/>
                <w:color w:val="auto"/>
                <w:highlight w:val="none"/>
              </w:rPr>
              <w:t>人·d</w:t>
            </w:r>
            <w:r>
              <w:rPr>
                <w:rFonts w:hint="eastAsia"/>
                <w:color w:val="auto"/>
                <w:highlight w:val="none"/>
                <w:lang w:eastAsia="zh-CN"/>
              </w:rPr>
              <w:t>）</w:t>
            </w:r>
            <w:r>
              <w:rPr>
                <w:rFonts w:hint="default"/>
                <w:color w:val="auto"/>
                <w:highlight w:val="none"/>
              </w:rPr>
              <w:t>计</w:t>
            </w:r>
            <w:r>
              <w:rPr>
                <w:rFonts w:hint="eastAsia"/>
                <w:color w:val="auto"/>
                <w:highlight w:val="none"/>
                <w:lang w:eastAsia="zh-CN"/>
              </w:rPr>
              <w:t>，</w:t>
            </w:r>
            <w:r>
              <w:rPr>
                <w:rFonts w:hint="default"/>
                <w:color w:val="auto"/>
                <w:highlight w:val="none"/>
              </w:rPr>
              <w:t>用水量为</w:t>
            </w:r>
            <w:r>
              <w:rPr>
                <w:rFonts w:hint="eastAsia"/>
                <w:color w:val="auto"/>
                <w:highlight w:val="none"/>
                <w:lang w:val="en-US" w:eastAsia="zh-CN"/>
              </w:rPr>
              <w:t>0.125</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37.5</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color w:val="auto"/>
                <w:highlight w:val="none"/>
                <w:lang w:eastAsia="zh-CN"/>
              </w:rPr>
              <w:t>。</w:t>
            </w:r>
            <w:r>
              <w:rPr>
                <w:rFonts w:hint="eastAsia"/>
                <w:color w:val="auto"/>
                <w:highlight w:val="none"/>
                <w:lang w:val="en-US" w:eastAsia="zh-CN"/>
              </w:rPr>
              <w:t>生活污水产生量按用水量80%计，则生活污水产生量为0.1</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30</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color w:val="auto"/>
                <w:highlight w:val="none"/>
                <w:lang w:eastAsia="zh-CN"/>
              </w:rPr>
              <w:t>，</w:t>
            </w:r>
            <w:r>
              <w:rPr>
                <w:rFonts w:hint="eastAsia"/>
                <w:color w:val="auto"/>
                <w:highlight w:val="none"/>
                <w:lang w:val="en-US" w:eastAsia="zh-CN"/>
              </w:rPr>
              <w:t>生活污水泼洒厂区地面抑尘</w:t>
            </w:r>
            <w:r>
              <w:rPr>
                <w:rFonts w:hint="eastAsia"/>
                <w:color w:val="auto"/>
                <w:sz w:val="24"/>
                <w:szCs w:val="24"/>
                <w:highlight w:val="none"/>
                <w:lang w:val="en-US" w:eastAsia="zh-CN"/>
              </w:rPr>
              <w:t>。</w:t>
            </w:r>
          </w:p>
          <w:p w14:paraId="3D6582F0">
            <w:pPr>
              <w:bidi w:val="0"/>
              <w:rPr>
                <w:rFonts w:hint="default"/>
                <w:color w:val="auto"/>
                <w:sz w:val="24"/>
                <w:szCs w:val="24"/>
              </w:rPr>
            </w:pPr>
            <w:r>
              <w:rPr>
                <w:rFonts w:hint="default"/>
                <w:color w:val="auto"/>
                <w:sz w:val="24"/>
                <w:szCs w:val="24"/>
              </w:rPr>
              <w:t>取暖：</w:t>
            </w:r>
            <w:r>
              <w:rPr>
                <w:rFonts w:hint="eastAsia"/>
                <w:color w:val="auto"/>
                <w:sz w:val="24"/>
                <w:szCs w:val="24"/>
                <w:lang w:val="en-US" w:eastAsia="zh-CN"/>
              </w:rPr>
              <w:t>本项目</w:t>
            </w:r>
            <w:r>
              <w:rPr>
                <w:rFonts w:hint="eastAsia"/>
                <w:color w:val="000000" w:themeColor="text1"/>
                <w:sz w:val="24"/>
                <w:szCs w:val="24"/>
                <w:highlight w:val="none"/>
                <w:lang w:val="en-US" w:eastAsia="zh-CN"/>
                <w14:textFill>
                  <w14:solidFill>
                    <w14:schemeClr w14:val="tx1"/>
                  </w14:solidFill>
                </w14:textFill>
              </w:rPr>
              <w:t>车间不设取暖设施，办公楼采用电空调</w:t>
            </w:r>
            <w:r>
              <w:rPr>
                <w:rFonts w:hint="default"/>
                <w:color w:val="auto"/>
                <w:sz w:val="24"/>
                <w:szCs w:val="24"/>
              </w:rPr>
              <w:t>。</w:t>
            </w:r>
          </w:p>
          <w:p w14:paraId="2AC077DE">
            <w:pPr>
              <w:bidi w:val="0"/>
              <w:rPr>
                <w:rFonts w:hint="default"/>
                <w:color w:val="auto"/>
                <w:sz w:val="24"/>
                <w:szCs w:val="24"/>
              </w:rPr>
            </w:pPr>
            <w:r>
              <w:rPr>
                <w:rFonts w:hint="eastAsia"/>
                <w:color w:val="auto"/>
                <w:sz w:val="24"/>
                <w:szCs w:val="24"/>
                <w:lang w:val="en-US" w:eastAsia="zh-CN"/>
              </w:rPr>
              <w:t>11、</w:t>
            </w:r>
            <w:r>
              <w:rPr>
                <w:rFonts w:hint="default"/>
                <w:color w:val="auto"/>
                <w:sz w:val="24"/>
                <w:szCs w:val="24"/>
              </w:rPr>
              <w:t>项目的地理位置、平面布置与周边关系：</w:t>
            </w:r>
          </w:p>
          <w:p w14:paraId="3EC6F397">
            <w:pPr>
              <w:bidi w:val="0"/>
              <w:rPr>
                <w:rFonts w:hint="default"/>
                <w:color w:val="auto"/>
                <w:sz w:val="24"/>
                <w:szCs w:val="24"/>
              </w:rPr>
            </w:pPr>
            <w:r>
              <w:rPr>
                <w:rFonts w:hint="default"/>
                <w:color w:val="auto"/>
                <w:sz w:val="24"/>
                <w:szCs w:val="24"/>
              </w:rPr>
              <w:t>地理位置：本项目位于</w:t>
            </w:r>
            <w:r>
              <w:rPr>
                <w:rFonts w:hint="eastAsia"/>
                <w:color w:val="auto"/>
                <w:sz w:val="24"/>
                <w:szCs w:val="24"/>
                <w:lang w:val="en-US" w:eastAsia="zh-CN"/>
              </w:rPr>
              <w:t>河北省</w:t>
            </w:r>
            <w:r>
              <w:rPr>
                <w:rFonts w:hint="eastAsia" w:ascii="Times New Roman" w:hAnsi="Times New Roman" w:eastAsia="宋体" w:cs="Times New Roman"/>
                <w:color w:val="auto"/>
                <w:kern w:val="2"/>
                <w:sz w:val="24"/>
                <w:szCs w:val="24"/>
                <w:highlight w:val="none"/>
                <w:lang w:val="en-US" w:eastAsia="zh-CN" w:bidi="ar-SA"/>
              </w:rPr>
              <w:t>唐山市高新区郑庄子乡</w:t>
            </w:r>
            <w:r>
              <w:rPr>
                <w:rFonts w:hint="eastAsia" w:cs="Times New Roman"/>
                <w:color w:val="auto"/>
                <w:kern w:val="2"/>
                <w:sz w:val="24"/>
                <w:szCs w:val="24"/>
                <w:highlight w:val="none"/>
                <w:lang w:val="en-US" w:eastAsia="zh-CN" w:bidi="ar-SA"/>
              </w:rPr>
              <w:t>梁各庄村</w:t>
            </w:r>
            <w:r>
              <w:rPr>
                <w:rFonts w:hint="default"/>
                <w:color w:val="auto"/>
                <w:sz w:val="24"/>
                <w:szCs w:val="24"/>
              </w:rPr>
              <w:t>（</w:t>
            </w:r>
            <w:r>
              <w:rPr>
                <w:rFonts w:hint="default"/>
                <w:color w:val="auto"/>
                <w:sz w:val="24"/>
                <w:szCs w:val="24"/>
                <w:highlight w:val="none"/>
              </w:rPr>
              <w:t>用地中心坐标为</w:t>
            </w:r>
            <w:r>
              <w:rPr>
                <w:rFonts w:hint="default"/>
                <w:color w:val="auto"/>
                <w:sz w:val="24"/>
                <w:szCs w:val="24"/>
                <w:highlight w:val="none"/>
                <w:lang w:val="en-US" w:eastAsia="zh-CN"/>
              </w:rPr>
              <w:t>东经：</w:t>
            </w:r>
            <w:r>
              <w:rPr>
                <w:rFonts w:hint="eastAsia"/>
                <w:color w:val="auto"/>
                <w:sz w:val="24"/>
                <w:szCs w:val="24"/>
                <w:highlight w:val="none"/>
                <w:lang w:val="en-US" w:eastAsia="zh-CN"/>
              </w:rPr>
              <w:t>118</w:t>
            </w:r>
            <w:r>
              <w:rPr>
                <w:rFonts w:hint="default"/>
                <w:color w:val="auto"/>
                <w:sz w:val="24"/>
                <w:szCs w:val="24"/>
                <w:highlight w:val="none"/>
              </w:rPr>
              <w:t>°</w:t>
            </w:r>
            <w:r>
              <w:rPr>
                <w:rFonts w:hint="eastAsia"/>
                <w:color w:val="auto"/>
                <w:sz w:val="24"/>
                <w:szCs w:val="24"/>
                <w:highlight w:val="none"/>
                <w:lang w:val="en-US" w:eastAsia="zh-CN"/>
              </w:rPr>
              <w:t>11</w:t>
            </w:r>
            <w:r>
              <w:rPr>
                <w:rFonts w:hint="default"/>
                <w:color w:val="auto"/>
                <w:sz w:val="24"/>
                <w:szCs w:val="24"/>
                <w:highlight w:val="none"/>
              </w:rPr>
              <w:t>'</w:t>
            </w:r>
            <w:r>
              <w:rPr>
                <w:rFonts w:hint="eastAsia"/>
                <w:color w:val="auto"/>
                <w:sz w:val="24"/>
                <w:szCs w:val="24"/>
                <w:highlight w:val="none"/>
                <w:lang w:val="en-US" w:eastAsia="zh-CN"/>
              </w:rPr>
              <w:t>13.707</w:t>
            </w:r>
            <w:r>
              <w:rPr>
                <w:rFonts w:hint="default"/>
                <w:color w:val="auto"/>
                <w:sz w:val="24"/>
                <w:szCs w:val="24"/>
                <w:highlight w:val="none"/>
              </w:rPr>
              <w:t>"</w:t>
            </w:r>
            <w:r>
              <w:rPr>
                <w:rFonts w:hint="default"/>
                <w:color w:val="auto"/>
                <w:sz w:val="24"/>
                <w:szCs w:val="24"/>
                <w:highlight w:val="none"/>
                <w:lang w:eastAsia="zh-CN"/>
              </w:rPr>
              <w:t>；</w:t>
            </w:r>
            <w:r>
              <w:rPr>
                <w:rFonts w:hint="default"/>
                <w:color w:val="auto"/>
                <w:sz w:val="24"/>
                <w:szCs w:val="24"/>
                <w:highlight w:val="none"/>
                <w:lang w:val="en-US" w:eastAsia="zh-CN"/>
              </w:rPr>
              <w:t>北纬：</w:t>
            </w:r>
            <w:r>
              <w:rPr>
                <w:rFonts w:hint="default"/>
                <w:color w:val="auto"/>
                <w:sz w:val="24"/>
                <w:szCs w:val="24"/>
                <w:highlight w:val="none"/>
              </w:rPr>
              <w:t>39°</w:t>
            </w:r>
            <w:r>
              <w:rPr>
                <w:rFonts w:hint="eastAsia"/>
                <w:color w:val="auto"/>
                <w:sz w:val="24"/>
                <w:szCs w:val="24"/>
                <w:highlight w:val="none"/>
                <w:lang w:val="en-US" w:eastAsia="zh-CN"/>
              </w:rPr>
              <w:t>43</w:t>
            </w:r>
            <w:r>
              <w:rPr>
                <w:rFonts w:hint="default"/>
                <w:color w:val="auto"/>
                <w:sz w:val="24"/>
                <w:szCs w:val="24"/>
                <w:highlight w:val="none"/>
              </w:rPr>
              <w:t>'</w:t>
            </w:r>
            <w:r>
              <w:rPr>
                <w:rFonts w:hint="eastAsia"/>
                <w:color w:val="auto"/>
                <w:sz w:val="24"/>
                <w:szCs w:val="24"/>
                <w:highlight w:val="none"/>
                <w:lang w:val="en-US" w:eastAsia="zh-CN"/>
              </w:rPr>
              <w:t>30.313</w:t>
            </w:r>
            <w:r>
              <w:rPr>
                <w:rFonts w:hint="default"/>
                <w:color w:val="auto"/>
                <w:sz w:val="24"/>
                <w:szCs w:val="24"/>
                <w:highlight w:val="none"/>
              </w:rPr>
              <w:t>"</w:t>
            </w:r>
            <w:r>
              <w:rPr>
                <w:rFonts w:hint="default"/>
                <w:color w:val="auto"/>
                <w:sz w:val="24"/>
                <w:szCs w:val="24"/>
              </w:rPr>
              <w:t>），地理位置图详见附图1。</w:t>
            </w:r>
          </w:p>
          <w:p w14:paraId="451C9142">
            <w:pPr>
              <w:bidi w:val="0"/>
              <w:rPr>
                <w:rFonts w:hint="eastAsia" w:eastAsia="宋体"/>
                <w:color w:val="auto"/>
                <w:sz w:val="24"/>
                <w:szCs w:val="24"/>
                <w:shd w:val="clear" w:color="auto" w:fill="auto"/>
                <w:lang w:val="en-US" w:eastAsia="zh-CN"/>
              </w:rPr>
            </w:pPr>
            <w:r>
              <w:rPr>
                <w:rFonts w:hint="default"/>
                <w:color w:val="auto"/>
                <w:sz w:val="24"/>
                <w:szCs w:val="24"/>
                <w:shd w:val="clear" w:color="auto" w:fill="auto"/>
              </w:rPr>
              <w:t>平面布置：</w:t>
            </w:r>
            <w:r>
              <w:rPr>
                <w:rFonts w:hint="eastAsia"/>
                <w:color w:val="auto"/>
                <w:sz w:val="24"/>
                <w:szCs w:val="24"/>
                <w:shd w:val="clear" w:color="auto" w:fill="auto"/>
                <w:lang w:val="en-US" w:eastAsia="zh-CN"/>
              </w:rPr>
              <w:t>本项目</w:t>
            </w:r>
            <w:r>
              <w:rPr>
                <w:rFonts w:hint="eastAsia" w:cs="Times New Roman"/>
                <w:color w:val="auto"/>
                <w:kern w:val="2"/>
                <w:sz w:val="24"/>
                <w:szCs w:val="24"/>
                <w:highlight w:val="none"/>
                <w:lang w:val="en-US" w:eastAsia="zh-CN" w:bidi="ar-SA"/>
              </w:rPr>
              <w:t>租用</w:t>
            </w:r>
            <w:r>
              <w:rPr>
                <w:rFonts w:hint="eastAsia"/>
                <w:color w:val="auto"/>
                <w:sz w:val="24"/>
                <w:szCs w:val="24"/>
                <w:shd w:val="clear" w:color="auto" w:fill="auto"/>
                <w:lang w:val="en-US" w:eastAsia="zh-CN"/>
              </w:rPr>
              <w:t>高新区梁各庄村闲置厂房，利用现有厂房，建设</w:t>
            </w:r>
            <w:r>
              <w:rPr>
                <w:rFonts w:hint="eastAsia"/>
                <w:color w:val="auto"/>
                <w:sz w:val="24"/>
                <w:szCs w:val="24"/>
                <w:lang w:val="en-US" w:eastAsia="zh-CN"/>
              </w:rPr>
              <w:t>唐山市聚弛环保科技有限责任公司通用设备及零部件制造项目，</w:t>
            </w:r>
            <w:r>
              <w:rPr>
                <w:rFonts w:hint="eastAsia"/>
                <w:color w:val="auto"/>
                <w:sz w:val="24"/>
                <w:szCs w:val="24"/>
                <w:highlight w:val="none"/>
                <w:lang w:val="en-US" w:eastAsia="zh-CN"/>
              </w:rPr>
              <w:t>厂区北侧、东侧为生产车间，中间区域为空地，车间内由西向东依次布置烘干房、喷漆房、打砂间、打磨间、危废间、危险品库房、喷塑房、固化房</w:t>
            </w:r>
            <w:r>
              <w:rPr>
                <w:rFonts w:hint="eastAsia"/>
                <w:color w:val="auto"/>
                <w:sz w:val="24"/>
                <w:szCs w:val="24"/>
                <w:highlight w:val="none"/>
                <w:shd w:val="clear" w:color="auto" w:fill="auto"/>
                <w:lang w:val="en-US" w:eastAsia="zh-CN"/>
              </w:rPr>
              <w:t>。</w:t>
            </w:r>
            <w:r>
              <w:rPr>
                <w:rFonts w:hint="default"/>
                <w:color w:val="auto"/>
                <w:sz w:val="24"/>
                <w:szCs w:val="24"/>
              </w:rPr>
              <w:t>平面布置见附图2</w:t>
            </w:r>
            <w:r>
              <w:rPr>
                <w:rFonts w:hint="eastAsia"/>
                <w:color w:val="auto"/>
                <w:sz w:val="24"/>
                <w:szCs w:val="24"/>
                <w:lang w:val="en-US" w:eastAsia="zh-CN"/>
              </w:rPr>
              <w:t>、3</w:t>
            </w:r>
            <w:r>
              <w:rPr>
                <w:rFonts w:hint="eastAsia"/>
                <w:color w:val="auto"/>
                <w:sz w:val="24"/>
                <w:szCs w:val="24"/>
                <w:lang w:eastAsia="zh-CN"/>
              </w:rPr>
              <w:t>。</w:t>
            </w:r>
          </w:p>
          <w:p w14:paraId="679951C4">
            <w:pPr>
              <w:bidi w:val="0"/>
              <w:rPr>
                <w:rFonts w:hint="default"/>
                <w:color w:val="0070C0"/>
                <w:sz w:val="24"/>
                <w:szCs w:val="24"/>
                <w:lang w:val="en-US" w:eastAsia="zh-CN"/>
              </w:rPr>
            </w:pPr>
            <w:r>
              <w:rPr>
                <w:rFonts w:hint="default"/>
                <w:color w:val="auto"/>
                <w:sz w:val="24"/>
                <w:szCs w:val="24"/>
                <w:highlight w:val="none"/>
              </w:rPr>
              <w:t>周边关系：项目</w:t>
            </w:r>
            <w:r>
              <w:rPr>
                <w:rFonts w:hint="eastAsia"/>
                <w:color w:val="auto"/>
                <w:sz w:val="24"/>
                <w:szCs w:val="24"/>
                <w:highlight w:val="none"/>
                <w:lang w:val="en-US" w:eastAsia="zh-CN"/>
              </w:rPr>
              <w:t>东侧为曹妃瓷业，南侧隔村路为信志金属，西侧为家具厂，北侧为燎原瓷业</w:t>
            </w:r>
            <w:r>
              <w:rPr>
                <w:rFonts w:hint="default"/>
                <w:color w:val="auto"/>
                <w:sz w:val="24"/>
                <w:szCs w:val="24"/>
                <w:highlight w:val="none"/>
              </w:rPr>
              <w:t>。</w:t>
            </w:r>
            <w:r>
              <w:rPr>
                <w:rFonts w:hint="default"/>
                <w:color w:val="auto"/>
                <w:sz w:val="24"/>
                <w:szCs w:val="24"/>
                <w:highlight w:val="none"/>
                <w:lang w:val="en-US" w:eastAsia="zh-CN"/>
              </w:rPr>
              <w:t>项目</w:t>
            </w:r>
            <w:r>
              <w:rPr>
                <w:rFonts w:hint="eastAsia"/>
                <w:color w:val="auto"/>
                <w:sz w:val="24"/>
                <w:szCs w:val="24"/>
                <w:highlight w:val="none"/>
                <w:lang w:val="en-US" w:eastAsia="zh-CN"/>
              </w:rPr>
              <w:t>厂界外</w:t>
            </w:r>
            <w:r>
              <w:rPr>
                <w:rFonts w:hint="default"/>
                <w:color w:val="auto"/>
                <w:sz w:val="24"/>
                <w:szCs w:val="24"/>
                <w:highlight w:val="none"/>
                <w:lang w:val="en-US" w:eastAsia="zh-CN"/>
              </w:rPr>
              <w:t>500m范围内</w:t>
            </w:r>
            <w:r>
              <w:rPr>
                <w:rFonts w:hint="eastAsia"/>
                <w:color w:val="auto"/>
                <w:sz w:val="24"/>
                <w:szCs w:val="24"/>
                <w:highlight w:val="none"/>
                <w:lang w:val="en-US" w:eastAsia="zh-CN"/>
              </w:rPr>
              <w:t>的</w:t>
            </w:r>
            <w:r>
              <w:rPr>
                <w:rFonts w:hint="default"/>
                <w:color w:val="auto"/>
                <w:sz w:val="24"/>
                <w:szCs w:val="24"/>
                <w:highlight w:val="none"/>
                <w:lang w:val="en-US" w:eastAsia="zh-CN"/>
              </w:rPr>
              <w:t>环境敏感点</w:t>
            </w:r>
            <w:r>
              <w:rPr>
                <w:rFonts w:hint="eastAsia"/>
                <w:color w:val="auto"/>
                <w:sz w:val="24"/>
                <w:szCs w:val="24"/>
                <w:highlight w:val="none"/>
                <w:lang w:val="en-US" w:eastAsia="zh-CN"/>
              </w:rPr>
              <w:t>为厂区南侧103米的梁各庄村和东侧317米的王官庄村</w:t>
            </w:r>
            <w:r>
              <w:rPr>
                <w:rFonts w:hint="default"/>
                <w:color w:val="auto"/>
                <w:sz w:val="24"/>
                <w:szCs w:val="24"/>
                <w:highlight w:val="none"/>
              </w:rPr>
              <w:t>。</w:t>
            </w:r>
            <w:r>
              <w:rPr>
                <w:rFonts w:hint="eastAsia"/>
                <w:color w:val="auto"/>
                <w:sz w:val="24"/>
                <w:szCs w:val="24"/>
                <w:lang w:val="en-US" w:eastAsia="zh-CN"/>
              </w:rPr>
              <w:t>周边关系见附图2，环境敏感目标分布图见附图4。</w:t>
            </w:r>
          </w:p>
        </w:tc>
      </w:tr>
      <w:tr w14:paraId="1F8A9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823" w:type="dxa"/>
            <w:noWrap w:val="0"/>
            <w:vAlign w:val="center"/>
          </w:tcPr>
          <w:p w14:paraId="67F1DD82">
            <w:pPr>
              <w:pStyle w:val="27"/>
              <w:bidi w:val="0"/>
              <w:rPr>
                <w:color w:val="0070C0"/>
                <w:sz w:val="24"/>
                <w:szCs w:val="24"/>
              </w:rPr>
            </w:pPr>
            <w:r>
              <w:rPr>
                <w:rFonts w:hint="eastAsia"/>
                <w:color w:val="auto"/>
                <w:sz w:val="24"/>
                <w:szCs w:val="24"/>
              </w:rPr>
              <w:t>工艺流程和产排污环节</w:t>
            </w:r>
          </w:p>
        </w:tc>
        <w:tc>
          <w:tcPr>
            <w:tcW w:w="8342" w:type="dxa"/>
            <w:noWrap w:val="0"/>
            <w:vAlign w:val="top"/>
          </w:tcPr>
          <w:p w14:paraId="2BF2E29A">
            <w:pPr>
              <w:keepNext w:val="0"/>
              <w:keepLines w:val="0"/>
              <w:widowControl/>
              <w:suppressLineNumbers w:val="0"/>
              <w:jc w:val="left"/>
              <w:rPr>
                <w:rFonts w:hint="default"/>
                <w:color w:val="auto"/>
                <w:lang w:val="en-US" w:eastAsia="zh-CN"/>
              </w:rPr>
            </w:pPr>
            <w:r>
              <w:rPr>
                <w:rFonts w:hint="eastAsia"/>
                <w:color w:val="auto"/>
                <w:lang w:val="en-US" w:eastAsia="zh-CN"/>
              </w:rPr>
              <w:t>本项目为通用设备及零部件的生产，</w:t>
            </w:r>
            <w:r>
              <w:rPr>
                <w:rFonts w:ascii="脣脦脤氓" w:hAnsi="脣脦脤氓" w:eastAsia="脣脦脤氓" w:cs="脣脦脤氓"/>
                <w:color w:val="auto"/>
                <w:kern w:val="0"/>
                <w:sz w:val="25"/>
                <w:szCs w:val="25"/>
                <w:lang w:val="en-US" w:eastAsia="zh-CN" w:bidi="ar"/>
              </w:rPr>
              <w:t>主</w:t>
            </w:r>
            <w:r>
              <w:rPr>
                <w:rFonts w:hint="default" w:ascii="脣脦脤氓" w:hAnsi="脣脦脤氓" w:eastAsia="脣脦脤氓" w:cs="脣脦脤氓"/>
                <w:color w:val="auto"/>
                <w:kern w:val="0"/>
                <w:sz w:val="25"/>
                <w:szCs w:val="25"/>
                <w:lang w:val="en-US" w:eastAsia="zh-CN" w:bidi="ar"/>
              </w:rPr>
              <w:t>要包括原料储运、切割工序、焊接工序、打磨工序、成型工序、机加工工序、</w:t>
            </w:r>
            <w:r>
              <w:rPr>
                <w:rFonts w:hint="eastAsia" w:ascii="脣脦脤氓" w:hAnsi="脣脦脤氓" w:eastAsia="脣脦脤氓" w:cs="脣脦脤氓"/>
                <w:color w:val="auto"/>
                <w:kern w:val="0"/>
                <w:sz w:val="25"/>
                <w:szCs w:val="25"/>
                <w:lang w:val="en-US" w:eastAsia="zh-CN" w:bidi="ar"/>
              </w:rPr>
              <w:t>打砂</w:t>
            </w:r>
            <w:r>
              <w:rPr>
                <w:rFonts w:hint="default" w:ascii="脣脦脤氓" w:hAnsi="脣脦脤氓" w:eastAsia="脣脦脤氓" w:cs="脣脦脤氓"/>
                <w:color w:val="auto"/>
                <w:kern w:val="0"/>
                <w:sz w:val="25"/>
                <w:szCs w:val="25"/>
                <w:lang w:val="en-US" w:eastAsia="zh-CN" w:bidi="ar"/>
              </w:rPr>
              <w:t>工序、喷漆</w:t>
            </w:r>
            <w:r>
              <w:rPr>
                <w:rFonts w:hint="eastAsia" w:ascii="脣脦脤氓" w:hAnsi="脣脦脤氓" w:eastAsia="脣脦脤氓" w:cs="脣脦脤氓"/>
                <w:color w:val="auto"/>
                <w:kern w:val="0"/>
                <w:sz w:val="25"/>
                <w:szCs w:val="25"/>
                <w:lang w:val="en-US" w:eastAsia="zh-CN" w:bidi="ar"/>
              </w:rPr>
              <w:t>、</w:t>
            </w:r>
            <w:r>
              <w:rPr>
                <w:rFonts w:hint="default" w:ascii="脣脦脤氓" w:hAnsi="脣脦脤氓" w:eastAsia="脣脦脤氓" w:cs="脣脦脤氓"/>
                <w:color w:val="auto"/>
                <w:kern w:val="0"/>
                <w:sz w:val="25"/>
                <w:szCs w:val="25"/>
                <w:lang w:val="en-US" w:eastAsia="zh-CN" w:bidi="ar"/>
              </w:rPr>
              <w:t>喷塑工序、组装工序，</w:t>
            </w:r>
            <w:r>
              <w:rPr>
                <w:rFonts w:hint="eastAsia"/>
                <w:color w:val="auto"/>
                <w:lang w:val="en-US" w:eastAsia="zh-CN"/>
              </w:rPr>
              <w:t>具体生产工艺流程如下：</w:t>
            </w:r>
          </w:p>
          <w:p w14:paraId="35DD5AB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bCs/>
                <w:color w:val="auto"/>
                <w:lang w:val="en-US" w:eastAsia="zh-CN"/>
              </w:rPr>
            </w:pPr>
            <w:r>
              <w:rPr>
                <w:rFonts w:hint="eastAsia"/>
                <w:b/>
                <w:bCs/>
                <w:color w:val="auto"/>
                <w:lang w:val="en-US" w:eastAsia="zh-CN"/>
              </w:rPr>
              <w:t>生产工艺流程：</w:t>
            </w:r>
          </w:p>
          <w:p w14:paraId="2B4E97EA">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)原</w:t>
            </w:r>
            <w:r>
              <w:rPr>
                <w:rFonts w:hint="default" w:ascii="Times New Roman" w:hAnsi="Times New Roman" w:eastAsia="宋体" w:cs="Times New Roman"/>
                <w:color w:val="auto"/>
                <w:kern w:val="0"/>
                <w:sz w:val="24"/>
                <w:szCs w:val="24"/>
                <w:lang w:val="en-US" w:eastAsia="zh-CN" w:bidi="ar"/>
              </w:rPr>
              <w:t>料储运</w:t>
            </w:r>
          </w:p>
          <w:p w14:paraId="1BB6A17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本项目生产所需的板材、</w:t>
            </w:r>
            <w:r>
              <w:rPr>
                <w:rFonts w:hint="eastAsia" w:cs="Times New Roman"/>
                <w:color w:val="auto"/>
                <w:kern w:val="0"/>
                <w:sz w:val="24"/>
                <w:szCs w:val="24"/>
                <w:lang w:val="en-US" w:eastAsia="zh-CN" w:bidi="ar"/>
              </w:rPr>
              <w:t>钢材</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油性漆、</w:t>
            </w:r>
            <w:r>
              <w:rPr>
                <w:rFonts w:hint="default" w:ascii="Times New Roman" w:hAnsi="Times New Roman" w:eastAsia="宋体" w:cs="Times New Roman"/>
                <w:color w:val="auto"/>
                <w:kern w:val="0"/>
                <w:sz w:val="24"/>
                <w:szCs w:val="24"/>
                <w:lang w:val="en-US" w:eastAsia="zh-CN" w:bidi="ar"/>
              </w:rPr>
              <w:t>水性漆、塑粉、切削液、腻子等通过汽车运入厂区，板材、</w:t>
            </w:r>
            <w:r>
              <w:rPr>
                <w:rFonts w:hint="eastAsia" w:cs="Times New Roman"/>
                <w:color w:val="auto"/>
                <w:kern w:val="0"/>
                <w:sz w:val="24"/>
                <w:szCs w:val="24"/>
                <w:lang w:val="en-US" w:eastAsia="zh-CN" w:bidi="ar"/>
              </w:rPr>
              <w:t>钢材</w:t>
            </w:r>
            <w:r>
              <w:rPr>
                <w:rFonts w:hint="default" w:ascii="Times New Roman" w:hAnsi="Times New Roman" w:eastAsia="宋体" w:cs="Times New Roman"/>
                <w:color w:val="auto"/>
                <w:kern w:val="0"/>
                <w:sz w:val="24"/>
                <w:szCs w:val="24"/>
                <w:lang w:val="en-US" w:eastAsia="zh-CN" w:bidi="ar"/>
              </w:rPr>
              <w:t>通过叉车卸至原料区储存备用，桶装</w:t>
            </w:r>
            <w:r>
              <w:rPr>
                <w:rFonts w:hint="eastAsia" w:cs="Times New Roman"/>
                <w:color w:val="auto"/>
                <w:kern w:val="0"/>
                <w:sz w:val="24"/>
                <w:szCs w:val="24"/>
                <w:lang w:val="en-US" w:eastAsia="zh-CN" w:bidi="ar"/>
              </w:rPr>
              <w:t>油性漆、</w:t>
            </w:r>
            <w:r>
              <w:rPr>
                <w:rFonts w:hint="default" w:ascii="Times New Roman" w:hAnsi="Times New Roman" w:eastAsia="宋体" w:cs="Times New Roman"/>
                <w:color w:val="auto"/>
                <w:kern w:val="0"/>
                <w:sz w:val="24"/>
                <w:szCs w:val="24"/>
                <w:lang w:val="en-US" w:eastAsia="zh-CN" w:bidi="ar"/>
              </w:rPr>
              <w:t>水性漆、塑粉、切削液、腻子</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润滑油及液压油由人工卸至</w:t>
            </w:r>
            <w:r>
              <w:rPr>
                <w:rFonts w:hint="eastAsia" w:cs="Times New Roman"/>
                <w:color w:val="auto"/>
                <w:kern w:val="0"/>
                <w:sz w:val="24"/>
                <w:szCs w:val="24"/>
                <w:lang w:val="en-US" w:eastAsia="zh-CN" w:bidi="ar"/>
              </w:rPr>
              <w:t>危险品库房</w:t>
            </w:r>
            <w:r>
              <w:rPr>
                <w:rFonts w:hint="default" w:ascii="Times New Roman" w:hAnsi="Times New Roman" w:eastAsia="宋体" w:cs="Times New Roman"/>
                <w:color w:val="auto"/>
                <w:kern w:val="0"/>
                <w:sz w:val="24"/>
                <w:szCs w:val="24"/>
                <w:lang w:val="en-US" w:eastAsia="zh-CN" w:bidi="ar"/>
              </w:rPr>
              <w:t>。</w:t>
            </w:r>
          </w:p>
          <w:p w14:paraId="7EB999E1">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lang w:val="en-US"/>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)切</w:t>
            </w:r>
            <w:r>
              <w:rPr>
                <w:rFonts w:hint="default" w:ascii="Times New Roman" w:hAnsi="Times New Roman" w:eastAsia="宋体" w:cs="Times New Roman"/>
                <w:color w:val="auto"/>
                <w:kern w:val="0"/>
                <w:sz w:val="24"/>
                <w:szCs w:val="24"/>
                <w:lang w:val="en-US" w:eastAsia="zh-CN" w:bidi="ar"/>
              </w:rPr>
              <w:t>割工序</w:t>
            </w:r>
          </w:p>
          <w:p w14:paraId="439F8E37">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根据产品需要，通过</w:t>
            </w:r>
            <w:r>
              <w:rPr>
                <w:rFonts w:hint="eastAsia" w:cs="Times New Roman"/>
                <w:color w:val="auto"/>
                <w:kern w:val="0"/>
                <w:sz w:val="24"/>
                <w:szCs w:val="24"/>
                <w:lang w:val="en-US" w:eastAsia="zh-CN" w:bidi="ar"/>
              </w:rPr>
              <w:t>圆锯机</w:t>
            </w:r>
            <w:r>
              <w:rPr>
                <w:rFonts w:hint="default" w:ascii="Times New Roman" w:hAnsi="Times New Roman" w:eastAsia="宋体" w:cs="Times New Roman"/>
                <w:color w:val="auto"/>
                <w:kern w:val="0"/>
                <w:sz w:val="24"/>
                <w:szCs w:val="24"/>
                <w:lang w:val="en-US" w:eastAsia="zh-CN" w:bidi="ar"/>
              </w:rPr>
              <w:t>对</w:t>
            </w:r>
            <w:r>
              <w:rPr>
                <w:rFonts w:hint="eastAsia" w:cs="Times New Roman"/>
                <w:color w:val="auto"/>
                <w:kern w:val="0"/>
                <w:sz w:val="24"/>
                <w:szCs w:val="24"/>
                <w:lang w:val="en-US" w:eastAsia="zh-CN" w:bidi="ar"/>
              </w:rPr>
              <w:t>钢材</w:t>
            </w:r>
            <w:r>
              <w:rPr>
                <w:rFonts w:hint="default" w:ascii="Times New Roman" w:hAnsi="Times New Roman" w:eastAsia="宋体" w:cs="Times New Roman"/>
                <w:color w:val="auto"/>
                <w:kern w:val="0"/>
                <w:sz w:val="24"/>
                <w:szCs w:val="24"/>
                <w:lang w:val="en-US" w:eastAsia="zh-CN" w:bidi="ar"/>
              </w:rPr>
              <w:t>等</w:t>
            </w:r>
            <w:r>
              <w:rPr>
                <w:rFonts w:hint="eastAsia" w:cs="Times New Roman"/>
                <w:color w:val="auto"/>
                <w:kern w:val="0"/>
                <w:sz w:val="24"/>
                <w:szCs w:val="24"/>
                <w:lang w:val="en-US" w:eastAsia="zh-CN" w:bidi="ar"/>
              </w:rPr>
              <w:t>原料</w:t>
            </w:r>
            <w:r>
              <w:rPr>
                <w:rFonts w:hint="default" w:ascii="Times New Roman" w:hAnsi="Times New Roman" w:eastAsia="宋体" w:cs="Times New Roman"/>
                <w:color w:val="auto"/>
                <w:kern w:val="0"/>
                <w:sz w:val="24"/>
                <w:szCs w:val="24"/>
                <w:lang w:val="en-US" w:eastAsia="zh-CN" w:bidi="ar"/>
              </w:rPr>
              <w:t>切割下料。生产时将加工所用的</w:t>
            </w:r>
            <w:r>
              <w:rPr>
                <w:rFonts w:hint="eastAsia" w:cs="Times New Roman"/>
                <w:color w:val="auto"/>
                <w:kern w:val="0"/>
                <w:sz w:val="24"/>
                <w:szCs w:val="24"/>
                <w:lang w:val="en-US" w:eastAsia="zh-CN" w:bidi="ar"/>
              </w:rPr>
              <w:t>钢材</w:t>
            </w:r>
            <w:r>
              <w:rPr>
                <w:rFonts w:hint="default" w:ascii="Times New Roman" w:hAnsi="Times New Roman" w:eastAsia="宋体" w:cs="Times New Roman"/>
                <w:color w:val="auto"/>
                <w:kern w:val="0"/>
                <w:sz w:val="24"/>
                <w:szCs w:val="24"/>
                <w:lang w:val="en-US" w:eastAsia="zh-CN" w:bidi="ar"/>
              </w:rPr>
              <w:t>通过叉车运至切割工序，按照图纸设计要求，将</w:t>
            </w:r>
            <w:r>
              <w:rPr>
                <w:rFonts w:hint="eastAsia" w:cs="Times New Roman"/>
                <w:color w:val="auto"/>
                <w:kern w:val="0"/>
                <w:sz w:val="24"/>
                <w:szCs w:val="24"/>
                <w:lang w:val="en-US" w:eastAsia="zh-CN" w:bidi="ar"/>
              </w:rPr>
              <w:t>钢材</w:t>
            </w:r>
            <w:r>
              <w:rPr>
                <w:rFonts w:hint="default" w:ascii="Times New Roman" w:hAnsi="Times New Roman" w:eastAsia="宋体" w:cs="Times New Roman"/>
                <w:color w:val="auto"/>
                <w:kern w:val="0"/>
                <w:sz w:val="24"/>
                <w:szCs w:val="24"/>
                <w:lang w:val="en-US" w:eastAsia="zh-CN" w:bidi="ar"/>
              </w:rPr>
              <w:t>切割成所需要的尺寸、规格。</w:t>
            </w:r>
          </w:p>
          <w:p w14:paraId="62AEFEF0">
            <w:pPr>
              <w:keepNext w:val="0"/>
              <w:keepLines w:val="0"/>
              <w:widowControl/>
              <w:suppressLineNumbers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本工序噪声污染源主要为</w:t>
            </w:r>
            <w:r>
              <w:rPr>
                <w:rFonts w:hint="eastAsia" w:cs="Times New Roman"/>
                <w:b/>
                <w:bCs/>
                <w:color w:val="auto"/>
                <w:kern w:val="0"/>
                <w:sz w:val="24"/>
                <w:szCs w:val="24"/>
                <w:lang w:val="en-US" w:eastAsia="zh-CN" w:bidi="ar"/>
              </w:rPr>
              <w:t>圆锯机</w:t>
            </w:r>
            <w:r>
              <w:rPr>
                <w:rFonts w:hint="default" w:ascii="Times New Roman" w:hAnsi="Times New Roman" w:eastAsia="宋体" w:cs="Times New Roman"/>
                <w:b/>
                <w:bCs/>
                <w:color w:val="auto"/>
                <w:kern w:val="0"/>
                <w:sz w:val="24"/>
                <w:szCs w:val="24"/>
                <w:lang w:val="en-US" w:eastAsia="zh-CN" w:bidi="ar"/>
              </w:rPr>
              <w:t>运行过程中产生的设备噪声；固体废物主要为切割过程中产生的边角废料</w:t>
            </w:r>
            <w:r>
              <w:rPr>
                <w:rFonts w:hint="eastAsia" w:cs="Times New Roman"/>
                <w:b/>
                <w:bCs/>
                <w:color w:val="auto"/>
                <w:kern w:val="0"/>
                <w:sz w:val="24"/>
                <w:szCs w:val="24"/>
                <w:lang w:val="en-US" w:eastAsia="zh-CN" w:bidi="ar"/>
              </w:rPr>
              <w:t>、金属屑</w:t>
            </w:r>
            <w:r>
              <w:rPr>
                <w:rFonts w:hint="default" w:ascii="Times New Roman" w:hAnsi="Times New Roman" w:eastAsia="宋体" w:cs="Times New Roman"/>
                <w:b/>
                <w:bCs/>
                <w:color w:val="auto"/>
                <w:kern w:val="0"/>
                <w:sz w:val="24"/>
                <w:szCs w:val="24"/>
                <w:lang w:val="en-US" w:eastAsia="zh-CN" w:bidi="ar"/>
              </w:rPr>
              <w:t>、机械设备运行与维护过程中产生的废润滑油</w:t>
            </w:r>
            <w:r>
              <w:rPr>
                <w:rFonts w:hint="eastAsia" w:cs="Times New Roman"/>
                <w:b/>
                <w:bCs/>
                <w:color w:val="auto"/>
                <w:kern w:val="0"/>
                <w:sz w:val="24"/>
                <w:szCs w:val="24"/>
                <w:lang w:val="en-US" w:eastAsia="zh-CN" w:bidi="ar"/>
              </w:rPr>
              <w:t>及废油桶</w:t>
            </w:r>
            <w:r>
              <w:rPr>
                <w:rFonts w:hint="default" w:ascii="Times New Roman" w:hAnsi="Times New Roman" w:eastAsia="宋体" w:cs="Times New Roman"/>
                <w:b/>
                <w:bCs/>
                <w:color w:val="auto"/>
                <w:kern w:val="0"/>
                <w:sz w:val="24"/>
                <w:szCs w:val="24"/>
                <w:lang w:val="en-US" w:eastAsia="zh-CN" w:bidi="ar"/>
              </w:rPr>
              <w:t>。</w:t>
            </w:r>
          </w:p>
          <w:p w14:paraId="27D581CD">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)焊</w:t>
            </w:r>
            <w:r>
              <w:rPr>
                <w:rFonts w:hint="default" w:ascii="Times New Roman" w:hAnsi="Times New Roman" w:eastAsia="宋体" w:cs="Times New Roman"/>
                <w:color w:val="auto"/>
                <w:kern w:val="0"/>
                <w:sz w:val="24"/>
                <w:szCs w:val="24"/>
                <w:lang w:val="en-US" w:eastAsia="zh-CN" w:bidi="ar"/>
              </w:rPr>
              <w:t>接工序</w:t>
            </w:r>
          </w:p>
          <w:p w14:paraId="5BC78D39">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根据产品需要，通过</w:t>
            </w:r>
            <w:r>
              <w:rPr>
                <w:rFonts w:hint="eastAsia" w:cs="Times New Roman"/>
                <w:color w:val="auto"/>
                <w:kern w:val="0"/>
                <w:sz w:val="24"/>
                <w:szCs w:val="24"/>
                <w:lang w:val="en-US" w:eastAsia="zh-CN" w:bidi="ar"/>
              </w:rPr>
              <w:t>二氧化碳保护焊机、电焊机、氩弧焊机等</w:t>
            </w:r>
            <w:r>
              <w:rPr>
                <w:rFonts w:hint="default" w:ascii="Times New Roman" w:hAnsi="Times New Roman" w:eastAsia="宋体" w:cs="Times New Roman"/>
                <w:color w:val="auto"/>
                <w:kern w:val="0"/>
                <w:sz w:val="24"/>
                <w:szCs w:val="24"/>
                <w:lang w:val="en-US" w:eastAsia="zh-CN" w:bidi="ar"/>
              </w:rPr>
              <w:t>对</w:t>
            </w:r>
            <w:r>
              <w:rPr>
                <w:rFonts w:hint="eastAsia" w:cs="Times New Roman"/>
                <w:color w:val="auto"/>
                <w:kern w:val="0"/>
                <w:sz w:val="24"/>
                <w:szCs w:val="24"/>
                <w:lang w:val="en-US" w:eastAsia="zh-CN" w:bidi="ar"/>
              </w:rPr>
              <w:t>工件进行焊接</w:t>
            </w:r>
            <w:r>
              <w:rPr>
                <w:rFonts w:hint="default" w:ascii="Times New Roman" w:hAnsi="Times New Roman" w:eastAsia="宋体" w:cs="Times New Roman"/>
                <w:color w:val="auto"/>
                <w:kern w:val="0"/>
                <w:sz w:val="24"/>
                <w:szCs w:val="24"/>
                <w:lang w:val="en-US" w:eastAsia="zh-CN" w:bidi="ar"/>
              </w:rPr>
              <w:t>。生产时将需要焊接的工件通过叉车运至焊接</w:t>
            </w:r>
            <w:r>
              <w:rPr>
                <w:rFonts w:hint="eastAsia" w:cs="Times New Roman"/>
                <w:color w:val="auto"/>
                <w:kern w:val="0"/>
                <w:sz w:val="24"/>
                <w:szCs w:val="24"/>
                <w:lang w:val="en-US" w:eastAsia="zh-CN" w:bidi="ar"/>
              </w:rPr>
              <w:t>工位</w:t>
            </w:r>
            <w:r>
              <w:rPr>
                <w:rFonts w:hint="default" w:ascii="Times New Roman" w:hAnsi="Times New Roman" w:eastAsia="宋体" w:cs="Times New Roman"/>
                <w:color w:val="auto"/>
                <w:kern w:val="0"/>
                <w:sz w:val="24"/>
                <w:szCs w:val="24"/>
                <w:lang w:val="en-US" w:eastAsia="zh-CN" w:bidi="ar"/>
              </w:rPr>
              <w:t>，采用二保焊机</w:t>
            </w:r>
            <w:r>
              <w:rPr>
                <w:rFonts w:hint="eastAsia" w:cs="Times New Roman"/>
                <w:color w:val="auto"/>
                <w:kern w:val="0"/>
                <w:sz w:val="24"/>
                <w:szCs w:val="24"/>
                <w:lang w:val="en-US" w:eastAsia="zh-CN" w:bidi="ar"/>
              </w:rPr>
              <w:t>、电焊机、氩弧焊机等</w:t>
            </w:r>
            <w:r>
              <w:rPr>
                <w:rFonts w:hint="default" w:ascii="Times New Roman" w:hAnsi="Times New Roman" w:eastAsia="宋体" w:cs="Times New Roman"/>
                <w:color w:val="auto"/>
                <w:kern w:val="0"/>
                <w:sz w:val="24"/>
                <w:szCs w:val="24"/>
                <w:lang w:val="en-US" w:eastAsia="zh-CN" w:bidi="ar"/>
              </w:rPr>
              <w:t>对工件进行焊接。</w:t>
            </w:r>
          </w:p>
          <w:p w14:paraId="7B513CA5">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本工序废气污染源主要为焊机焊接过程中产生的焊接废气；噪声污染源主要为焊机运行过程中产生的噪声；固体废物主要为</w:t>
            </w:r>
            <w:r>
              <w:rPr>
                <w:rFonts w:hint="eastAsia" w:cs="Times New Roman"/>
                <w:b/>
                <w:bCs/>
                <w:color w:val="auto"/>
                <w:kern w:val="0"/>
                <w:sz w:val="24"/>
                <w:szCs w:val="24"/>
                <w:lang w:val="en-US" w:eastAsia="zh-CN" w:bidi="ar"/>
              </w:rPr>
              <w:t>废焊材</w:t>
            </w:r>
            <w:r>
              <w:rPr>
                <w:rFonts w:hint="default" w:ascii="Times New Roman" w:hAnsi="Times New Roman" w:eastAsia="宋体" w:cs="Times New Roman"/>
                <w:b/>
                <w:bCs/>
                <w:color w:val="auto"/>
                <w:kern w:val="0"/>
                <w:sz w:val="24"/>
                <w:szCs w:val="24"/>
                <w:lang w:val="en-US" w:eastAsia="zh-CN" w:bidi="ar"/>
              </w:rPr>
              <w:t>。</w:t>
            </w:r>
          </w:p>
          <w:p w14:paraId="31099F64">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r>
              <w:rPr>
                <w:rFonts w:hint="default" w:ascii="Times New Roman" w:hAnsi="Times New Roman" w:cs="Times New Roman"/>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w:t>
            </w:r>
            <w:r>
              <w:rPr>
                <w:rFonts w:hint="eastAsia" w:cs="Times New Roman"/>
                <w:color w:val="auto"/>
                <w:kern w:val="0"/>
                <w:sz w:val="24"/>
                <w:szCs w:val="24"/>
                <w:lang w:val="en-US" w:eastAsia="zh-CN" w:bidi="ar"/>
              </w:rPr>
              <w:t>打磨</w:t>
            </w:r>
            <w:r>
              <w:rPr>
                <w:rFonts w:hint="default" w:ascii="Times New Roman" w:hAnsi="Times New Roman" w:eastAsia="宋体" w:cs="Times New Roman"/>
                <w:color w:val="auto"/>
                <w:kern w:val="0"/>
                <w:sz w:val="24"/>
                <w:szCs w:val="24"/>
                <w:lang w:val="en-US" w:eastAsia="zh-CN" w:bidi="ar"/>
              </w:rPr>
              <w:t>工序</w:t>
            </w:r>
          </w:p>
          <w:p w14:paraId="077CABE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打磨工序主要利用磨机高速旋转的薄片砂轮对工件切割、焊接等位置的毛刺进行打磨。</w:t>
            </w:r>
          </w:p>
          <w:p w14:paraId="0C549ACE">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本工序废气污染源主要为打磨过程中产生的打磨废气；噪声污染源主要为</w:t>
            </w:r>
            <w:r>
              <w:rPr>
                <w:rFonts w:hint="eastAsia" w:cs="Times New Roman"/>
                <w:b/>
                <w:bCs/>
                <w:color w:val="auto"/>
                <w:kern w:val="0"/>
                <w:sz w:val="24"/>
                <w:szCs w:val="24"/>
                <w:lang w:val="en-US" w:eastAsia="zh-CN" w:bidi="ar"/>
              </w:rPr>
              <w:t>气磨机</w:t>
            </w:r>
            <w:r>
              <w:rPr>
                <w:rFonts w:hint="default" w:ascii="Times New Roman" w:hAnsi="Times New Roman" w:eastAsia="宋体" w:cs="Times New Roman"/>
                <w:b/>
                <w:bCs/>
                <w:color w:val="auto"/>
                <w:kern w:val="0"/>
                <w:sz w:val="24"/>
                <w:szCs w:val="24"/>
                <w:lang w:val="en-US" w:eastAsia="zh-CN" w:bidi="ar"/>
              </w:rPr>
              <w:t>运行过程中产生的噪声；固体废物主要为打磨过程中产生的废铁屑。</w:t>
            </w:r>
          </w:p>
          <w:p w14:paraId="33E43A68">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)成</w:t>
            </w:r>
            <w:r>
              <w:rPr>
                <w:rFonts w:hint="default" w:ascii="Times New Roman" w:hAnsi="Times New Roman" w:eastAsia="宋体" w:cs="Times New Roman"/>
                <w:color w:val="auto"/>
                <w:kern w:val="0"/>
                <w:sz w:val="24"/>
                <w:szCs w:val="24"/>
                <w:lang w:val="en-US" w:eastAsia="zh-CN" w:bidi="ar"/>
              </w:rPr>
              <w:t>型工序</w:t>
            </w:r>
          </w:p>
          <w:p w14:paraId="24EC4610">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本项目成型工序主要包括折弯、压型、卷弯等工艺过程。</w:t>
            </w:r>
          </w:p>
          <w:p w14:paraId="6290A419">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①折弯</w:t>
            </w:r>
          </w:p>
          <w:p w14:paraId="2EBA31A9">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本项目生产时将需要折弯的工件通过叉车运至折弯工序，通过数控板料折弯机对工件进行折弯成型。</w:t>
            </w:r>
          </w:p>
          <w:p w14:paraId="7C0D02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②压型</w:t>
            </w:r>
          </w:p>
          <w:p w14:paraId="0506195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本项目生产时将需要压型的工件通过叉车运至压型工序，通过液压机对工件进行压型成型。</w:t>
            </w:r>
          </w:p>
          <w:p w14:paraId="7F2839DB">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③卷弯</w:t>
            </w:r>
          </w:p>
          <w:p w14:paraId="63F3BF90">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本项目卷弯所用设备为卷板机，生产时利用卷板机对工件进行卷弯成型。</w:t>
            </w:r>
          </w:p>
          <w:p w14:paraId="3571F1C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本项目成型工序噪声污染源主要为数控板料折弯机、液压机及卷板机运行过程中产生的设备噪声；固体废物主要为机械设备运行与维护过程中产生的废润滑油、废液压油</w:t>
            </w:r>
            <w:r>
              <w:rPr>
                <w:rFonts w:hint="eastAsia" w:cs="Times New Roman"/>
                <w:b/>
                <w:bCs/>
                <w:color w:val="auto"/>
                <w:kern w:val="0"/>
                <w:sz w:val="24"/>
                <w:szCs w:val="24"/>
                <w:lang w:val="en-US" w:eastAsia="zh-CN" w:bidi="ar"/>
              </w:rPr>
              <w:t>及废油桶</w:t>
            </w:r>
            <w:r>
              <w:rPr>
                <w:rFonts w:hint="default" w:ascii="Times New Roman" w:hAnsi="Times New Roman" w:eastAsia="宋体" w:cs="Times New Roman"/>
                <w:b/>
                <w:bCs/>
                <w:color w:val="auto"/>
                <w:kern w:val="0"/>
                <w:sz w:val="24"/>
                <w:szCs w:val="24"/>
                <w:lang w:val="en-US" w:eastAsia="zh-CN" w:bidi="ar"/>
              </w:rPr>
              <w:t>。</w:t>
            </w:r>
          </w:p>
          <w:p w14:paraId="13393A8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)机</w:t>
            </w:r>
            <w:r>
              <w:rPr>
                <w:rFonts w:hint="default" w:ascii="Times New Roman" w:hAnsi="Times New Roman" w:eastAsia="宋体" w:cs="Times New Roman"/>
                <w:color w:val="auto"/>
                <w:kern w:val="0"/>
                <w:sz w:val="24"/>
                <w:szCs w:val="24"/>
                <w:lang w:val="en-US" w:eastAsia="zh-CN" w:bidi="ar"/>
              </w:rPr>
              <w:t>加工工序</w:t>
            </w:r>
          </w:p>
          <w:p w14:paraId="618FA94C">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本项目机加工工序主要包括车床加工、铣床加工、钻床加工、刨床加工、磨床加工等工艺过程。</w:t>
            </w:r>
          </w:p>
          <w:p w14:paraId="7C4EB91D">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①车床加工</w:t>
            </w:r>
          </w:p>
          <w:p w14:paraId="5D623893">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本项目车床加工所用设备为普通车床和数控车床。生产时将需要车床加工的工件通过叉车运至车床加工工序，按照图纸设计要求，利用车床将工件加工成所需要的尺寸及规格。</w:t>
            </w:r>
          </w:p>
          <w:p w14:paraId="0F6F086D">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②铣床加工</w:t>
            </w:r>
          </w:p>
          <w:p w14:paraId="3441A939">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本项目铣床加工所用设备</w:t>
            </w:r>
            <w:r>
              <w:rPr>
                <w:rFonts w:hint="eastAsia" w:cs="Times New Roman"/>
                <w:color w:val="auto"/>
                <w:kern w:val="0"/>
                <w:sz w:val="24"/>
                <w:szCs w:val="24"/>
                <w:lang w:val="en-US" w:eastAsia="zh-CN" w:bidi="ar"/>
              </w:rPr>
              <w:t>为</w:t>
            </w:r>
            <w:r>
              <w:rPr>
                <w:rFonts w:hint="default" w:ascii="Times New Roman" w:hAnsi="Times New Roman" w:eastAsia="宋体" w:cs="Times New Roman"/>
                <w:color w:val="auto"/>
                <w:kern w:val="0"/>
                <w:sz w:val="24"/>
                <w:szCs w:val="24"/>
                <w:lang w:val="en-US" w:eastAsia="zh-CN" w:bidi="ar"/>
              </w:rPr>
              <w:t>立式升降台铣床。生产时将需要铣床加工的工件通过叉车运至铣床加工工序，按照图纸设计要求，利用铣床将工件加工成所需要的尺寸及规格。</w:t>
            </w:r>
          </w:p>
          <w:p w14:paraId="3DD266C0">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③钻床加工</w:t>
            </w:r>
          </w:p>
          <w:p w14:paraId="51D4C31E">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本项目钻床工序所用设备为立式钻床。生产时将需要钻床加工的工件通过叉车运至钻床加工工序，按照图纸设计要求，利用钻床将工件加工成所需要的底孔规格。</w:t>
            </w:r>
          </w:p>
          <w:p w14:paraId="6A3376C2">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④刨床加工</w:t>
            </w:r>
          </w:p>
          <w:p w14:paraId="61190BE1">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本项目刨床加工所用设备为牛头刨床。生产时将需要刨床加工的工件通过叉车运至刨床加工工序，利用牛头刨床对工件进行刨削。</w:t>
            </w:r>
          </w:p>
          <w:p w14:paraId="019374E5">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⑤磨床加工</w:t>
            </w:r>
          </w:p>
          <w:p w14:paraId="12E3F14E">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本项目磨床加工所用设备为卧轴距台平面磨床。生产时将需要磨床加工的工件通过叉车运至磨床加工工序，利用卧轴距台平面磨床对工件进行磨削加工。</w:t>
            </w:r>
          </w:p>
          <w:p w14:paraId="7E8DB01A">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为防止机加工设备泄漏润滑油、液压油，项目在机加工设备下方设置托盘，用于收集泄漏的润滑油、液压油。</w:t>
            </w:r>
          </w:p>
          <w:p w14:paraId="28D2CCB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本项目机械加工过程噪声污染源主要为车床、铣床、钻床、牛头刨床、磨床运行过程中产生的设备噪声；固体废物主要为机械加工过程产生的废铁屑、废切削液、含油铁屑、机械设备运行与维护过程中产生的废润滑油</w:t>
            </w:r>
            <w:r>
              <w:rPr>
                <w:rFonts w:hint="eastAsia" w:cs="Times New Roman"/>
                <w:b/>
                <w:bCs/>
                <w:color w:val="auto"/>
                <w:kern w:val="0"/>
                <w:sz w:val="24"/>
                <w:szCs w:val="24"/>
                <w:lang w:val="en-US" w:eastAsia="zh-CN" w:bidi="ar"/>
              </w:rPr>
              <w:t>、废切削液、废油桶</w:t>
            </w:r>
            <w:r>
              <w:rPr>
                <w:rFonts w:hint="default" w:ascii="Times New Roman" w:hAnsi="Times New Roman" w:eastAsia="宋体" w:cs="Times New Roman"/>
                <w:b/>
                <w:bCs/>
                <w:color w:val="auto"/>
                <w:kern w:val="0"/>
                <w:sz w:val="24"/>
                <w:szCs w:val="24"/>
                <w:lang w:val="en-US" w:eastAsia="zh-CN" w:bidi="ar"/>
              </w:rPr>
              <w:t>。</w:t>
            </w:r>
          </w:p>
          <w:p w14:paraId="3F2F8A44">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)表</w:t>
            </w:r>
            <w:r>
              <w:rPr>
                <w:rFonts w:hint="default" w:ascii="Times New Roman" w:hAnsi="Times New Roman" w:eastAsia="宋体" w:cs="Times New Roman"/>
                <w:color w:val="auto"/>
                <w:kern w:val="0"/>
                <w:sz w:val="24"/>
                <w:szCs w:val="24"/>
                <w:lang w:val="en-US" w:eastAsia="zh-CN" w:bidi="ar"/>
              </w:rPr>
              <w:t>面清理工序</w:t>
            </w:r>
          </w:p>
          <w:p w14:paraId="3BAC00F7">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本项目表面清理工序主要包括</w:t>
            </w:r>
            <w:r>
              <w:rPr>
                <w:rFonts w:hint="eastAsia" w:cs="Times New Roman"/>
                <w:color w:val="auto"/>
                <w:kern w:val="0"/>
                <w:sz w:val="24"/>
                <w:szCs w:val="24"/>
                <w:lang w:val="en-US" w:eastAsia="zh-CN" w:bidi="ar"/>
              </w:rPr>
              <w:t>打砂</w:t>
            </w:r>
            <w:r>
              <w:rPr>
                <w:rFonts w:hint="default" w:ascii="Times New Roman" w:hAnsi="Times New Roman" w:eastAsia="宋体" w:cs="Times New Roman"/>
                <w:color w:val="auto"/>
                <w:kern w:val="0"/>
                <w:sz w:val="24"/>
                <w:szCs w:val="24"/>
                <w:lang w:val="en-US" w:eastAsia="zh-CN" w:bidi="ar"/>
              </w:rPr>
              <w:t>、抛丸过程。其中具有较规整平面、较大的工件采用抛丸处理，表面不规整工件采用</w:t>
            </w:r>
            <w:r>
              <w:rPr>
                <w:rFonts w:hint="eastAsia" w:cs="Times New Roman"/>
                <w:color w:val="auto"/>
                <w:kern w:val="0"/>
                <w:sz w:val="24"/>
                <w:szCs w:val="24"/>
                <w:lang w:val="en-US" w:eastAsia="zh-CN" w:bidi="ar"/>
              </w:rPr>
              <w:t>打砂</w:t>
            </w:r>
            <w:r>
              <w:rPr>
                <w:rFonts w:hint="default" w:ascii="Times New Roman" w:hAnsi="Times New Roman" w:eastAsia="宋体" w:cs="Times New Roman"/>
                <w:color w:val="auto"/>
                <w:kern w:val="0"/>
                <w:sz w:val="24"/>
                <w:szCs w:val="24"/>
                <w:lang w:val="en-US" w:eastAsia="zh-CN" w:bidi="ar"/>
              </w:rPr>
              <w:t>处理。</w:t>
            </w:r>
          </w:p>
          <w:p w14:paraId="1191AF3D">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①</w:t>
            </w:r>
            <w:r>
              <w:rPr>
                <w:rFonts w:hint="eastAsia" w:cs="Times New Roman"/>
                <w:color w:val="auto"/>
                <w:kern w:val="0"/>
                <w:sz w:val="24"/>
                <w:szCs w:val="24"/>
                <w:lang w:val="en-US" w:eastAsia="zh-CN" w:bidi="ar"/>
              </w:rPr>
              <w:t>打砂</w:t>
            </w:r>
          </w:p>
          <w:p w14:paraId="3E83C409">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项目</w:t>
            </w:r>
            <w:r>
              <w:rPr>
                <w:rFonts w:hint="eastAsia" w:cs="Times New Roman"/>
                <w:color w:val="auto"/>
                <w:kern w:val="0"/>
                <w:sz w:val="24"/>
                <w:szCs w:val="24"/>
                <w:lang w:val="en-US" w:eastAsia="zh-CN" w:bidi="ar"/>
              </w:rPr>
              <w:t>打砂</w:t>
            </w:r>
            <w:r>
              <w:rPr>
                <w:rFonts w:hint="default" w:ascii="Times New Roman" w:hAnsi="Times New Roman" w:eastAsia="宋体" w:cs="Times New Roman"/>
                <w:color w:val="auto"/>
                <w:kern w:val="0"/>
                <w:sz w:val="24"/>
                <w:szCs w:val="24"/>
                <w:lang w:val="en-US" w:eastAsia="zh-CN" w:bidi="ar"/>
              </w:rPr>
              <w:t>在</w:t>
            </w:r>
            <w:r>
              <w:rPr>
                <w:rFonts w:hint="eastAsia" w:cs="Times New Roman"/>
                <w:color w:val="auto"/>
                <w:kern w:val="0"/>
                <w:sz w:val="24"/>
                <w:szCs w:val="24"/>
                <w:lang w:val="en-US" w:eastAsia="zh-CN" w:bidi="ar"/>
              </w:rPr>
              <w:t>打砂</w:t>
            </w:r>
            <w:r>
              <w:rPr>
                <w:rFonts w:hint="default" w:ascii="Times New Roman" w:hAnsi="Times New Roman" w:eastAsia="宋体" w:cs="Times New Roman"/>
                <w:color w:val="auto"/>
                <w:kern w:val="0"/>
                <w:sz w:val="24"/>
                <w:szCs w:val="24"/>
                <w:lang w:val="en-US" w:eastAsia="zh-CN" w:bidi="ar"/>
              </w:rPr>
              <w:t>房内进行，</w:t>
            </w:r>
            <w:r>
              <w:rPr>
                <w:rFonts w:hint="eastAsia" w:cs="Times New Roman"/>
                <w:color w:val="auto"/>
                <w:kern w:val="0"/>
                <w:sz w:val="24"/>
                <w:szCs w:val="24"/>
                <w:lang w:val="en-US" w:eastAsia="zh-CN" w:bidi="ar"/>
              </w:rPr>
              <w:t>打砂</w:t>
            </w:r>
            <w:r>
              <w:rPr>
                <w:rFonts w:hint="default" w:ascii="Times New Roman" w:hAnsi="Times New Roman" w:eastAsia="宋体" w:cs="Times New Roman"/>
                <w:color w:val="auto"/>
                <w:kern w:val="0"/>
                <w:sz w:val="24"/>
                <w:szCs w:val="24"/>
                <w:lang w:val="en-US" w:eastAsia="zh-CN" w:bidi="ar"/>
              </w:rPr>
              <w:t>房为密闭房间，配套脉冲袋式除尘器及磨料分离系统。进行</w:t>
            </w:r>
            <w:r>
              <w:rPr>
                <w:rFonts w:hint="eastAsia" w:cs="Times New Roman"/>
                <w:color w:val="auto"/>
                <w:kern w:val="0"/>
                <w:sz w:val="24"/>
                <w:szCs w:val="24"/>
                <w:lang w:val="en-US" w:eastAsia="zh-CN" w:bidi="ar"/>
              </w:rPr>
              <w:t>打砂</w:t>
            </w:r>
            <w:r>
              <w:rPr>
                <w:rFonts w:hint="default" w:ascii="Times New Roman" w:hAnsi="Times New Roman" w:eastAsia="宋体" w:cs="Times New Roman"/>
                <w:color w:val="auto"/>
                <w:kern w:val="0"/>
                <w:sz w:val="24"/>
                <w:szCs w:val="24"/>
                <w:lang w:val="en-US" w:eastAsia="zh-CN" w:bidi="ar"/>
              </w:rPr>
              <w:t>作业时，人工将需要</w:t>
            </w:r>
            <w:r>
              <w:rPr>
                <w:rFonts w:hint="eastAsia" w:cs="Times New Roman"/>
                <w:color w:val="auto"/>
                <w:kern w:val="0"/>
                <w:sz w:val="24"/>
                <w:szCs w:val="24"/>
                <w:lang w:val="en-US" w:eastAsia="zh-CN" w:bidi="ar"/>
              </w:rPr>
              <w:t>打砂</w:t>
            </w:r>
            <w:r>
              <w:rPr>
                <w:rFonts w:hint="default" w:ascii="Times New Roman" w:hAnsi="Times New Roman" w:eastAsia="宋体" w:cs="Times New Roman"/>
                <w:color w:val="auto"/>
                <w:kern w:val="0"/>
                <w:sz w:val="24"/>
                <w:szCs w:val="24"/>
                <w:lang w:val="en-US" w:eastAsia="zh-CN" w:bidi="ar"/>
              </w:rPr>
              <w:t>处理的工件搬运至</w:t>
            </w:r>
            <w:r>
              <w:rPr>
                <w:rFonts w:hint="eastAsia" w:cs="Times New Roman"/>
                <w:color w:val="auto"/>
                <w:kern w:val="0"/>
                <w:sz w:val="24"/>
                <w:szCs w:val="24"/>
                <w:lang w:val="en-US" w:eastAsia="zh-CN" w:bidi="ar"/>
              </w:rPr>
              <w:t>打砂</w:t>
            </w:r>
            <w:r>
              <w:rPr>
                <w:rFonts w:hint="default" w:ascii="Times New Roman" w:hAnsi="Times New Roman" w:eastAsia="宋体" w:cs="Times New Roman"/>
                <w:color w:val="auto"/>
                <w:kern w:val="0"/>
                <w:sz w:val="24"/>
                <w:szCs w:val="24"/>
                <w:lang w:val="en-US" w:eastAsia="zh-CN" w:bidi="ar"/>
              </w:rPr>
              <w:t>房内，放置在</w:t>
            </w:r>
            <w:r>
              <w:rPr>
                <w:rFonts w:hint="eastAsia" w:cs="Times New Roman"/>
                <w:color w:val="auto"/>
                <w:kern w:val="0"/>
                <w:sz w:val="24"/>
                <w:szCs w:val="24"/>
                <w:lang w:val="en-US" w:eastAsia="zh-CN" w:bidi="ar"/>
              </w:rPr>
              <w:t>打砂</w:t>
            </w:r>
            <w:r>
              <w:rPr>
                <w:rFonts w:hint="default" w:ascii="Times New Roman" w:hAnsi="Times New Roman" w:eastAsia="宋体" w:cs="Times New Roman"/>
                <w:color w:val="auto"/>
                <w:kern w:val="0"/>
                <w:sz w:val="24"/>
                <w:szCs w:val="24"/>
                <w:lang w:val="en-US" w:eastAsia="zh-CN" w:bidi="ar"/>
              </w:rPr>
              <w:t>平台上。</w:t>
            </w:r>
          </w:p>
          <w:p w14:paraId="0CE19544">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本项目</w:t>
            </w:r>
            <w:r>
              <w:rPr>
                <w:rFonts w:hint="eastAsia" w:cs="Times New Roman"/>
                <w:b/>
                <w:bCs/>
                <w:color w:val="auto"/>
                <w:kern w:val="0"/>
                <w:sz w:val="24"/>
                <w:szCs w:val="24"/>
                <w:lang w:val="en-US" w:eastAsia="zh-CN" w:bidi="ar"/>
              </w:rPr>
              <w:t>打砂</w:t>
            </w:r>
            <w:r>
              <w:rPr>
                <w:rFonts w:hint="default" w:ascii="Times New Roman" w:hAnsi="Times New Roman" w:eastAsia="宋体" w:cs="Times New Roman"/>
                <w:b/>
                <w:bCs/>
                <w:color w:val="auto"/>
                <w:kern w:val="0"/>
                <w:sz w:val="24"/>
                <w:szCs w:val="24"/>
                <w:lang w:val="en-US" w:eastAsia="zh-CN" w:bidi="ar"/>
              </w:rPr>
              <w:t>过程废气污染源主要为</w:t>
            </w:r>
            <w:r>
              <w:rPr>
                <w:rFonts w:hint="eastAsia" w:cs="Times New Roman"/>
                <w:b/>
                <w:bCs/>
                <w:color w:val="auto"/>
                <w:kern w:val="0"/>
                <w:sz w:val="24"/>
                <w:szCs w:val="24"/>
                <w:lang w:val="en-US" w:eastAsia="zh-CN" w:bidi="ar"/>
              </w:rPr>
              <w:t>打砂</w:t>
            </w:r>
            <w:r>
              <w:rPr>
                <w:rFonts w:hint="default" w:ascii="Times New Roman" w:hAnsi="Times New Roman" w:eastAsia="宋体" w:cs="Times New Roman"/>
                <w:b/>
                <w:bCs/>
                <w:color w:val="auto"/>
                <w:kern w:val="0"/>
                <w:sz w:val="24"/>
                <w:szCs w:val="24"/>
                <w:lang w:val="en-US" w:eastAsia="zh-CN" w:bidi="ar"/>
              </w:rPr>
              <w:t>过程产生的含尘废气；噪声污染源主要为</w:t>
            </w:r>
            <w:r>
              <w:rPr>
                <w:rFonts w:hint="eastAsia" w:cs="Times New Roman"/>
                <w:b/>
                <w:bCs/>
                <w:color w:val="auto"/>
                <w:kern w:val="0"/>
                <w:sz w:val="24"/>
                <w:szCs w:val="24"/>
                <w:lang w:val="en-US" w:eastAsia="zh-CN" w:bidi="ar"/>
              </w:rPr>
              <w:t>打砂</w:t>
            </w:r>
            <w:r>
              <w:rPr>
                <w:rFonts w:hint="default" w:ascii="Times New Roman" w:hAnsi="Times New Roman" w:eastAsia="宋体" w:cs="Times New Roman"/>
                <w:b/>
                <w:bCs/>
                <w:color w:val="auto"/>
                <w:kern w:val="0"/>
                <w:sz w:val="24"/>
                <w:szCs w:val="24"/>
                <w:lang w:val="en-US" w:eastAsia="zh-CN" w:bidi="ar"/>
              </w:rPr>
              <w:t>机运行过程中产生的设备噪声；固体废物主要为脉冲袋式除尘器产生的除尘灰、</w:t>
            </w:r>
            <w:r>
              <w:rPr>
                <w:rFonts w:hint="eastAsia" w:cs="Times New Roman"/>
                <w:b/>
                <w:bCs/>
                <w:color w:val="auto"/>
                <w:kern w:val="0"/>
                <w:sz w:val="24"/>
                <w:szCs w:val="24"/>
                <w:lang w:val="en-US" w:eastAsia="zh-CN" w:bidi="ar"/>
              </w:rPr>
              <w:t>打砂</w:t>
            </w:r>
            <w:r>
              <w:rPr>
                <w:rFonts w:hint="default" w:ascii="Times New Roman" w:hAnsi="Times New Roman" w:eastAsia="宋体" w:cs="Times New Roman"/>
                <w:b/>
                <w:bCs/>
                <w:color w:val="auto"/>
                <w:kern w:val="0"/>
                <w:sz w:val="24"/>
                <w:szCs w:val="24"/>
                <w:lang w:val="en-US" w:eastAsia="zh-CN" w:bidi="ar"/>
              </w:rPr>
              <w:t>过程工件表面掉落的</w:t>
            </w:r>
            <w:r>
              <w:rPr>
                <w:rFonts w:hint="eastAsia" w:cs="Times New Roman"/>
                <w:b/>
                <w:bCs/>
                <w:color w:val="auto"/>
                <w:kern w:val="0"/>
                <w:sz w:val="24"/>
                <w:szCs w:val="24"/>
                <w:lang w:val="en-US" w:eastAsia="zh-CN" w:bidi="ar"/>
              </w:rPr>
              <w:t>废金属屑</w:t>
            </w:r>
            <w:r>
              <w:rPr>
                <w:rFonts w:hint="default" w:ascii="Times New Roman" w:hAnsi="Times New Roman" w:eastAsia="宋体" w:cs="Times New Roman"/>
                <w:b/>
                <w:bCs/>
                <w:color w:val="auto"/>
                <w:kern w:val="0"/>
                <w:sz w:val="24"/>
                <w:szCs w:val="24"/>
                <w:lang w:val="en-US" w:eastAsia="zh-CN" w:bidi="ar"/>
              </w:rPr>
              <w:t>、</w:t>
            </w:r>
            <w:r>
              <w:rPr>
                <w:rFonts w:hint="eastAsia" w:cs="Times New Roman"/>
                <w:b/>
                <w:bCs/>
                <w:color w:val="auto"/>
                <w:kern w:val="0"/>
                <w:sz w:val="24"/>
                <w:szCs w:val="24"/>
                <w:lang w:val="en-US" w:eastAsia="zh-CN" w:bidi="ar"/>
              </w:rPr>
              <w:t>打砂</w:t>
            </w:r>
            <w:r>
              <w:rPr>
                <w:rFonts w:hint="default" w:ascii="Times New Roman" w:hAnsi="Times New Roman" w:eastAsia="宋体" w:cs="Times New Roman"/>
                <w:b/>
                <w:bCs/>
                <w:color w:val="auto"/>
                <w:kern w:val="0"/>
                <w:sz w:val="24"/>
                <w:szCs w:val="24"/>
                <w:lang w:val="en-US" w:eastAsia="zh-CN" w:bidi="ar"/>
              </w:rPr>
              <w:t>系统定期更换磨料产生的废磨料。</w:t>
            </w:r>
          </w:p>
          <w:p w14:paraId="349DCF75">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②抛丸工序</w:t>
            </w:r>
          </w:p>
          <w:p w14:paraId="5C646354">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本项目利用</w:t>
            </w:r>
            <w:r>
              <w:rPr>
                <w:rFonts w:hint="eastAsia" w:cs="Times New Roman"/>
                <w:color w:val="auto"/>
                <w:kern w:val="0"/>
                <w:sz w:val="24"/>
                <w:szCs w:val="24"/>
                <w:lang w:val="en-US" w:eastAsia="zh-CN" w:bidi="ar"/>
              </w:rPr>
              <w:t>履带式</w:t>
            </w:r>
            <w:r>
              <w:rPr>
                <w:rFonts w:hint="default" w:ascii="Times New Roman" w:hAnsi="Times New Roman" w:eastAsia="宋体" w:cs="Times New Roman"/>
                <w:color w:val="auto"/>
                <w:kern w:val="0"/>
                <w:sz w:val="24"/>
                <w:szCs w:val="24"/>
                <w:lang w:val="en-US" w:eastAsia="zh-CN" w:bidi="ar"/>
              </w:rPr>
              <w:t>抛丸机对工件表面进行</w:t>
            </w:r>
            <w:r>
              <w:rPr>
                <w:rFonts w:hint="eastAsia" w:cs="Times New Roman"/>
                <w:color w:val="auto"/>
                <w:kern w:val="0"/>
                <w:sz w:val="24"/>
                <w:szCs w:val="24"/>
                <w:lang w:val="en-US" w:eastAsia="zh-CN" w:bidi="ar"/>
              </w:rPr>
              <w:t>处理</w:t>
            </w:r>
            <w:r>
              <w:rPr>
                <w:rFonts w:hint="default" w:ascii="Times New Roman" w:hAnsi="Times New Roman" w:eastAsia="宋体" w:cs="Times New Roman"/>
                <w:color w:val="auto"/>
                <w:kern w:val="0"/>
                <w:sz w:val="24"/>
                <w:szCs w:val="24"/>
                <w:lang w:val="en-US" w:eastAsia="zh-CN" w:bidi="ar"/>
              </w:rPr>
              <w:t>，清除工件表面的铁锈等物质，从而使工件达到表面清理的目的。</w:t>
            </w:r>
          </w:p>
          <w:p w14:paraId="5A22562A">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本项目抛丸过程废气污染源主要为抛丸废气；噪声污染源主要为抛丸机运行过程中产生的设备噪声；固体废物主要为除尘器产生的除尘灰、抛丸过程产生的</w:t>
            </w:r>
            <w:r>
              <w:rPr>
                <w:rFonts w:hint="eastAsia" w:ascii="Times New Roman" w:hAnsi="Times New Roman" w:eastAsia="宋体" w:cs="Times New Roman"/>
                <w:b/>
                <w:bCs/>
                <w:color w:val="auto"/>
                <w:kern w:val="0"/>
                <w:sz w:val="24"/>
                <w:szCs w:val="24"/>
                <w:lang w:val="en-US" w:eastAsia="zh-CN" w:bidi="ar"/>
              </w:rPr>
              <w:t>废金属屑</w:t>
            </w:r>
            <w:r>
              <w:rPr>
                <w:rFonts w:hint="default" w:ascii="Times New Roman" w:hAnsi="Times New Roman" w:eastAsia="宋体" w:cs="Times New Roman"/>
                <w:b/>
                <w:bCs/>
                <w:color w:val="auto"/>
                <w:kern w:val="0"/>
                <w:sz w:val="24"/>
                <w:szCs w:val="24"/>
                <w:lang w:val="en-US" w:eastAsia="zh-CN" w:bidi="ar"/>
              </w:rPr>
              <w:t>、废钢丸。</w:t>
            </w:r>
          </w:p>
          <w:p w14:paraId="34B1B77F">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8</w:t>
            </w:r>
            <w:r>
              <w:rPr>
                <w:rFonts w:hint="eastAsia" w:ascii="宋体" w:hAnsi="宋体" w:eastAsia="宋体" w:cs="宋体"/>
                <w:color w:val="auto"/>
                <w:kern w:val="0"/>
                <w:sz w:val="24"/>
                <w:szCs w:val="24"/>
                <w:lang w:val="en-US" w:eastAsia="zh-CN" w:bidi="ar"/>
              </w:rPr>
              <w:t>)喷</w:t>
            </w:r>
            <w:r>
              <w:rPr>
                <w:rFonts w:hint="default" w:ascii="Times New Roman" w:hAnsi="Times New Roman" w:eastAsia="宋体" w:cs="Times New Roman"/>
                <w:color w:val="auto"/>
                <w:kern w:val="0"/>
                <w:sz w:val="24"/>
                <w:szCs w:val="24"/>
                <w:lang w:val="en-US" w:eastAsia="zh-CN" w:bidi="ar"/>
              </w:rPr>
              <w:t>漆</w:t>
            </w:r>
            <w:r>
              <w:rPr>
                <w:rFonts w:hint="eastAsia" w:cs="Times New Roman"/>
                <w:color w:val="auto"/>
                <w:kern w:val="0"/>
                <w:sz w:val="24"/>
                <w:szCs w:val="24"/>
                <w:lang w:val="en-US" w:eastAsia="zh-CN" w:bidi="ar"/>
              </w:rPr>
              <w:t>烘干</w:t>
            </w:r>
            <w:r>
              <w:rPr>
                <w:rFonts w:hint="default" w:ascii="Times New Roman" w:hAnsi="Times New Roman" w:eastAsia="宋体" w:cs="Times New Roman"/>
                <w:color w:val="auto"/>
                <w:kern w:val="0"/>
                <w:sz w:val="24"/>
                <w:szCs w:val="24"/>
                <w:lang w:val="en-US" w:eastAsia="zh-CN" w:bidi="ar"/>
              </w:rPr>
              <w:t>工序</w:t>
            </w:r>
          </w:p>
          <w:p w14:paraId="05DAB1DB">
            <w:pPr>
              <w:keepNext w:val="0"/>
              <w:keepLines w:val="0"/>
              <w:widowControl/>
              <w:suppressLineNumbers w:val="0"/>
              <w:jc w:val="left"/>
              <w:rPr>
                <w:color w:val="auto"/>
              </w:rPr>
            </w:pPr>
            <w:r>
              <w:rPr>
                <w:rFonts w:ascii="脣脦脤氓" w:hAnsi="脣脦脤氓" w:eastAsia="脣脦脤氓" w:cs="脣脦脤氓"/>
                <w:color w:val="auto"/>
                <w:kern w:val="0"/>
                <w:sz w:val="25"/>
                <w:szCs w:val="25"/>
                <w:lang w:val="en-US" w:eastAsia="zh-CN" w:bidi="ar"/>
              </w:rPr>
              <w:t>本项目</w:t>
            </w:r>
            <w:r>
              <w:rPr>
                <w:rFonts w:hint="eastAsia" w:ascii="脣脦脤氓" w:hAnsi="脣脦脤氓" w:eastAsia="脣脦脤氓" w:cs="脣脦脤氓"/>
                <w:color w:val="auto"/>
                <w:kern w:val="0"/>
                <w:sz w:val="25"/>
                <w:szCs w:val="25"/>
                <w:lang w:val="en-US" w:eastAsia="zh-CN" w:bidi="ar"/>
              </w:rPr>
              <w:t>部分</w:t>
            </w:r>
            <w:r>
              <w:rPr>
                <w:rFonts w:ascii="脣脦脤氓" w:hAnsi="脣脦脤氓" w:eastAsia="脣脦脤氓" w:cs="脣脦脤氓"/>
                <w:color w:val="auto"/>
                <w:kern w:val="0"/>
                <w:sz w:val="25"/>
                <w:szCs w:val="25"/>
                <w:lang w:val="en-US" w:eastAsia="zh-CN" w:bidi="ar"/>
              </w:rPr>
              <w:t>工件需要喷涂底漆、面漆及清漆</w:t>
            </w:r>
            <w:r>
              <w:rPr>
                <w:rFonts w:hint="default" w:ascii="脣脦脤氓" w:hAnsi="脣脦脤氓" w:eastAsia="脣脦脤氓" w:cs="脣脦脤氓"/>
                <w:color w:val="auto"/>
                <w:kern w:val="0"/>
                <w:sz w:val="25"/>
                <w:szCs w:val="25"/>
                <w:lang w:val="en-US" w:eastAsia="zh-CN" w:bidi="ar"/>
              </w:rPr>
              <w:t>，底漆喷涂及烘干完毕需在漆层表面涂抹一层腻子，以调整工件表面平整度，而后再进行面漆及清漆的喷涂及烘干，以上操作过程均在密闭的房间内进行。</w:t>
            </w:r>
          </w:p>
          <w:p w14:paraId="49D5B56F">
            <w:pPr>
              <w:keepNext w:val="0"/>
              <w:keepLines w:val="0"/>
              <w:widowControl/>
              <w:suppressLineNumbers w:val="0"/>
              <w:jc w:val="left"/>
              <w:rPr>
                <w:color w:val="auto"/>
              </w:rPr>
            </w:pPr>
            <w:r>
              <w:rPr>
                <w:rFonts w:hint="default" w:ascii="脣脦脤氓" w:hAnsi="脣脦脤氓" w:eastAsia="脣脦脤氓" w:cs="脣脦脤氓"/>
                <w:color w:val="auto"/>
                <w:kern w:val="0"/>
                <w:sz w:val="25"/>
                <w:szCs w:val="25"/>
                <w:lang w:val="en-US" w:eastAsia="zh-CN" w:bidi="ar"/>
              </w:rPr>
              <w:t>①底漆喷涂</w:t>
            </w:r>
          </w:p>
          <w:p w14:paraId="6C0CE2F1">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本项目调漆和喷漆过程均在喷漆房进行，喷漆前将水性漆、油性漆分别调配到满足施工状态的要</w:t>
            </w:r>
            <w:r>
              <w:rPr>
                <w:rFonts w:hint="eastAsia" w:ascii="宋体" w:hAnsi="宋体" w:eastAsia="宋体" w:cs="宋体"/>
                <w:color w:val="auto"/>
                <w:kern w:val="0"/>
                <w:sz w:val="24"/>
                <w:szCs w:val="24"/>
                <w:lang w:val="en-US" w:eastAsia="zh-CN" w:bidi="ar"/>
              </w:rPr>
              <w:t>求</w:t>
            </w:r>
            <w:r>
              <w:rPr>
                <w:rFonts w:hint="default"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使用喷枪向工件表面喷施</w:t>
            </w:r>
            <w:r>
              <w:rPr>
                <w:rFonts w:hint="eastAsia" w:ascii="宋体" w:hAnsi="宋体" w:cs="宋体"/>
                <w:color w:val="auto"/>
                <w:kern w:val="0"/>
                <w:sz w:val="24"/>
                <w:szCs w:val="24"/>
                <w:lang w:val="en-US" w:eastAsia="zh-CN" w:bidi="ar"/>
              </w:rPr>
              <w:t>；喷漆房采用上进风，侧出风的方式，使喷漆房形成微负压状态</w:t>
            </w:r>
            <w:r>
              <w:rPr>
                <w:rFonts w:hint="default" w:ascii="Times New Roman" w:hAnsi="Times New Roman" w:eastAsia="宋体" w:cs="Times New Roman"/>
                <w:color w:val="auto"/>
                <w:kern w:val="0"/>
                <w:sz w:val="24"/>
                <w:szCs w:val="24"/>
                <w:lang w:val="en-US" w:eastAsia="zh-CN" w:bidi="ar"/>
              </w:rPr>
              <w:t>。底漆完成喷涂后送至</w:t>
            </w:r>
            <w:r>
              <w:rPr>
                <w:rFonts w:hint="eastAsia" w:cs="Times New Roman"/>
                <w:color w:val="auto"/>
                <w:kern w:val="0"/>
                <w:sz w:val="24"/>
                <w:szCs w:val="24"/>
                <w:lang w:val="en-US" w:eastAsia="zh-CN" w:bidi="ar"/>
              </w:rPr>
              <w:t>烘干房</w:t>
            </w:r>
            <w:r>
              <w:rPr>
                <w:rFonts w:hint="default" w:ascii="Times New Roman" w:hAnsi="Times New Roman" w:eastAsia="宋体" w:cs="Times New Roman"/>
                <w:color w:val="auto"/>
                <w:kern w:val="0"/>
                <w:sz w:val="24"/>
                <w:szCs w:val="24"/>
                <w:lang w:val="en-US" w:eastAsia="zh-CN" w:bidi="ar"/>
              </w:rPr>
              <w:t>进行烘干。</w:t>
            </w:r>
          </w:p>
          <w:p w14:paraId="35C512FB">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②烘干</w:t>
            </w:r>
          </w:p>
          <w:p w14:paraId="648EF0AF">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本项目烘干过程在</w:t>
            </w:r>
            <w:r>
              <w:rPr>
                <w:rFonts w:hint="eastAsia" w:cs="Times New Roman"/>
                <w:color w:val="auto"/>
                <w:kern w:val="0"/>
                <w:sz w:val="24"/>
                <w:szCs w:val="24"/>
                <w:lang w:val="en-US" w:eastAsia="zh-CN" w:bidi="ar"/>
              </w:rPr>
              <w:t>烘干房内</w:t>
            </w:r>
            <w:r>
              <w:rPr>
                <w:rFonts w:hint="default" w:ascii="Times New Roman" w:hAnsi="Times New Roman" w:eastAsia="宋体" w:cs="Times New Roman"/>
                <w:color w:val="auto"/>
                <w:kern w:val="0"/>
                <w:sz w:val="24"/>
                <w:szCs w:val="24"/>
                <w:lang w:val="en-US" w:eastAsia="zh-CN" w:bidi="ar"/>
              </w:rPr>
              <w:t>进行，</w:t>
            </w:r>
            <w:r>
              <w:rPr>
                <w:rFonts w:hint="eastAsia" w:cs="Times New Roman"/>
                <w:color w:val="auto"/>
                <w:kern w:val="0"/>
                <w:sz w:val="24"/>
                <w:szCs w:val="24"/>
                <w:lang w:val="en-US" w:eastAsia="zh-CN" w:bidi="ar"/>
              </w:rPr>
              <w:t>烘干房</w:t>
            </w:r>
            <w:r>
              <w:rPr>
                <w:rFonts w:hint="default" w:ascii="Times New Roman" w:hAnsi="Times New Roman" w:eastAsia="宋体" w:cs="Times New Roman"/>
                <w:color w:val="auto"/>
                <w:kern w:val="0"/>
                <w:sz w:val="24"/>
                <w:szCs w:val="24"/>
                <w:lang w:val="en-US" w:eastAsia="zh-CN" w:bidi="ar"/>
              </w:rPr>
              <w:t>与喷漆房紧邻，两者之间有门联通。将待烘干工件由人工运至</w:t>
            </w:r>
            <w:r>
              <w:rPr>
                <w:rFonts w:hint="eastAsia" w:cs="Times New Roman"/>
                <w:color w:val="auto"/>
                <w:kern w:val="0"/>
                <w:sz w:val="24"/>
                <w:szCs w:val="24"/>
                <w:lang w:val="en-US" w:eastAsia="zh-CN" w:bidi="ar"/>
              </w:rPr>
              <w:t>烘干房</w:t>
            </w:r>
            <w:r>
              <w:rPr>
                <w:rFonts w:hint="default" w:ascii="Times New Roman" w:hAnsi="Times New Roman" w:eastAsia="宋体" w:cs="Times New Roman"/>
                <w:color w:val="auto"/>
                <w:kern w:val="0"/>
                <w:sz w:val="24"/>
                <w:szCs w:val="24"/>
                <w:lang w:val="en-US" w:eastAsia="zh-CN" w:bidi="ar"/>
              </w:rPr>
              <w:t>进行烘干，烘干过程采用</w:t>
            </w:r>
            <w:r>
              <w:rPr>
                <w:rFonts w:hint="eastAsia" w:cs="Times New Roman"/>
                <w:color w:val="auto"/>
                <w:kern w:val="0"/>
                <w:sz w:val="24"/>
                <w:szCs w:val="24"/>
                <w:lang w:val="en-US" w:eastAsia="zh-CN" w:bidi="ar"/>
              </w:rPr>
              <w:t>液化石油气直接通过喷嘴燃烧的方式为烘干房提供热源</w:t>
            </w:r>
            <w:r>
              <w:rPr>
                <w:rFonts w:hint="default" w:ascii="Times New Roman" w:hAnsi="Times New Roman" w:eastAsia="宋体" w:cs="Times New Roman"/>
                <w:color w:val="auto"/>
                <w:kern w:val="0"/>
                <w:sz w:val="24"/>
                <w:szCs w:val="24"/>
                <w:lang w:val="en-US" w:eastAsia="zh-CN" w:bidi="ar"/>
              </w:rPr>
              <w:t>。</w:t>
            </w:r>
          </w:p>
          <w:p w14:paraId="3C3201EA">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③打腻子</w:t>
            </w:r>
          </w:p>
          <w:p w14:paraId="55CAAB00">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腻子(俗称原子灰)是由</w:t>
            </w:r>
            <w:r>
              <w:rPr>
                <w:rFonts w:hint="default" w:ascii="Times New Roman" w:hAnsi="Times New Roman" w:eastAsia="宋体" w:cs="Times New Roman"/>
                <w:color w:val="auto"/>
                <w:kern w:val="0"/>
                <w:sz w:val="24"/>
                <w:szCs w:val="24"/>
                <w:lang w:val="en-US" w:eastAsia="zh-CN" w:bidi="ar"/>
              </w:rPr>
              <w:t>以含有不饱和双键的聚酯树脂为主要成分的主体灰和以过氧化物为主要成分的固化剂按一定</w:t>
            </w:r>
            <w:r>
              <w:rPr>
                <w:rFonts w:hint="eastAsia" w:ascii="宋体" w:hAnsi="宋体" w:eastAsia="宋体" w:cs="宋体"/>
                <w:color w:val="auto"/>
                <w:kern w:val="0"/>
                <w:sz w:val="24"/>
                <w:szCs w:val="24"/>
                <w:lang w:val="en-US" w:eastAsia="zh-CN" w:bidi="ar"/>
              </w:rPr>
              <w:t>比例调</w:t>
            </w:r>
            <w:r>
              <w:rPr>
                <w:rFonts w:hint="default" w:ascii="Times New Roman" w:hAnsi="Times New Roman" w:eastAsia="宋体" w:cs="Times New Roman"/>
                <w:color w:val="auto"/>
                <w:kern w:val="0"/>
                <w:sz w:val="24"/>
                <w:szCs w:val="24"/>
                <w:lang w:val="en-US" w:eastAsia="zh-CN" w:bidi="ar"/>
              </w:rPr>
              <w:t>配而成。本项目腻子调配在</w:t>
            </w:r>
            <w:r>
              <w:rPr>
                <w:rFonts w:hint="eastAsia" w:cs="Times New Roman"/>
                <w:color w:val="auto"/>
                <w:kern w:val="0"/>
                <w:sz w:val="24"/>
                <w:szCs w:val="24"/>
                <w:lang w:val="en-US" w:eastAsia="zh-CN" w:bidi="ar"/>
              </w:rPr>
              <w:t>腻子房</w:t>
            </w:r>
            <w:r>
              <w:rPr>
                <w:rFonts w:hint="default" w:ascii="Times New Roman" w:hAnsi="Times New Roman" w:eastAsia="宋体" w:cs="Times New Roman"/>
                <w:color w:val="auto"/>
                <w:kern w:val="0"/>
                <w:sz w:val="24"/>
                <w:szCs w:val="24"/>
                <w:lang w:val="en-US" w:eastAsia="zh-CN" w:bidi="ar"/>
              </w:rPr>
              <w:t>进行，底漆烘干后由工人将工件运至腻子房，人工在工件表面涂抹一层腻子，以此来调整工件表面的平整度，待工件表面的腻子自然固化后，将工件送至打磨房进行打磨。</w:t>
            </w:r>
          </w:p>
          <w:p w14:paraId="1E7AD739">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④腻子打磨</w:t>
            </w:r>
          </w:p>
          <w:p w14:paraId="38A1A28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本项目腻子打磨过程所用的设备为</w:t>
            </w:r>
            <w:r>
              <w:rPr>
                <w:rFonts w:hint="eastAsia" w:cs="Times New Roman"/>
                <w:color w:val="auto"/>
                <w:kern w:val="0"/>
                <w:sz w:val="24"/>
                <w:szCs w:val="24"/>
                <w:lang w:val="en-US" w:eastAsia="zh-CN" w:bidi="ar"/>
              </w:rPr>
              <w:t>角磨机</w:t>
            </w:r>
            <w:r>
              <w:rPr>
                <w:rFonts w:hint="default" w:ascii="Times New Roman" w:hAnsi="Times New Roman" w:eastAsia="宋体" w:cs="Times New Roman"/>
                <w:color w:val="auto"/>
                <w:kern w:val="0"/>
                <w:sz w:val="24"/>
                <w:szCs w:val="24"/>
                <w:lang w:val="en-US" w:eastAsia="zh-CN" w:bidi="ar"/>
              </w:rPr>
              <w:t>，由人工利用</w:t>
            </w:r>
            <w:r>
              <w:rPr>
                <w:rFonts w:hint="eastAsia" w:cs="Times New Roman"/>
                <w:color w:val="auto"/>
                <w:kern w:val="0"/>
                <w:sz w:val="24"/>
                <w:szCs w:val="24"/>
                <w:lang w:val="en-US" w:eastAsia="zh-CN" w:bidi="ar"/>
              </w:rPr>
              <w:t>角磨机</w:t>
            </w:r>
            <w:r>
              <w:rPr>
                <w:rFonts w:hint="default" w:ascii="Times New Roman" w:hAnsi="Times New Roman" w:eastAsia="宋体" w:cs="Times New Roman"/>
                <w:color w:val="auto"/>
                <w:kern w:val="0"/>
                <w:sz w:val="24"/>
                <w:szCs w:val="24"/>
                <w:lang w:val="en-US" w:eastAsia="zh-CN" w:bidi="ar"/>
              </w:rPr>
              <w:t>对工件表面的腻子进行打磨，打磨过程在密闭的打磨房进行。</w:t>
            </w:r>
          </w:p>
          <w:p w14:paraId="76184884">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⑤面漆</w:t>
            </w:r>
            <w:r>
              <w:rPr>
                <w:rFonts w:hint="eastAsia" w:cs="Times New Roman"/>
                <w:color w:val="auto"/>
                <w:kern w:val="0"/>
                <w:sz w:val="24"/>
                <w:szCs w:val="24"/>
                <w:lang w:val="en-US" w:eastAsia="zh-CN" w:bidi="ar"/>
              </w:rPr>
              <w:t>、清漆</w:t>
            </w:r>
            <w:r>
              <w:rPr>
                <w:rFonts w:hint="default" w:ascii="Times New Roman" w:hAnsi="Times New Roman" w:eastAsia="宋体" w:cs="Times New Roman"/>
                <w:color w:val="auto"/>
                <w:kern w:val="0"/>
                <w:sz w:val="24"/>
                <w:szCs w:val="24"/>
                <w:lang w:val="en-US" w:eastAsia="zh-CN" w:bidi="ar"/>
              </w:rPr>
              <w:t>喷涂及烘干</w:t>
            </w:r>
          </w:p>
          <w:p w14:paraId="2188758D">
            <w:pPr>
              <w:keepNext w:val="0"/>
              <w:keepLines w:val="0"/>
              <w:widowControl/>
              <w:suppressLineNumbers w:val="0"/>
              <w:jc w:val="left"/>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lang w:val="en-US" w:eastAsia="zh-CN" w:bidi="ar"/>
              </w:rPr>
              <w:t>经过打磨后的工件由人工运至喷漆房</w:t>
            </w:r>
            <w:r>
              <w:rPr>
                <w:rFonts w:hint="eastAsia" w:cs="Times New Roman"/>
                <w:color w:val="auto"/>
                <w:kern w:val="0"/>
                <w:sz w:val="24"/>
                <w:szCs w:val="24"/>
                <w:lang w:val="en-US" w:eastAsia="zh-CN" w:bidi="ar"/>
              </w:rPr>
              <w:t>依次</w:t>
            </w:r>
            <w:r>
              <w:rPr>
                <w:rFonts w:hint="default" w:ascii="Times New Roman" w:hAnsi="Times New Roman" w:eastAsia="宋体" w:cs="Times New Roman"/>
                <w:color w:val="auto"/>
                <w:kern w:val="0"/>
                <w:sz w:val="24"/>
                <w:szCs w:val="24"/>
                <w:lang w:val="en-US" w:eastAsia="zh-CN" w:bidi="ar"/>
              </w:rPr>
              <w:t>进行面漆喷涂及烘干、清漆喷涂及烘干，此过程与底漆喷涂、烘干过程相同。</w:t>
            </w:r>
            <w:r>
              <w:rPr>
                <w:rFonts w:hint="eastAsia" w:cs="Times New Roman"/>
                <w:color w:val="auto"/>
                <w:kern w:val="0"/>
                <w:sz w:val="24"/>
                <w:szCs w:val="24"/>
                <w:highlight w:val="none"/>
                <w:lang w:val="en-US" w:eastAsia="zh-CN" w:bidi="ar"/>
              </w:rPr>
              <w:t>喷漆、烘干同时作业，年工作时间900小时。</w:t>
            </w:r>
          </w:p>
          <w:p w14:paraId="36770079">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本项目喷漆工序废气污染源主要为调漆、喷漆过程产生的喷漆废气、烘干过程中产生的</w:t>
            </w:r>
            <w:r>
              <w:rPr>
                <w:rFonts w:hint="eastAsia" w:cs="Times New Roman"/>
                <w:b/>
                <w:bCs/>
                <w:color w:val="auto"/>
                <w:kern w:val="0"/>
                <w:sz w:val="24"/>
                <w:szCs w:val="24"/>
                <w:lang w:val="en-US" w:eastAsia="zh-CN" w:bidi="ar"/>
              </w:rPr>
              <w:t>有机</w:t>
            </w:r>
            <w:r>
              <w:rPr>
                <w:rFonts w:hint="default" w:ascii="Times New Roman" w:hAnsi="Times New Roman" w:eastAsia="宋体" w:cs="Times New Roman"/>
                <w:b/>
                <w:bCs/>
                <w:color w:val="auto"/>
                <w:kern w:val="0"/>
                <w:sz w:val="24"/>
                <w:szCs w:val="24"/>
                <w:lang w:val="en-US" w:eastAsia="zh-CN" w:bidi="ar"/>
              </w:rPr>
              <w:t>废气</w:t>
            </w:r>
            <w:r>
              <w:rPr>
                <w:rFonts w:hint="eastAsia" w:cs="Times New Roman"/>
                <w:b/>
                <w:bCs/>
                <w:color w:val="auto"/>
                <w:kern w:val="0"/>
                <w:sz w:val="24"/>
                <w:szCs w:val="24"/>
                <w:lang w:val="en-US" w:eastAsia="zh-CN" w:bidi="ar"/>
              </w:rPr>
              <w:t>和燃料燃烧废气</w:t>
            </w:r>
            <w:r>
              <w:rPr>
                <w:rFonts w:hint="default" w:ascii="Times New Roman" w:hAnsi="Times New Roman" w:eastAsia="宋体" w:cs="Times New Roman"/>
                <w:b/>
                <w:bCs/>
                <w:color w:val="auto"/>
                <w:kern w:val="0"/>
                <w:sz w:val="24"/>
                <w:szCs w:val="24"/>
                <w:lang w:val="en-US" w:eastAsia="zh-CN" w:bidi="ar"/>
              </w:rPr>
              <w:t>、腻子打磨过程产生的打磨废气；噪声污染源主要为角磨机、引风机、循环风机运行过程中产生的设备噪声；固体废物主要为喷漆过程产生漆渣、</w:t>
            </w:r>
            <w:r>
              <w:rPr>
                <w:rFonts w:hint="eastAsia" w:cs="Times New Roman"/>
                <w:b/>
                <w:bCs/>
                <w:color w:val="auto"/>
                <w:kern w:val="0"/>
                <w:sz w:val="24"/>
                <w:szCs w:val="24"/>
                <w:lang w:val="en-US" w:eastAsia="zh-CN" w:bidi="ar"/>
              </w:rPr>
              <w:t>油性漆及稀释剂废包装桶、</w:t>
            </w:r>
            <w:r>
              <w:rPr>
                <w:rFonts w:hint="default" w:ascii="Times New Roman" w:hAnsi="Times New Roman" w:eastAsia="宋体" w:cs="Times New Roman"/>
                <w:b/>
                <w:bCs/>
                <w:color w:val="auto"/>
                <w:kern w:val="0"/>
                <w:sz w:val="24"/>
                <w:szCs w:val="24"/>
                <w:lang w:val="en-US" w:eastAsia="zh-CN" w:bidi="ar"/>
              </w:rPr>
              <w:t>水性漆及腻子废包装桶。</w:t>
            </w:r>
          </w:p>
          <w:p w14:paraId="33BAA50A">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9</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喷塑工序</w:t>
            </w:r>
          </w:p>
          <w:p w14:paraId="28B5609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①喷塑</w:t>
            </w:r>
          </w:p>
          <w:p w14:paraId="2FF01EA6">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喷塑工序是在工件表面喷涂一层粉末涂料，以达到工件多彩外观、免被侵蚀等目的。本项目</w:t>
            </w:r>
            <w:r>
              <w:rPr>
                <w:rFonts w:hint="eastAsia" w:cs="Times New Roman"/>
                <w:color w:val="auto"/>
                <w:kern w:val="0"/>
                <w:sz w:val="24"/>
                <w:szCs w:val="24"/>
                <w:lang w:val="en-US" w:eastAsia="zh-CN" w:bidi="ar"/>
              </w:rPr>
              <w:t>部分工件</w:t>
            </w:r>
            <w:r>
              <w:rPr>
                <w:rFonts w:hint="default" w:ascii="Times New Roman" w:hAnsi="Times New Roman" w:eastAsia="宋体" w:cs="Times New Roman"/>
                <w:color w:val="auto"/>
                <w:kern w:val="0"/>
                <w:sz w:val="24"/>
                <w:szCs w:val="24"/>
                <w:lang w:val="en-US" w:eastAsia="zh-CN" w:bidi="ar"/>
              </w:rPr>
              <w:t>采用静电喷涂工艺</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本项目喷塑工序在</w:t>
            </w:r>
            <w:r>
              <w:rPr>
                <w:rFonts w:hint="eastAsia" w:cs="Times New Roman"/>
                <w:color w:val="auto"/>
                <w:kern w:val="0"/>
                <w:sz w:val="24"/>
                <w:szCs w:val="24"/>
                <w:lang w:val="en-US" w:eastAsia="zh-CN" w:bidi="ar"/>
              </w:rPr>
              <w:t>喷塑房</w:t>
            </w:r>
            <w:r>
              <w:rPr>
                <w:rFonts w:hint="default" w:ascii="Times New Roman" w:hAnsi="Times New Roman" w:eastAsia="宋体" w:cs="Times New Roman"/>
                <w:color w:val="auto"/>
                <w:kern w:val="0"/>
                <w:sz w:val="24"/>
                <w:szCs w:val="24"/>
                <w:lang w:val="en-US" w:eastAsia="zh-CN" w:bidi="ar"/>
              </w:rPr>
              <w:t>内进行。</w:t>
            </w:r>
          </w:p>
          <w:p w14:paraId="2090AFCD">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喷涂作业前由工人将工件悬挂于输送链上，工件由悬挂输送链输送至喷涂工位，利用喷枪对工件进行喷涂。</w:t>
            </w:r>
            <w:r>
              <w:rPr>
                <w:rFonts w:hint="eastAsia" w:cs="Times New Roman"/>
                <w:color w:val="auto"/>
                <w:kern w:val="0"/>
                <w:sz w:val="24"/>
                <w:szCs w:val="24"/>
                <w:lang w:val="en-US" w:eastAsia="zh-CN" w:bidi="ar"/>
              </w:rPr>
              <w:t>喷塑房</w:t>
            </w:r>
            <w:r>
              <w:rPr>
                <w:rFonts w:hint="default" w:ascii="Times New Roman" w:hAnsi="Times New Roman" w:eastAsia="宋体" w:cs="Times New Roman"/>
                <w:color w:val="auto"/>
                <w:kern w:val="0"/>
                <w:sz w:val="24"/>
                <w:szCs w:val="24"/>
                <w:lang w:val="en-US" w:eastAsia="zh-CN" w:bidi="ar"/>
              </w:rPr>
              <w:t>顶部设置有风机，风机与塑粉回收系统连接，通过不断抽风，使</w:t>
            </w:r>
            <w:r>
              <w:rPr>
                <w:rFonts w:hint="eastAsia" w:cs="Times New Roman"/>
                <w:color w:val="auto"/>
                <w:kern w:val="0"/>
                <w:sz w:val="24"/>
                <w:szCs w:val="24"/>
                <w:lang w:val="en-US" w:eastAsia="zh-CN" w:bidi="ar"/>
              </w:rPr>
              <w:t>喷塑房</w:t>
            </w:r>
            <w:r>
              <w:rPr>
                <w:rFonts w:hint="default" w:ascii="Times New Roman" w:hAnsi="Times New Roman" w:eastAsia="宋体" w:cs="Times New Roman"/>
                <w:color w:val="auto"/>
                <w:kern w:val="0"/>
                <w:sz w:val="24"/>
                <w:szCs w:val="24"/>
                <w:lang w:val="en-US" w:eastAsia="zh-CN" w:bidi="ar"/>
              </w:rPr>
              <w:t>为负压状态。</w:t>
            </w:r>
          </w:p>
          <w:p w14:paraId="3784AA2A">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②固化</w:t>
            </w:r>
          </w:p>
          <w:p w14:paraId="3357327A">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0"/>
                <w:sz w:val="24"/>
                <w:szCs w:val="24"/>
                <w:lang w:val="en-US" w:eastAsia="zh-CN" w:bidi="ar"/>
              </w:rPr>
              <w:t>经过喷涂的工件送至</w:t>
            </w:r>
            <w:r>
              <w:rPr>
                <w:rFonts w:hint="eastAsia" w:cs="Times New Roman"/>
                <w:color w:val="auto"/>
                <w:kern w:val="0"/>
                <w:sz w:val="24"/>
                <w:szCs w:val="24"/>
                <w:lang w:val="en-US" w:eastAsia="zh-CN" w:bidi="ar"/>
              </w:rPr>
              <w:t>固化房</w:t>
            </w:r>
            <w:r>
              <w:rPr>
                <w:rFonts w:hint="default" w:ascii="Times New Roman" w:hAnsi="Times New Roman" w:eastAsia="宋体" w:cs="Times New Roman"/>
                <w:color w:val="auto"/>
                <w:kern w:val="0"/>
                <w:sz w:val="24"/>
                <w:szCs w:val="24"/>
                <w:lang w:val="en-US" w:eastAsia="zh-CN" w:bidi="ar"/>
              </w:rPr>
              <w:t>进行固化，塑粉固化过程</w:t>
            </w:r>
            <w:r>
              <w:rPr>
                <w:rFonts w:hint="eastAsia" w:cs="Times New Roman"/>
                <w:color w:val="auto"/>
                <w:kern w:val="0"/>
                <w:sz w:val="24"/>
                <w:szCs w:val="24"/>
                <w:lang w:val="en-US" w:eastAsia="zh-CN" w:bidi="ar"/>
              </w:rPr>
              <w:t>使用液化石油气直接通过喷嘴燃烧的方式</w:t>
            </w:r>
            <w:r>
              <w:rPr>
                <w:rFonts w:hint="eastAsia" w:ascii="宋体" w:hAnsi="宋体" w:eastAsia="宋体" w:cs="宋体"/>
                <w:color w:val="auto"/>
                <w:kern w:val="0"/>
                <w:sz w:val="24"/>
                <w:szCs w:val="24"/>
                <w:lang w:val="en-US" w:eastAsia="zh-CN" w:bidi="ar"/>
              </w:rPr>
              <w:t>为烘干房提供热源</w:t>
            </w:r>
            <w:r>
              <w:rPr>
                <w:rFonts w:hint="eastAsia" w:ascii="宋体" w:hAnsi="宋体" w:cs="宋体"/>
                <w:color w:val="auto"/>
                <w:kern w:val="0"/>
                <w:sz w:val="24"/>
                <w:szCs w:val="24"/>
                <w:lang w:val="en-US" w:eastAsia="zh-CN" w:bidi="ar"/>
              </w:rPr>
              <w:t>，固化房</w:t>
            </w:r>
            <w:r>
              <w:rPr>
                <w:rFonts w:hint="eastAsia" w:ascii="宋体" w:hAnsi="宋体" w:eastAsia="宋体" w:cs="宋体"/>
                <w:color w:val="auto"/>
                <w:kern w:val="0"/>
                <w:sz w:val="24"/>
                <w:szCs w:val="24"/>
                <w:lang w:val="en-US" w:eastAsia="zh-CN" w:bidi="ar"/>
              </w:rPr>
              <w:t>年工作</w:t>
            </w:r>
            <w:r>
              <w:rPr>
                <w:rFonts w:hint="eastAsia" w:cs="Times New Roman"/>
                <w:color w:val="auto"/>
                <w:kern w:val="0"/>
                <w:sz w:val="24"/>
                <w:szCs w:val="24"/>
                <w:lang w:val="en-US" w:eastAsia="zh-CN" w:bidi="ar"/>
              </w:rPr>
              <w:t>12</w:t>
            </w:r>
            <w:r>
              <w:rPr>
                <w:rFonts w:hint="default" w:ascii="Times New Roman" w:hAnsi="Times New Roman" w:eastAsia="宋体" w:cs="Times New Roman"/>
                <w:color w:val="auto"/>
                <w:kern w:val="0"/>
                <w:sz w:val="24"/>
                <w:szCs w:val="24"/>
                <w:lang w:val="en-US" w:eastAsia="zh-CN" w:bidi="ar"/>
              </w:rPr>
              <w:t>00</w:t>
            </w:r>
            <w:r>
              <w:rPr>
                <w:rFonts w:hint="eastAsia" w:ascii="宋体" w:hAnsi="宋体" w:eastAsia="宋体" w:cs="宋体"/>
                <w:color w:val="auto"/>
                <w:kern w:val="0"/>
                <w:sz w:val="24"/>
                <w:szCs w:val="24"/>
                <w:lang w:val="en-US" w:eastAsia="zh-CN" w:bidi="ar"/>
              </w:rPr>
              <w:t>小时</w:t>
            </w:r>
            <w:r>
              <w:rPr>
                <w:rFonts w:hint="default" w:ascii="Times New Roman" w:hAnsi="Times New Roman" w:eastAsia="宋体" w:cs="Times New Roman"/>
                <w:color w:val="auto"/>
                <w:kern w:val="0"/>
                <w:sz w:val="24"/>
                <w:szCs w:val="24"/>
                <w:lang w:val="en-US" w:eastAsia="zh-CN" w:bidi="ar"/>
              </w:rPr>
              <w:t>。</w:t>
            </w:r>
            <w:r>
              <w:rPr>
                <w:rFonts w:hint="eastAsia"/>
                <w:color w:val="auto"/>
                <w:lang w:val="en-US" w:eastAsia="zh-CN"/>
              </w:rPr>
              <w:t>固化与喷漆、烘干同时作业。</w:t>
            </w:r>
          </w:p>
          <w:p w14:paraId="45EC06B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本工序废气污染源为喷塑过程中产生的喷塑</w:t>
            </w:r>
            <w:r>
              <w:rPr>
                <w:rFonts w:hint="eastAsia" w:cs="Times New Roman"/>
                <w:b/>
                <w:bCs/>
                <w:color w:val="auto"/>
                <w:kern w:val="0"/>
                <w:sz w:val="24"/>
                <w:szCs w:val="24"/>
                <w:lang w:val="en-US" w:eastAsia="zh-CN" w:bidi="ar"/>
              </w:rPr>
              <w:t>、</w:t>
            </w:r>
            <w:r>
              <w:rPr>
                <w:rFonts w:hint="default" w:ascii="Times New Roman" w:hAnsi="Times New Roman" w:eastAsia="宋体" w:cs="Times New Roman"/>
                <w:b/>
                <w:bCs/>
                <w:color w:val="auto"/>
                <w:kern w:val="0"/>
                <w:sz w:val="24"/>
                <w:szCs w:val="24"/>
                <w:lang w:val="en-US" w:eastAsia="zh-CN" w:bidi="ar"/>
              </w:rPr>
              <w:t>固化</w:t>
            </w:r>
            <w:r>
              <w:rPr>
                <w:rFonts w:hint="eastAsia" w:cs="Times New Roman"/>
                <w:b/>
                <w:bCs/>
                <w:color w:val="auto"/>
                <w:kern w:val="0"/>
                <w:sz w:val="24"/>
                <w:szCs w:val="24"/>
                <w:lang w:val="en-US" w:eastAsia="zh-CN" w:bidi="ar"/>
              </w:rPr>
              <w:t>、燃料燃烧</w:t>
            </w:r>
            <w:r>
              <w:rPr>
                <w:rFonts w:hint="default" w:ascii="Times New Roman" w:hAnsi="Times New Roman" w:eastAsia="宋体" w:cs="Times New Roman"/>
                <w:b/>
                <w:bCs/>
                <w:color w:val="auto"/>
                <w:kern w:val="0"/>
                <w:sz w:val="24"/>
                <w:szCs w:val="24"/>
                <w:lang w:val="en-US" w:eastAsia="zh-CN" w:bidi="ar"/>
              </w:rPr>
              <w:t>废气</w:t>
            </w:r>
            <w:r>
              <w:rPr>
                <w:rFonts w:hint="eastAsia" w:cs="Times New Roman"/>
                <w:b/>
                <w:bCs/>
                <w:color w:val="auto"/>
                <w:kern w:val="0"/>
                <w:sz w:val="24"/>
                <w:szCs w:val="24"/>
                <w:lang w:val="en-US" w:eastAsia="zh-CN" w:bidi="ar"/>
              </w:rPr>
              <w:t>；</w:t>
            </w:r>
            <w:r>
              <w:rPr>
                <w:rFonts w:hint="default" w:ascii="Times New Roman" w:hAnsi="Times New Roman" w:eastAsia="宋体" w:cs="Times New Roman"/>
                <w:b/>
                <w:bCs/>
                <w:color w:val="auto"/>
                <w:kern w:val="0"/>
                <w:sz w:val="24"/>
                <w:szCs w:val="24"/>
                <w:lang w:val="en-US" w:eastAsia="zh-CN" w:bidi="ar"/>
              </w:rPr>
              <w:t>噪声污染源主要为除尘风机、引风机运行过程中产生的设备噪声；固体废物污染源为塑粉废包装桶。</w:t>
            </w:r>
          </w:p>
          <w:p w14:paraId="37F7131A">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10</w:t>
            </w:r>
            <w:r>
              <w:rPr>
                <w:rFonts w:hint="eastAsia" w:ascii="宋体" w:hAnsi="宋体" w:eastAsia="宋体" w:cs="宋体"/>
                <w:color w:val="auto"/>
                <w:kern w:val="0"/>
                <w:sz w:val="24"/>
                <w:szCs w:val="24"/>
                <w:lang w:val="en-US" w:eastAsia="zh-CN" w:bidi="ar"/>
              </w:rPr>
              <w:t>)组装</w:t>
            </w:r>
            <w:r>
              <w:rPr>
                <w:rFonts w:hint="default" w:ascii="Times New Roman" w:hAnsi="Times New Roman" w:eastAsia="宋体" w:cs="Times New Roman"/>
                <w:color w:val="auto"/>
                <w:kern w:val="0"/>
                <w:sz w:val="24"/>
                <w:szCs w:val="24"/>
                <w:lang w:val="en-US" w:eastAsia="zh-CN" w:bidi="ar"/>
              </w:rPr>
              <w:t>工序</w:t>
            </w:r>
          </w:p>
          <w:p w14:paraId="1ABA287E">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需组装的零部件由人工运至组装区，由人工进行组装。</w:t>
            </w:r>
          </w:p>
          <w:p w14:paraId="374A2F24">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包装入库</w:t>
            </w:r>
          </w:p>
          <w:p w14:paraId="3C1A226D">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将加工好的零部件利用叉车运送至成品库，入库待售</w:t>
            </w:r>
            <w:r>
              <w:rPr>
                <w:rFonts w:hint="eastAsia" w:cs="Times New Roman"/>
                <w:color w:val="auto"/>
                <w:sz w:val="24"/>
                <w:szCs w:val="24"/>
                <w:lang w:val="en-US" w:eastAsia="zh-CN"/>
              </w:rPr>
              <w:t>。</w:t>
            </w:r>
          </w:p>
          <w:p w14:paraId="7B28798A">
            <w:pPr>
              <w:pStyle w:val="2"/>
              <w:spacing w:line="240" w:lineRule="auto"/>
              <w:ind w:left="0" w:leftChars="0" w:firstLine="0" w:firstLineChars="0"/>
              <w:jc w:val="center"/>
              <w:rPr>
                <w:rFonts w:hint="default"/>
                <w:color w:val="auto"/>
                <w:lang w:val="en-US" w:eastAsia="zh-CN"/>
              </w:rPr>
            </w:pPr>
            <w:r>
              <w:rPr>
                <w:rFonts w:hint="default" w:ascii="Times New Roman" w:hAnsi="Times New Roman" w:eastAsia="宋体" w:cs="Times New Roman"/>
                <w:color w:val="auto"/>
                <w:sz w:val="24"/>
                <w:szCs w:val="24"/>
                <w:lang w:val="en-US" w:eastAsia="zh-CN"/>
              </w:rPr>
              <w:drawing>
                <wp:inline distT="0" distB="0" distL="114300" distR="114300">
                  <wp:extent cx="5050790" cy="3125470"/>
                  <wp:effectExtent l="0" t="0" r="16510" b="17780"/>
                  <wp:docPr id="2" name="图片 2" descr="工艺流程截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工艺流程截图2"/>
                          <pic:cNvPicPr>
                            <a:picLocks noChangeAspect="1"/>
                          </pic:cNvPicPr>
                        </pic:nvPicPr>
                        <pic:blipFill>
                          <a:blip r:embed="rId9"/>
                          <a:stretch>
                            <a:fillRect/>
                          </a:stretch>
                        </pic:blipFill>
                        <pic:spPr>
                          <a:xfrm>
                            <a:off x="0" y="0"/>
                            <a:ext cx="5050790" cy="3125470"/>
                          </a:xfrm>
                          <a:prstGeom prst="rect">
                            <a:avLst/>
                          </a:prstGeom>
                        </pic:spPr>
                      </pic:pic>
                    </a:graphicData>
                  </a:graphic>
                </wp:inline>
              </w:drawing>
            </w:r>
          </w:p>
          <w:p w14:paraId="7BFF4747">
            <w:pPr>
              <w:keepNext w:val="0"/>
              <w:keepLines w:val="0"/>
              <w:pageBreakBefore w:val="0"/>
              <w:widowControl w:val="0"/>
              <w:kinsoku/>
              <w:wordWrap/>
              <w:overflowPunct/>
              <w:topLinePunct w:val="0"/>
              <w:autoSpaceDE w:val="0"/>
              <w:autoSpaceDN w:val="0"/>
              <w:bidi w:val="0"/>
              <w:adjustRightInd w:val="0"/>
              <w:snapToGrid w:val="0"/>
              <w:spacing w:line="480" w:lineRule="exact"/>
              <w:ind w:firstLine="0" w:firstLineChars="0"/>
              <w:jc w:val="center"/>
              <w:textAlignment w:val="auto"/>
              <w:rPr>
                <w:rFonts w:hint="eastAsia" w:ascii="Times New Roman" w:hAnsi="Times New Roman" w:eastAsia="宋体" w:cs="Times New Roman"/>
                <w:b/>
                <w:bCs/>
                <w:color w:val="auto"/>
                <w:spacing w:val="0"/>
                <w:sz w:val="21"/>
                <w:szCs w:val="21"/>
                <w:lang w:val="en-US" w:eastAsia="zh-CN"/>
              </w:rPr>
            </w:pPr>
            <w:r>
              <w:rPr>
                <w:rFonts w:hint="eastAsia" w:ascii="Times New Roman" w:hAnsi="Times New Roman" w:eastAsia="宋体" w:cs="Times New Roman"/>
                <w:b/>
                <w:bCs/>
                <w:color w:val="auto"/>
                <w:spacing w:val="0"/>
                <w:sz w:val="21"/>
                <w:szCs w:val="21"/>
                <w:lang w:val="en-US" w:eastAsia="zh-CN"/>
              </w:rPr>
              <w:t>图1  生产工艺及排污节点图</w:t>
            </w:r>
          </w:p>
          <w:p w14:paraId="0B58867B">
            <w:pPr>
              <w:bidi w:val="0"/>
              <w:ind w:left="0" w:leftChars="0" w:firstLine="0" w:firstLineChars="0"/>
              <w:rPr>
                <w:rFonts w:hint="default"/>
                <w:b/>
                <w:bCs/>
                <w:color w:val="auto"/>
                <w:sz w:val="24"/>
                <w:szCs w:val="24"/>
              </w:rPr>
            </w:pPr>
            <w:r>
              <w:rPr>
                <w:rFonts w:hint="default"/>
                <w:b/>
                <w:bCs/>
                <w:color w:val="auto"/>
                <w:sz w:val="24"/>
                <w:szCs w:val="24"/>
              </w:rPr>
              <w:t>主要污染工序：</w:t>
            </w:r>
          </w:p>
          <w:p w14:paraId="6D86C782">
            <w:pPr>
              <w:bidi w:val="0"/>
              <w:rPr>
                <w:rFonts w:hint="default"/>
                <w:color w:val="auto"/>
                <w:sz w:val="24"/>
                <w:szCs w:val="24"/>
              </w:rPr>
            </w:pPr>
            <w:r>
              <w:rPr>
                <w:rFonts w:hint="default"/>
                <w:color w:val="auto"/>
                <w:sz w:val="24"/>
                <w:szCs w:val="24"/>
              </w:rPr>
              <w:t>（1）废气：</w:t>
            </w:r>
            <w:r>
              <w:rPr>
                <w:rFonts w:hint="eastAsia"/>
                <w:color w:val="auto"/>
                <w:sz w:val="24"/>
                <w:szCs w:val="24"/>
                <w:lang w:val="en-US" w:eastAsia="zh-CN"/>
              </w:rPr>
              <w:t>本项目废气污染源主要</w:t>
            </w:r>
            <w:r>
              <w:rPr>
                <w:rFonts w:hint="default"/>
                <w:color w:val="auto"/>
                <w:sz w:val="24"/>
                <w:szCs w:val="24"/>
              </w:rPr>
              <w:t>为</w:t>
            </w:r>
            <w:r>
              <w:rPr>
                <w:rFonts w:hint="eastAsia" w:cs="Times New Roman"/>
                <w:b w:val="0"/>
                <w:bCs w:val="0"/>
                <w:color w:val="auto"/>
                <w:spacing w:val="0"/>
                <w:position w:val="0"/>
                <w:sz w:val="24"/>
                <w:szCs w:val="24"/>
                <w:highlight w:val="none"/>
                <w:shd w:val="clear" w:color="auto" w:fill="auto"/>
                <w:lang w:val="en-US" w:eastAsia="zh-CN"/>
              </w:rPr>
              <w:t>喷漆、烤漆、塑粉固化过程产生的有机废气，喷塑、打磨、腻子打磨、打砂、抛丸、焊接等过程产生的颗粒物，烘干、固化过程燃料燃烧产生的废气</w:t>
            </w:r>
            <w:r>
              <w:rPr>
                <w:rFonts w:hint="default"/>
                <w:color w:val="auto"/>
                <w:sz w:val="24"/>
                <w:szCs w:val="24"/>
              </w:rPr>
              <w:t>。</w:t>
            </w:r>
          </w:p>
          <w:p w14:paraId="2613EFEE">
            <w:pPr>
              <w:bidi w:val="0"/>
              <w:rPr>
                <w:rFonts w:hint="default"/>
                <w:color w:val="auto"/>
                <w:sz w:val="24"/>
                <w:szCs w:val="24"/>
              </w:rPr>
            </w:pPr>
            <w:r>
              <w:rPr>
                <w:rFonts w:hint="default"/>
                <w:color w:val="auto"/>
                <w:sz w:val="24"/>
                <w:szCs w:val="24"/>
              </w:rPr>
              <w:t>（2）废水：</w:t>
            </w:r>
            <w:r>
              <w:rPr>
                <w:rFonts w:hint="eastAsia"/>
                <w:color w:val="auto"/>
                <w:sz w:val="24"/>
                <w:szCs w:val="24"/>
                <w:lang w:val="en-US" w:eastAsia="zh-CN"/>
              </w:rPr>
              <w:t>本项目生产过程不产生废水，废水主要为职工生活产生的生活污水</w:t>
            </w:r>
            <w:r>
              <w:rPr>
                <w:rFonts w:hint="default"/>
                <w:color w:val="auto"/>
                <w:sz w:val="24"/>
                <w:szCs w:val="24"/>
              </w:rPr>
              <w:t>。</w:t>
            </w:r>
          </w:p>
          <w:p w14:paraId="49014B7C">
            <w:pPr>
              <w:bidi w:val="0"/>
              <w:rPr>
                <w:rFonts w:hint="default"/>
                <w:color w:val="auto"/>
                <w:sz w:val="24"/>
                <w:szCs w:val="24"/>
              </w:rPr>
            </w:pPr>
            <w:r>
              <w:rPr>
                <w:rFonts w:hint="default"/>
                <w:color w:val="auto"/>
                <w:sz w:val="24"/>
                <w:szCs w:val="24"/>
              </w:rPr>
              <w:t>（3）噪声：</w:t>
            </w:r>
            <w:r>
              <w:rPr>
                <w:rFonts w:hint="eastAsia"/>
                <w:color w:val="auto"/>
                <w:sz w:val="24"/>
                <w:szCs w:val="24"/>
                <w:lang w:val="en-US" w:eastAsia="zh-CN"/>
              </w:rPr>
              <w:t>本项目噪声污染物</w:t>
            </w:r>
            <w:r>
              <w:rPr>
                <w:rFonts w:hint="default"/>
                <w:color w:val="auto"/>
                <w:sz w:val="24"/>
                <w:szCs w:val="24"/>
              </w:rPr>
              <w:t>主要为</w:t>
            </w:r>
            <w:r>
              <w:rPr>
                <w:rFonts w:hint="eastAsia"/>
                <w:color w:val="auto"/>
                <w:sz w:val="24"/>
                <w:szCs w:val="24"/>
                <w:lang w:val="en-US" w:eastAsia="zh-CN"/>
              </w:rPr>
              <w:t>生产设备、风机等</w:t>
            </w:r>
            <w:r>
              <w:rPr>
                <w:rFonts w:hint="default"/>
                <w:color w:val="auto"/>
                <w:sz w:val="24"/>
                <w:szCs w:val="24"/>
              </w:rPr>
              <w:t>运行产生的噪声。</w:t>
            </w:r>
          </w:p>
          <w:p w14:paraId="09C1A1E1">
            <w:pPr>
              <w:keepNext w:val="0"/>
              <w:keepLines w:val="0"/>
              <w:pageBreakBefore w:val="0"/>
              <w:widowControl w:val="0"/>
              <w:tabs>
                <w:tab w:val="left" w:pos="6310"/>
              </w:tabs>
              <w:kinsoku/>
              <w:wordWrap/>
              <w:overflowPunct/>
              <w:topLinePunct w:val="0"/>
              <w:autoSpaceDE/>
              <w:autoSpaceDN/>
              <w:bidi w:val="0"/>
              <w:spacing w:line="480" w:lineRule="exact"/>
              <w:ind w:right="0" w:firstLine="480" w:firstLineChars="200"/>
              <w:textAlignment w:val="auto"/>
              <w:outlineLvl w:val="9"/>
              <w:rPr>
                <w:rFonts w:hint="eastAsia" w:cs="Times New Roman"/>
                <w:snapToGrid w:val="0"/>
                <w:color w:val="auto"/>
                <w:kern w:val="0"/>
                <w:sz w:val="24"/>
                <w:szCs w:val="21"/>
                <w:highlight w:val="none"/>
                <w:shd w:val="clear" w:color="auto" w:fill="auto"/>
                <w:lang w:val="en-US" w:eastAsia="zh-CN" w:bidi="ar-SA"/>
              </w:rPr>
            </w:pPr>
            <w:r>
              <w:rPr>
                <w:rFonts w:hint="default"/>
                <w:color w:val="auto"/>
                <w:sz w:val="24"/>
                <w:szCs w:val="24"/>
                <w:highlight w:val="none"/>
              </w:rPr>
              <w:t>（4）固体废物：</w:t>
            </w:r>
            <w:r>
              <w:rPr>
                <w:rFonts w:ascii="脣脦脤氓" w:hAnsi="脣脦脤氓" w:eastAsia="脣脦脤氓" w:cs="脣脦脤氓"/>
                <w:color w:val="auto"/>
                <w:kern w:val="0"/>
                <w:sz w:val="25"/>
                <w:szCs w:val="25"/>
                <w:highlight w:val="none"/>
                <w:lang w:val="en-US" w:eastAsia="zh-CN" w:bidi="ar"/>
              </w:rPr>
              <w:t>本项目产生的固体废物包括废边角料、废铁屑、</w:t>
            </w:r>
            <w:r>
              <w:rPr>
                <w:rFonts w:hint="eastAsia" w:ascii="脣脦脤氓" w:hAnsi="脣脦脤氓" w:eastAsia="脣脦脤氓" w:cs="脣脦脤氓"/>
                <w:color w:val="auto"/>
                <w:kern w:val="0"/>
                <w:sz w:val="25"/>
                <w:szCs w:val="25"/>
                <w:highlight w:val="none"/>
                <w:lang w:val="en-US" w:eastAsia="zh-CN" w:bidi="ar"/>
              </w:rPr>
              <w:t>废焊料、焊烟净化器除尘灰及更换的废过滤材料</w:t>
            </w:r>
            <w:r>
              <w:rPr>
                <w:rFonts w:ascii="脣脦脤氓" w:hAnsi="脣脦脤氓" w:eastAsia="脣脦脤氓" w:cs="脣脦脤氓"/>
                <w:color w:val="auto"/>
                <w:kern w:val="0"/>
                <w:sz w:val="25"/>
                <w:szCs w:val="25"/>
                <w:highlight w:val="none"/>
                <w:lang w:val="en-US" w:eastAsia="zh-CN" w:bidi="ar"/>
              </w:rPr>
              <w:t>、</w:t>
            </w:r>
            <w:r>
              <w:rPr>
                <w:rFonts w:hint="default" w:ascii="脣脦脤氓" w:hAnsi="脣脦脤氓" w:eastAsia="脣脦脤氓" w:cs="脣脦脤氓"/>
                <w:color w:val="auto"/>
                <w:kern w:val="0"/>
                <w:sz w:val="25"/>
                <w:szCs w:val="25"/>
                <w:highlight w:val="none"/>
                <w:lang w:val="en-US" w:eastAsia="zh-CN" w:bidi="ar"/>
              </w:rPr>
              <w:t>废磨料、</w:t>
            </w:r>
            <w:r>
              <w:rPr>
                <w:rFonts w:hint="eastAsia" w:ascii="脣脦脤氓" w:hAnsi="脣脦脤氓" w:eastAsia="脣脦脤氓" w:cs="脣脦脤氓"/>
                <w:color w:val="auto"/>
                <w:kern w:val="0"/>
                <w:sz w:val="25"/>
                <w:szCs w:val="25"/>
                <w:highlight w:val="none"/>
                <w:lang w:val="en-US" w:eastAsia="zh-CN" w:bidi="ar"/>
              </w:rPr>
              <w:t>废钢丸、袋式除尘器</w:t>
            </w:r>
            <w:r>
              <w:rPr>
                <w:rFonts w:hint="default" w:ascii="脣脦脤氓" w:hAnsi="脣脦脤氓" w:eastAsia="脣脦脤氓" w:cs="脣脦脤氓"/>
                <w:color w:val="auto"/>
                <w:kern w:val="0"/>
                <w:sz w:val="25"/>
                <w:szCs w:val="25"/>
                <w:highlight w:val="none"/>
                <w:lang w:val="en-US" w:eastAsia="zh-CN" w:bidi="ar"/>
              </w:rPr>
              <w:t>除尘灰</w:t>
            </w:r>
            <w:r>
              <w:rPr>
                <w:rFonts w:hint="eastAsia" w:ascii="脣脦脤氓" w:hAnsi="脣脦脤氓" w:eastAsia="脣脦脤氓" w:cs="脣脦脤氓"/>
                <w:color w:val="auto"/>
                <w:kern w:val="0"/>
                <w:sz w:val="25"/>
                <w:szCs w:val="25"/>
                <w:highlight w:val="none"/>
                <w:lang w:val="en-US" w:eastAsia="zh-CN" w:bidi="ar"/>
              </w:rPr>
              <w:t>及更换的废布袋</w:t>
            </w:r>
            <w:r>
              <w:rPr>
                <w:rFonts w:hint="default" w:ascii="脣脦脤氓" w:hAnsi="脣脦脤氓" w:eastAsia="脣脦脤氓" w:cs="脣脦脤氓"/>
                <w:color w:val="auto"/>
                <w:kern w:val="0"/>
                <w:sz w:val="25"/>
                <w:szCs w:val="25"/>
                <w:highlight w:val="none"/>
                <w:lang w:val="en-US" w:eastAsia="zh-CN" w:bidi="ar"/>
              </w:rPr>
              <w:t>、废润滑油、废液压油、废切削液、废油桶、含油铁屑、漆渣</w:t>
            </w:r>
            <w:r>
              <w:rPr>
                <w:rFonts w:hint="eastAsia" w:ascii="脣脦脤氓" w:hAnsi="脣脦脤氓" w:eastAsia="脣脦脤氓" w:cs="脣脦脤氓"/>
                <w:color w:val="auto"/>
                <w:kern w:val="0"/>
                <w:sz w:val="25"/>
                <w:szCs w:val="25"/>
                <w:highlight w:val="none"/>
                <w:lang w:val="en-US" w:eastAsia="zh-CN" w:bidi="ar"/>
              </w:rPr>
              <w:t>、油性漆及稀释剂废包装桶</w:t>
            </w:r>
            <w:r>
              <w:rPr>
                <w:rFonts w:hint="default" w:ascii="脣脦脤氓" w:hAnsi="脣脦脤氓" w:eastAsia="脣脦脤氓" w:cs="脣脦脤氓"/>
                <w:color w:val="auto"/>
                <w:kern w:val="0"/>
                <w:sz w:val="25"/>
                <w:szCs w:val="25"/>
                <w:highlight w:val="none"/>
                <w:lang w:val="en-US" w:eastAsia="zh-CN" w:bidi="ar"/>
              </w:rPr>
              <w:t>、水性漆、塑粉及腻子废包装桶、</w:t>
            </w:r>
            <w:r>
              <w:rPr>
                <w:rFonts w:hint="eastAsia" w:ascii="脣脦脤氓" w:hAnsi="脣脦脤氓" w:eastAsia="脣脦脤氓" w:cs="脣脦脤氓"/>
                <w:color w:val="auto"/>
                <w:kern w:val="0"/>
                <w:sz w:val="25"/>
                <w:szCs w:val="25"/>
                <w:highlight w:val="none"/>
                <w:lang w:val="en-US" w:eastAsia="zh-CN" w:bidi="ar"/>
              </w:rPr>
              <w:t>有机废气处置装置产生的废过滤棉、</w:t>
            </w:r>
            <w:r>
              <w:rPr>
                <w:rFonts w:hint="default" w:ascii="脣脦脤氓" w:hAnsi="脣脦脤氓" w:eastAsia="脣脦脤氓" w:cs="脣脦脤氓"/>
                <w:color w:val="auto"/>
                <w:kern w:val="0"/>
                <w:sz w:val="25"/>
                <w:szCs w:val="25"/>
                <w:highlight w:val="none"/>
                <w:lang w:val="en-US" w:eastAsia="zh-CN" w:bidi="ar"/>
              </w:rPr>
              <w:t>废活性炭、废催化剂</w:t>
            </w:r>
            <w:r>
              <w:rPr>
                <w:rFonts w:hint="eastAsia" w:ascii="脣脦脤氓" w:hAnsi="脣脦脤氓" w:eastAsia="脣脦脤氓" w:cs="脣脦脤氓"/>
                <w:color w:val="auto"/>
                <w:kern w:val="0"/>
                <w:sz w:val="25"/>
                <w:szCs w:val="25"/>
                <w:highlight w:val="none"/>
                <w:lang w:val="en-US" w:eastAsia="zh-CN" w:bidi="ar"/>
              </w:rPr>
              <w:t>、废九宫格过滤材料</w:t>
            </w:r>
            <w:r>
              <w:rPr>
                <w:rFonts w:hint="default" w:ascii="脣脦脤氓" w:hAnsi="脣脦脤氓" w:eastAsia="脣脦脤氓" w:cs="脣脦脤氓"/>
                <w:color w:val="auto"/>
                <w:kern w:val="0"/>
                <w:sz w:val="25"/>
                <w:szCs w:val="25"/>
                <w:highlight w:val="none"/>
                <w:lang w:val="en-US" w:eastAsia="zh-CN" w:bidi="ar"/>
              </w:rPr>
              <w:t>和生活垃圾等</w:t>
            </w:r>
            <w:r>
              <w:rPr>
                <w:rFonts w:hint="eastAsia" w:cs="Times New Roman"/>
                <w:snapToGrid w:val="0"/>
                <w:color w:val="auto"/>
                <w:kern w:val="0"/>
                <w:sz w:val="24"/>
                <w:szCs w:val="21"/>
                <w:highlight w:val="none"/>
                <w:shd w:val="clear" w:color="auto" w:fill="auto"/>
                <w:lang w:val="en-US" w:eastAsia="zh-CN" w:bidi="ar-SA"/>
              </w:rPr>
              <w:t>。</w:t>
            </w:r>
          </w:p>
          <w:p w14:paraId="4C76D52B">
            <w:pPr>
              <w:bidi w:val="0"/>
              <w:jc w:val="center"/>
              <w:rPr>
                <w:rFonts w:hint="eastAsia"/>
                <w:color w:val="auto"/>
                <w:sz w:val="21"/>
                <w:szCs w:val="21"/>
                <w:highlight w:val="yellow"/>
              </w:rPr>
            </w:pPr>
            <w:r>
              <w:rPr>
                <w:rFonts w:hint="eastAsia"/>
                <w:b/>
                <w:bCs/>
                <w:color w:val="auto"/>
                <w:sz w:val="21"/>
                <w:szCs w:val="21"/>
                <w:highlight w:val="none"/>
              </w:rPr>
              <w:t>表</w:t>
            </w:r>
            <w:r>
              <w:rPr>
                <w:rFonts w:hint="eastAsia"/>
                <w:b/>
                <w:bCs/>
                <w:color w:val="auto"/>
                <w:sz w:val="21"/>
                <w:szCs w:val="21"/>
                <w:highlight w:val="none"/>
                <w:lang w:val="en-US" w:eastAsia="zh-CN"/>
              </w:rPr>
              <w:t xml:space="preserve">15  </w:t>
            </w:r>
            <w:r>
              <w:rPr>
                <w:rFonts w:hint="eastAsia"/>
                <w:b/>
                <w:bCs/>
                <w:color w:val="auto"/>
                <w:sz w:val="21"/>
                <w:szCs w:val="21"/>
                <w:highlight w:val="none"/>
              </w:rPr>
              <w:t>本项目主要污染源治理措施一览表</w:t>
            </w:r>
          </w:p>
          <w:tbl>
            <w:tblPr>
              <w:tblStyle w:val="20"/>
              <w:tblW w:w="80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4"/>
              <w:gridCol w:w="345"/>
              <w:gridCol w:w="21"/>
              <w:gridCol w:w="1676"/>
              <w:gridCol w:w="1515"/>
              <w:gridCol w:w="2728"/>
              <w:gridCol w:w="1095"/>
            </w:tblGrid>
            <w:tr w14:paraId="59823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tcBorders>
                    <w:tl2br w:val="nil"/>
                    <w:tr2bl w:val="nil"/>
                  </w:tcBorders>
                  <w:noWrap w:val="0"/>
                  <w:tcMar>
                    <w:left w:w="28" w:type="dxa"/>
                    <w:right w:w="28" w:type="dxa"/>
                  </w:tcMar>
                  <w:vAlign w:val="center"/>
                </w:tcPr>
                <w:p w14:paraId="13D55B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类别</w:t>
                  </w:r>
                </w:p>
              </w:tc>
              <w:tc>
                <w:tcPr>
                  <w:tcW w:w="2042" w:type="dxa"/>
                  <w:gridSpan w:val="3"/>
                  <w:tcBorders>
                    <w:tl2br w:val="nil"/>
                    <w:tr2bl w:val="nil"/>
                  </w:tcBorders>
                  <w:noWrap w:val="0"/>
                  <w:tcMar>
                    <w:left w:w="28" w:type="dxa"/>
                    <w:right w:w="28" w:type="dxa"/>
                  </w:tcMar>
                  <w:vAlign w:val="center"/>
                </w:tcPr>
                <w:p w14:paraId="064538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污染源名称</w:t>
                  </w:r>
                </w:p>
              </w:tc>
              <w:tc>
                <w:tcPr>
                  <w:tcW w:w="1515" w:type="dxa"/>
                  <w:tcBorders>
                    <w:tl2br w:val="nil"/>
                    <w:tr2bl w:val="nil"/>
                  </w:tcBorders>
                  <w:noWrap w:val="0"/>
                  <w:tcMar>
                    <w:left w:w="28" w:type="dxa"/>
                    <w:right w:w="28" w:type="dxa"/>
                  </w:tcMar>
                  <w:vAlign w:val="center"/>
                </w:tcPr>
                <w:p w14:paraId="589C8E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污染因子</w:t>
                  </w:r>
                </w:p>
              </w:tc>
              <w:tc>
                <w:tcPr>
                  <w:tcW w:w="2728" w:type="dxa"/>
                  <w:tcBorders>
                    <w:tl2br w:val="nil"/>
                    <w:tr2bl w:val="nil"/>
                  </w:tcBorders>
                  <w:noWrap w:val="0"/>
                  <w:vAlign w:val="center"/>
                </w:tcPr>
                <w:p w14:paraId="59676E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治理措施</w:t>
                  </w:r>
                </w:p>
              </w:tc>
              <w:tc>
                <w:tcPr>
                  <w:tcW w:w="1095" w:type="dxa"/>
                  <w:tcBorders>
                    <w:tl2br w:val="nil"/>
                    <w:tr2bl w:val="nil"/>
                  </w:tcBorders>
                  <w:noWrap w:val="0"/>
                  <w:vAlign w:val="center"/>
                </w:tcPr>
                <w:p w14:paraId="7938A0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排放特征</w:t>
                  </w:r>
                </w:p>
              </w:tc>
            </w:tr>
            <w:tr w14:paraId="09AD0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restart"/>
                  <w:tcBorders>
                    <w:tl2br w:val="nil"/>
                    <w:tr2bl w:val="nil"/>
                  </w:tcBorders>
                  <w:noWrap w:val="0"/>
                  <w:tcMar>
                    <w:left w:w="28" w:type="dxa"/>
                    <w:right w:w="28" w:type="dxa"/>
                  </w:tcMar>
                  <w:vAlign w:val="center"/>
                </w:tcPr>
                <w:p w14:paraId="2A7E6E3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废气</w:t>
                  </w:r>
                </w:p>
              </w:tc>
              <w:tc>
                <w:tcPr>
                  <w:tcW w:w="366" w:type="dxa"/>
                  <w:gridSpan w:val="2"/>
                  <w:vMerge w:val="restart"/>
                  <w:tcBorders>
                    <w:tl2br w:val="nil"/>
                    <w:tr2bl w:val="nil"/>
                  </w:tcBorders>
                  <w:noWrap w:val="0"/>
                  <w:tcMar>
                    <w:left w:w="28" w:type="dxa"/>
                    <w:right w:w="28" w:type="dxa"/>
                  </w:tcMar>
                  <w:vAlign w:val="center"/>
                </w:tcPr>
                <w:p w14:paraId="1CD1CB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有组织</w:t>
                  </w:r>
                </w:p>
              </w:tc>
              <w:tc>
                <w:tcPr>
                  <w:tcW w:w="1676" w:type="dxa"/>
                  <w:tcBorders>
                    <w:tl2br w:val="nil"/>
                    <w:tr2bl w:val="nil"/>
                  </w:tcBorders>
                  <w:noWrap w:val="0"/>
                  <w:tcMar>
                    <w:left w:w="28" w:type="dxa"/>
                    <w:right w:w="28" w:type="dxa"/>
                  </w:tcMar>
                  <w:vAlign w:val="center"/>
                </w:tcPr>
                <w:p w14:paraId="68AA5F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打磨废气</w:t>
                  </w:r>
                </w:p>
              </w:tc>
              <w:tc>
                <w:tcPr>
                  <w:tcW w:w="1515" w:type="dxa"/>
                  <w:tcBorders>
                    <w:tl2br w:val="nil"/>
                    <w:tr2bl w:val="nil"/>
                  </w:tcBorders>
                  <w:noWrap w:val="0"/>
                  <w:tcMar>
                    <w:left w:w="28" w:type="dxa"/>
                    <w:right w:w="28" w:type="dxa"/>
                  </w:tcMar>
                  <w:vAlign w:val="center"/>
                </w:tcPr>
                <w:p w14:paraId="6888C9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颗粒物</w:t>
                  </w:r>
                </w:p>
              </w:tc>
              <w:tc>
                <w:tcPr>
                  <w:tcW w:w="2728" w:type="dxa"/>
                  <w:vMerge w:val="restart"/>
                  <w:tcBorders>
                    <w:tl2br w:val="nil"/>
                    <w:tr2bl w:val="nil"/>
                  </w:tcBorders>
                  <w:noWrap w:val="0"/>
                  <w:vAlign w:val="center"/>
                </w:tcPr>
                <w:p w14:paraId="6601C7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1台脉冲袋式除尘器+1根15m高排气筒</w:t>
                  </w:r>
                </w:p>
              </w:tc>
              <w:tc>
                <w:tcPr>
                  <w:tcW w:w="1095" w:type="dxa"/>
                  <w:vMerge w:val="restart"/>
                  <w:tcBorders>
                    <w:tl2br w:val="nil"/>
                    <w:tr2bl w:val="nil"/>
                  </w:tcBorders>
                  <w:noWrap w:val="0"/>
                  <w:vAlign w:val="center"/>
                </w:tcPr>
                <w:p w14:paraId="534A40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default" w:ascii="Times New Roman" w:hAnsi="Times New Roman" w:eastAsia="宋体" w:cs="Times New Roman"/>
                      <w:b w:val="0"/>
                      <w:bCs w:val="0"/>
                      <w:color w:val="auto"/>
                      <w:spacing w:val="0"/>
                      <w:kern w:val="2"/>
                      <w:sz w:val="21"/>
                      <w:szCs w:val="21"/>
                      <w:highlight w:val="none"/>
                      <w:lang w:val="en-US" w:eastAsia="zh-CN" w:bidi="ar-SA"/>
                    </w:rPr>
                    <w:t>间断、点源</w:t>
                  </w:r>
                </w:p>
              </w:tc>
            </w:tr>
            <w:tr w14:paraId="0366B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752762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14:paraId="36C56E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76" w:type="dxa"/>
                  <w:tcBorders>
                    <w:tl2br w:val="nil"/>
                    <w:tr2bl w:val="nil"/>
                  </w:tcBorders>
                  <w:noWrap w:val="0"/>
                  <w:tcMar>
                    <w:left w:w="28" w:type="dxa"/>
                    <w:right w:w="28" w:type="dxa"/>
                  </w:tcMar>
                  <w:vAlign w:val="center"/>
                </w:tcPr>
                <w:p w14:paraId="4B23B7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腻子打磨</w:t>
                  </w:r>
                </w:p>
              </w:tc>
              <w:tc>
                <w:tcPr>
                  <w:tcW w:w="1515" w:type="dxa"/>
                  <w:tcBorders>
                    <w:tl2br w:val="nil"/>
                    <w:tr2bl w:val="nil"/>
                  </w:tcBorders>
                  <w:noWrap w:val="0"/>
                  <w:tcMar>
                    <w:left w:w="28" w:type="dxa"/>
                    <w:right w:w="28" w:type="dxa"/>
                  </w:tcMar>
                  <w:vAlign w:val="center"/>
                </w:tcPr>
                <w:p w14:paraId="1EC874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颗粒物</w:t>
                  </w:r>
                </w:p>
              </w:tc>
              <w:tc>
                <w:tcPr>
                  <w:tcW w:w="2728" w:type="dxa"/>
                  <w:vMerge w:val="continue"/>
                  <w:tcBorders>
                    <w:tl2br w:val="nil"/>
                    <w:tr2bl w:val="nil"/>
                  </w:tcBorders>
                  <w:noWrap w:val="0"/>
                  <w:vAlign w:val="center"/>
                </w:tcPr>
                <w:p w14:paraId="774906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95" w:type="dxa"/>
                  <w:vMerge w:val="continue"/>
                  <w:tcBorders>
                    <w:tl2br w:val="nil"/>
                    <w:tr2bl w:val="nil"/>
                  </w:tcBorders>
                  <w:noWrap w:val="0"/>
                  <w:vAlign w:val="center"/>
                </w:tcPr>
                <w:p w14:paraId="2DE335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14:paraId="6AD59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295AF6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14:paraId="6DFCCB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76" w:type="dxa"/>
                  <w:tcBorders>
                    <w:tl2br w:val="nil"/>
                    <w:tr2bl w:val="nil"/>
                  </w:tcBorders>
                  <w:noWrap w:val="0"/>
                  <w:tcMar>
                    <w:left w:w="28" w:type="dxa"/>
                    <w:right w:w="28" w:type="dxa"/>
                  </w:tcMar>
                  <w:vAlign w:val="center"/>
                </w:tcPr>
                <w:p w14:paraId="16ECC9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打砂</w:t>
                  </w:r>
                  <w:r>
                    <w:rPr>
                      <w:rFonts w:hint="default" w:ascii="Times New Roman" w:hAnsi="Times New Roman" w:eastAsia="宋体" w:cs="Times New Roman"/>
                      <w:color w:val="auto"/>
                      <w:spacing w:val="0"/>
                      <w:sz w:val="21"/>
                      <w:szCs w:val="21"/>
                      <w:highlight w:val="none"/>
                      <w:lang w:val="en-US" w:eastAsia="zh-CN"/>
                    </w:rPr>
                    <w:t>废气</w:t>
                  </w:r>
                </w:p>
              </w:tc>
              <w:tc>
                <w:tcPr>
                  <w:tcW w:w="1515" w:type="dxa"/>
                  <w:tcBorders>
                    <w:tl2br w:val="nil"/>
                    <w:tr2bl w:val="nil"/>
                  </w:tcBorders>
                  <w:noWrap w:val="0"/>
                  <w:tcMar>
                    <w:left w:w="28" w:type="dxa"/>
                    <w:right w:w="28" w:type="dxa"/>
                  </w:tcMar>
                  <w:vAlign w:val="center"/>
                </w:tcPr>
                <w:p w14:paraId="3AD9F6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颗粒物</w:t>
                  </w:r>
                </w:p>
              </w:tc>
              <w:tc>
                <w:tcPr>
                  <w:tcW w:w="2728" w:type="dxa"/>
                  <w:vMerge w:val="continue"/>
                  <w:tcBorders>
                    <w:tl2br w:val="nil"/>
                    <w:tr2bl w:val="nil"/>
                  </w:tcBorders>
                  <w:noWrap w:val="0"/>
                  <w:vAlign w:val="center"/>
                </w:tcPr>
                <w:p w14:paraId="5011D1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95" w:type="dxa"/>
                  <w:vMerge w:val="continue"/>
                  <w:tcBorders>
                    <w:tl2br w:val="nil"/>
                    <w:tr2bl w:val="nil"/>
                  </w:tcBorders>
                  <w:noWrap w:val="0"/>
                  <w:vAlign w:val="center"/>
                </w:tcPr>
                <w:p w14:paraId="4BD7CC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14:paraId="01ACA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1BA3DE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14:paraId="506FEF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76" w:type="dxa"/>
                  <w:tcBorders>
                    <w:tl2br w:val="nil"/>
                    <w:tr2bl w:val="nil"/>
                  </w:tcBorders>
                  <w:noWrap w:val="0"/>
                  <w:tcMar>
                    <w:left w:w="28" w:type="dxa"/>
                    <w:right w:w="28" w:type="dxa"/>
                  </w:tcMar>
                  <w:vAlign w:val="center"/>
                </w:tcPr>
                <w:p w14:paraId="576EAC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pacing w:val="0"/>
                      <w:sz w:val="21"/>
                      <w:szCs w:val="21"/>
                      <w:highlight w:val="none"/>
                      <w:lang w:val="en-US" w:eastAsia="zh-CN"/>
                    </w:rPr>
                  </w:pPr>
                  <w:r>
                    <w:rPr>
                      <w:rFonts w:hint="default" w:cs="Times New Roman"/>
                      <w:color w:val="auto"/>
                      <w:spacing w:val="0"/>
                      <w:sz w:val="21"/>
                      <w:szCs w:val="21"/>
                      <w:highlight w:val="none"/>
                      <w:lang w:val="en-US" w:eastAsia="zh-CN"/>
                    </w:rPr>
                    <w:t>抛</w:t>
                  </w:r>
                  <w:r>
                    <w:rPr>
                      <w:rFonts w:hint="eastAsia" w:cs="Times New Roman"/>
                      <w:color w:val="auto"/>
                      <w:spacing w:val="0"/>
                      <w:sz w:val="21"/>
                      <w:szCs w:val="21"/>
                      <w:highlight w:val="none"/>
                      <w:lang w:val="en-US" w:eastAsia="zh-CN"/>
                    </w:rPr>
                    <w:t>丸</w:t>
                  </w:r>
                  <w:r>
                    <w:rPr>
                      <w:rFonts w:hint="default" w:cs="Times New Roman"/>
                      <w:color w:val="auto"/>
                      <w:spacing w:val="0"/>
                      <w:sz w:val="21"/>
                      <w:szCs w:val="21"/>
                      <w:highlight w:val="none"/>
                      <w:lang w:val="en-US" w:eastAsia="zh-CN"/>
                    </w:rPr>
                    <w:t>废气</w:t>
                  </w:r>
                </w:p>
              </w:tc>
              <w:tc>
                <w:tcPr>
                  <w:tcW w:w="1515" w:type="dxa"/>
                  <w:tcBorders>
                    <w:tl2br w:val="nil"/>
                    <w:tr2bl w:val="nil"/>
                  </w:tcBorders>
                  <w:noWrap w:val="0"/>
                  <w:tcMar>
                    <w:left w:w="28" w:type="dxa"/>
                    <w:right w:w="28" w:type="dxa"/>
                  </w:tcMar>
                  <w:vAlign w:val="center"/>
                </w:tcPr>
                <w:p w14:paraId="73D27E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pacing w:val="0"/>
                      <w:sz w:val="21"/>
                      <w:szCs w:val="21"/>
                      <w:highlight w:val="none"/>
                      <w:lang w:val="en-US" w:eastAsia="zh-CN"/>
                    </w:rPr>
                  </w:pPr>
                  <w:r>
                    <w:rPr>
                      <w:rFonts w:hint="default" w:cs="Times New Roman"/>
                      <w:color w:val="auto"/>
                      <w:spacing w:val="0"/>
                      <w:sz w:val="21"/>
                      <w:szCs w:val="21"/>
                      <w:highlight w:val="none"/>
                      <w:lang w:val="en-US" w:eastAsia="zh-CN"/>
                    </w:rPr>
                    <w:t>颗粒物</w:t>
                  </w:r>
                </w:p>
              </w:tc>
              <w:tc>
                <w:tcPr>
                  <w:tcW w:w="2728" w:type="dxa"/>
                  <w:tcBorders>
                    <w:tl2br w:val="nil"/>
                    <w:tr2bl w:val="nil"/>
                  </w:tcBorders>
                  <w:noWrap w:val="0"/>
                  <w:vAlign w:val="center"/>
                </w:tcPr>
                <w:p w14:paraId="3F96CC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pacing w:val="0"/>
                      <w:sz w:val="21"/>
                      <w:szCs w:val="21"/>
                      <w:highlight w:val="none"/>
                      <w:lang w:val="en-US" w:eastAsia="zh-CN"/>
                    </w:rPr>
                  </w:pPr>
                  <w:r>
                    <w:rPr>
                      <w:rFonts w:hint="default" w:cs="Times New Roman"/>
                      <w:color w:val="auto"/>
                      <w:spacing w:val="0"/>
                      <w:sz w:val="21"/>
                      <w:szCs w:val="21"/>
                      <w:highlight w:val="none"/>
                      <w:lang w:val="en-US" w:eastAsia="zh-CN"/>
                    </w:rPr>
                    <w:t>自带袋式除尘器，处理后的废气与</w:t>
                  </w:r>
                  <w:r>
                    <w:rPr>
                      <w:rFonts w:hint="eastAsia" w:cs="Times New Roman"/>
                      <w:color w:val="auto"/>
                      <w:spacing w:val="0"/>
                      <w:sz w:val="21"/>
                      <w:szCs w:val="21"/>
                      <w:highlight w:val="none"/>
                      <w:lang w:val="en-US" w:eastAsia="zh-CN"/>
                    </w:rPr>
                    <w:t>打磨、腻子打磨、打</w:t>
                  </w:r>
                  <w:r>
                    <w:rPr>
                      <w:rFonts w:hint="default" w:cs="Times New Roman"/>
                      <w:color w:val="auto"/>
                      <w:spacing w:val="0"/>
                      <w:sz w:val="21"/>
                      <w:szCs w:val="21"/>
                      <w:highlight w:val="none"/>
                      <w:lang w:val="en-US" w:eastAsia="zh-CN"/>
                    </w:rPr>
                    <w:t>砂废气经同一根排气筒排放</w:t>
                  </w:r>
                </w:p>
              </w:tc>
              <w:tc>
                <w:tcPr>
                  <w:tcW w:w="1095" w:type="dxa"/>
                  <w:vMerge w:val="continue"/>
                  <w:tcBorders>
                    <w:tl2br w:val="nil"/>
                    <w:tr2bl w:val="nil"/>
                  </w:tcBorders>
                  <w:noWrap w:val="0"/>
                  <w:vAlign w:val="center"/>
                </w:tcPr>
                <w:p w14:paraId="33C479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14:paraId="020B4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4E906D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14:paraId="7A52EA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76" w:type="dxa"/>
                  <w:tcBorders>
                    <w:tl2br w:val="nil"/>
                    <w:tr2bl w:val="nil"/>
                  </w:tcBorders>
                  <w:noWrap w:val="0"/>
                  <w:tcMar>
                    <w:left w:w="28" w:type="dxa"/>
                    <w:right w:w="28" w:type="dxa"/>
                  </w:tcMar>
                  <w:vAlign w:val="center"/>
                </w:tcPr>
                <w:p w14:paraId="72F157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喷塑废气</w:t>
                  </w:r>
                </w:p>
              </w:tc>
              <w:tc>
                <w:tcPr>
                  <w:tcW w:w="1515" w:type="dxa"/>
                  <w:tcBorders>
                    <w:tl2br w:val="nil"/>
                    <w:tr2bl w:val="nil"/>
                  </w:tcBorders>
                  <w:noWrap w:val="0"/>
                  <w:tcMar>
                    <w:left w:w="28" w:type="dxa"/>
                    <w:right w:w="28" w:type="dxa"/>
                  </w:tcMar>
                  <w:vAlign w:val="center"/>
                </w:tcPr>
                <w:p w14:paraId="01FF30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颗粒物</w:t>
                  </w:r>
                </w:p>
              </w:tc>
              <w:tc>
                <w:tcPr>
                  <w:tcW w:w="2728" w:type="dxa"/>
                  <w:tcBorders>
                    <w:tl2br w:val="nil"/>
                    <w:tr2bl w:val="nil"/>
                  </w:tcBorders>
                  <w:noWrap w:val="0"/>
                  <w:vAlign w:val="center"/>
                </w:tcPr>
                <w:p w14:paraId="3EB283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z w:val="21"/>
                      <w:szCs w:val="21"/>
                      <w:lang w:val="en-US" w:eastAsia="zh-CN"/>
                    </w:rPr>
                    <w:t>1台脉冲袋式除尘器+1根15m高排气筒</w:t>
                  </w:r>
                  <w:r>
                    <w:rPr>
                      <w:rFonts w:hint="eastAsia" w:cs="Times New Roman"/>
                      <w:color w:val="auto"/>
                      <w:sz w:val="21"/>
                      <w:szCs w:val="21"/>
                      <w:lang w:val="en-US" w:eastAsia="zh-CN"/>
                    </w:rPr>
                    <w:t>（与打磨、腻子打磨、打砂共用一根排气筒）</w:t>
                  </w:r>
                </w:p>
              </w:tc>
              <w:tc>
                <w:tcPr>
                  <w:tcW w:w="1095" w:type="dxa"/>
                  <w:vMerge w:val="continue"/>
                  <w:tcBorders>
                    <w:tl2br w:val="nil"/>
                    <w:tr2bl w:val="nil"/>
                  </w:tcBorders>
                  <w:noWrap w:val="0"/>
                  <w:vAlign w:val="center"/>
                </w:tcPr>
                <w:p w14:paraId="17C81C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14:paraId="7F2B8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3943CF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14:paraId="5F24F0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76" w:type="dxa"/>
                  <w:tcBorders>
                    <w:tl2br w:val="nil"/>
                    <w:tr2bl w:val="nil"/>
                  </w:tcBorders>
                  <w:noWrap w:val="0"/>
                  <w:tcMar>
                    <w:left w:w="28" w:type="dxa"/>
                    <w:right w:w="28" w:type="dxa"/>
                  </w:tcMar>
                  <w:vAlign w:val="center"/>
                </w:tcPr>
                <w:p w14:paraId="695662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喷漆、烤漆烘干</w:t>
                  </w:r>
                  <w:r>
                    <w:rPr>
                      <w:rFonts w:hint="eastAsia" w:cs="Times New Roman"/>
                      <w:color w:val="auto"/>
                      <w:spacing w:val="0"/>
                      <w:sz w:val="21"/>
                      <w:szCs w:val="21"/>
                      <w:highlight w:val="none"/>
                      <w:lang w:val="en-US" w:eastAsia="zh-CN"/>
                    </w:rPr>
                    <w:t>、塑粉固化</w:t>
                  </w:r>
                  <w:r>
                    <w:rPr>
                      <w:rFonts w:hint="default" w:ascii="Times New Roman" w:hAnsi="Times New Roman" w:eastAsia="宋体" w:cs="Times New Roman"/>
                      <w:color w:val="auto"/>
                      <w:spacing w:val="0"/>
                      <w:sz w:val="21"/>
                      <w:szCs w:val="21"/>
                      <w:highlight w:val="none"/>
                      <w:lang w:val="en-US" w:eastAsia="zh-CN"/>
                    </w:rPr>
                    <w:t>废气</w:t>
                  </w:r>
                </w:p>
              </w:tc>
              <w:tc>
                <w:tcPr>
                  <w:tcW w:w="1515" w:type="dxa"/>
                  <w:tcBorders>
                    <w:tl2br w:val="nil"/>
                    <w:tr2bl w:val="nil"/>
                  </w:tcBorders>
                  <w:noWrap w:val="0"/>
                  <w:tcMar>
                    <w:left w:w="28" w:type="dxa"/>
                    <w:right w:w="28" w:type="dxa"/>
                  </w:tcMar>
                  <w:vAlign w:val="center"/>
                </w:tcPr>
                <w:p w14:paraId="2EE40D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颗粒物、苯、甲苯、二甲苯、非甲烷总烃</w:t>
                  </w:r>
                </w:p>
              </w:tc>
              <w:tc>
                <w:tcPr>
                  <w:tcW w:w="2728" w:type="dxa"/>
                  <w:tcBorders>
                    <w:tl2br w:val="nil"/>
                    <w:tr2bl w:val="nil"/>
                  </w:tcBorders>
                  <w:noWrap w:val="0"/>
                  <w:vAlign w:val="center"/>
                </w:tcPr>
                <w:p w14:paraId="5D55BD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z w:val="21"/>
                      <w:szCs w:val="21"/>
                      <w:lang w:val="en-US" w:eastAsia="zh-CN"/>
                    </w:rPr>
                    <w:t>过滤棉+活性炭吸附/脱附+催化燃烧装置（离线）</w:t>
                  </w:r>
                  <w:r>
                    <w:rPr>
                      <w:rFonts w:hint="default" w:ascii="Times New Roman" w:hAnsi="Times New Roman" w:eastAsia="宋体" w:cs="Times New Roman"/>
                      <w:color w:val="auto"/>
                      <w:sz w:val="21"/>
                      <w:szCs w:val="21"/>
                      <w:lang w:val="en-US" w:eastAsia="zh-CN"/>
                    </w:rPr>
                    <w:t>+1根15m高排气筒</w:t>
                  </w:r>
                </w:p>
              </w:tc>
              <w:tc>
                <w:tcPr>
                  <w:tcW w:w="1095" w:type="dxa"/>
                  <w:vMerge w:val="continue"/>
                  <w:tcBorders>
                    <w:tl2br w:val="nil"/>
                    <w:tr2bl w:val="nil"/>
                  </w:tcBorders>
                  <w:noWrap w:val="0"/>
                  <w:vAlign w:val="center"/>
                </w:tcPr>
                <w:p w14:paraId="471C80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14:paraId="5D11B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38D964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vMerge w:val="continue"/>
                  <w:tcBorders>
                    <w:tl2br w:val="nil"/>
                    <w:tr2bl w:val="nil"/>
                  </w:tcBorders>
                  <w:noWrap w:val="0"/>
                  <w:tcMar>
                    <w:left w:w="28" w:type="dxa"/>
                    <w:right w:w="28" w:type="dxa"/>
                  </w:tcMar>
                  <w:vAlign w:val="center"/>
                </w:tcPr>
                <w:p w14:paraId="016866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76" w:type="dxa"/>
                  <w:tcBorders>
                    <w:tl2br w:val="nil"/>
                    <w:tr2bl w:val="nil"/>
                  </w:tcBorders>
                  <w:noWrap w:val="0"/>
                  <w:tcMar>
                    <w:left w:w="28" w:type="dxa"/>
                    <w:right w:w="28" w:type="dxa"/>
                  </w:tcMar>
                  <w:vAlign w:val="center"/>
                </w:tcPr>
                <w:p w14:paraId="6C35FE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烘干、固化过程燃料燃烧废气</w:t>
                  </w:r>
                </w:p>
              </w:tc>
              <w:tc>
                <w:tcPr>
                  <w:tcW w:w="1515" w:type="dxa"/>
                  <w:tcBorders>
                    <w:tl2br w:val="nil"/>
                    <w:tr2bl w:val="nil"/>
                  </w:tcBorders>
                  <w:noWrap w:val="0"/>
                  <w:tcMar>
                    <w:left w:w="28" w:type="dxa"/>
                    <w:right w:w="28" w:type="dxa"/>
                  </w:tcMar>
                  <w:vAlign w:val="center"/>
                </w:tcPr>
                <w:p w14:paraId="241C71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颗粒物、SO</w:t>
                  </w:r>
                  <w:r>
                    <w:rPr>
                      <w:rFonts w:hint="eastAsia" w:cs="Times New Roman"/>
                      <w:color w:val="auto"/>
                      <w:spacing w:val="0"/>
                      <w:sz w:val="21"/>
                      <w:szCs w:val="21"/>
                      <w:highlight w:val="none"/>
                      <w:vertAlign w:val="subscript"/>
                      <w:lang w:val="en-US" w:eastAsia="zh-CN"/>
                    </w:rPr>
                    <w:t>2</w:t>
                  </w:r>
                  <w:r>
                    <w:rPr>
                      <w:rFonts w:hint="eastAsia" w:cs="Times New Roman"/>
                      <w:color w:val="auto"/>
                      <w:spacing w:val="0"/>
                      <w:sz w:val="21"/>
                      <w:szCs w:val="21"/>
                      <w:highlight w:val="none"/>
                      <w:lang w:val="en-US" w:eastAsia="zh-CN"/>
                    </w:rPr>
                    <w:t>、NO</w:t>
                  </w:r>
                  <w:r>
                    <w:rPr>
                      <w:rFonts w:hint="eastAsia" w:cs="Times New Roman"/>
                      <w:color w:val="auto"/>
                      <w:spacing w:val="0"/>
                      <w:sz w:val="21"/>
                      <w:szCs w:val="21"/>
                      <w:highlight w:val="none"/>
                      <w:vertAlign w:val="subscript"/>
                      <w:lang w:val="en-US" w:eastAsia="zh-CN"/>
                    </w:rPr>
                    <w:t>X</w:t>
                  </w:r>
                  <w:r>
                    <w:rPr>
                      <w:rFonts w:hint="eastAsia"/>
                      <w:color w:val="auto"/>
                      <w:sz w:val="21"/>
                      <w:szCs w:val="21"/>
                      <w:vertAlign w:val="baseline"/>
                      <w:lang w:val="en-US" w:eastAsia="zh-CN"/>
                    </w:rPr>
                    <w:t>、烟气黑度</w:t>
                  </w:r>
                </w:p>
              </w:tc>
              <w:tc>
                <w:tcPr>
                  <w:tcW w:w="2728" w:type="dxa"/>
                  <w:tcBorders>
                    <w:tl2br w:val="nil"/>
                    <w:tr2bl w:val="nil"/>
                  </w:tcBorders>
                  <w:noWrap w:val="0"/>
                  <w:vAlign w:val="center"/>
                </w:tcPr>
                <w:p w14:paraId="087934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低氮燃烧器+</w:t>
                  </w:r>
                  <w:r>
                    <w:rPr>
                      <w:rFonts w:hint="eastAsia" w:cs="Times New Roman"/>
                      <w:color w:val="auto"/>
                      <w:sz w:val="21"/>
                      <w:szCs w:val="21"/>
                      <w:lang w:val="en-US" w:eastAsia="zh-CN"/>
                    </w:rPr>
                    <w:t>过滤棉+活性炭吸附/脱附+催化燃烧装置（离线）</w:t>
                  </w:r>
                  <w:r>
                    <w:rPr>
                      <w:rFonts w:hint="default" w:ascii="Times New Roman" w:hAnsi="Times New Roman" w:eastAsia="宋体" w:cs="Times New Roman"/>
                      <w:color w:val="auto"/>
                      <w:sz w:val="21"/>
                      <w:szCs w:val="21"/>
                      <w:lang w:val="en-US" w:eastAsia="zh-CN"/>
                    </w:rPr>
                    <w:t>+1根15m高排气筒</w:t>
                  </w:r>
                  <w:r>
                    <w:rPr>
                      <w:rFonts w:hint="eastAsia" w:cs="Times New Roman"/>
                      <w:color w:val="auto"/>
                      <w:sz w:val="21"/>
                      <w:szCs w:val="21"/>
                      <w:lang w:val="en-US" w:eastAsia="zh-CN"/>
                    </w:rPr>
                    <w:t>（与喷漆烘干等共用一套）</w:t>
                  </w:r>
                </w:p>
              </w:tc>
              <w:tc>
                <w:tcPr>
                  <w:tcW w:w="1095" w:type="dxa"/>
                  <w:vMerge w:val="continue"/>
                  <w:tcBorders>
                    <w:tl2br w:val="nil"/>
                    <w:tr2bl w:val="nil"/>
                  </w:tcBorders>
                  <w:noWrap w:val="0"/>
                  <w:vAlign w:val="center"/>
                </w:tcPr>
                <w:p w14:paraId="0F67B6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14:paraId="30D39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3ED1BD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366" w:type="dxa"/>
                  <w:gridSpan w:val="2"/>
                  <w:tcBorders>
                    <w:tl2br w:val="nil"/>
                    <w:tr2bl w:val="nil"/>
                  </w:tcBorders>
                  <w:noWrap w:val="0"/>
                  <w:tcMar>
                    <w:left w:w="28" w:type="dxa"/>
                    <w:right w:w="28" w:type="dxa"/>
                  </w:tcMar>
                  <w:vAlign w:val="center"/>
                </w:tcPr>
                <w:p w14:paraId="225FA7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无组织</w:t>
                  </w:r>
                </w:p>
              </w:tc>
              <w:tc>
                <w:tcPr>
                  <w:tcW w:w="1676" w:type="dxa"/>
                  <w:tcBorders>
                    <w:tl2br w:val="nil"/>
                    <w:tr2bl w:val="nil"/>
                  </w:tcBorders>
                  <w:noWrap w:val="0"/>
                  <w:tcMar>
                    <w:left w:w="28" w:type="dxa"/>
                    <w:right w:w="28" w:type="dxa"/>
                  </w:tcMar>
                  <w:vAlign w:val="center"/>
                </w:tcPr>
                <w:p w14:paraId="2E5B05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yellow"/>
                      <w:lang w:val="en-US" w:eastAsia="zh-CN" w:bidi="ar-SA"/>
                    </w:rPr>
                  </w:pPr>
                  <w:r>
                    <w:rPr>
                      <w:rFonts w:hint="default" w:ascii="Times New Roman" w:hAnsi="Times New Roman" w:eastAsia="宋体" w:cs="Times New Roman"/>
                      <w:color w:val="auto"/>
                      <w:spacing w:val="0"/>
                      <w:sz w:val="21"/>
                      <w:szCs w:val="21"/>
                      <w:highlight w:val="none"/>
                      <w:lang w:val="en-US" w:eastAsia="zh-CN"/>
                    </w:rPr>
                    <w:t>焊接废气</w:t>
                  </w:r>
                </w:p>
              </w:tc>
              <w:tc>
                <w:tcPr>
                  <w:tcW w:w="1515" w:type="dxa"/>
                  <w:tcBorders>
                    <w:tl2br w:val="nil"/>
                    <w:tr2bl w:val="nil"/>
                  </w:tcBorders>
                  <w:noWrap w:val="0"/>
                  <w:tcMar>
                    <w:left w:w="28" w:type="dxa"/>
                    <w:right w:w="28" w:type="dxa"/>
                  </w:tcMar>
                  <w:vAlign w:val="center"/>
                </w:tcPr>
                <w:p w14:paraId="75409B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颗粒物</w:t>
                  </w:r>
                </w:p>
              </w:tc>
              <w:tc>
                <w:tcPr>
                  <w:tcW w:w="2728" w:type="dxa"/>
                  <w:tcBorders>
                    <w:tl2br w:val="nil"/>
                    <w:tr2bl w:val="nil"/>
                  </w:tcBorders>
                  <w:noWrap w:val="0"/>
                  <w:vAlign w:val="center"/>
                </w:tcPr>
                <w:p w14:paraId="075CB3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焊烟净化器</w:t>
                  </w:r>
                </w:p>
              </w:tc>
              <w:tc>
                <w:tcPr>
                  <w:tcW w:w="1095" w:type="dxa"/>
                  <w:tcBorders>
                    <w:tl2br w:val="nil"/>
                    <w:tr2bl w:val="nil"/>
                  </w:tcBorders>
                  <w:noWrap w:val="0"/>
                  <w:vAlign w:val="center"/>
                </w:tcPr>
                <w:p w14:paraId="3E5E65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b w:val="0"/>
                      <w:bCs w:val="0"/>
                      <w:color w:val="auto"/>
                      <w:spacing w:val="0"/>
                      <w:kern w:val="2"/>
                      <w:sz w:val="21"/>
                      <w:szCs w:val="21"/>
                      <w:highlight w:val="none"/>
                      <w:lang w:val="en-US" w:eastAsia="zh-CN" w:bidi="ar-SA"/>
                    </w:rPr>
                    <w:t>间断、面源</w:t>
                  </w:r>
                </w:p>
              </w:tc>
            </w:tr>
            <w:tr w14:paraId="7AC15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tcBorders>
                    <w:tl2br w:val="nil"/>
                    <w:tr2bl w:val="nil"/>
                  </w:tcBorders>
                  <w:noWrap w:val="0"/>
                  <w:tcMar>
                    <w:left w:w="28" w:type="dxa"/>
                    <w:right w:w="28" w:type="dxa"/>
                  </w:tcMar>
                  <w:vAlign w:val="center"/>
                </w:tcPr>
                <w:p w14:paraId="7F9505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废水</w:t>
                  </w:r>
                </w:p>
              </w:tc>
              <w:tc>
                <w:tcPr>
                  <w:tcW w:w="2042" w:type="dxa"/>
                  <w:gridSpan w:val="3"/>
                  <w:tcBorders>
                    <w:tl2br w:val="nil"/>
                    <w:tr2bl w:val="nil"/>
                  </w:tcBorders>
                  <w:noWrap w:val="0"/>
                  <w:tcMar>
                    <w:left w:w="28" w:type="dxa"/>
                    <w:right w:w="28" w:type="dxa"/>
                  </w:tcMar>
                  <w:vAlign w:val="center"/>
                </w:tcPr>
                <w:p w14:paraId="232A8C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生活废水</w:t>
                  </w:r>
                </w:p>
              </w:tc>
              <w:tc>
                <w:tcPr>
                  <w:tcW w:w="1515" w:type="dxa"/>
                  <w:tcBorders>
                    <w:tl2br w:val="nil"/>
                    <w:tr2bl w:val="nil"/>
                  </w:tcBorders>
                  <w:noWrap w:val="0"/>
                  <w:tcMar>
                    <w:left w:w="28" w:type="dxa"/>
                    <w:right w:w="28" w:type="dxa"/>
                  </w:tcMar>
                  <w:vAlign w:val="center"/>
                </w:tcPr>
                <w:p w14:paraId="3D0FFF2D">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COD、氨氮等</w:t>
                  </w:r>
                </w:p>
              </w:tc>
              <w:tc>
                <w:tcPr>
                  <w:tcW w:w="2728" w:type="dxa"/>
                  <w:tcBorders>
                    <w:tl2br w:val="nil"/>
                    <w:tr2bl w:val="nil"/>
                  </w:tcBorders>
                  <w:noWrap w:val="0"/>
                  <w:vAlign w:val="center"/>
                </w:tcPr>
                <w:p w14:paraId="678DCEE4">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泼洒厂区地面抑尘</w:t>
                  </w:r>
                </w:p>
              </w:tc>
              <w:tc>
                <w:tcPr>
                  <w:tcW w:w="1095" w:type="dxa"/>
                  <w:tcBorders>
                    <w:tl2br w:val="nil"/>
                    <w:tr2bl w:val="nil"/>
                  </w:tcBorders>
                  <w:noWrap w:val="0"/>
                  <w:vAlign w:val="center"/>
                </w:tcPr>
                <w:p w14:paraId="767872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default" w:ascii="Times New Roman" w:hAnsi="Times New Roman" w:eastAsia="宋体" w:cs="Times New Roman"/>
                      <w:b w:val="0"/>
                      <w:bCs w:val="0"/>
                      <w:color w:val="auto"/>
                      <w:spacing w:val="0"/>
                      <w:kern w:val="2"/>
                      <w:sz w:val="21"/>
                      <w:szCs w:val="21"/>
                      <w:highlight w:val="none"/>
                      <w:lang w:val="en-US" w:eastAsia="zh-CN" w:bidi="ar-SA"/>
                    </w:rPr>
                    <w:t>间断</w:t>
                  </w:r>
                </w:p>
              </w:tc>
            </w:tr>
            <w:tr w14:paraId="218DB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tcBorders>
                    <w:tl2br w:val="nil"/>
                    <w:tr2bl w:val="nil"/>
                  </w:tcBorders>
                  <w:noWrap w:val="0"/>
                  <w:tcMar>
                    <w:left w:w="28" w:type="dxa"/>
                    <w:right w:w="28" w:type="dxa"/>
                  </w:tcMar>
                  <w:vAlign w:val="center"/>
                </w:tcPr>
                <w:p w14:paraId="12E09D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噪声</w:t>
                  </w:r>
                </w:p>
              </w:tc>
              <w:tc>
                <w:tcPr>
                  <w:tcW w:w="2042" w:type="dxa"/>
                  <w:gridSpan w:val="3"/>
                  <w:tcBorders>
                    <w:tl2br w:val="nil"/>
                    <w:tr2bl w:val="nil"/>
                  </w:tcBorders>
                  <w:noWrap w:val="0"/>
                  <w:tcMar>
                    <w:left w:w="28" w:type="dxa"/>
                    <w:right w:w="28" w:type="dxa"/>
                  </w:tcMar>
                  <w:vAlign w:val="center"/>
                </w:tcPr>
                <w:p w14:paraId="6629BF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生产设备</w:t>
                  </w:r>
                </w:p>
              </w:tc>
              <w:tc>
                <w:tcPr>
                  <w:tcW w:w="1515" w:type="dxa"/>
                  <w:tcBorders>
                    <w:tl2br w:val="nil"/>
                    <w:tr2bl w:val="nil"/>
                  </w:tcBorders>
                  <w:noWrap w:val="0"/>
                  <w:tcMar>
                    <w:left w:w="28" w:type="dxa"/>
                    <w:right w:w="28" w:type="dxa"/>
                  </w:tcMar>
                  <w:vAlign w:val="center"/>
                </w:tcPr>
                <w:p w14:paraId="4FA185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噪声</w:t>
                  </w:r>
                </w:p>
              </w:tc>
              <w:tc>
                <w:tcPr>
                  <w:tcW w:w="2728" w:type="dxa"/>
                  <w:tcBorders>
                    <w:tl2br w:val="nil"/>
                    <w:tr2bl w:val="nil"/>
                  </w:tcBorders>
                  <w:noWrap w:val="0"/>
                  <w:vAlign w:val="center"/>
                </w:tcPr>
                <w:p w14:paraId="711903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z w:val="21"/>
                      <w:szCs w:val="21"/>
                      <w:lang w:val="en-US" w:eastAsia="zh-CN"/>
                    </w:rPr>
                    <w:t>基础减振</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厂房隔声、</w:t>
                  </w:r>
                  <w:r>
                    <w:rPr>
                      <w:rFonts w:hint="eastAsia" w:cs="Times New Roman"/>
                      <w:color w:val="auto"/>
                      <w:sz w:val="21"/>
                      <w:szCs w:val="21"/>
                      <w:lang w:val="en-US" w:eastAsia="zh-CN"/>
                    </w:rPr>
                    <w:t>距离衰减等</w:t>
                  </w:r>
                </w:p>
              </w:tc>
              <w:tc>
                <w:tcPr>
                  <w:tcW w:w="1095" w:type="dxa"/>
                  <w:tcBorders>
                    <w:tl2br w:val="nil"/>
                    <w:tr2bl w:val="nil"/>
                  </w:tcBorders>
                  <w:noWrap w:val="0"/>
                  <w:vAlign w:val="center"/>
                </w:tcPr>
                <w:p w14:paraId="3E6B9A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连续</w:t>
                  </w:r>
                </w:p>
              </w:tc>
            </w:tr>
            <w:tr w14:paraId="7E71D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restart"/>
                  <w:tcBorders>
                    <w:tl2br w:val="nil"/>
                    <w:tr2bl w:val="nil"/>
                  </w:tcBorders>
                  <w:noWrap w:val="0"/>
                  <w:tcMar>
                    <w:left w:w="28" w:type="dxa"/>
                    <w:right w:w="28" w:type="dxa"/>
                  </w:tcMar>
                  <w:vAlign w:val="center"/>
                </w:tcPr>
                <w:p w14:paraId="518E31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r>
                    <w:rPr>
                      <w:rFonts w:hint="default" w:ascii="Times New Roman" w:hAnsi="Times New Roman" w:eastAsia="宋体" w:cs="Times New Roman"/>
                      <w:color w:val="auto"/>
                      <w:spacing w:val="0"/>
                      <w:sz w:val="21"/>
                      <w:szCs w:val="21"/>
                      <w:highlight w:val="none"/>
                      <w:lang w:val="en-US" w:eastAsia="zh-CN"/>
                    </w:rPr>
                    <w:t>固废</w:t>
                  </w:r>
                </w:p>
              </w:tc>
              <w:tc>
                <w:tcPr>
                  <w:tcW w:w="345" w:type="dxa"/>
                  <w:vMerge w:val="restart"/>
                  <w:tcBorders>
                    <w:tl2br w:val="nil"/>
                    <w:tr2bl w:val="nil"/>
                  </w:tcBorders>
                  <w:noWrap w:val="0"/>
                  <w:tcMar>
                    <w:left w:w="28" w:type="dxa"/>
                    <w:right w:w="28" w:type="dxa"/>
                  </w:tcMar>
                  <w:vAlign w:val="center"/>
                </w:tcPr>
                <w:p w14:paraId="3ED27C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yellow"/>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一般固废</w:t>
                  </w:r>
                </w:p>
              </w:tc>
              <w:tc>
                <w:tcPr>
                  <w:tcW w:w="1697" w:type="dxa"/>
                  <w:gridSpan w:val="2"/>
                  <w:vMerge w:val="restart"/>
                  <w:tcBorders>
                    <w:tl2br w:val="nil"/>
                    <w:tr2bl w:val="nil"/>
                  </w:tcBorders>
                  <w:noWrap w:val="0"/>
                  <w:tcMar>
                    <w:left w:w="28" w:type="dxa"/>
                    <w:right w:w="28" w:type="dxa"/>
                  </w:tcMar>
                  <w:vAlign w:val="center"/>
                </w:tcPr>
                <w:p w14:paraId="3C44BF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切割工序</w:t>
                  </w:r>
                </w:p>
              </w:tc>
              <w:tc>
                <w:tcPr>
                  <w:tcW w:w="1515" w:type="dxa"/>
                  <w:tcBorders>
                    <w:tl2br w:val="nil"/>
                    <w:tr2bl w:val="nil"/>
                  </w:tcBorders>
                  <w:noWrap w:val="0"/>
                  <w:tcMar>
                    <w:left w:w="28" w:type="dxa"/>
                    <w:right w:w="28" w:type="dxa"/>
                  </w:tcMar>
                  <w:vAlign w:val="center"/>
                </w:tcPr>
                <w:p w14:paraId="7E53A5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废边角料</w:t>
                  </w:r>
                </w:p>
              </w:tc>
              <w:tc>
                <w:tcPr>
                  <w:tcW w:w="2728" w:type="dxa"/>
                  <w:vMerge w:val="restart"/>
                  <w:tcBorders>
                    <w:tl2br w:val="nil"/>
                    <w:tr2bl w:val="nil"/>
                  </w:tcBorders>
                  <w:noWrap w:val="0"/>
                  <w:vAlign w:val="center"/>
                </w:tcPr>
                <w:p w14:paraId="5ABFE7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外售钢铁企业作为生产原料</w:t>
                  </w:r>
                </w:p>
              </w:tc>
              <w:tc>
                <w:tcPr>
                  <w:tcW w:w="1095" w:type="dxa"/>
                  <w:tcBorders>
                    <w:tl2br w:val="nil"/>
                    <w:tr2bl w:val="nil"/>
                  </w:tcBorders>
                  <w:noWrap w:val="0"/>
                  <w:vAlign w:val="center"/>
                </w:tcPr>
                <w:p w14:paraId="5CCB57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14:paraId="53BDE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601F1E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345" w:type="dxa"/>
                  <w:vMerge w:val="continue"/>
                  <w:tcBorders>
                    <w:tl2br w:val="nil"/>
                    <w:tr2bl w:val="nil"/>
                  </w:tcBorders>
                  <w:noWrap w:val="0"/>
                  <w:tcMar>
                    <w:left w:w="28" w:type="dxa"/>
                    <w:right w:w="28" w:type="dxa"/>
                  </w:tcMar>
                  <w:vAlign w:val="center"/>
                </w:tcPr>
                <w:p w14:paraId="163742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yellow"/>
                      <w:lang w:val="en-US" w:eastAsia="zh-CN" w:bidi="ar-SA"/>
                    </w:rPr>
                  </w:pPr>
                </w:p>
              </w:tc>
              <w:tc>
                <w:tcPr>
                  <w:tcW w:w="1697" w:type="dxa"/>
                  <w:gridSpan w:val="2"/>
                  <w:vMerge w:val="continue"/>
                  <w:tcBorders>
                    <w:tl2br w:val="nil"/>
                    <w:tr2bl w:val="nil"/>
                  </w:tcBorders>
                  <w:noWrap w:val="0"/>
                  <w:tcMar>
                    <w:left w:w="28" w:type="dxa"/>
                    <w:right w:w="28" w:type="dxa"/>
                  </w:tcMar>
                  <w:vAlign w:val="center"/>
                </w:tcPr>
                <w:p w14:paraId="7D2773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515" w:type="dxa"/>
                  <w:tcBorders>
                    <w:tl2br w:val="nil"/>
                    <w:tr2bl w:val="nil"/>
                  </w:tcBorders>
                  <w:noWrap w:val="0"/>
                  <w:tcMar>
                    <w:left w:w="28" w:type="dxa"/>
                    <w:right w:w="28" w:type="dxa"/>
                  </w:tcMar>
                  <w:vAlign w:val="center"/>
                </w:tcPr>
                <w:p w14:paraId="7351CE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金属屑</w:t>
                  </w:r>
                </w:p>
              </w:tc>
              <w:tc>
                <w:tcPr>
                  <w:tcW w:w="2728" w:type="dxa"/>
                  <w:vMerge w:val="continue"/>
                  <w:tcBorders>
                    <w:tl2br w:val="nil"/>
                    <w:tr2bl w:val="nil"/>
                  </w:tcBorders>
                  <w:noWrap w:val="0"/>
                  <w:vAlign w:val="center"/>
                </w:tcPr>
                <w:p w14:paraId="64AB25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095" w:type="dxa"/>
                  <w:tcBorders>
                    <w:tl2br w:val="nil"/>
                    <w:tr2bl w:val="nil"/>
                  </w:tcBorders>
                  <w:noWrap w:val="0"/>
                  <w:vAlign w:val="center"/>
                </w:tcPr>
                <w:p w14:paraId="0850C2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eastAsia" w:cs="Times New Roman"/>
                      <w:color w:val="auto"/>
                      <w:spacing w:val="0"/>
                      <w:sz w:val="21"/>
                      <w:szCs w:val="21"/>
                      <w:highlight w:val="none"/>
                      <w:lang w:val="en-US" w:eastAsia="zh-CN"/>
                    </w:rPr>
                    <w:t>间断</w:t>
                  </w:r>
                </w:p>
              </w:tc>
            </w:tr>
            <w:tr w14:paraId="16AFE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0C94E5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345" w:type="dxa"/>
                  <w:vMerge w:val="continue"/>
                  <w:tcBorders>
                    <w:tl2br w:val="nil"/>
                    <w:tr2bl w:val="nil"/>
                  </w:tcBorders>
                  <w:noWrap w:val="0"/>
                  <w:tcMar>
                    <w:left w:w="28" w:type="dxa"/>
                    <w:right w:w="28" w:type="dxa"/>
                  </w:tcMar>
                  <w:vAlign w:val="center"/>
                </w:tcPr>
                <w:p w14:paraId="04C8FE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yellow"/>
                      <w:lang w:val="en-US" w:eastAsia="zh-CN" w:bidi="ar-SA"/>
                    </w:rPr>
                  </w:pPr>
                </w:p>
              </w:tc>
              <w:tc>
                <w:tcPr>
                  <w:tcW w:w="1697" w:type="dxa"/>
                  <w:gridSpan w:val="2"/>
                  <w:tcBorders>
                    <w:tl2br w:val="nil"/>
                    <w:tr2bl w:val="nil"/>
                  </w:tcBorders>
                  <w:noWrap w:val="0"/>
                  <w:tcMar>
                    <w:left w:w="28" w:type="dxa"/>
                    <w:right w:w="28" w:type="dxa"/>
                  </w:tcMar>
                  <w:vAlign w:val="center"/>
                </w:tcPr>
                <w:p w14:paraId="0D05BF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焊接工序</w:t>
                  </w:r>
                </w:p>
              </w:tc>
              <w:tc>
                <w:tcPr>
                  <w:tcW w:w="1515" w:type="dxa"/>
                  <w:tcBorders>
                    <w:tl2br w:val="nil"/>
                    <w:tr2bl w:val="nil"/>
                  </w:tcBorders>
                  <w:noWrap w:val="0"/>
                  <w:tcMar>
                    <w:left w:w="28" w:type="dxa"/>
                    <w:right w:w="28" w:type="dxa"/>
                  </w:tcMar>
                  <w:vAlign w:val="center"/>
                </w:tcPr>
                <w:p w14:paraId="650515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bidi="ar"/>
                    </w:rPr>
                    <w:t>废焊料</w:t>
                  </w:r>
                </w:p>
              </w:tc>
              <w:tc>
                <w:tcPr>
                  <w:tcW w:w="2728" w:type="dxa"/>
                  <w:tcBorders>
                    <w:tl2br w:val="nil"/>
                    <w:tr2bl w:val="nil"/>
                  </w:tcBorders>
                  <w:noWrap w:val="0"/>
                  <w:vAlign w:val="center"/>
                </w:tcPr>
                <w:p w14:paraId="020E95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外售废旧物资收购站</w:t>
                  </w:r>
                </w:p>
              </w:tc>
              <w:tc>
                <w:tcPr>
                  <w:tcW w:w="1095" w:type="dxa"/>
                  <w:tcBorders>
                    <w:tl2br w:val="nil"/>
                    <w:tr2bl w:val="nil"/>
                  </w:tcBorders>
                  <w:noWrap w:val="0"/>
                  <w:vAlign w:val="center"/>
                </w:tcPr>
                <w:p w14:paraId="5B21D3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14:paraId="7D7DA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7010D2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345" w:type="dxa"/>
                  <w:vMerge w:val="continue"/>
                  <w:tcBorders>
                    <w:tl2br w:val="nil"/>
                    <w:tr2bl w:val="nil"/>
                  </w:tcBorders>
                  <w:noWrap w:val="0"/>
                  <w:tcMar>
                    <w:left w:w="28" w:type="dxa"/>
                    <w:right w:w="28" w:type="dxa"/>
                  </w:tcMar>
                  <w:vAlign w:val="center"/>
                </w:tcPr>
                <w:p w14:paraId="1EC3BD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gridSpan w:val="2"/>
                  <w:tcBorders>
                    <w:tl2br w:val="nil"/>
                    <w:tr2bl w:val="nil"/>
                  </w:tcBorders>
                  <w:noWrap w:val="0"/>
                  <w:tcMar>
                    <w:left w:w="28" w:type="dxa"/>
                    <w:right w:w="28" w:type="dxa"/>
                  </w:tcMar>
                  <w:vAlign w:val="center"/>
                </w:tcPr>
                <w:p w14:paraId="708AD3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喷水性漆、打腻子、喷塑粉工序</w:t>
                  </w:r>
                </w:p>
              </w:tc>
              <w:tc>
                <w:tcPr>
                  <w:tcW w:w="1515" w:type="dxa"/>
                  <w:tcBorders>
                    <w:tl2br w:val="nil"/>
                    <w:tr2bl w:val="nil"/>
                  </w:tcBorders>
                  <w:noWrap w:val="0"/>
                  <w:tcMar>
                    <w:left w:w="28" w:type="dxa"/>
                    <w:right w:w="28" w:type="dxa"/>
                  </w:tcMar>
                  <w:vAlign w:val="center"/>
                </w:tcPr>
                <w:p w14:paraId="3442A2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水性漆、塑粉及腻子废包装桶</w:t>
                  </w:r>
                </w:p>
              </w:tc>
              <w:tc>
                <w:tcPr>
                  <w:tcW w:w="2728" w:type="dxa"/>
                  <w:tcBorders>
                    <w:tl2br w:val="nil"/>
                    <w:tr2bl w:val="nil"/>
                  </w:tcBorders>
                  <w:noWrap w:val="0"/>
                  <w:vAlign w:val="center"/>
                </w:tcPr>
                <w:p w14:paraId="565FE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外售废旧物资收购站</w:t>
                  </w:r>
                </w:p>
              </w:tc>
              <w:tc>
                <w:tcPr>
                  <w:tcW w:w="1095" w:type="dxa"/>
                  <w:tcBorders>
                    <w:tl2br w:val="nil"/>
                    <w:tr2bl w:val="nil"/>
                  </w:tcBorders>
                  <w:noWrap w:val="0"/>
                  <w:vAlign w:val="center"/>
                </w:tcPr>
                <w:p w14:paraId="5B39D6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14:paraId="351A1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7E6B9B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345" w:type="dxa"/>
                  <w:vMerge w:val="continue"/>
                  <w:tcBorders>
                    <w:tl2br w:val="nil"/>
                    <w:tr2bl w:val="nil"/>
                  </w:tcBorders>
                  <w:noWrap w:val="0"/>
                  <w:tcMar>
                    <w:left w:w="28" w:type="dxa"/>
                    <w:right w:w="28" w:type="dxa"/>
                  </w:tcMar>
                  <w:vAlign w:val="center"/>
                </w:tcPr>
                <w:p w14:paraId="73CBD6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gridSpan w:val="2"/>
                  <w:tcBorders>
                    <w:tl2br w:val="nil"/>
                    <w:tr2bl w:val="nil"/>
                  </w:tcBorders>
                  <w:noWrap w:val="0"/>
                  <w:tcMar>
                    <w:left w:w="28" w:type="dxa"/>
                    <w:right w:w="28" w:type="dxa"/>
                  </w:tcMar>
                  <w:vAlign w:val="center"/>
                </w:tcPr>
                <w:p w14:paraId="3176D1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打磨、</w:t>
                  </w:r>
                  <w:r>
                    <w:rPr>
                      <w:rFonts w:hint="eastAsia" w:cs="Times New Roman"/>
                      <w:color w:val="auto"/>
                      <w:spacing w:val="0"/>
                      <w:kern w:val="2"/>
                      <w:sz w:val="21"/>
                      <w:szCs w:val="21"/>
                      <w:highlight w:val="none"/>
                      <w:lang w:val="en-US" w:eastAsia="zh-CN" w:bidi="ar-SA"/>
                    </w:rPr>
                    <w:t>打砂</w:t>
                  </w:r>
                  <w:r>
                    <w:rPr>
                      <w:rFonts w:hint="default" w:ascii="Times New Roman" w:hAnsi="Times New Roman" w:eastAsia="宋体" w:cs="Times New Roman"/>
                      <w:color w:val="auto"/>
                      <w:spacing w:val="0"/>
                      <w:kern w:val="2"/>
                      <w:sz w:val="21"/>
                      <w:szCs w:val="21"/>
                      <w:highlight w:val="none"/>
                      <w:lang w:val="en-US" w:eastAsia="zh-CN" w:bidi="ar-SA"/>
                    </w:rPr>
                    <w:t>、</w:t>
                  </w:r>
                  <w:r>
                    <w:rPr>
                      <w:rFonts w:hint="eastAsia" w:cs="Times New Roman"/>
                      <w:color w:val="auto"/>
                      <w:spacing w:val="0"/>
                      <w:kern w:val="2"/>
                      <w:sz w:val="21"/>
                      <w:szCs w:val="21"/>
                      <w:highlight w:val="none"/>
                      <w:lang w:val="en-US" w:eastAsia="zh-CN" w:bidi="ar-SA"/>
                    </w:rPr>
                    <w:t>抛丸、</w:t>
                  </w:r>
                  <w:r>
                    <w:rPr>
                      <w:rFonts w:hint="default" w:ascii="Times New Roman" w:hAnsi="Times New Roman" w:eastAsia="宋体" w:cs="Times New Roman"/>
                      <w:color w:val="auto"/>
                      <w:spacing w:val="0"/>
                      <w:kern w:val="2"/>
                      <w:sz w:val="21"/>
                      <w:szCs w:val="21"/>
                      <w:highlight w:val="none"/>
                      <w:lang w:val="en-US" w:eastAsia="zh-CN" w:bidi="ar-SA"/>
                    </w:rPr>
                    <w:t>机加工等工序</w:t>
                  </w:r>
                </w:p>
              </w:tc>
              <w:tc>
                <w:tcPr>
                  <w:tcW w:w="1515" w:type="dxa"/>
                  <w:tcBorders>
                    <w:tl2br w:val="nil"/>
                    <w:tr2bl w:val="nil"/>
                  </w:tcBorders>
                  <w:noWrap w:val="0"/>
                  <w:tcMar>
                    <w:left w:w="28" w:type="dxa"/>
                    <w:right w:w="28" w:type="dxa"/>
                  </w:tcMar>
                  <w:vAlign w:val="center"/>
                </w:tcPr>
                <w:p w14:paraId="09DC00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废铁屑</w:t>
                  </w:r>
                </w:p>
              </w:tc>
              <w:tc>
                <w:tcPr>
                  <w:tcW w:w="2728" w:type="dxa"/>
                  <w:tcBorders>
                    <w:tl2br w:val="nil"/>
                    <w:tr2bl w:val="nil"/>
                  </w:tcBorders>
                  <w:noWrap w:val="0"/>
                  <w:vAlign w:val="center"/>
                </w:tcPr>
                <w:p w14:paraId="0378A0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外售钢铁企业作为生产原料</w:t>
                  </w:r>
                </w:p>
              </w:tc>
              <w:tc>
                <w:tcPr>
                  <w:tcW w:w="1095" w:type="dxa"/>
                  <w:tcBorders>
                    <w:tl2br w:val="nil"/>
                    <w:tr2bl w:val="nil"/>
                  </w:tcBorders>
                  <w:noWrap w:val="0"/>
                  <w:vAlign w:val="center"/>
                </w:tcPr>
                <w:p w14:paraId="4A4E55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14:paraId="7BE97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6F8D6A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345" w:type="dxa"/>
                  <w:vMerge w:val="continue"/>
                  <w:tcBorders>
                    <w:tl2br w:val="nil"/>
                    <w:tr2bl w:val="nil"/>
                  </w:tcBorders>
                  <w:noWrap w:val="0"/>
                  <w:tcMar>
                    <w:left w:w="28" w:type="dxa"/>
                    <w:right w:w="28" w:type="dxa"/>
                  </w:tcMar>
                  <w:vAlign w:val="center"/>
                </w:tcPr>
                <w:p w14:paraId="4DDD4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gridSpan w:val="2"/>
                  <w:vMerge w:val="restart"/>
                  <w:tcBorders>
                    <w:tl2br w:val="nil"/>
                    <w:tr2bl w:val="nil"/>
                  </w:tcBorders>
                  <w:noWrap w:val="0"/>
                  <w:tcMar>
                    <w:left w:w="28" w:type="dxa"/>
                    <w:right w:w="28" w:type="dxa"/>
                  </w:tcMar>
                  <w:vAlign w:val="center"/>
                </w:tcPr>
                <w:p w14:paraId="0BC8DF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表面清理工序</w:t>
                  </w:r>
                </w:p>
              </w:tc>
              <w:tc>
                <w:tcPr>
                  <w:tcW w:w="1515" w:type="dxa"/>
                  <w:tcBorders>
                    <w:tl2br w:val="nil"/>
                    <w:tr2bl w:val="nil"/>
                  </w:tcBorders>
                  <w:noWrap w:val="0"/>
                  <w:tcMar>
                    <w:left w:w="28" w:type="dxa"/>
                    <w:right w:w="28" w:type="dxa"/>
                  </w:tcMar>
                  <w:vAlign w:val="center"/>
                </w:tcPr>
                <w:p w14:paraId="01208B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废磨料</w:t>
                  </w:r>
                </w:p>
              </w:tc>
              <w:tc>
                <w:tcPr>
                  <w:tcW w:w="2728" w:type="dxa"/>
                  <w:tcBorders>
                    <w:tl2br w:val="nil"/>
                    <w:tr2bl w:val="nil"/>
                  </w:tcBorders>
                  <w:noWrap w:val="0"/>
                  <w:vAlign w:val="center"/>
                </w:tcPr>
                <w:p w14:paraId="01712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外售建材企业作为建材原料</w:t>
                  </w:r>
                </w:p>
              </w:tc>
              <w:tc>
                <w:tcPr>
                  <w:tcW w:w="1095" w:type="dxa"/>
                  <w:tcBorders>
                    <w:tl2br w:val="nil"/>
                    <w:tr2bl w:val="nil"/>
                  </w:tcBorders>
                  <w:noWrap w:val="0"/>
                  <w:vAlign w:val="center"/>
                </w:tcPr>
                <w:p w14:paraId="428BC1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14:paraId="644F3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6374E1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345" w:type="dxa"/>
                  <w:vMerge w:val="continue"/>
                  <w:tcBorders>
                    <w:tl2br w:val="nil"/>
                    <w:tr2bl w:val="nil"/>
                  </w:tcBorders>
                  <w:noWrap w:val="0"/>
                  <w:tcMar>
                    <w:left w:w="28" w:type="dxa"/>
                    <w:right w:w="28" w:type="dxa"/>
                  </w:tcMar>
                  <w:vAlign w:val="center"/>
                </w:tcPr>
                <w:p w14:paraId="2BA6B1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gridSpan w:val="2"/>
                  <w:vMerge w:val="continue"/>
                  <w:tcBorders>
                    <w:tl2br w:val="nil"/>
                    <w:tr2bl w:val="nil"/>
                  </w:tcBorders>
                  <w:noWrap w:val="0"/>
                  <w:tcMar>
                    <w:left w:w="28" w:type="dxa"/>
                    <w:right w:w="28" w:type="dxa"/>
                  </w:tcMar>
                  <w:vAlign w:val="center"/>
                </w:tcPr>
                <w:p w14:paraId="29F2EA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lang w:val="en-US" w:eastAsia="zh-CN" w:bidi="ar"/>
                    </w:rPr>
                  </w:pPr>
                </w:p>
              </w:tc>
              <w:tc>
                <w:tcPr>
                  <w:tcW w:w="1515" w:type="dxa"/>
                  <w:tcBorders>
                    <w:tl2br w:val="nil"/>
                    <w:tr2bl w:val="nil"/>
                  </w:tcBorders>
                  <w:noWrap w:val="0"/>
                  <w:tcMar>
                    <w:left w:w="28" w:type="dxa"/>
                    <w:right w:w="28" w:type="dxa"/>
                  </w:tcMar>
                  <w:vAlign w:val="center"/>
                </w:tcPr>
                <w:p w14:paraId="2F07EF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废钢丸</w:t>
                  </w:r>
                </w:p>
              </w:tc>
              <w:tc>
                <w:tcPr>
                  <w:tcW w:w="2728" w:type="dxa"/>
                  <w:tcBorders>
                    <w:tl2br w:val="nil"/>
                    <w:tr2bl w:val="nil"/>
                  </w:tcBorders>
                  <w:noWrap w:val="0"/>
                  <w:vAlign w:val="center"/>
                </w:tcPr>
                <w:p w14:paraId="674217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外售钢铁企业作为生产原料</w:t>
                  </w:r>
                </w:p>
              </w:tc>
              <w:tc>
                <w:tcPr>
                  <w:tcW w:w="1095" w:type="dxa"/>
                  <w:tcBorders>
                    <w:tl2br w:val="nil"/>
                    <w:tr2bl w:val="nil"/>
                  </w:tcBorders>
                  <w:noWrap w:val="0"/>
                  <w:vAlign w:val="center"/>
                </w:tcPr>
                <w:p w14:paraId="111C28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间断</w:t>
                  </w:r>
                </w:p>
              </w:tc>
            </w:tr>
            <w:tr w14:paraId="63527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3F6214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345" w:type="dxa"/>
                  <w:vMerge w:val="continue"/>
                  <w:tcBorders>
                    <w:tl2br w:val="nil"/>
                    <w:tr2bl w:val="nil"/>
                  </w:tcBorders>
                  <w:noWrap w:val="0"/>
                  <w:tcMar>
                    <w:left w:w="28" w:type="dxa"/>
                    <w:right w:w="28" w:type="dxa"/>
                  </w:tcMar>
                  <w:vAlign w:val="center"/>
                </w:tcPr>
                <w:p w14:paraId="2AF4DD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gridSpan w:val="2"/>
                  <w:vMerge w:val="restart"/>
                  <w:tcBorders>
                    <w:tl2br w:val="nil"/>
                    <w:tr2bl w:val="nil"/>
                  </w:tcBorders>
                  <w:noWrap w:val="0"/>
                  <w:tcMar>
                    <w:left w:w="28" w:type="dxa"/>
                    <w:right w:w="28" w:type="dxa"/>
                  </w:tcMar>
                  <w:vAlign w:val="center"/>
                </w:tcPr>
                <w:p w14:paraId="314724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袋式除尘器</w:t>
                  </w:r>
                </w:p>
              </w:tc>
              <w:tc>
                <w:tcPr>
                  <w:tcW w:w="1515" w:type="dxa"/>
                  <w:tcBorders>
                    <w:tl2br w:val="nil"/>
                    <w:tr2bl w:val="nil"/>
                  </w:tcBorders>
                  <w:noWrap w:val="0"/>
                  <w:tcMar>
                    <w:left w:w="28" w:type="dxa"/>
                    <w:right w:w="28" w:type="dxa"/>
                  </w:tcMar>
                  <w:vAlign w:val="center"/>
                </w:tcPr>
                <w:p w14:paraId="42C007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除尘灰</w:t>
                  </w:r>
                </w:p>
              </w:tc>
              <w:tc>
                <w:tcPr>
                  <w:tcW w:w="2728" w:type="dxa"/>
                  <w:tcBorders>
                    <w:tl2br w:val="nil"/>
                    <w:tr2bl w:val="nil"/>
                  </w:tcBorders>
                  <w:noWrap w:val="0"/>
                  <w:vAlign w:val="center"/>
                </w:tcPr>
                <w:p w14:paraId="0E2254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外售钢铁企业作为生产原料</w:t>
                  </w:r>
                </w:p>
              </w:tc>
              <w:tc>
                <w:tcPr>
                  <w:tcW w:w="1095" w:type="dxa"/>
                  <w:tcBorders>
                    <w:tl2br w:val="nil"/>
                    <w:tr2bl w:val="nil"/>
                  </w:tcBorders>
                  <w:noWrap w:val="0"/>
                  <w:vAlign w:val="center"/>
                </w:tcPr>
                <w:p w14:paraId="07748C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14:paraId="6014C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5A48F2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345" w:type="dxa"/>
                  <w:vMerge w:val="continue"/>
                  <w:tcBorders>
                    <w:tl2br w:val="nil"/>
                    <w:tr2bl w:val="nil"/>
                  </w:tcBorders>
                  <w:noWrap w:val="0"/>
                  <w:tcMar>
                    <w:left w:w="28" w:type="dxa"/>
                    <w:right w:w="28" w:type="dxa"/>
                  </w:tcMar>
                  <w:vAlign w:val="center"/>
                </w:tcPr>
                <w:p w14:paraId="4BF454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gridSpan w:val="2"/>
                  <w:vMerge w:val="continue"/>
                  <w:tcBorders>
                    <w:tl2br w:val="nil"/>
                    <w:tr2bl w:val="nil"/>
                  </w:tcBorders>
                  <w:noWrap w:val="0"/>
                  <w:tcMar>
                    <w:left w:w="28" w:type="dxa"/>
                    <w:right w:w="28" w:type="dxa"/>
                  </w:tcMar>
                  <w:vAlign w:val="center"/>
                </w:tcPr>
                <w:p w14:paraId="68E487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515" w:type="dxa"/>
                  <w:tcBorders>
                    <w:tl2br w:val="nil"/>
                    <w:tr2bl w:val="nil"/>
                  </w:tcBorders>
                  <w:noWrap w:val="0"/>
                  <w:tcMar>
                    <w:left w:w="28" w:type="dxa"/>
                    <w:right w:w="28" w:type="dxa"/>
                  </w:tcMar>
                  <w:vAlign w:val="center"/>
                </w:tcPr>
                <w:p w14:paraId="6049ED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废布袋</w:t>
                  </w:r>
                </w:p>
              </w:tc>
              <w:tc>
                <w:tcPr>
                  <w:tcW w:w="2728" w:type="dxa"/>
                  <w:tcBorders>
                    <w:tl2br w:val="nil"/>
                    <w:tr2bl w:val="nil"/>
                  </w:tcBorders>
                  <w:noWrap w:val="0"/>
                  <w:vAlign w:val="center"/>
                </w:tcPr>
                <w:p w14:paraId="005CE8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外售废旧物资收购站</w:t>
                  </w:r>
                </w:p>
              </w:tc>
              <w:tc>
                <w:tcPr>
                  <w:tcW w:w="1095" w:type="dxa"/>
                  <w:tcBorders>
                    <w:tl2br w:val="nil"/>
                    <w:tr2bl w:val="nil"/>
                  </w:tcBorders>
                  <w:noWrap w:val="0"/>
                  <w:vAlign w:val="center"/>
                </w:tcPr>
                <w:p w14:paraId="1C957B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14:paraId="495DB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2FFB1E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345" w:type="dxa"/>
                  <w:vMerge w:val="continue"/>
                  <w:tcBorders>
                    <w:tl2br w:val="nil"/>
                    <w:tr2bl w:val="nil"/>
                  </w:tcBorders>
                  <w:noWrap w:val="0"/>
                  <w:tcMar>
                    <w:left w:w="28" w:type="dxa"/>
                    <w:right w:w="28" w:type="dxa"/>
                  </w:tcMar>
                  <w:vAlign w:val="center"/>
                </w:tcPr>
                <w:p w14:paraId="04DC8F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gridSpan w:val="2"/>
                  <w:vMerge w:val="restart"/>
                  <w:tcBorders>
                    <w:tl2br w:val="nil"/>
                    <w:tr2bl w:val="nil"/>
                  </w:tcBorders>
                  <w:noWrap w:val="0"/>
                  <w:tcMar>
                    <w:left w:w="28" w:type="dxa"/>
                    <w:right w:w="28" w:type="dxa"/>
                  </w:tcMar>
                  <w:vAlign w:val="center"/>
                </w:tcPr>
                <w:p w14:paraId="0296F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焊烟净化器</w:t>
                  </w:r>
                </w:p>
              </w:tc>
              <w:tc>
                <w:tcPr>
                  <w:tcW w:w="1515" w:type="dxa"/>
                  <w:tcBorders>
                    <w:tl2br w:val="nil"/>
                    <w:tr2bl w:val="nil"/>
                  </w:tcBorders>
                  <w:noWrap w:val="0"/>
                  <w:tcMar>
                    <w:left w:w="28" w:type="dxa"/>
                    <w:right w:w="28" w:type="dxa"/>
                  </w:tcMar>
                  <w:vAlign w:val="center"/>
                </w:tcPr>
                <w:p w14:paraId="2B9084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除尘灰</w:t>
                  </w:r>
                </w:p>
              </w:tc>
              <w:tc>
                <w:tcPr>
                  <w:tcW w:w="2728" w:type="dxa"/>
                  <w:tcBorders>
                    <w:tl2br w:val="nil"/>
                    <w:tr2bl w:val="nil"/>
                  </w:tcBorders>
                  <w:noWrap w:val="0"/>
                  <w:vAlign w:val="center"/>
                </w:tcPr>
                <w:p w14:paraId="12D8C8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外售钢铁企业作为生产原料</w:t>
                  </w:r>
                </w:p>
              </w:tc>
              <w:tc>
                <w:tcPr>
                  <w:tcW w:w="1095" w:type="dxa"/>
                  <w:tcBorders>
                    <w:tl2br w:val="nil"/>
                    <w:tr2bl w:val="nil"/>
                  </w:tcBorders>
                  <w:noWrap w:val="0"/>
                  <w:vAlign w:val="center"/>
                </w:tcPr>
                <w:p w14:paraId="1E1510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14:paraId="59609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771953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345" w:type="dxa"/>
                  <w:vMerge w:val="continue"/>
                  <w:tcBorders>
                    <w:tl2br w:val="nil"/>
                    <w:tr2bl w:val="nil"/>
                  </w:tcBorders>
                  <w:noWrap w:val="0"/>
                  <w:tcMar>
                    <w:left w:w="28" w:type="dxa"/>
                    <w:right w:w="28" w:type="dxa"/>
                  </w:tcMar>
                  <w:vAlign w:val="center"/>
                </w:tcPr>
                <w:p w14:paraId="0CD984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gridSpan w:val="2"/>
                  <w:vMerge w:val="continue"/>
                  <w:tcBorders>
                    <w:tl2br w:val="nil"/>
                    <w:tr2bl w:val="nil"/>
                  </w:tcBorders>
                  <w:noWrap w:val="0"/>
                  <w:tcMar>
                    <w:left w:w="28" w:type="dxa"/>
                    <w:right w:w="28" w:type="dxa"/>
                  </w:tcMar>
                  <w:vAlign w:val="center"/>
                </w:tcPr>
                <w:p w14:paraId="496998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lang w:val="en-US" w:eastAsia="zh-CN" w:bidi="ar"/>
                    </w:rPr>
                  </w:pPr>
                </w:p>
              </w:tc>
              <w:tc>
                <w:tcPr>
                  <w:tcW w:w="1515" w:type="dxa"/>
                  <w:tcBorders>
                    <w:tl2br w:val="nil"/>
                    <w:tr2bl w:val="nil"/>
                  </w:tcBorders>
                  <w:noWrap w:val="0"/>
                  <w:tcMar>
                    <w:left w:w="28" w:type="dxa"/>
                    <w:right w:w="28" w:type="dxa"/>
                  </w:tcMar>
                  <w:vAlign w:val="center"/>
                </w:tcPr>
                <w:p w14:paraId="01084A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废过滤材料</w:t>
                  </w:r>
                </w:p>
              </w:tc>
              <w:tc>
                <w:tcPr>
                  <w:tcW w:w="2728" w:type="dxa"/>
                  <w:tcBorders>
                    <w:tl2br w:val="nil"/>
                    <w:tr2bl w:val="nil"/>
                  </w:tcBorders>
                  <w:noWrap w:val="0"/>
                  <w:vAlign w:val="center"/>
                </w:tcPr>
                <w:p w14:paraId="31EEE4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外售废旧物资收购站</w:t>
                  </w:r>
                </w:p>
              </w:tc>
              <w:tc>
                <w:tcPr>
                  <w:tcW w:w="1095" w:type="dxa"/>
                  <w:tcBorders>
                    <w:tl2br w:val="nil"/>
                    <w:tr2bl w:val="nil"/>
                  </w:tcBorders>
                  <w:noWrap w:val="0"/>
                  <w:vAlign w:val="center"/>
                </w:tcPr>
                <w:p w14:paraId="2516C3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14:paraId="2D6A70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316789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345" w:type="dxa"/>
                  <w:vMerge w:val="continue"/>
                  <w:tcBorders>
                    <w:tl2br w:val="nil"/>
                    <w:tr2bl w:val="nil"/>
                  </w:tcBorders>
                  <w:noWrap w:val="0"/>
                  <w:tcMar>
                    <w:left w:w="28" w:type="dxa"/>
                    <w:right w:w="28" w:type="dxa"/>
                  </w:tcMar>
                  <w:vAlign w:val="center"/>
                </w:tcPr>
                <w:p w14:paraId="7CB119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gridSpan w:val="2"/>
                  <w:tcBorders>
                    <w:tl2br w:val="nil"/>
                    <w:tr2bl w:val="nil"/>
                  </w:tcBorders>
                  <w:noWrap w:val="0"/>
                  <w:tcMar>
                    <w:left w:w="28" w:type="dxa"/>
                    <w:right w:w="28" w:type="dxa"/>
                  </w:tcMar>
                  <w:vAlign w:val="center"/>
                </w:tcPr>
                <w:p w14:paraId="17A8F4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职工生活</w:t>
                  </w:r>
                </w:p>
              </w:tc>
              <w:tc>
                <w:tcPr>
                  <w:tcW w:w="1515" w:type="dxa"/>
                  <w:tcBorders>
                    <w:tl2br w:val="nil"/>
                    <w:tr2bl w:val="nil"/>
                  </w:tcBorders>
                  <w:noWrap w:val="0"/>
                  <w:tcMar>
                    <w:left w:w="28" w:type="dxa"/>
                    <w:right w:w="28" w:type="dxa"/>
                  </w:tcMar>
                  <w:vAlign w:val="center"/>
                </w:tcPr>
                <w:p w14:paraId="23594B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生活垃圾</w:t>
                  </w:r>
                </w:p>
              </w:tc>
              <w:tc>
                <w:tcPr>
                  <w:tcW w:w="2728" w:type="dxa"/>
                  <w:tcBorders>
                    <w:tl2br w:val="nil"/>
                    <w:tr2bl w:val="nil"/>
                  </w:tcBorders>
                  <w:noWrap w:val="0"/>
                  <w:vAlign w:val="center"/>
                </w:tcPr>
                <w:p w14:paraId="577D6E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送当地环卫部门指定的地点处置</w:t>
                  </w:r>
                </w:p>
              </w:tc>
              <w:tc>
                <w:tcPr>
                  <w:tcW w:w="1095" w:type="dxa"/>
                  <w:tcBorders>
                    <w:tl2br w:val="nil"/>
                    <w:tr2bl w:val="nil"/>
                  </w:tcBorders>
                  <w:noWrap w:val="0"/>
                  <w:vAlign w:val="center"/>
                </w:tcPr>
                <w:p w14:paraId="4833A8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14:paraId="27F59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0BD590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345" w:type="dxa"/>
                  <w:vMerge w:val="restart"/>
                  <w:tcBorders>
                    <w:tl2br w:val="nil"/>
                    <w:tr2bl w:val="nil"/>
                  </w:tcBorders>
                  <w:noWrap w:val="0"/>
                  <w:tcMar>
                    <w:left w:w="28" w:type="dxa"/>
                    <w:right w:w="28" w:type="dxa"/>
                  </w:tcMar>
                  <w:vAlign w:val="center"/>
                </w:tcPr>
                <w:p w14:paraId="1B028A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r>
                    <w:rPr>
                      <w:rFonts w:hint="default" w:ascii="Times New Roman" w:hAnsi="Times New Roman" w:eastAsia="宋体" w:cs="Times New Roman"/>
                      <w:color w:val="auto"/>
                      <w:spacing w:val="0"/>
                      <w:sz w:val="21"/>
                      <w:szCs w:val="21"/>
                      <w:highlight w:val="none"/>
                      <w:lang w:val="en-US" w:eastAsia="zh-CN"/>
                    </w:rPr>
                    <w:t>危险废物</w:t>
                  </w:r>
                </w:p>
              </w:tc>
              <w:tc>
                <w:tcPr>
                  <w:tcW w:w="1697" w:type="dxa"/>
                  <w:gridSpan w:val="2"/>
                  <w:tcBorders>
                    <w:tl2br w:val="nil"/>
                    <w:tr2bl w:val="nil"/>
                  </w:tcBorders>
                  <w:noWrap w:val="0"/>
                  <w:tcMar>
                    <w:left w:w="28" w:type="dxa"/>
                    <w:right w:w="28" w:type="dxa"/>
                  </w:tcMar>
                  <w:vAlign w:val="center"/>
                </w:tcPr>
                <w:p w14:paraId="73DAFB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kern w:val="0"/>
                      <w:sz w:val="21"/>
                      <w:szCs w:val="21"/>
                      <w:lang w:val="en-US" w:eastAsia="zh-CN" w:bidi="ar"/>
                    </w:rPr>
                    <w:t>设备运行与维护</w:t>
                  </w:r>
                </w:p>
              </w:tc>
              <w:tc>
                <w:tcPr>
                  <w:tcW w:w="1515" w:type="dxa"/>
                  <w:tcBorders>
                    <w:tl2br w:val="nil"/>
                    <w:tr2bl w:val="nil"/>
                  </w:tcBorders>
                  <w:noWrap w:val="0"/>
                  <w:tcMar>
                    <w:left w:w="28" w:type="dxa"/>
                    <w:right w:w="28" w:type="dxa"/>
                  </w:tcMar>
                  <w:vAlign w:val="center"/>
                </w:tcPr>
                <w:p w14:paraId="31B244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废润滑油</w:t>
                  </w:r>
                </w:p>
              </w:tc>
              <w:tc>
                <w:tcPr>
                  <w:tcW w:w="2728" w:type="dxa"/>
                  <w:vMerge w:val="restart"/>
                  <w:tcBorders>
                    <w:tl2br w:val="nil"/>
                    <w:tr2bl w:val="nil"/>
                  </w:tcBorders>
                  <w:noWrap w:val="0"/>
                  <w:vAlign w:val="center"/>
                </w:tcPr>
                <w:p w14:paraId="36F114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kern w:val="0"/>
                      <w:sz w:val="21"/>
                      <w:szCs w:val="21"/>
                      <w:lang w:val="en-US" w:eastAsia="zh-CN" w:bidi="ar"/>
                    </w:rPr>
                    <w:t>暂存于危废暂存间，定期送有资质的危险废物处置单位处置</w:t>
                  </w:r>
                </w:p>
              </w:tc>
              <w:tc>
                <w:tcPr>
                  <w:tcW w:w="1095" w:type="dxa"/>
                  <w:tcBorders>
                    <w:tl2br w:val="nil"/>
                    <w:tr2bl w:val="nil"/>
                  </w:tcBorders>
                  <w:noWrap w:val="0"/>
                  <w:vAlign w:val="center"/>
                </w:tcPr>
                <w:p w14:paraId="57CA8C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间断</w:t>
                  </w:r>
                </w:p>
              </w:tc>
            </w:tr>
            <w:tr w14:paraId="54CA9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0D1FCB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14:paraId="5B0EC0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14:paraId="6B0D64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kern w:val="0"/>
                      <w:sz w:val="21"/>
                      <w:szCs w:val="21"/>
                      <w:lang w:val="en-US" w:eastAsia="zh-CN" w:bidi="ar"/>
                    </w:rPr>
                    <w:t>设备运行与维护</w:t>
                  </w:r>
                </w:p>
              </w:tc>
              <w:tc>
                <w:tcPr>
                  <w:tcW w:w="1515" w:type="dxa"/>
                  <w:tcBorders>
                    <w:tl2br w:val="nil"/>
                    <w:tr2bl w:val="nil"/>
                  </w:tcBorders>
                  <w:noWrap w:val="0"/>
                  <w:tcMar>
                    <w:left w:w="28" w:type="dxa"/>
                    <w:right w:w="28" w:type="dxa"/>
                  </w:tcMar>
                  <w:vAlign w:val="center"/>
                </w:tcPr>
                <w:p w14:paraId="78CA16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废液压油</w:t>
                  </w:r>
                </w:p>
              </w:tc>
              <w:tc>
                <w:tcPr>
                  <w:tcW w:w="2728" w:type="dxa"/>
                  <w:vMerge w:val="continue"/>
                  <w:tcBorders>
                    <w:tl2br w:val="nil"/>
                    <w:tr2bl w:val="nil"/>
                  </w:tcBorders>
                  <w:noWrap w:val="0"/>
                  <w:vAlign w:val="center"/>
                </w:tcPr>
                <w:p w14:paraId="7F131E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95" w:type="dxa"/>
                  <w:tcBorders>
                    <w:tl2br w:val="nil"/>
                    <w:tr2bl w:val="nil"/>
                  </w:tcBorders>
                  <w:noWrap w:val="0"/>
                  <w:vAlign w:val="center"/>
                </w:tcPr>
                <w:p w14:paraId="4BE940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14:paraId="6C1BD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4E6B1B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14:paraId="352AE0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14:paraId="2AF592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机加工工序</w:t>
                  </w:r>
                </w:p>
              </w:tc>
              <w:tc>
                <w:tcPr>
                  <w:tcW w:w="1515" w:type="dxa"/>
                  <w:tcBorders>
                    <w:tl2br w:val="nil"/>
                    <w:tr2bl w:val="nil"/>
                  </w:tcBorders>
                  <w:noWrap w:val="0"/>
                  <w:tcMar>
                    <w:left w:w="28" w:type="dxa"/>
                    <w:right w:w="28" w:type="dxa"/>
                  </w:tcMar>
                  <w:vAlign w:val="center"/>
                </w:tcPr>
                <w:p w14:paraId="3BE091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废切削液</w:t>
                  </w:r>
                </w:p>
              </w:tc>
              <w:tc>
                <w:tcPr>
                  <w:tcW w:w="2728" w:type="dxa"/>
                  <w:vMerge w:val="continue"/>
                  <w:tcBorders>
                    <w:tl2br w:val="nil"/>
                    <w:tr2bl w:val="nil"/>
                  </w:tcBorders>
                  <w:noWrap w:val="0"/>
                  <w:vAlign w:val="center"/>
                </w:tcPr>
                <w:p w14:paraId="1EE5DF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95" w:type="dxa"/>
                  <w:tcBorders>
                    <w:tl2br w:val="nil"/>
                    <w:tr2bl w:val="nil"/>
                  </w:tcBorders>
                  <w:noWrap w:val="0"/>
                  <w:vAlign w:val="center"/>
                </w:tcPr>
                <w:p w14:paraId="62E092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14:paraId="6753C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739C37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14:paraId="6FA5F4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14:paraId="4D1409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机加工工序</w:t>
                  </w:r>
                </w:p>
              </w:tc>
              <w:tc>
                <w:tcPr>
                  <w:tcW w:w="1515" w:type="dxa"/>
                  <w:tcBorders>
                    <w:tl2br w:val="nil"/>
                    <w:tr2bl w:val="nil"/>
                  </w:tcBorders>
                  <w:noWrap w:val="0"/>
                  <w:tcMar>
                    <w:left w:w="28" w:type="dxa"/>
                    <w:right w:w="28" w:type="dxa"/>
                  </w:tcMar>
                  <w:vAlign w:val="center"/>
                </w:tcPr>
                <w:p w14:paraId="012B80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含油铁屑</w:t>
                  </w:r>
                </w:p>
              </w:tc>
              <w:tc>
                <w:tcPr>
                  <w:tcW w:w="2728" w:type="dxa"/>
                  <w:tcBorders>
                    <w:tl2br w:val="nil"/>
                    <w:tr2bl w:val="nil"/>
                  </w:tcBorders>
                  <w:noWrap w:val="0"/>
                  <w:vAlign w:val="center"/>
                </w:tcPr>
                <w:p w14:paraId="071F1C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kern w:val="0"/>
                      <w:sz w:val="21"/>
                      <w:szCs w:val="21"/>
                      <w:lang w:val="en-US" w:eastAsia="zh-CN" w:bidi="ar"/>
                    </w:rPr>
                    <w:t>经甩干机甩干达到静置无滴漏后打包压块暂存于危废暂存间，定期外售钢铁企业作为冶炼原料，甩干过程产生的废液与废润滑油等一并处置</w:t>
                  </w:r>
                </w:p>
              </w:tc>
              <w:tc>
                <w:tcPr>
                  <w:tcW w:w="1095" w:type="dxa"/>
                  <w:tcBorders>
                    <w:tl2br w:val="nil"/>
                    <w:tr2bl w:val="nil"/>
                  </w:tcBorders>
                  <w:noWrap w:val="0"/>
                  <w:vAlign w:val="center"/>
                </w:tcPr>
                <w:p w14:paraId="7537D6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14:paraId="38DD3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6F08BD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14:paraId="4D0523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14:paraId="35E476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喷漆工序</w:t>
                  </w:r>
                </w:p>
              </w:tc>
              <w:tc>
                <w:tcPr>
                  <w:tcW w:w="1515" w:type="dxa"/>
                  <w:tcBorders>
                    <w:tl2br w:val="nil"/>
                    <w:tr2bl w:val="nil"/>
                  </w:tcBorders>
                  <w:noWrap w:val="0"/>
                  <w:tcMar>
                    <w:left w:w="28" w:type="dxa"/>
                    <w:right w:w="28" w:type="dxa"/>
                  </w:tcMar>
                  <w:vAlign w:val="center"/>
                </w:tcPr>
                <w:p w14:paraId="4A5F15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漆渣</w:t>
                  </w:r>
                </w:p>
              </w:tc>
              <w:tc>
                <w:tcPr>
                  <w:tcW w:w="2728" w:type="dxa"/>
                  <w:vMerge w:val="restart"/>
                  <w:tcBorders>
                    <w:tl2br w:val="nil"/>
                    <w:tr2bl w:val="nil"/>
                  </w:tcBorders>
                  <w:noWrap w:val="0"/>
                  <w:vAlign w:val="center"/>
                </w:tcPr>
                <w:p w14:paraId="73BDEA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kern w:val="0"/>
                      <w:sz w:val="21"/>
                      <w:szCs w:val="21"/>
                      <w:lang w:val="en-US" w:eastAsia="zh-CN" w:bidi="ar"/>
                    </w:rPr>
                    <w:t>暂存于危废暂存间，定期送有资质的危险废物处置单位处置</w:t>
                  </w:r>
                </w:p>
              </w:tc>
              <w:tc>
                <w:tcPr>
                  <w:tcW w:w="1095" w:type="dxa"/>
                  <w:tcBorders>
                    <w:tl2br w:val="nil"/>
                    <w:tr2bl w:val="nil"/>
                  </w:tcBorders>
                  <w:noWrap w:val="0"/>
                  <w:vAlign w:val="center"/>
                </w:tcPr>
                <w:p w14:paraId="5691F7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14:paraId="3805F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2E5F72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14:paraId="10B0D0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14:paraId="2BA4E0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喷漆工序</w:t>
                  </w:r>
                </w:p>
              </w:tc>
              <w:tc>
                <w:tcPr>
                  <w:tcW w:w="1515" w:type="dxa"/>
                  <w:tcBorders>
                    <w:tl2br w:val="nil"/>
                    <w:tr2bl w:val="nil"/>
                  </w:tcBorders>
                  <w:noWrap w:val="0"/>
                  <w:tcMar>
                    <w:left w:w="28" w:type="dxa"/>
                    <w:right w:w="28" w:type="dxa"/>
                  </w:tcMar>
                  <w:vAlign w:val="center"/>
                </w:tcPr>
                <w:p w14:paraId="6E2D69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油性漆及稀释剂废包装桶</w:t>
                  </w:r>
                </w:p>
              </w:tc>
              <w:tc>
                <w:tcPr>
                  <w:tcW w:w="2728" w:type="dxa"/>
                  <w:vMerge w:val="continue"/>
                  <w:tcBorders>
                    <w:tl2br w:val="nil"/>
                    <w:tr2bl w:val="nil"/>
                  </w:tcBorders>
                  <w:noWrap w:val="0"/>
                  <w:vAlign w:val="center"/>
                </w:tcPr>
                <w:p w14:paraId="1ADBE7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95" w:type="dxa"/>
                  <w:tcBorders>
                    <w:tl2br w:val="nil"/>
                    <w:tr2bl w:val="nil"/>
                  </w:tcBorders>
                  <w:noWrap w:val="0"/>
                  <w:vAlign w:val="center"/>
                </w:tcPr>
                <w:p w14:paraId="12D7F6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14:paraId="5EA60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0B095D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14:paraId="66A9FB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tcBorders>
                    <w:tl2br w:val="nil"/>
                    <w:tr2bl w:val="nil"/>
                  </w:tcBorders>
                  <w:noWrap w:val="0"/>
                  <w:tcMar>
                    <w:left w:w="28" w:type="dxa"/>
                    <w:right w:w="28" w:type="dxa"/>
                  </w:tcMar>
                  <w:vAlign w:val="center"/>
                </w:tcPr>
                <w:p w14:paraId="4087B0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kern w:val="0"/>
                      <w:sz w:val="21"/>
                      <w:szCs w:val="21"/>
                      <w:lang w:val="en-US" w:eastAsia="zh-CN" w:bidi="ar"/>
                    </w:rPr>
                    <w:t>设备运行与维护</w:t>
                  </w:r>
                </w:p>
              </w:tc>
              <w:tc>
                <w:tcPr>
                  <w:tcW w:w="1515" w:type="dxa"/>
                  <w:tcBorders>
                    <w:tl2br w:val="nil"/>
                    <w:tr2bl w:val="nil"/>
                  </w:tcBorders>
                  <w:noWrap w:val="0"/>
                  <w:tcMar>
                    <w:left w:w="28" w:type="dxa"/>
                    <w:right w:w="28" w:type="dxa"/>
                  </w:tcMar>
                  <w:vAlign w:val="center"/>
                </w:tcPr>
                <w:p w14:paraId="103B17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废油桶</w:t>
                  </w:r>
                </w:p>
              </w:tc>
              <w:tc>
                <w:tcPr>
                  <w:tcW w:w="2728" w:type="dxa"/>
                  <w:vMerge w:val="continue"/>
                  <w:tcBorders>
                    <w:tl2br w:val="nil"/>
                    <w:tr2bl w:val="nil"/>
                  </w:tcBorders>
                  <w:noWrap w:val="0"/>
                  <w:vAlign w:val="center"/>
                </w:tcPr>
                <w:p w14:paraId="647707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95" w:type="dxa"/>
                  <w:tcBorders>
                    <w:tl2br w:val="nil"/>
                    <w:tr2bl w:val="nil"/>
                  </w:tcBorders>
                  <w:noWrap w:val="0"/>
                  <w:vAlign w:val="center"/>
                </w:tcPr>
                <w:p w14:paraId="74106E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14:paraId="48CA5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7D923A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14:paraId="272339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vMerge w:val="restart"/>
                  <w:tcBorders>
                    <w:tl2br w:val="nil"/>
                    <w:tr2bl w:val="nil"/>
                  </w:tcBorders>
                  <w:noWrap w:val="0"/>
                  <w:tcMar>
                    <w:left w:w="28" w:type="dxa"/>
                    <w:right w:w="28" w:type="dxa"/>
                  </w:tcMar>
                  <w:vAlign w:val="center"/>
                </w:tcPr>
                <w:p w14:paraId="6AEC7B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kern w:val="0"/>
                      <w:sz w:val="21"/>
                      <w:szCs w:val="21"/>
                      <w:lang w:val="en-US" w:eastAsia="zh-CN" w:bidi="ar"/>
                    </w:rPr>
                    <w:t>涂装烘干废气处理过程</w:t>
                  </w:r>
                </w:p>
              </w:tc>
              <w:tc>
                <w:tcPr>
                  <w:tcW w:w="1515" w:type="dxa"/>
                  <w:tcBorders>
                    <w:tl2br w:val="nil"/>
                    <w:tr2bl w:val="nil"/>
                  </w:tcBorders>
                  <w:noWrap w:val="0"/>
                  <w:tcMar>
                    <w:left w:w="28" w:type="dxa"/>
                    <w:right w:w="28" w:type="dxa"/>
                  </w:tcMar>
                  <w:vAlign w:val="center"/>
                </w:tcPr>
                <w:p w14:paraId="352BCF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废过滤棉</w:t>
                  </w:r>
                </w:p>
              </w:tc>
              <w:tc>
                <w:tcPr>
                  <w:tcW w:w="2728" w:type="dxa"/>
                  <w:vMerge w:val="continue"/>
                  <w:tcBorders>
                    <w:tl2br w:val="nil"/>
                    <w:tr2bl w:val="nil"/>
                  </w:tcBorders>
                  <w:noWrap w:val="0"/>
                  <w:vAlign w:val="center"/>
                </w:tcPr>
                <w:p w14:paraId="7E15CF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95" w:type="dxa"/>
                  <w:tcBorders>
                    <w:tl2br w:val="nil"/>
                    <w:tr2bl w:val="nil"/>
                  </w:tcBorders>
                  <w:noWrap w:val="0"/>
                  <w:vAlign w:val="center"/>
                </w:tcPr>
                <w:p w14:paraId="79E1F1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14:paraId="42B50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4472BF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14:paraId="7D11AD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vMerge w:val="continue"/>
                  <w:tcBorders>
                    <w:tl2br w:val="nil"/>
                    <w:tr2bl w:val="nil"/>
                  </w:tcBorders>
                  <w:noWrap w:val="0"/>
                  <w:tcMar>
                    <w:left w:w="28" w:type="dxa"/>
                    <w:right w:w="28" w:type="dxa"/>
                  </w:tcMar>
                  <w:vAlign w:val="center"/>
                </w:tcPr>
                <w:p w14:paraId="40B8F4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515" w:type="dxa"/>
                  <w:tcBorders>
                    <w:tl2br w:val="nil"/>
                    <w:tr2bl w:val="nil"/>
                  </w:tcBorders>
                  <w:noWrap w:val="0"/>
                  <w:tcMar>
                    <w:left w:w="28" w:type="dxa"/>
                    <w:right w:w="28" w:type="dxa"/>
                  </w:tcMar>
                  <w:vAlign w:val="center"/>
                </w:tcPr>
                <w:p w14:paraId="61CC4E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废活性炭</w:t>
                  </w:r>
                </w:p>
              </w:tc>
              <w:tc>
                <w:tcPr>
                  <w:tcW w:w="2728" w:type="dxa"/>
                  <w:vMerge w:val="continue"/>
                  <w:tcBorders>
                    <w:tl2br w:val="nil"/>
                    <w:tr2bl w:val="nil"/>
                  </w:tcBorders>
                  <w:noWrap w:val="0"/>
                  <w:vAlign w:val="center"/>
                </w:tcPr>
                <w:p w14:paraId="05D660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95" w:type="dxa"/>
                  <w:tcBorders>
                    <w:tl2br w:val="nil"/>
                    <w:tr2bl w:val="nil"/>
                  </w:tcBorders>
                  <w:noWrap w:val="0"/>
                  <w:vAlign w:val="center"/>
                </w:tcPr>
                <w:p w14:paraId="3CB059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14:paraId="75691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0770E7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14:paraId="6FFDE0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vMerge w:val="continue"/>
                  <w:tcBorders>
                    <w:tl2br w:val="nil"/>
                    <w:tr2bl w:val="nil"/>
                  </w:tcBorders>
                  <w:noWrap w:val="0"/>
                  <w:tcMar>
                    <w:left w:w="28" w:type="dxa"/>
                    <w:right w:w="28" w:type="dxa"/>
                  </w:tcMar>
                  <w:vAlign w:val="center"/>
                </w:tcPr>
                <w:p w14:paraId="0B7CA6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515" w:type="dxa"/>
                  <w:tcBorders>
                    <w:tl2br w:val="nil"/>
                    <w:tr2bl w:val="nil"/>
                  </w:tcBorders>
                  <w:noWrap w:val="0"/>
                  <w:tcMar>
                    <w:left w:w="28" w:type="dxa"/>
                    <w:right w:w="28" w:type="dxa"/>
                  </w:tcMar>
                  <w:vAlign w:val="center"/>
                </w:tcPr>
                <w:p w14:paraId="2CD951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废催化剂</w:t>
                  </w:r>
                </w:p>
              </w:tc>
              <w:tc>
                <w:tcPr>
                  <w:tcW w:w="2728" w:type="dxa"/>
                  <w:vMerge w:val="continue"/>
                  <w:tcBorders>
                    <w:tl2br w:val="nil"/>
                    <w:tr2bl w:val="nil"/>
                  </w:tcBorders>
                  <w:noWrap w:val="0"/>
                  <w:vAlign w:val="center"/>
                </w:tcPr>
                <w:p w14:paraId="58EF77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95" w:type="dxa"/>
                  <w:tcBorders>
                    <w:tl2br w:val="nil"/>
                    <w:tr2bl w:val="nil"/>
                  </w:tcBorders>
                  <w:noWrap w:val="0"/>
                  <w:vAlign w:val="center"/>
                </w:tcPr>
                <w:p w14:paraId="5E6C03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14:paraId="549E2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4" w:type="dxa"/>
                  <w:vMerge w:val="continue"/>
                  <w:tcBorders>
                    <w:tl2br w:val="nil"/>
                    <w:tr2bl w:val="nil"/>
                  </w:tcBorders>
                  <w:noWrap w:val="0"/>
                  <w:tcMar>
                    <w:left w:w="28" w:type="dxa"/>
                    <w:right w:w="28" w:type="dxa"/>
                  </w:tcMar>
                  <w:vAlign w:val="center"/>
                </w:tcPr>
                <w:p w14:paraId="79A7FF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345" w:type="dxa"/>
                  <w:vMerge w:val="continue"/>
                  <w:tcBorders>
                    <w:tl2br w:val="nil"/>
                    <w:tr2bl w:val="nil"/>
                  </w:tcBorders>
                  <w:noWrap w:val="0"/>
                  <w:tcMar>
                    <w:left w:w="28" w:type="dxa"/>
                    <w:right w:w="28" w:type="dxa"/>
                  </w:tcMar>
                  <w:vAlign w:val="center"/>
                </w:tcPr>
                <w:p w14:paraId="25D113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697" w:type="dxa"/>
                  <w:gridSpan w:val="2"/>
                  <w:vMerge w:val="continue"/>
                  <w:tcBorders>
                    <w:tl2br w:val="nil"/>
                    <w:tr2bl w:val="nil"/>
                  </w:tcBorders>
                  <w:noWrap w:val="0"/>
                  <w:tcMar>
                    <w:left w:w="28" w:type="dxa"/>
                    <w:right w:w="28" w:type="dxa"/>
                  </w:tcMar>
                  <w:vAlign w:val="center"/>
                </w:tcPr>
                <w:p w14:paraId="7C8545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515" w:type="dxa"/>
                  <w:tcBorders>
                    <w:tl2br w:val="nil"/>
                    <w:tr2bl w:val="nil"/>
                  </w:tcBorders>
                  <w:noWrap w:val="0"/>
                  <w:tcMar>
                    <w:left w:w="28" w:type="dxa"/>
                    <w:right w:w="28" w:type="dxa"/>
                  </w:tcMar>
                  <w:vAlign w:val="center"/>
                </w:tcPr>
                <w:p w14:paraId="15E321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2"/>
                      <w:sz w:val="21"/>
                      <w:szCs w:val="21"/>
                      <w:lang w:val="en-US" w:eastAsia="zh-CN" w:bidi="ar-SA"/>
                    </w:rPr>
                    <w:t>废九宫格过滤材料</w:t>
                  </w:r>
                </w:p>
              </w:tc>
              <w:tc>
                <w:tcPr>
                  <w:tcW w:w="2728" w:type="dxa"/>
                  <w:vMerge w:val="continue"/>
                  <w:tcBorders>
                    <w:tl2br w:val="nil"/>
                    <w:tr2bl w:val="nil"/>
                  </w:tcBorders>
                  <w:noWrap w:val="0"/>
                  <w:vAlign w:val="center"/>
                </w:tcPr>
                <w:p w14:paraId="243A3E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95" w:type="dxa"/>
                  <w:tcBorders>
                    <w:tl2br w:val="nil"/>
                    <w:tr2bl w:val="nil"/>
                  </w:tcBorders>
                  <w:noWrap w:val="0"/>
                  <w:vAlign w:val="center"/>
                </w:tcPr>
                <w:p w14:paraId="24DCE1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bl>
          <w:p w14:paraId="196DF3F8">
            <w:pPr>
              <w:keepNext w:val="0"/>
              <w:keepLines w:val="0"/>
              <w:pageBreakBefore w:val="0"/>
              <w:widowControl w:val="0"/>
              <w:tabs>
                <w:tab w:val="left" w:pos="6310"/>
              </w:tabs>
              <w:kinsoku/>
              <w:wordWrap/>
              <w:overflowPunct/>
              <w:topLinePunct w:val="0"/>
              <w:autoSpaceDE/>
              <w:autoSpaceDN/>
              <w:bidi w:val="0"/>
              <w:spacing w:line="480" w:lineRule="exact"/>
              <w:ind w:right="0" w:firstLine="480" w:firstLineChars="200"/>
              <w:textAlignment w:val="auto"/>
              <w:outlineLvl w:val="9"/>
              <w:rPr>
                <w:rFonts w:hint="default"/>
                <w:color w:val="auto"/>
                <w:sz w:val="24"/>
                <w:szCs w:val="24"/>
                <w:lang w:val="en-US"/>
              </w:rPr>
            </w:pPr>
          </w:p>
        </w:tc>
      </w:tr>
      <w:tr w14:paraId="22891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23" w:type="dxa"/>
            <w:noWrap w:val="0"/>
            <w:vAlign w:val="center"/>
          </w:tcPr>
          <w:p w14:paraId="408D1102">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shd w:val="clear" w:color="auto" w:fill="auto"/>
              </w:rPr>
            </w:pPr>
            <w:r>
              <w:rPr>
                <w:rFonts w:hint="default" w:ascii="Times New Roman" w:hAnsi="Times New Roman" w:eastAsia="宋体" w:cs="Times New Roman"/>
                <w:bCs/>
                <w:color w:val="auto"/>
                <w:kern w:val="2"/>
                <w:sz w:val="24"/>
                <w:szCs w:val="24"/>
                <w:shd w:val="clear" w:color="auto" w:fill="auto"/>
              </w:rPr>
              <w:t>与项</w:t>
            </w:r>
          </w:p>
          <w:p w14:paraId="4CBF47CD">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shd w:val="clear" w:color="auto" w:fill="auto"/>
              </w:rPr>
            </w:pPr>
            <w:r>
              <w:rPr>
                <w:rFonts w:hint="default" w:ascii="Times New Roman" w:hAnsi="Times New Roman" w:eastAsia="宋体" w:cs="Times New Roman"/>
                <w:bCs/>
                <w:color w:val="auto"/>
                <w:kern w:val="2"/>
                <w:sz w:val="24"/>
                <w:szCs w:val="24"/>
                <w:shd w:val="clear" w:color="auto" w:fill="auto"/>
              </w:rPr>
              <w:t>目有关的原有环境污染问题</w:t>
            </w:r>
          </w:p>
        </w:tc>
        <w:tc>
          <w:tcPr>
            <w:tcW w:w="8342" w:type="dxa"/>
            <w:noWrap w:val="0"/>
            <w:vAlign w:val="top"/>
          </w:tcPr>
          <w:p w14:paraId="5BFB2E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color w:val="auto"/>
                <w:lang w:eastAsia="zh-CN"/>
              </w:rPr>
            </w:pPr>
            <w:r>
              <w:rPr>
                <w:rFonts w:hint="eastAsia"/>
                <w:color w:val="auto"/>
              </w:rPr>
              <w:t>本项目属于新建项目，</w:t>
            </w:r>
            <w:r>
              <w:rPr>
                <w:rFonts w:hint="eastAsia" w:cs="Times New Roman"/>
                <w:color w:val="auto"/>
                <w:kern w:val="2"/>
                <w:sz w:val="24"/>
                <w:szCs w:val="24"/>
                <w:highlight w:val="none"/>
                <w:lang w:val="en-US" w:eastAsia="zh-CN" w:bidi="ar-SA"/>
              </w:rPr>
              <w:t>租用</w:t>
            </w:r>
            <w:r>
              <w:rPr>
                <w:rFonts w:hint="eastAsia"/>
                <w:color w:val="auto"/>
                <w:sz w:val="24"/>
                <w:szCs w:val="24"/>
                <w:shd w:val="clear" w:color="auto" w:fill="auto"/>
                <w:lang w:val="en-US" w:eastAsia="zh-CN"/>
              </w:rPr>
              <w:t>梁各庄村闲置厂房，原有厂房已闲置多年，厂房内原有设备均已拆除，不存在遗留环境问题。本项目对现有厂房进行改造，并</w:t>
            </w:r>
            <w:r>
              <w:rPr>
                <w:rFonts w:hint="eastAsia"/>
                <w:color w:val="auto"/>
              </w:rPr>
              <w:t>进行设备安装。</w:t>
            </w:r>
            <w:r>
              <w:rPr>
                <w:rFonts w:hint="default"/>
                <w:color w:val="auto"/>
              </w:rPr>
              <w:t>根据现场勘查，</w:t>
            </w:r>
            <w:r>
              <w:rPr>
                <w:rFonts w:hint="eastAsia"/>
                <w:color w:val="auto"/>
              </w:rPr>
              <w:t>项目场地无原有污染情况及环境问题</w:t>
            </w:r>
            <w:r>
              <w:rPr>
                <w:rFonts w:hint="eastAsia"/>
                <w:color w:val="auto"/>
                <w:lang w:eastAsia="zh-CN"/>
              </w:rPr>
              <w:t>。</w:t>
            </w:r>
          </w:p>
          <w:p w14:paraId="7BDEEF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p>
          <w:p w14:paraId="6D0543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color w:val="auto"/>
                <w:lang w:eastAsia="zh-CN"/>
              </w:rPr>
            </w:pPr>
          </w:p>
          <w:p w14:paraId="490887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p>
          <w:p w14:paraId="6779C0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p>
          <w:p w14:paraId="022569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p>
          <w:p w14:paraId="7E5FD3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p>
          <w:p w14:paraId="3DC993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p>
          <w:p w14:paraId="439C74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p>
          <w:p w14:paraId="53F56F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p>
          <w:p w14:paraId="392047C4">
            <w:pPr>
              <w:keepNext w:val="0"/>
              <w:keepLines w:val="0"/>
              <w:pageBreakBefore w:val="0"/>
              <w:kinsoku/>
              <w:wordWrap/>
              <w:overflowPunct/>
              <w:topLinePunct w:val="0"/>
              <w:bidi w:val="0"/>
              <w:ind w:left="0" w:leftChars="0" w:right="0" w:rightChars="0" w:firstLine="0" w:firstLineChars="0"/>
              <w:textAlignment w:val="auto"/>
              <w:rPr>
                <w:rFonts w:hint="eastAsia"/>
                <w:color w:val="auto"/>
                <w:lang w:val="en-US" w:eastAsia="zh-CN"/>
              </w:rPr>
            </w:pPr>
          </w:p>
        </w:tc>
      </w:tr>
    </w:tbl>
    <w:p w14:paraId="292017E0">
      <w:r>
        <w:br w:type="page"/>
      </w:r>
    </w:p>
    <w:p w14:paraId="2AC42E5A">
      <w:pPr>
        <w:pStyle w:val="18"/>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Times New Roman"/>
          <w:snapToGrid w:val="0"/>
          <w:color w:val="0070C0"/>
          <w:sz w:val="30"/>
          <w:szCs w:val="30"/>
        </w:rPr>
      </w:pPr>
      <w:r>
        <w:rPr>
          <w:rFonts w:hint="eastAsia" w:ascii="黑体" w:hAnsi="黑体" w:eastAsia="黑体" w:cs="Times New Roman"/>
          <w:snapToGrid w:val="0"/>
          <w:color w:val="auto"/>
          <w:sz w:val="30"/>
          <w:szCs w:val="30"/>
        </w:rPr>
        <w:t>三、区域环境质量现状、环境保护目标及评价标准</w:t>
      </w:r>
    </w:p>
    <w:tbl>
      <w:tblPr>
        <w:tblStyle w:val="20"/>
        <w:tblW w:w="93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510"/>
      </w:tblGrid>
      <w:tr w14:paraId="2E8A6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800" w:type="dxa"/>
            <w:noWrap w:val="0"/>
            <w:vAlign w:val="center"/>
          </w:tcPr>
          <w:p w14:paraId="510B36B2">
            <w:pPr>
              <w:pStyle w:val="27"/>
              <w:bidi w:val="0"/>
              <w:rPr>
                <w:rFonts w:hint="eastAsia"/>
                <w:color w:val="auto"/>
              </w:rPr>
            </w:pPr>
            <w:r>
              <w:rPr>
                <w:rFonts w:hint="eastAsia"/>
                <w:color w:val="auto"/>
              </w:rPr>
              <w:t>区域</w:t>
            </w:r>
          </w:p>
          <w:p w14:paraId="675E5488">
            <w:pPr>
              <w:pStyle w:val="27"/>
              <w:bidi w:val="0"/>
              <w:rPr>
                <w:rFonts w:hint="eastAsia"/>
                <w:color w:val="auto"/>
              </w:rPr>
            </w:pPr>
            <w:r>
              <w:rPr>
                <w:rFonts w:hint="eastAsia"/>
                <w:color w:val="auto"/>
              </w:rPr>
              <w:t>环境</w:t>
            </w:r>
          </w:p>
          <w:p w14:paraId="20881708">
            <w:pPr>
              <w:pStyle w:val="27"/>
              <w:bidi w:val="0"/>
              <w:rPr>
                <w:rFonts w:hint="eastAsia"/>
                <w:color w:val="auto"/>
              </w:rPr>
            </w:pPr>
            <w:r>
              <w:rPr>
                <w:rFonts w:hint="eastAsia"/>
                <w:color w:val="auto"/>
              </w:rPr>
              <w:t>质量</w:t>
            </w:r>
          </w:p>
          <w:p w14:paraId="4812A769">
            <w:pPr>
              <w:pStyle w:val="27"/>
              <w:bidi w:val="0"/>
              <w:rPr>
                <w:color w:val="0070C0"/>
              </w:rPr>
            </w:pPr>
            <w:r>
              <w:rPr>
                <w:rFonts w:hint="eastAsia"/>
                <w:color w:val="auto"/>
              </w:rPr>
              <w:t>现状</w:t>
            </w:r>
          </w:p>
        </w:tc>
        <w:tc>
          <w:tcPr>
            <w:tcW w:w="8510" w:type="dxa"/>
            <w:noWrap w:val="0"/>
            <w:vAlign w:val="center"/>
          </w:tcPr>
          <w:p w14:paraId="4CC0CEC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b/>
                <w:bCs/>
                <w:color w:val="auto"/>
              </w:rPr>
            </w:pPr>
            <w:r>
              <w:rPr>
                <w:rFonts w:hint="default"/>
                <w:b/>
                <w:bCs/>
                <w:color w:val="auto"/>
              </w:rPr>
              <w:t>1</w:t>
            </w:r>
            <w:r>
              <w:rPr>
                <w:rFonts w:hint="eastAsia"/>
                <w:b/>
                <w:bCs/>
                <w:color w:val="auto"/>
                <w:lang w:eastAsia="zh-CN"/>
              </w:rPr>
              <w:t>、</w:t>
            </w:r>
            <w:r>
              <w:rPr>
                <w:rFonts w:hint="default"/>
                <w:b/>
                <w:bCs/>
                <w:color w:val="auto"/>
              </w:rPr>
              <w:t>环境空气</w:t>
            </w:r>
          </w:p>
          <w:p w14:paraId="08D69294">
            <w:pPr>
              <w:bidi w:val="0"/>
              <w:rPr>
                <w:rFonts w:hint="default"/>
                <w:color w:val="auto"/>
              </w:rPr>
            </w:pPr>
            <w:r>
              <w:rPr>
                <w:rFonts w:hint="eastAsia"/>
                <w:color w:val="auto"/>
              </w:rPr>
              <w:t>（1）</w:t>
            </w:r>
            <w:r>
              <w:rPr>
                <w:rFonts w:hint="default"/>
                <w:color w:val="auto"/>
              </w:rPr>
              <w:t>项目所在区域环境质量达标情况</w:t>
            </w:r>
          </w:p>
          <w:p w14:paraId="044E5A14">
            <w:pPr>
              <w:bidi w:val="0"/>
              <w:rPr>
                <w:rFonts w:hint="default"/>
                <w:color w:val="auto"/>
              </w:rPr>
            </w:pPr>
            <w:r>
              <w:rPr>
                <w:rFonts w:hint="default"/>
                <w:color w:val="auto"/>
              </w:rPr>
              <w:t>项目所在区域环境空气质量现状数据采用唐山市生态环境局公开发布的</w:t>
            </w:r>
            <w:r>
              <w:rPr>
                <w:rFonts w:hint="default"/>
                <w:color w:val="auto"/>
                <w:lang w:val="zh-CN"/>
              </w:rPr>
              <w:t>《20</w:t>
            </w:r>
            <w:r>
              <w:rPr>
                <w:rFonts w:hint="eastAsia"/>
                <w:color w:val="auto"/>
                <w:lang w:val="en-US" w:eastAsia="zh-CN"/>
              </w:rPr>
              <w:t>20</w:t>
            </w:r>
            <w:r>
              <w:rPr>
                <w:rFonts w:hint="default"/>
                <w:color w:val="auto"/>
                <w:lang w:val="zh-CN"/>
              </w:rPr>
              <w:t>年唐山市环境状况公报》中唐山市空气质量数据，</w:t>
            </w:r>
            <w:r>
              <w:rPr>
                <w:rFonts w:hint="default"/>
                <w:color w:val="auto"/>
              </w:rPr>
              <w:t>具体情况见下表。</w:t>
            </w:r>
          </w:p>
          <w:p w14:paraId="65C3A523">
            <w:pPr>
              <w:pStyle w:val="34"/>
              <w:bidi w:val="0"/>
              <w:rPr>
                <w:rFonts w:hint="default"/>
                <w:color w:val="auto"/>
              </w:rPr>
            </w:pPr>
            <w:r>
              <w:rPr>
                <w:rFonts w:hint="default"/>
                <w:color w:val="auto"/>
                <w:sz w:val="21"/>
                <w:szCs w:val="21"/>
              </w:rPr>
              <w:t>表</w:t>
            </w:r>
            <w:r>
              <w:rPr>
                <w:rFonts w:hint="eastAsia"/>
                <w:color w:val="auto"/>
                <w:sz w:val="21"/>
                <w:szCs w:val="21"/>
                <w:lang w:val="en-US" w:eastAsia="zh-CN"/>
              </w:rPr>
              <w:t xml:space="preserve">16  </w:t>
            </w:r>
            <w:r>
              <w:rPr>
                <w:rFonts w:hint="default"/>
                <w:color w:val="auto"/>
                <w:sz w:val="21"/>
                <w:szCs w:val="21"/>
              </w:rPr>
              <w:t>20</w:t>
            </w:r>
            <w:r>
              <w:rPr>
                <w:rFonts w:hint="eastAsia"/>
                <w:color w:val="auto"/>
                <w:sz w:val="21"/>
                <w:szCs w:val="21"/>
                <w:lang w:val="en-US" w:eastAsia="zh-CN"/>
              </w:rPr>
              <w:t>20</w:t>
            </w:r>
            <w:r>
              <w:rPr>
                <w:rFonts w:hint="default"/>
                <w:color w:val="auto"/>
                <w:sz w:val="21"/>
                <w:szCs w:val="21"/>
              </w:rPr>
              <w:t>年区域环境质量现状评价表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02"/>
              <w:gridCol w:w="1813"/>
              <w:gridCol w:w="1625"/>
              <w:gridCol w:w="1500"/>
              <w:gridCol w:w="1199"/>
              <w:gridCol w:w="1127"/>
            </w:tblGrid>
            <w:tr w14:paraId="4268E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2" w:type="dxa"/>
                  <w:tcBorders>
                    <w:tl2br w:val="nil"/>
                    <w:tr2bl w:val="nil"/>
                  </w:tcBorders>
                  <w:noWrap w:val="0"/>
                  <w:vAlign w:val="center"/>
                </w:tcPr>
                <w:p w14:paraId="334E30A2">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污染物</w:t>
                  </w:r>
                </w:p>
              </w:tc>
              <w:tc>
                <w:tcPr>
                  <w:tcW w:w="1813" w:type="dxa"/>
                  <w:tcBorders>
                    <w:tl2br w:val="nil"/>
                    <w:tr2bl w:val="nil"/>
                  </w:tcBorders>
                  <w:noWrap w:val="0"/>
                  <w:vAlign w:val="center"/>
                </w:tcPr>
                <w:p w14:paraId="708F98A1">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年评价指标</w:t>
                  </w:r>
                </w:p>
              </w:tc>
              <w:tc>
                <w:tcPr>
                  <w:tcW w:w="1625" w:type="dxa"/>
                  <w:tcBorders>
                    <w:tl2br w:val="nil"/>
                    <w:tr2bl w:val="nil"/>
                  </w:tcBorders>
                  <w:noWrap w:val="0"/>
                  <w:vAlign w:val="center"/>
                </w:tcPr>
                <w:p w14:paraId="24B44CE0">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现状浓度</w:t>
                  </w:r>
                  <w:r>
                    <w:rPr>
                      <w:rFonts w:hint="eastAsia"/>
                      <w:color w:val="auto"/>
                      <w:sz w:val="21"/>
                      <w:szCs w:val="21"/>
                      <w:lang w:eastAsia="zh-CN"/>
                    </w:rPr>
                    <w:t>（</w:t>
                  </w:r>
                  <w:r>
                    <w:rPr>
                      <w:rFonts w:hint="default"/>
                      <w:color w:val="auto"/>
                      <w:sz w:val="21"/>
                      <w:szCs w:val="21"/>
                    </w:rPr>
                    <w:t>μg/m</w:t>
                  </w:r>
                  <w:r>
                    <w:rPr>
                      <w:rFonts w:hint="default"/>
                      <w:color w:val="auto"/>
                      <w:sz w:val="21"/>
                      <w:szCs w:val="21"/>
                      <w:vertAlign w:val="superscript"/>
                    </w:rPr>
                    <w:t>3</w:t>
                  </w:r>
                  <w:r>
                    <w:rPr>
                      <w:rFonts w:hint="eastAsia"/>
                      <w:color w:val="auto"/>
                      <w:sz w:val="21"/>
                      <w:szCs w:val="21"/>
                      <w:lang w:eastAsia="zh-CN"/>
                    </w:rPr>
                    <w:t>）</w:t>
                  </w:r>
                </w:p>
              </w:tc>
              <w:tc>
                <w:tcPr>
                  <w:tcW w:w="1500" w:type="dxa"/>
                  <w:tcBorders>
                    <w:tl2br w:val="nil"/>
                    <w:tr2bl w:val="nil"/>
                  </w:tcBorders>
                  <w:noWrap w:val="0"/>
                  <w:vAlign w:val="center"/>
                </w:tcPr>
                <w:p w14:paraId="6305BCCA">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标准值</w:t>
                  </w:r>
                  <w:r>
                    <w:rPr>
                      <w:rFonts w:hint="eastAsia"/>
                      <w:color w:val="auto"/>
                      <w:sz w:val="21"/>
                      <w:szCs w:val="21"/>
                      <w:lang w:eastAsia="zh-CN"/>
                    </w:rPr>
                    <w:t>（</w:t>
                  </w:r>
                  <w:r>
                    <w:rPr>
                      <w:rFonts w:hint="default"/>
                      <w:color w:val="auto"/>
                      <w:sz w:val="21"/>
                      <w:szCs w:val="21"/>
                    </w:rPr>
                    <w:t>μg/m</w:t>
                  </w:r>
                  <w:r>
                    <w:rPr>
                      <w:rFonts w:hint="default"/>
                      <w:color w:val="auto"/>
                      <w:sz w:val="21"/>
                      <w:szCs w:val="21"/>
                      <w:vertAlign w:val="superscript"/>
                    </w:rPr>
                    <w:t>3</w:t>
                  </w:r>
                  <w:r>
                    <w:rPr>
                      <w:rFonts w:hint="eastAsia"/>
                      <w:color w:val="auto"/>
                      <w:sz w:val="21"/>
                      <w:szCs w:val="21"/>
                      <w:lang w:eastAsia="zh-CN"/>
                    </w:rPr>
                    <w:t>）</w:t>
                  </w:r>
                </w:p>
              </w:tc>
              <w:tc>
                <w:tcPr>
                  <w:tcW w:w="1199" w:type="dxa"/>
                  <w:tcBorders>
                    <w:tl2br w:val="nil"/>
                    <w:tr2bl w:val="nil"/>
                  </w:tcBorders>
                  <w:noWrap w:val="0"/>
                  <w:vAlign w:val="center"/>
                </w:tcPr>
                <w:p w14:paraId="45FC6F66">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占标率</w:t>
                  </w:r>
                  <w:r>
                    <w:rPr>
                      <w:rFonts w:hint="eastAsia"/>
                      <w:color w:val="auto"/>
                      <w:sz w:val="21"/>
                      <w:szCs w:val="21"/>
                      <w:lang w:eastAsia="zh-CN"/>
                    </w:rPr>
                    <w:t>（</w:t>
                  </w:r>
                  <w:r>
                    <w:rPr>
                      <w:rFonts w:hint="default"/>
                      <w:color w:val="auto"/>
                      <w:sz w:val="21"/>
                      <w:szCs w:val="21"/>
                    </w:rPr>
                    <w:t>%</w:t>
                  </w:r>
                  <w:r>
                    <w:rPr>
                      <w:rFonts w:hint="eastAsia"/>
                      <w:color w:val="auto"/>
                      <w:sz w:val="21"/>
                      <w:szCs w:val="21"/>
                      <w:lang w:eastAsia="zh-CN"/>
                    </w:rPr>
                    <w:t>）</w:t>
                  </w:r>
                </w:p>
              </w:tc>
              <w:tc>
                <w:tcPr>
                  <w:tcW w:w="1127" w:type="dxa"/>
                  <w:tcBorders>
                    <w:tl2br w:val="nil"/>
                    <w:tr2bl w:val="nil"/>
                  </w:tcBorders>
                  <w:noWrap w:val="0"/>
                  <w:vAlign w:val="center"/>
                </w:tcPr>
                <w:p w14:paraId="564D44EA">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达标情况</w:t>
                  </w:r>
                </w:p>
              </w:tc>
            </w:tr>
            <w:tr w14:paraId="32C17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2" w:type="dxa"/>
                  <w:tcBorders>
                    <w:tl2br w:val="nil"/>
                    <w:tr2bl w:val="nil"/>
                  </w:tcBorders>
                  <w:noWrap w:val="0"/>
                  <w:vAlign w:val="center"/>
                </w:tcPr>
                <w:p w14:paraId="64336D13">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SO</w:t>
                  </w:r>
                  <w:r>
                    <w:rPr>
                      <w:rFonts w:hint="default"/>
                      <w:color w:val="auto"/>
                      <w:sz w:val="21"/>
                      <w:szCs w:val="21"/>
                      <w:vertAlign w:val="subscript"/>
                    </w:rPr>
                    <w:t>2</w:t>
                  </w:r>
                </w:p>
              </w:tc>
              <w:tc>
                <w:tcPr>
                  <w:tcW w:w="1813" w:type="dxa"/>
                  <w:tcBorders>
                    <w:tl2br w:val="nil"/>
                    <w:tr2bl w:val="nil"/>
                  </w:tcBorders>
                  <w:noWrap w:val="0"/>
                  <w:vAlign w:val="center"/>
                </w:tcPr>
                <w:p w14:paraId="3AC86CC7">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年平均质量浓度</w:t>
                  </w:r>
                </w:p>
              </w:tc>
              <w:tc>
                <w:tcPr>
                  <w:tcW w:w="1625" w:type="dxa"/>
                  <w:tcBorders>
                    <w:tl2br w:val="nil"/>
                    <w:tr2bl w:val="nil"/>
                  </w:tcBorders>
                  <w:noWrap w:val="0"/>
                  <w:vAlign w:val="center"/>
                </w:tcPr>
                <w:p w14:paraId="68126BD2">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18</w:t>
                  </w:r>
                </w:p>
              </w:tc>
              <w:tc>
                <w:tcPr>
                  <w:tcW w:w="1500" w:type="dxa"/>
                  <w:tcBorders>
                    <w:tl2br w:val="nil"/>
                    <w:tr2bl w:val="nil"/>
                  </w:tcBorders>
                  <w:noWrap w:val="0"/>
                  <w:vAlign w:val="center"/>
                </w:tcPr>
                <w:p w14:paraId="44C18834">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60</w:t>
                  </w:r>
                </w:p>
              </w:tc>
              <w:tc>
                <w:tcPr>
                  <w:tcW w:w="1199" w:type="dxa"/>
                  <w:tcBorders>
                    <w:tl2br w:val="nil"/>
                    <w:tr2bl w:val="nil"/>
                  </w:tcBorders>
                  <w:noWrap w:val="0"/>
                  <w:vAlign w:val="center"/>
                </w:tcPr>
                <w:p w14:paraId="49D1F85D">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30</w:t>
                  </w:r>
                </w:p>
              </w:tc>
              <w:tc>
                <w:tcPr>
                  <w:tcW w:w="1127" w:type="dxa"/>
                  <w:tcBorders>
                    <w:tl2br w:val="nil"/>
                    <w:tr2bl w:val="nil"/>
                  </w:tcBorders>
                  <w:noWrap w:val="0"/>
                  <w:vAlign w:val="center"/>
                </w:tcPr>
                <w:p w14:paraId="6753306F">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达标</w:t>
                  </w:r>
                </w:p>
              </w:tc>
            </w:tr>
            <w:tr w14:paraId="05213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2" w:type="dxa"/>
                  <w:tcBorders>
                    <w:tl2br w:val="nil"/>
                    <w:tr2bl w:val="nil"/>
                  </w:tcBorders>
                  <w:noWrap w:val="0"/>
                  <w:vAlign w:val="center"/>
                </w:tcPr>
                <w:p w14:paraId="750911F8">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NO</w:t>
                  </w:r>
                  <w:r>
                    <w:rPr>
                      <w:rFonts w:hint="default"/>
                      <w:color w:val="auto"/>
                      <w:sz w:val="21"/>
                      <w:szCs w:val="21"/>
                      <w:vertAlign w:val="subscript"/>
                    </w:rPr>
                    <w:t>2</w:t>
                  </w:r>
                </w:p>
              </w:tc>
              <w:tc>
                <w:tcPr>
                  <w:tcW w:w="1813" w:type="dxa"/>
                  <w:tcBorders>
                    <w:tl2br w:val="nil"/>
                    <w:tr2bl w:val="nil"/>
                  </w:tcBorders>
                  <w:noWrap w:val="0"/>
                  <w:vAlign w:val="center"/>
                </w:tcPr>
                <w:p w14:paraId="5D02020E">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年平均质量浓度</w:t>
                  </w:r>
                </w:p>
              </w:tc>
              <w:tc>
                <w:tcPr>
                  <w:tcW w:w="1625" w:type="dxa"/>
                  <w:tcBorders>
                    <w:tl2br w:val="nil"/>
                    <w:tr2bl w:val="nil"/>
                  </w:tcBorders>
                  <w:noWrap w:val="0"/>
                  <w:vAlign w:val="center"/>
                </w:tcPr>
                <w:p w14:paraId="6E5973EB">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46</w:t>
                  </w:r>
                </w:p>
              </w:tc>
              <w:tc>
                <w:tcPr>
                  <w:tcW w:w="1500" w:type="dxa"/>
                  <w:tcBorders>
                    <w:tl2br w:val="nil"/>
                    <w:tr2bl w:val="nil"/>
                  </w:tcBorders>
                  <w:noWrap w:val="0"/>
                  <w:vAlign w:val="center"/>
                </w:tcPr>
                <w:p w14:paraId="119603CE">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40</w:t>
                  </w:r>
                </w:p>
              </w:tc>
              <w:tc>
                <w:tcPr>
                  <w:tcW w:w="1199" w:type="dxa"/>
                  <w:tcBorders>
                    <w:tl2br w:val="nil"/>
                    <w:tr2bl w:val="nil"/>
                  </w:tcBorders>
                  <w:noWrap w:val="0"/>
                  <w:vAlign w:val="center"/>
                </w:tcPr>
                <w:p w14:paraId="57B85340">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115</w:t>
                  </w:r>
                </w:p>
              </w:tc>
              <w:tc>
                <w:tcPr>
                  <w:tcW w:w="1127" w:type="dxa"/>
                  <w:tcBorders>
                    <w:tl2br w:val="nil"/>
                    <w:tr2bl w:val="nil"/>
                  </w:tcBorders>
                  <w:noWrap w:val="0"/>
                  <w:vAlign w:val="center"/>
                </w:tcPr>
                <w:p w14:paraId="387C2434">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超标</w:t>
                  </w:r>
                </w:p>
              </w:tc>
            </w:tr>
            <w:tr w14:paraId="20BF5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2" w:type="dxa"/>
                  <w:tcBorders>
                    <w:tl2br w:val="nil"/>
                    <w:tr2bl w:val="nil"/>
                  </w:tcBorders>
                  <w:noWrap w:val="0"/>
                  <w:vAlign w:val="center"/>
                </w:tcPr>
                <w:p w14:paraId="2473EBF3">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PM</w:t>
                  </w:r>
                  <w:r>
                    <w:rPr>
                      <w:rFonts w:hint="default"/>
                      <w:color w:val="auto"/>
                      <w:sz w:val="21"/>
                      <w:szCs w:val="21"/>
                      <w:vertAlign w:val="subscript"/>
                    </w:rPr>
                    <w:t>10</w:t>
                  </w:r>
                </w:p>
              </w:tc>
              <w:tc>
                <w:tcPr>
                  <w:tcW w:w="1813" w:type="dxa"/>
                  <w:tcBorders>
                    <w:tl2br w:val="nil"/>
                    <w:tr2bl w:val="nil"/>
                  </w:tcBorders>
                  <w:noWrap w:val="0"/>
                  <w:vAlign w:val="center"/>
                </w:tcPr>
                <w:p w14:paraId="5FF4A771">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年平均质量浓度</w:t>
                  </w:r>
                </w:p>
              </w:tc>
              <w:tc>
                <w:tcPr>
                  <w:tcW w:w="1625" w:type="dxa"/>
                  <w:tcBorders>
                    <w:tl2br w:val="nil"/>
                    <w:tr2bl w:val="nil"/>
                  </w:tcBorders>
                  <w:noWrap w:val="0"/>
                  <w:vAlign w:val="center"/>
                </w:tcPr>
                <w:p w14:paraId="79211E55">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88</w:t>
                  </w:r>
                </w:p>
              </w:tc>
              <w:tc>
                <w:tcPr>
                  <w:tcW w:w="1500" w:type="dxa"/>
                  <w:tcBorders>
                    <w:tl2br w:val="nil"/>
                    <w:tr2bl w:val="nil"/>
                  </w:tcBorders>
                  <w:noWrap w:val="0"/>
                  <w:vAlign w:val="center"/>
                </w:tcPr>
                <w:p w14:paraId="0DE55D88">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70</w:t>
                  </w:r>
                </w:p>
              </w:tc>
              <w:tc>
                <w:tcPr>
                  <w:tcW w:w="1199" w:type="dxa"/>
                  <w:tcBorders>
                    <w:tl2br w:val="nil"/>
                    <w:tr2bl w:val="nil"/>
                  </w:tcBorders>
                  <w:noWrap w:val="0"/>
                  <w:vAlign w:val="center"/>
                </w:tcPr>
                <w:p w14:paraId="36DA2B68">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default"/>
                      <w:color w:val="auto"/>
                      <w:sz w:val="21"/>
                      <w:szCs w:val="21"/>
                    </w:rPr>
                    <w:t>1</w:t>
                  </w:r>
                  <w:r>
                    <w:rPr>
                      <w:rFonts w:hint="eastAsia"/>
                      <w:color w:val="auto"/>
                      <w:sz w:val="21"/>
                      <w:szCs w:val="21"/>
                      <w:lang w:val="en-US" w:eastAsia="zh-CN"/>
                    </w:rPr>
                    <w:t>25.71</w:t>
                  </w:r>
                </w:p>
              </w:tc>
              <w:tc>
                <w:tcPr>
                  <w:tcW w:w="1127" w:type="dxa"/>
                  <w:tcBorders>
                    <w:tl2br w:val="nil"/>
                    <w:tr2bl w:val="nil"/>
                  </w:tcBorders>
                  <w:noWrap w:val="0"/>
                  <w:vAlign w:val="center"/>
                </w:tcPr>
                <w:p w14:paraId="7849B53E">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超标</w:t>
                  </w:r>
                </w:p>
              </w:tc>
            </w:tr>
            <w:tr w14:paraId="5233F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2" w:type="dxa"/>
                  <w:tcBorders>
                    <w:tl2br w:val="nil"/>
                    <w:tr2bl w:val="nil"/>
                  </w:tcBorders>
                  <w:noWrap w:val="0"/>
                  <w:vAlign w:val="center"/>
                </w:tcPr>
                <w:p w14:paraId="2EDDD295">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PM</w:t>
                  </w:r>
                  <w:r>
                    <w:rPr>
                      <w:rFonts w:hint="default"/>
                      <w:color w:val="auto"/>
                      <w:sz w:val="21"/>
                      <w:szCs w:val="21"/>
                      <w:vertAlign w:val="subscript"/>
                    </w:rPr>
                    <w:t>2.5</w:t>
                  </w:r>
                </w:p>
              </w:tc>
              <w:tc>
                <w:tcPr>
                  <w:tcW w:w="1813" w:type="dxa"/>
                  <w:tcBorders>
                    <w:tl2br w:val="nil"/>
                    <w:tr2bl w:val="nil"/>
                  </w:tcBorders>
                  <w:noWrap w:val="0"/>
                  <w:vAlign w:val="center"/>
                </w:tcPr>
                <w:p w14:paraId="2B7621B6">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年平均质量浓度</w:t>
                  </w:r>
                </w:p>
              </w:tc>
              <w:tc>
                <w:tcPr>
                  <w:tcW w:w="1625" w:type="dxa"/>
                  <w:tcBorders>
                    <w:tl2br w:val="nil"/>
                    <w:tr2bl w:val="nil"/>
                  </w:tcBorders>
                  <w:noWrap w:val="0"/>
                  <w:vAlign w:val="center"/>
                </w:tcPr>
                <w:p w14:paraId="5EBDA69B">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49</w:t>
                  </w:r>
                </w:p>
              </w:tc>
              <w:tc>
                <w:tcPr>
                  <w:tcW w:w="1500" w:type="dxa"/>
                  <w:tcBorders>
                    <w:tl2br w:val="nil"/>
                    <w:tr2bl w:val="nil"/>
                  </w:tcBorders>
                  <w:noWrap w:val="0"/>
                  <w:vAlign w:val="center"/>
                </w:tcPr>
                <w:p w14:paraId="3362721D">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35</w:t>
                  </w:r>
                </w:p>
              </w:tc>
              <w:tc>
                <w:tcPr>
                  <w:tcW w:w="1199" w:type="dxa"/>
                  <w:tcBorders>
                    <w:tl2br w:val="nil"/>
                    <w:tr2bl w:val="nil"/>
                  </w:tcBorders>
                  <w:noWrap w:val="0"/>
                  <w:vAlign w:val="center"/>
                </w:tcPr>
                <w:p w14:paraId="21038026">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default"/>
                      <w:color w:val="auto"/>
                      <w:sz w:val="21"/>
                      <w:szCs w:val="21"/>
                    </w:rPr>
                    <w:t>1</w:t>
                  </w:r>
                  <w:r>
                    <w:rPr>
                      <w:rFonts w:hint="eastAsia"/>
                      <w:color w:val="auto"/>
                      <w:sz w:val="21"/>
                      <w:szCs w:val="21"/>
                      <w:lang w:val="en-US" w:eastAsia="zh-CN"/>
                    </w:rPr>
                    <w:t>40</w:t>
                  </w:r>
                </w:p>
              </w:tc>
              <w:tc>
                <w:tcPr>
                  <w:tcW w:w="1127" w:type="dxa"/>
                  <w:tcBorders>
                    <w:tl2br w:val="nil"/>
                    <w:tr2bl w:val="nil"/>
                  </w:tcBorders>
                  <w:noWrap w:val="0"/>
                  <w:vAlign w:val="center"/>
                </w:tcPr>
                <w:p w14:paraId="56F1E730">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超标</w:t>
                  </w:r>
                </w:p>
              </w:tc>
            </w:tr>
            <w:tr w14:paraId="726D96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2" w:type="dxa"/>
                  <w:tcBorders>
                    <w:tl2br w:val="nil"/>
                    <w:tr2bl w:val="nil"/>
                  </w:tcBorders>
                  <w:noWrap w:val="0"/>
                  <w:vAlign w:val="center"/>
                </w:tcPr>
                <w:p w14:paraId="446B29E8">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CO</w:t>
                  </w:r>
                </w:p>
              </w:tc>
              <w:tc>
                <w:tcPr>
                  <w:tcW w:w="1813" w:type="dxa"/>
                  <w:tcBorders>
                    <w:tl2br w:val="nil"/>
                    <w:tr2bl w:val="nil"/>
                  </w:tcBorders>
                  <w:noWrap w:val="0"/>
                  <w:vAlign w:val="center"/>
                </w:tcPr>
                <w:p w14:paraId="35C4E2DF">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日平均质量浓度</w:t>
                  </w:r>
                </w:p>
              </w:tc>
              <w:tc>
                <w:tcPr>
                  <w:tcW w:w="1625" w:type="dxa"/>
                  <w:tcBorders>
                    <w:tl2br w:val="nil"/>
                    <w:tr2bl w:val="nil"/>
                  </w:tcBorders>
                  <w:noWrap w:val="0"/>
                  <w:vAlign w:val="center"/>
                </w:tcPr>
                <w:p w14:paraId="6701325E">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2500</w:t>
                  </w:r>
                </w:p>
              </w:tc>
              <w:tc>
                <w:tcPr>
                  <w:tcW w:w="1500" w:type="dxa"/>
                  <w:tcBorders>
                    <w:tl2br w:val="nil"/>
                    <w:tr2bl w:val="nil"/>
                  </w:tcBorders>
                  <w:noWrap w:val="0"/>
                  <w:vAlign w:val="center"/>
                </w:tcPr>
                <w:p w14:paraId="4B9AD7D1">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4000</w:t>
                  </w:r>
                </w:p>
              </w:tc>
              <w:tc>
                <w:tcPr>
                  <w:tcW w:w="1199" w:type="dxa"/>
                  <w:tcBorders>
                    <w:tl2br w:val="nil"/>
                    <w:tr2bl w:val="nil"/>
                  </w:tcBorders>
                  <w:noWrap w:val="0"/>
                  <w:vAlign w:val="center"/>
                </w:tcPr>
                <w:p w14:paraId="2FC2DB4D">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62.5</w:t>
                  </w:r>
                </w:p>
              </w:tc>
              <w:tc>
                <w:tcPr>
                  <w:tcW w:w="1127" w:type="dxa"/>
                  <w:tcBorders>
                    <w:tl2br w:val="nil"/>
                    <w:tr2bl w:val="nil"/>
                  </w:tcBorders>
                  <w:noWrap w:val="0"/>
                  <w:vAlign w:val="center"/>
                </w:tcPr>
                <w:p w14:paraId="65A757C0">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达标</w:t>
                  </w:r>
                </w:p>
              </w:tc>
            </w:tr>
            <w:tr w14:paraId="2E798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02" w:type="dxa"/>
                  <w:tcBorders>
                    <w:tl2br w:val="nil"/>
                    <w:tr2bl w:val="nil"/>
                  </w:tcBorders>
                  <w:noWrap w:val="0"/>
                  <w:vAlign w:val="center"/>
                </w:tcPr>
                <w:p w14:paraId="0CDCAB54">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O</w:t>
                  </w:r>
                  <w:r>
                    <w:rPr>
                      <w:rFonts w:hint="default"/>
                      <w:color w:val="auto"/>
                      <w:sz w:val="21"/>
                      <w:szCs w:val="21"/>
                      <w:vertAlign w:val="subscript"/>
                    </w:rPr>
                    <w:t>3</w:t>
                  </w:r>
                </w:p>
              </w:tc>
              <w:tc>
                <w:tcPr>
                  <w:tcW w:w="1813" w:type="dxa"/>
                  <w:tcBorders>
                    <w:tl2br w:val="nil"/>
                    <w:tr2bl w:val="nil"/>
                  </w:tcBorders>
                  <w:noWrap w:val="0"/>
                  <w:vAlign w:val="center"/>
                </w:tcPr>
                <w:p w14:paraId="1088D2C3">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日最大8h平均浓度</w:t>
                  </w:r>
                </w:p>
              </w:tc>
              <w:tc>
                <w:tcPr>
                  <w:tcW w:w="1625" w:type="dxa"/>
                  <w:tcBorders>
                    <w:tl2br w:val="nil"/>
                    <w:tr2bl w:val="nil"/>
                  </w:tcBorders>
                  <w:noWrap w:val="0"/>
                  <w:vAlign w:val="center"/>
                </w:tcPr>
                <w:p w14:paraId="287C532B">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182</w:t>
                  </w:r>
                </w:p>
              </w:tc>
              <w:tc>
                <w:tcPr>
                  <w:tcW w:w="1500" w:type="dxa"/>
                  <w:tcBorders>
                    <w:tl2br w:val="nil"/>
                    <w:tr2bl w:val="nil"/>
                  </w:tcBorders>
                  <w:noWrap w:val="0"/>
                  <w:vAlign w:val="center"/>
                </w:tcPr>
                <w:p w14:paraId="7C44A703">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160</w:t>
                  </w:r>
                </w:p>
              </w:tc>
              <w:tc>
                <w:tcPr>
                  <w:tcW w:w="1199" w:type="dxa"/>
                  <w:tcBorders>
                    <w:tl2br w:val="nil"/>
                    <w:tr2bl w:val="nil"/>
                  </w:tcBorders>
                  <w:noWrap w:val="0"/>
                  <w:vAlign w:val="center"/>
                </w:tcPr>
                <w:p w14:paraId="4C47FF9C">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113.75</w:t>
                  </w:r>
                </w:p>
              </w:tc>
              <w:tc>
                <w:tcPr>
                  <w:tcW w:w="1127" w:type="dxa"/>
                  <w:tcBorders>
                    <w:tl2br w:val="nil"/>
                    <w:tr2bl w:val="nil"/>
                  </w:tcBorders>
                  <w:noWrap w:val="0"/>
                  <w:vAlign w:val="center"/>
                </w:tcPr>
                <w:p w14:paraId="377F9357">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超标</w:t>
                  </w:r>
                </w:p>
              </w:tc>
            </w:tr>
          </w:tbl>
          <w:p w14:paraId="40AC17F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outlineLvl w:val="9"/>
              <w:rPr>
                <w:rFonts w:hint="default" w:ascii="Times New Roman" w:hAnsi="Times New Roman" w:eastAsia="宋体" w:cs="Times New Roman"/>
                <w:color w:val="auto"/>
                <w:kern w:val="2"/>
                <w:sz w:val="24"/>
                <w:szCs w:val="21"/>
                <w:highlight w:val="none"/>
                <w:shd w:val="clear" w:color="auto" w:fill="auto"/>
                <w:lang w:val="en-US" w:eastAsia="zh-CN" w:bidi="ar"/>
              </w:rPr>
            </w:pPr>
            <w:r>
              <w:rPr>
                <w:rFonts w:hint="default" w:ascii="Times New Roman" w:hAnsi="Times New Roman" w:eastAsia="宋体" w:cs="Times New Roman"/>
                <w:color w:val="auto"/>
                <w:kern w:val="2"/>
                <w:sz w:val="24"/>
                <w:szCs w:val="21"/>
                <w:highlight w:val="none"/>
                <w:shd w:val="clear" w:color="auto" w:fill="auto"/>
                <w:lang w:val="en-US" w:eastAsia="zh-CN" w:bidi="ar"/>
              </w:rPr>
              <w:t>由上表可知，SO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2</w:t>
            </w:r>
            <w:r>
              <w:rPr>
                <w:rFonts w:hint="default" w:ascii="Times New Roman" w:hAnsi="Times New Roman" w:eastAsia="宋体" w:cs="Times New Roman"/>
                <w:color w:val="auto"/>
                <w:kern w:val="2"/>
                <w:sz w:val="24"/>
                <w:szCs w:val="21"/>
                <w:highlight w:val="none"/>
                <w:shd w:val="clear" w:color="auto" w:fill="auto"/>
                <w:lang w:val="en-US" w:eastAsia="zh-CN" w:bidi="ar"/>
              </w:rPr>
              <w:t>的年平均质量浓度达标，CO</w:t>
            </w:r>
            <w:r>
              <w:rPr>
                <w:rFonts w:hint="eastAsia" w:ascii="Times New Roman" w:hAnsi="Times New Roman" w:eastAsia="宋体" w:cs="Times New Roman"/>
                <w:color w:val="auto"/>
                <w:kern w:val="2"/>
                <w:sz w:val="24"/>
                <w:szCs w:val="21"/>
                <w:highlight w:val="none"/>
                <w:shd w:val="clear" w:color="auto" w:fill="auto"/>
                <w:lang w:val="en-US" w:eastAsia="zh-CN" w:bidi="ar"/>
              </w:rPr>
              <w:t>的日平均质量浓度</w:t>
            </w:r>
            <w:r>
              <w:rPr>
                <w:rFonts w:hint="default" w:ascii="Times New Roman" w:hAnsi="Times New Roman" w:eastAsia="宋体" w:cs="Times New Roman"/>
                <w:color w:val="auto"/>
                <w:kern w:val="2"/>
                <w:sz w:val="24"/>
                <w:szCs w:val="21"/>
                <w:highlight w:val="none"/>
                <w:shd w:val="clear" w:color="auto" w:fill="auto"/>
                <w:lang w:val="en-US" w:eastAsia="zh-CN" w:bidi="ar"/>
              </w:rPr>
              <w:t>达标，NO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2</w:t>
            </w:r>
            <w:r>
              <w:rPr>
                <w:rFonts w:hint="default" w:ascii="Times New Roman" w:hAnsi="Times New Roman" w:eastAsia="宋体" w:cs="Times New Roman"/>
                <w:color w:val="auto"/>
                <w:kern w:val="2"/>
                <w:sz w:val="24"/>
                <w:szCs w:val="21"/>
                <w:highlight w:val="none"/>
                <w:shd w:val="clear" w:color="auto" w:fill="auto"/>
                <w:lang w:val="en-US" w:eastAsia="zh-CN" w:bidi="ar"/>
              </w:rPr>
              <w:t>、PM</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2.5</w:t>
            </w:r>
            <w:r>
              <w:rPr>
                <w:rFonts w:hint="default" w:ascii="Times New Roman" w:hAnsi="Times New Roman" w:eastAsia="宋体" w:cs="Times New Roman"/>
                <w:color w:val="auto"/>
                <w:kern w:val="2"/>
                <w:sz w:val="24"/>
                <w:szCs w:val="21"/>
                <w:highlight w:val="none"/>
                <w:shd w:val="clear" w:color="auto" w:fill="auto"/>
                <w:lang w:val="en-US" w:eastAsia="zh-CN" w:bidi="ar"/>
              </w:rPr>
              <w:t>、PM</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10</w:t>
            </w:r>
            <w:r>
              <w:rPr>
                <w:rFonts w:hint="default" w:ascii="Times New Roman" w:hAnsi="Times New Roman" w:eastAsia="宋体" w:cs="Times New Roman"/>
                <w:color w:val="auto"/>
                <w:kern w:val="2"/>
                <w:sz w:val="24"/>
                <w:szCs w:val="21"/>
                <w:highlight w:val="none"/>
                <w:shd w:val="clear" w:color="auto" w:fill="auto"/>
                <w:lang w:val="en-US" w:eastAsia="zh-CN" w:bidi="ar"/>
              </w:rPr>
              <w:t>的年平均质量浓度不达标，O</w:t>
            </w:r>
            <w:r>
              <w:rPr>
                <w:rFonts w:hint="default" w:ascii="Times New Roman" w:hAnsi="Times New Roman" w:eastAsia="宋体" w:cs="Times New Roman"/>
                <w:color w:val="auto"/>
                <w:kern w:val="2"/>
                <w:sz w:val="24"/>
                <w:szCs w:val="21"/>
                <w:highlight w:val="none"/>
                <w:shd w:val="clear" w:color="auto" w:fill="auto"/>
                <w:vertAlign w:val="subscript"/>
                <w:lang w:val="en-US" w:eastAsia="zh-CN" w:bidi="ar"/>
              </w:rPr>
              <w:t>3</w:t>
            </w:r>
            <w:r>
              <w:rPr>
                <w:rFonts w:hint="default" w:ascii="Times New Roman" w:hAnsi="Times New Roman" w:eastAsia="宋体" w:cs="Times New Roman"/>
                <w:color w:val="auto"/>
                <w:kern w:val="2"/>
                <w:sz w:val="24"/>
                <w:szCs w:val="21"/>
                <w:highlight w:val="none"/>
                <w:shd w:val="clear" w:color="auto" w:fill="auto"/>
                <w:lang w:val="en-US" w:eastAsia="zh-CN" w:bidi="ar"/>
              </w:rPr>
              <w:t>的</w:t>
            </w:r>
            <w:r>
              <w:rPr>
                <w:rFonts w:hint="eastAsia" w:ascii="Times New Roman" w:hAnsi="Times New Roman" w:eastAsia="宋体" w:cs="Times New Roman"/>
                <w:color w:val="auto"/>
                <w:kern w:val="2"/>
                <w:sz w:val="24"/>
                <w:szCs w:val="21"/>
                <w:highlight w:val="none"/>
                <w:shd w:val="clear" w:color="auto" w:fill="auto"/>
                <w:lang w:val="en-US" w:eastAsia="zh-CN" w:bidi="ar"/>
              </w:rPr>
              <w:t>日最大8h平均浓度</w:t>
            </w:r>
            <w:r>
              <w:rPr>
                <w:rFonts w:hint="default" w:ascii="Times New Roman" w:hAnsi="Times New Roman" w:eastAsia="宋体" w:cs="Times New Roman"/>
                <w:color w:val="auto"/>
                <w:kern w:val="2"/>
                <w:sz w:val="24"/>
                <w:szCs w:val="21"/>
                <w:highlight w:val="none"/>
                <w:shd w:val="clear" w:color="auto" w:fill="auto"/>
                <w:lang w:val="en-US" w:eastAsia="zh-CN" w:bidi="ar"/>
              </w:rPr>
              <w:t>不达标，故项目所在区域环境空气质量不达标，属于不达标区。</w:t>
            </w:r>
          </w:p>
          <w:p w14:paraId="64BBD9DE">
            <w:pPr>
              <w:bidi w:val="0"/>
              <w:rPr>
                <w:rFonts w:hint="default"/>
                <w:color w:val="auto"/>
              </w:rPr>
            </w:pPr>
            <w:r>
              <w:rPr>
                <w:rFonts w:hint="default"/>
                <w:color w:val="auto"/>
              </w:rPr>
              <w:t>唐山市属于大气污染重点区域，监测数据客观的反映了唐山市环境空气质量的现状。分析超标原因为：随着唐山市工业的快速发展、能源消耗和机动车保有量的快速增长，排放的大量二氧化硫、氮氧化物与挥发性有机物导致细颗粒物等二次污染呈加剧态势。根据《建设生态唐山实现绿色发展工作方案》</w:t>
            </w:r>
            <w:r>
              <w:rPr>
                <w:rFonts w:hint="eastAsia"/>
                <w:color w:val="auto"/>
                <w:lang w:eastAsia="zh-CN"/>
              </w:rPr>
              <w:t>（</w:t>
            </w:r>
            <w:r>
              <w:rPr>
                <w:rFonts w:hint="default"/>
                <w:color w:val="auto"/>
              </w:rPr>
              <w:t>唐办发[2018]2号</w:t>
            </w:r>
            <w:r>
              <w:rPr>
                <w:rFonts w:hint="eastAsia"/>
                <w:color w:val="auto"/>
                <w:lang w:eastAsia="zh-CN"/>
              </w:rPr>
              <w:t>）</w:t>
            </w:r>
            <w:r>
              <w:rPr>
                <w:rFonts w:hint="default"/>
                <w:color w:val="auto"/>
              </w:rPr>
              <w:t>、《唐山市</w:t>
            </w:r>
            <w:r>
              <w:rPr>
                <w:rFonts w:hint="eastAsia" w:ascii="宋体" w:hAnsi="宋体" w:eastAsia="宋体" w:cs="宋体"/>
                <w:color w:val="auto"/>
              </w:rPr>
              <w:t>“退出后十”大</w:t>
            </w:r>
            <w:r>
              <w:rPr>
                <w:rFonts w:hint="default"/>
                <w:color w:val="auto"/>
              </w:rPr>
              <w:t>气污染防治工作实施方案》可知，通过调整优化产业结构、能源结构，深入开展大气污染治理攻坚行动，切实改善环境空气质量，通过控制扬尘污染、削减燃煤总量、控制机动车污染和严把燃煤质量关等方面的行动，项目所在区域</w:t>
            </w:r>
            <w:r>
              <w:rPr>
                <w:rFonts w:hint="eastAsia"/>
                <w:color w:val="auto"/>
                <w:lang w:val="en-US" w:eastAsia="zh-CN"/>
              </w:rPr>
              <w:t>环境空气质量</w:t>
            </w:r>
            <w:r>
              <w:rPr>
                <w:rFonts w:hint="default"/>
                <w:color w:val="auto"/>
              </w:rPr>
              <w:t>将会逐步得到改善。</w:t>
            </w:r>
          </w:p>
          <w:p w14:paraId="047D8FED">
            <w:pPr>
              <w:bidi w:val="0"/>
              <w:rPr>
                <w:rFonts w:hint="default"/>
                <w:color w:val="auto"/>
              </w:rPr>
            </w:pPr>
            <w:r>
              <w:rPr>
                <w:rFonts w:hint="eastAsia"/>
                <w:color w:val="auto"/>
              </w:rPr>
              <w:t>（2）</w:t>
            </w:r>
            <w:r>
              <w:rPr>
                <w:rFonts w:hint="default"/>
                <w:color w:val="auto"/>
              </w:rPr>
              <w:t>项目所在区域污染物环境质量现状</w:t>
            </w:r>
          </w:p>
          <w:p w14:paraId="2C475AC1">
            <w:pPr>
              <w:bidi w:val="0"/>
              <w:rPr>
                <w:rFonts w:hint="default"/>
                <w:color w:val="auto"/>
                <w:highlight w:val="none"/>
              </w:rPr>
            </w:pPr>
            <w:r>
              <w:rPr>
                <w:rFonts w:hint="eastAsia"/>
                <w:color w:val="auto"/>
                <w:highlight w:val="none"/>
              </w:rPr>
              <w:t>①</w:t>
            </w:r>
            <w:r>
              <w:rPr>
                <w:rFonts w:hint="default"/>
                <w:color w:val="auto"/>
                <w:highlight w:val="none"/>
              </w:rPr>
              <w:t>基本污染物环境质量现状评价</w:t>
            </w:r>
          </w:p>
          <w:p w14:paraId="4CD25BA8">
            <w:pPr>
              <w:keepNext w:val="0"/>
              <w:keepLines w:val="0"/>
              <w:widowControl/>
              <w:suppressLineNumbers w:val="0"/>
              <w:jc w:val="left"/>
              <w:rPr>
                <w:rFonts w:hint="default" w:ascii="Times New Roman" w:hAnsi="Times New Roman" w:eastAsia="宋体" w:cs="Times New Roman"/>
                <w:color w:val="auto"/>
                <w:sz w:val="24"/>
                <w:szCs w:val="21"/>
                <w:highlight w:val="none"/>
                <w:shd w:val="clear" w:color="auto" w:fill="auto"/>
                <w:lang w:val="en-US" w:eastAsia="zh-CN"/>
              </w:rPr>
            </w:pPr>
            <w:r>
              <w:rPr>
                <w:rFonts w:hint="eastAsia" w:ascii="Times New Roman" w:hAnsi="Times New Roman" w:eastAsia="宋体" w:cs="Times New Roman"/>
                <w:color w:val="auto"/>
                <w:sz w:val="24"/>
                <w:szCs w:val="21"/>
                <w:highlight w:val="none"/>
                <w:shd w:val="clear" w:color="auto" w:fill="auto"/>
                <w:lang w:val="en-US" w:eastAsia="zh-CN"/>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w:t>
            </w:r>
            <w:r>
              <w:rPr>
                <w:rFonts w:ascii="脣脦脤氓" w:hAnsi="脣脦脤氓" w:eastAsia="脣脦脤氓" w:cs="脣脦脤氓"/>
                <w:color w:val="auto"/>
                <w:kern w:val="0"/>
                <w:sz w:val="25"/>
                <w:szCs w:val="25"/>
                <w:highlight w:val="none"/>
                <w:lang w:val="en-US" w:eastAsia="zh-CN" w:bidi="ar"/>
              </w:rPr>
              <w:t>本次评价对项目所在区域附近例行监测点常规污染物监测数据进行了统计分析</w:t>
            </w:r>
            <w:r>
              <w:rPr>
                <w:rFonts w:hint="eastAsia" w:ascii="Times New Roman" w:hAnsi="Times New Roman" w:eastAsia="宋体" w:cs="Times New Roman"/>
                <w:color w:val="auto"/>
                <w:sz w:val="24"/>
                <w:szCs w:val="21"/>
                <w:highlight w:val="none"/>
                <w:shd w:val="clear" w:color="auto" w:fill="auto"/>
                <w:lang w:val="en-US" w:eastAsia="zh-CN"/>
              </w:rPr>
              <w:t>。</w:t>
            </w:r>
          </w:p>
          <w:p w14:paraId="5C843683">
            <w:pPr>
              <w:bidi w:val="0"/>
              <w:rPr>
                <w:rFonts w:hint="default" w:ascii="Times New Roman" w:hAnsi="Times New Roman" w:eastAsia="宋体" w:cs="Times New Roman"/>
                <w:color w:val="auto"/>
                <w:szCs w:val="24"/>
                <w:highlight w:val="none"/>
              </w:rPr>
            </w:pPr>
            <w:r>
              <w:rPr>
                <w:rFonts w:hint="default"/>
                <w:color w:val="auto"/>
                <w:highlight w:val="none"/>
                <w:lang w:val="en-US" w:eastAsia="zh-CN"/>
              </w:rPr>
              <w:t>根据《环境空气质量评价技术规范（试行）》（HJ663-2013）中的统计方法进行统计，统计结果见下表。</w:t>
            </w:r>
          </w:p>
          <w:p w14:paraId="7ADDDC58">
            <w:pPr>
              <w:pStyle w:val="7"/>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宋体" w:cs="Times New Roman"/>
                <w:b/>
                <w:bCs/>
                <w:color w:val="auto"/>
                <w:sz w:val="21"/>
                <w:highlight w:val="none"/>
                <w:vertAlign w:val="superscript"/>
              </w:rPr>
            </w:pPr>
            <w:r>
              <w:rPr>
                <w:rFonts w:hint="default" w:ascii="Times New Roman" w:hAnsi="Times New Roman" w:eastAsia="宋体" w:cs="Times New Roman"/>
                <w:b/>
                <w:bCs/>
                <w:color w:val="auto"/>
                <w:sz w:val="21"/>
                <w:szCs w:val="21"/>
                <w:highlight w:val="none"/>
              </w:rPr>
              <w:t>表</w:t>
            </w:r>
            <w:r>
              <w:rPr>
                <w:rFonts w:hint="eastAsia" w:cs="Times New Roman"/>
                <w:b/>
                <w:bCs/>
                <w:color w:val="auto"/>
                <w:sz w:val="21"/>
                <w:szCs w:val="21"/>
                <w:highlight w:val="none"/>
                <w:lang w:val="en-US" w:eastAsia="zh-CN"/>
              </w:rPr>
              <w:t xml:space="preserve">17  </w:t>
            </w:r>
            <w:r>
              <w:rPr>
                <w:rFonts w:hint="default" w:ascii="Times New Roman" w:hAnsi="Times New Roman" w:eastAsia="宋体" w:cs="Times New Roman"/>
                <w:b/>
                <w:bCs/>
                <w:color w:val="auto"/>
                <w:sz w:val="21"/>
                <w:szCs w:val="21"/>
                <w:highlight w:val="none"/>
              </w:rPr>
              <w:t>基本污染物环境质量现状</w:t>
            </w:r>
            <w:r>
              <w:rPr>
                <w:rFonts w:hint="eastAsia" w:cs="Times New Roman"/>
                <w:b/>
                <w:bCs/>
                <w:color w:val="auto"/>
                <w:sz w:val="21"/>
                <w:szCs w:val="21"/>
                <w:highlight w:val="none"/>
                <w:lang w:val="en-US" w:eastAsia="zh-CN"/>
              </w:rPr>
              <w:t>一览表</w:t>
            </w:r>
          </w:p>
          <w:tbl>
            <w:tblPr>
              <w:tblStyle w:val="20"/>
              <w:tblW w:w="81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84"/>
              <w:gridCol w:w="780"/>
              <w:gridCol w:w="1524"/>
              <w:gridCol w:w="859"/>
              <w:gridCol w:w="973"/>
              <w:gridCol w:w="1077"/>
              <w:gridCol w:w="600"/>
              <w:gridCol w:w="825"/>
              <w:gridCol w:w="600"/>
            </w:tblGrid>
            <w:tr w14:paraId="57EDE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tcBorders>
                    <w:tl2br w:val="nil"/>
                    <w:tr2bl w:val="nil"/>
                  </w:tcBorders>
                  <w:noWrap w:val="0"/>
                  <w:vAlign w:val="center"/>
                </w:tcPr>
                <w:p w14:paraId="08ADF634">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点位名称</w:t>
                  </w:r>
                </w:p>
              </w:tc>
              <w:tc>
                <w:tcPr>
                  <w:tcW w:w="780" w:type="dxa"/>
                  <w:tcBorders>
                    <w:tl2br w:val="nil"/>
                    <w:tr2bl w:val="nil"/>
                  </w:tcBorders>
                  <w:noWrap w:val="0"/>
                  <w:vAlign w:val="center"/>
                </w:tcPr>
                <w:p w14:paraId="407758DD">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w:t>
                  </w:r>
                </w:p>
              </w:tc>
              <w:tc>
                <w:tcPr>
                  <w:tcW w:w="1524" w:type="dxa"/>
                  <w:tcBorders>
                    <w:tl2br w:val="nil"/>
                    <w:tr2bl w:val="nil"/>
                  </w:tcBorders>
                  <w:noWrap w:val="0"/>
                  <w:vAlign w:val="center"/>
                </w:tcPr>
                <w:p w14:paraId="7B9545DF">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年评价指标</w:t>
                  </w:r>
                </w:p>
              </w:tc>
              <w:tc>
                <w:tcPr>
                  <w:tcW w:w="859" w:type="dxa"/>
                  <w:tcBorders>
                    <w:tl2br w:val="nil"/>
                    <w:tr2bl w:val="nil"/>
                  </w:tcBorders>
                  <w:noWrap w:val="0"/>
                  <w:vAlign w:val="center"/>
                </w:tcPr>
                <w:p w14:paraId="68997857">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评价标准</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μg/m</w:t>
                  </w:r>
                  <w:r>
                    <w:rPr>
                      <w:rFonts w:hint="default" w:ascii="Times New Roman" w:hAnsi="Times New Roman" w:eastAsia="宋体" w:cs="Times New Roman"/>
                      <w:color w:val="auto"/>
                      <w:sz w:val="21"/>
                      <w:szCs w:val="21"/>
                      <w:highlight w:val="none"/>
                      <w:vertAlign w:val="superscript"/>
                    </w:rPr>
                    <w:t>3</w:t>
                  </w:r>
                  <w:r>
                    <w:rPr>
                      <w:rFonts w:hint="eastAsia" w:cs="Times New Roman"/>
                      <w:color w:val="auto"/>
                      <w:sz w:val="21"/>
                      <w:szCs w:val="21"/>
                      <w:highlight w:val="none"/>
                      <w:lang w:val="en-US" w:eastAsia="zh-CN"/>
                    </w:rPr>
                    <w:t>)</w:t>
                  </w:r>
                </w:p>
              </w:tc>
              <w:tc>
                <w:tcPr>
                  <w:tcW w:w="973" w:type="dxa"/>
                  <w:tcBorders>
                    <w:tl2br w:val="nil"/>
                    <w:tr2bl w:val="nil"/>
                  </w:tcBorders>
                  <w:noWrap w:val="0"/>
                  <w:vAlign w:val="center"/>
                </w:tcPr>
                <w:p w14:paraId="4B740017">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现状浓度（μg/m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w:t>
                  </w:r>
                </w:p>
              </w:tc>
              <w:tc>
                <w:tcPr>
                  <w:tcW w:w="1077" w:type="dxa"/>
                  <w:tcBorders>
                    <w:tl2br w:val="nil"/>
                    <w:tr2bl w:val="nil"/>
                  </w:tcBorders>
                  <w:noWrap w:val="0"/>
                  <w:vAlign w:val="center"/>
                </w:tcPr>
                <w:p w14:paraId="57C5EBBD">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最大浓度占标率</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w:t>
                  </w:r>
                </w:p>
              </w:tc>
              <w:tc>
                <w:tcPr>
                  <w:tcW w:w="600" w:type="dxa"/>
                  <w:tcBorders>
                    <w:tl2br w:val="nil"/>
                    <w:tr2bl w:val="nil"/>
                  </w:tcBorders>
                  <w:noWrap w:val="0"/>
                  <w:vAlign w:val="center"/>
                </w:tcPr>
                <w:p w14:paraId="7933DFA7">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超标倍数</w:t>
                  </w:r>
                </w:p>
              </w:tc>
              <w:tc>
                <w:tcPr>
                  <w:tcW w:w="825" w:type="dxa"/>
                  <w:tcBorders>
                    <w:tl2br w:val="nil"/>
                    <w:tr2bl w:val="nil"/>
                  </w:tcBorders>
                  <w:noWrap w:val="0"/>
                  <w:vAlign w:val="center"/>
                </w:tcPr>
                <w:p w14:paraId="4F9784B7">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超标频率</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w:t>
                  </w:r>
                </w:p>
              </w:tc>
              <w:tc>
                <w:tcPr>
                  <w:tcW w:w="600" w:type="dxa"/>
                  <w:tcBorders>
                    <w:tl2br w:val="nil"/>
                    <w:tr2bl w:val="nil"/>
                  </w:tcBorders>
                  <w:noWrap w:val="0"/>
                  <w:vAlign w:val="center"/>
                </w:tcPr>
                <w:p w14:paraId="69FFD536">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达标情况</w:t>
                  </w:r>
                </w:p>
              </w:tc>
            </w:tr>
            <w:tr w14:paraId="24B44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restart"/>
                  <w:tcBorders>
                    <w:tl2br w:val="nil"/>
                    <w:tr2bl w:val="nil"/>
                  </w:tcBorders>
                  <w:noWrap w:val="0"/>
                  <w:vAlign w:val="center"/>
                </w:tcPr>
                <w:p w14:paraId="5BB2234F">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高新区环境空气质量例行监测点（监测点坐标2116，-2404）</w:t>
                  </w:r>
                </w:p>
              </w:tc>
              <w:tc>
                <w:tcPr>
                  <w:tcW w:w="780" w:type="dxa"/>
                  <w:vMerge w:val="restart"/>
                  <w:tcBorders>
                    <w:tl2br w:val="nil"/>
                    <w:tr2bl w:val="nil"/>
                  </w:tcBorders>
                  <w:noWrap w:val="0"/>
                  <w:vAlign w:val="center"/>
                </w:tcPr>
                <w:p w14:paraId="643287AA">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524" w:type="dxa"/>
                  <w:tcBorders>
                    <w:tl2br w:val="nil"/>
                    <w:tr2bl w:val="nil"/>
                  </w:tcBorders>
                  <w:noWrap w:val="0"/>
                  <w:vAlign w:val="center"/>
                </w:tcPr>
                <w:p w14:paraId="62337A54">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859" w:type="dxa"/>
                  <w:tcBorders>
                    <w:tl2br w:val="nil"/>
                    <w:tr2bl w:val="nil"/>
                  </w:tcBorders>
                  <w:noWrap w:val="0"/>
                  <w:vAlign w:val="center"/>
                </w:tcPr>
                <w:p w14:paraId="7A8EDBB7">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w:t>
                  </w:r>
                </w:p>
              </w:tc>
              <w:tc>
                <w:tcPr>
                  <w:tcW w:w="973" w:type="dxa"/>
                  <w:tcBorders>
                    <w:tl2br w:val="nil"/>
                    <w:tr2bl w:val="nil"/>
                  </w:tcBorders>
                  <w:noWrap w:val="0"/>
                  <w:vAlign w:val="center"/>
                </w:tcPr>
                <w:p w14:paraId="39D1A2F0">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20.4</w:t>
                  </w:r>
                </w:p>
              </w:tc>
              <w:tc>
                <w:tcPr>
                  <w:tcW w:w="1077" w:type="dxa"/>
                  <w:tcBorders>
                    <w:tl2br w:val="nil"/>
                    <w:tr2bl w:val="nil"/>
                  </w:tcBorders>
                  <w:noWrap w:val="0"/>
                  <w:vAlign w:val="center"/>
                </w:tcPr>
                <w:p w14:paraId="4B852513">
                  <w:pPr>
                    <w:keepNext w:val="0"/>
                    <w:keepLines w:val="0"/>
                    <w:pageBreakBefore w:val="0"/>
                    <w:widowControl/>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34.06</w:t>
                  </w:r>
                </w:p>
              </w:tc>
              <w:tc>
                <w:tcPr>
                  <w:tcW w:w="600" w:type="dxa"/>
                  <w:tcBorders>
                    <w:tl2br w:val="nil"/>
                    <w:tr2bl w:val="nil"/>
                  </w:tcBorders>
                  <w:noWrap w:val="0"/>
                  <w:vAlign w:val="center"/>
                </w:tcPr>
                <w:p w14:paraId="3F34FC5C">
                  <w:pPr>
                    <w:keepNext w:val="0"/>
                    <w:keepLines w:val="0"/>
                    <w:pageBreakBefore w:val="0"/>
                    <w:widowControl/>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825" w:type="dxa"/>
                  <w:tcBorders>
                    <w:tl2br w:val="nil"/>
                    <w:tr2bl w:val="nil"/>
                  </w:tcBorders>
                  <w:noWrap w:val="0"/>
                  <w:vAlign w:val="center"/>
                </w:tcPr>
                <w:p w14:paraId="04D52CD7">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0" w:type="dxa"/>
                  <w:vMerge w:val="restart"/>
                  <w:tcBorders>
                    <w:tl2br w:val="nil"/>
                    <w:tr2bl w:val="nil"/>
                  </w:tcBorders>
                  <w:noWrap w:val="0"/>
                  <w:vAlign w:val="center"/>
                </w:tcPr>
                <w:p w14:paraId="7E1FC93A">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达标</w:t>
                  </w:r>
                </w:p>
              </w:tc>
            </w:tr>
            <w:tr w14:paraId="65868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14:paraId="1CDA16FD">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continue"/>
                  <w:tcBorders>
                    <w:tl2br w:val="nil"/>
                    <w:tr2bl w:val="nil"/>
                  </w:tcBorders>
                  <w:noWrap w:val="0"/>
                  <w:vAlign w:val="center"/>
                </w:tcPr>
                <w:p w14:paraId="6B98A3F2">
                  <w:pPr>
                    <w:keepNext w:val="0"/>
                    <w:keepLines w:val="0"/>
                    <w:pageBreakBefore w:val="0"/>
                    <w:widowControl/>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524" w:type="dxa"/>
                  <w:tcBorders>
                    <w:tl2br w:val="nil"/>
                    <w:tr2bl w:val="nil"/>
                  </w:tcBorders>
                  <w:noWrap w:val="0"/>
                  <w:vAlign w:val="center"/>
                </w:tcPr>
                <w:p w14:paraId="454BCF4A">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24小时平均第98百分位数</w:t>
                  </w:r>
                </w:p>
              </w:tc>
              <w:tc>
                <w:tcPr>
                  <w:tcW w:w="859" w:type="dxa"/>
                  <w:tcBorders>
                    <w:tl2br w:val="nil"/>
                    <w:tr2bl w:val="nil"/>
                  </w:tcBorders>
                  <w:noWrap w:val="0"/>
                  <w:vAlign w:val="center"/>
                </w:tcPr>
                <w:p w14:paraId="44761061">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150</w:t>
                  </w:r>
                </w:p>
              </w:tc>
              <w:tc>
                <w:tcPr>
                  <w:tcW w:w="973" w:type="dxa"/>
                  <w:tcBorders>
                    <w:tl2br w:val="nil"/>
                    <w:tr2bl w:val="nil"/>
                  </w:tcBorders>
                  <w:noWrap w:val="0"/>
                  <w:vAlign w:val="center"/>
                </w:tcPr>
                <w:p w14:paraId="7F2E155A">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53.0</w:t>
                  </w:r>
                </w:p>
              </w:tc>
              <w:tc>
                <w:tcPr>
                  <w:tcW w:w="1077" w:type="dxa"/>
                  <w:tcBorders>
                    <w:tl2br w:val="nil"/>
                    <w:tr2bl w:val="nil"/>
                  </w:tcBorders>
                  <w:noWrap w:val="0"/>
                  <w:vAlign w:val="center"/>
                </w:tcPr>
                <w:p w14:paraId="3ADD57B3">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35.33</w:t>
                  </w:r>
                </w:p>
              </w:tc>
              <w:tc>
                <w:tcPr>
                  <w:tcW w:w="600" w:type="dxa"/>
                  <w:tcBorders>
                    <w:tl2br w:val="nil"/>
                    <w:tr2bl w:val="nil"/>
                  </w:tcBorders>
                  <w:noWrap w:val="0"/>
                  <w:vAlign w:val="center"/>
                </w:tcPr>
                <w:p w14:paraId="48887353">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825" w:type="dxa"/>
                  <w:tcBorders>
                    <w:tl2br w:val="nil"/>
                    <w:tr2bl w:val="nil"/>
                  </w:tcBorders>
                  <w:noWrap w:val="0"/>
                  <w:vAlign w:val="center"/>
                </w:tcPr>
                <w:p w14:paraId="0E8F5436">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600" w:type="dxa"/>
                  <w:vMerge w:val="continue"/>
                  <w:tcBorders>
                    <w:tl2br w:val="nil"/>
                    <w:tr2bl w:val="nil"/>
                  </w:tcBorders>
                  <w:noWrap w:val="0"/>
                  <w:vAlign w:val="center"/>
                </w:tcPr>
                <w:p w14:paraId="14767886">
                  <w:pPr>
                    <w:pStyle w:val="39"/>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Times New Roman" w:hAnsi="Times New Roman" w:eastAsia="宋体" w:cs="Times New Roman"/>
                      <w:bCs/>
                      <w:color w:val="auto"/>
                      <w:kern w:val="2"/>
                      <w:sz w:val="21"/>
                      <w:szCs w:val="21"/>
                      <w:highlight w:val="none"/>
                      <w:lang w:val="en-US" w:eastAsia="zh-CN" w:bidi="ar"/>
                    </w:rPr>
                  </w:pPr>
                </w:p>
              </w:tc>
            </w:tr>
            <w:tr w14:paraId="11230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14:paraId="7EE0FCEB">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tcBorders>
                    <w:tl2br w:val="nil"/>
                    <w:tr2bl w:val="nil"/>
                  </w:tcBorders>
                  <w:noWrap w:val="0"/>
                  <w:vAlign w:val="center"/>
                </w:tcPr>
                <w:p w14:paraId="3E2559F8">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w:t>
                  </w:r>
                </w:p>
              </w:tc>
              <w:tc>
                <w:tcPr>
                  <w:tcW w:w="1524" w:type="dxa"/>
                  <w:tcBorders>
                    <w:tl2br w:val="nil"/>
                    <w:tr2bl w:val="nil"/>
                  </w:tcBorders>
                  <w:noWrap w:val="0"/>
                  <w:vAlign w:val="center"/>
                </w:tcPr>
                <w:p w14:paraId="4F517E9E">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24小时平均第9</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百分位数</w:t>
                  </w:r>
                </w:p>
              </w:tc>
              <w:tc>
                <w:tcPr>
                  <w:tcW w:w="859" w:type="dxa"/>
                  <w:tcBorders>
                    <w:tl2br w:val="nil"/>
                    <w:tr2bl w:val="nil"/>
                  </w:tcBorders>
                  <w:noWrap w:val="0"/>
                  <w:vAlign w:val="center"/>
                </w:tcPr>
                <w:p w14:paraId="2F2C9B41">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4000</w:t>
                  </w:r>
                </w:p>
              </w:tc>
              <w:tc>
                <w:tcPr>
                  <w:tcW w:w="973" w:type="dxa"/>
                  <w:tcBorders>
                    <w:tl2br w:val="nil"/>
                    <w:tr2bl w:val="nil"/>
                  </w:tcBorders>
                  <w:noWrap w:val="0"/>
                  <w:vAlign w:val="center"/>
                </w:tcPr>
                <w:p w14:paraId="56B4C84E">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2742.8</w:t>
                  </w:r>
                </w:p>
              </w:tc>
              <w:tc>
                <w:tcPr>
                  <w:tcW w:w="1077" w:type="dxa"/>
                  <w:tcBorders>
                    <w:tl2br w:val="nil"/>
                    <w:tr2bl w:val="nil"/>
                  </w:tcBorders>
                  <w:noWrap w:val="0"/>
                  <w:vAlign w:val="center"/>
                </w:tcPr>
                <w:p w14:paraId="04285C08">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68.57</w:t>
                  </w:r>
                </w:p>
              </w:tc>
              <w:tc>
                <w:tcPr>
                  <w:tcW w:w="600" w:type="dxa"/>
                  <w:tcBorders>
                    <w:tl2br w:val="nil"/>
                    <w:tr2bl w:val="nil"/>
                  </w:tcBorders>
                  <w:noWrap w:val="0"/>
                  <w:vAlign w:val="center"/>
                </w:tcPr>
                <w:p w14:paraId="0B2C52C9">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825" w:type="dxa"/>
                  <w:tcBorders>
                    <w:tl2br w:val="nil"/>
                    <w:tr2bl w:val="nil"/>
                  </w:tcBorders>
                  <w:noWrap w:val="0"/>
                  <w:vAlign w:val="center"/>
                </w:tcPr>
                <w:p w14:paraId="66684D7D">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0</w:t>
                  </w:r>
                </w:p>
              </w:tc>
              <w:tc>
                <w:tcPr>
                  <w:tcW w:w="600" w:type="dxa"/>
                  <w:tcBorders>
                    <w:tl2br w:val="nil"/>
                    <w:tr2bl w:val="nil"/>
                  </w:tcBorders>
                  <w:noWrap w:val="0"/>
                  <w:vAlign w:val="center"/>
                </w:tcPr>
                <w:p w14:paraId="475A2A4A">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r>
                    <w:rPr>
                      <w:rFonts w:hint="eastAsia" w:cs="Times New Roman"/>
                      <w:bCs/>
                      <w:color w:val="auto"/>
                      <w:kern w:val="2"/>
                      <w:sz w:val="21"/>
                      <w:szCs w:val="21"/>
                      <w:highlight w:val="none"/>
                      <w:lang w:val="en-US" w:eastAsia="zh-CN" w:bidi="ar"/>
                    </w:rPr>
                    <w:t>达标</w:t>
                  </w:r>
                </w:p>
              </w:tc>
            </w:tr>
            <w:tr w14:paraId="38C32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14:paraId="39336D9F">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restart"/>
                  <w:tcBorders>
                    <w:tl2br w:val="nil"/>
                    <w:tr2bl w:val="nil"/>
                  </w:tcBorders>
                  <w:noWrap w:val="0"/>
                  <w:vAlign w:val="center"/>
                </w:tcPr>
                <w:p w14:paraId="6F018854">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p>
              </w:tc>
              <w:tc>
                <w:tcPr>
                  <w:tcW w:w="1524" w:type="dxa"/>
                  <w:tcBorders>
                    <w:tl2br w:val="nil"/>
                    <w:tr2bl w:val="nil"/>
                  </w:tcBorders>
                  <w:noWrap w:val="0"/>
                  <w:vAlign w:val="center"/>
                </w:tcPr>
                <w:p w14:paraId="74EBD9B0">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859" w:type="dxa"/>
                  <w:tcBorders>
                    <w:tl2br w:val="nil"/>
                    <w:tr2bl w:val="nil"/>
                  </w:tcBorders>
                  <w:noWrap w:val="0"/>
                  <w:vAlign w:val="center"/>
                </w:tcPr>
                <w:p w14:paraId="4D1F93F4">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973" w:type="dxa"/>
                  <w:tcBorders>
                    <w:tl2br w:val="nil"/>
                    <w:tr2bl w:val="nil"/>
                  </w:tcBorders>
                  <w:noWrap w:val="0"/>
                  <w:vAlign w:val="center"/>
                </w:tcPr>
                <w:p w14:paraId="0E5C77DA">
                  <w:pPr>
                    <w:pStyle w:val="39"/>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rPr>
                      <w:rFonts w:hint="default" w:ascii="Times New Roman" w:hAnsi="Times New Roman" w:eastAsia="宋体" w:cs="Times New Roman"/>
                      <w:bCs/>
                      <w:color w:val="auto"/>
                      <w:kern w:val="0"/>
                      <w:sz w:val="21"/>
                      <w:szCs w:val="21"/>
                      <w:highlight w:val="none"/>
                      <w:lang w:val="en-US" w:eastAsia="zh-CN" w:bidi="ar"/>
                    </w:rPr>
                  </w:pPr>
                  <w:r>
                    <w:rPr>
                      <w:rFonts w:hint="eastAsia" w:cs="Times New Roman"/>
                      <w:bCs/>
                      <w:color w:val="auto"/>
                      <w:kern w:val="0"/>
                      <w:sz w:val="21"/>
                      <w:szCs w:val="21"/>
                      <w:highlight w:val="none"/>
                      <w:lang w:val="en-US" w:eastAsia="zh-CN" w:bidi="ar"/>
                    </w:rPr>
                    <w:t>45.2</w:t>
                  </w:r>
                </w:p>
              </w:tc>
              <w:tc>
                <w:tcPr>
                  <w:tcW w:w="1077" w:type="dxa"/>
                  <w:tcBorders>
                    <w:tl2br w:val="nil"/>
                    <w:tr2bl w:val="nil"/>
                  </w:tcBorders>
                  <w:noWrap w:val="0"/>
                  <w:vAlign w:val="center"/>
                </w:tcPr>
                <w:p w14:paraId="1F54DB8E">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113.08</w:t>
                  </w:r>
                </w:p>
              </w:tc>
              <w:tc>
                <w:tcPr>
                  <w:tcW w:w="600" w:type="dxa"/>
                  <w:tcBorders>
                    <w:tl2br w:val="nil"/>
                    <w:tr2bl w:val="nil"/>
                  </w:tcBorders>
                  <w:noWrap w:val="0"/>
                  <w:vAlign w:val="center"/>
                </w:tcPr>
                <w:p w14:paraId="5A0D42F2">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0.13</w:t>
                  </w:r>
                </w:p>
              </w:tc>
              <w:tc>
                <w:tcPr>
                  <w:tcW w:w="825" w:type="dxa"/>
                  <w:tcBorders>
                    <w:tl2br w:val="nil"/>
                    <w:tr2bl w:val="nil"/>
                  </w:tcBorders>
                  <w:noWrap w:val="0"/>
                  <w:vAlign w:val="center"/>
                </w:tcPr>
                <w:p w14:paraId="3D0FEF2A">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0" w:type="dxa"/>
                  <w:vMerge w:val="restart"/>
                  <w:tcBorders>
                    <w:tl2br w:val="nil"/>
                    <w:tr2bl w:val="nil"/>
                  </w:tcBorders>
                  <w:noWrap w:val="0"/>
                  <w:vAlign w:val="center"/>
                </w:tcPr>
                <w:p w14:paraId="1D9929B0">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r>
                    <w:rPr>
                      <w:rFonts w:hint="eastAsia" w:cs="Times New Roman"/>
                      <w:bCs/>
                      <w:color w:val="auto"/>
                      <w:kern w:val="2"/>
                      <w:sz w:val="21"/>
                      <w:szCs w:val="21"/>
                      <w:highlight w:val="none"/>
                      <w:lang w:val="en-US" w:eastAsia="zh-CN" w:bidi="ar"/>
                    </w:rPr>
                    <w:t>超标</w:t>
                  </w:r>
                </w:p>
              </w:tc>
            </w:tr>
            <w:tr w14:paraId="5D157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14:paraId="3ECDF24E">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continue"/>
                  <w:tcBorders>
                    <w:tl2br w:val="nil"/>
                    <w:tr2bl w:val="nil"/>
                  </w:tcBorders>
                  <w:noWrap w:val="0"/>
                  <w:vAlign w:val="center"/>
                </w:tcPr>
                <w:p w14:paraId="778D3F2D">
                  <w:pPr>
                    <w:keepNext w:val="0"/>
                    <w:keepLines w:val="0"/>
                    <w:pageBreakBefore w:val="0"/>
                    <w:widowControl/>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rPr>
                  </w:pPr>
                </w:p>
              </w:tc>
              <w:tc>
                <w:tcPr>
                  <w:tcW w:w="1524" w:type="dxa"/>
                  <w:tcBorders>
                    <w:tl2br w:val="nil"/>
                    <w:tr2bl w:val="nil"/>
                  </w:tcBorders>
                  <w:noWrap w:val="0"/>
                  <w:vAlign w:val="center"/>
                </w:tcPr>
                <w:p w14:paraId="24A0C1C4">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24小时平均第9</w:t>
                  </w:r>
                  <w:r>
                    <w:rPr>
                      <w:rFonts w:hint="eastAsia"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百分位数</w:t>
                  </w:r>
                </w:p>
              </w:tc>
              <w:tc>
                <w:tcPr>
                  <w:tcW w:w="859" w:type="dxa"/>
                  <w:tcBorders>
                    <w:tl2br w:val="nil"/>
                    <w:tr2bl w:val="nil"/>
                  </w:tcBorders>
                  <w:noWrap w:val="0"/>
                  <w:vAlign w:val="center"/>
                </w:tcPr>
                <w:p w14:paraId="3FF79A07">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80</w:t>
                  </w:r>
                </w:p>
              </w:tc>
              <w:tc>
                <w:tcPr>
                  <w:tcW w:w="973" w:type="dxa"/>
                  <w:tcBorders>
                    <w:tl2br w:val="nil"/>
                    <w:tr2bl w:val="nil"/>
                  </w:tcBorders>
                  <w:noWrap w:val="0"/>
                  <w:vAlign w:val="center"/>
                </w:tcPr>
                <w:p w14:paraId="3DC4DD90">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97.6</w:t>
                  </w:r>
                </w:p>
              </w:tc>
              <w:tc>
                <w:tcPr>
                  <w:tcW w:w="1077" w:type="dxa"/>
                  <w:tcBorders>
                    <w:tl2br w:val="nil"/>
                    <w:tr2bl w:val="nil"/>
                  </w:tcBorders>
                  <w:noWrap w:val="0"/>
                  <w:vAlign w:val="center"/>
                </w:tcPr>
                <w:p w14:paraId="07C93E90">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122.00</w:t>
                  </w:r>
                </w:p>
              </w:tc>
              <w:tc>
                <w:tcPr>
                  <w:tcW w:w="600" w:type="dxa"/>
                  <w:tcBorders>
                    <w:tl2br w:val="nil"/>
                    <w:tr2bl w:val="nil"/>
                  </w:tcBorders>
                  <w:noWrap w:val="0"/>
                  <w:vAlign w:val="center"/>
                </w:tcPr>
                <w:p w14:paraId="641836CC">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0.22</w:t>
                  </w:r>
                </w:p>
              </w:tc>
              <w:tc>
                <w:tcPr>
                  <w:tcW w:w="825" w:type="dxa"/>
                  <w:tcBorders>
                    <w:tl2br w:val="nil"/>
                    <w:tr2bl w:val="nil"/>
                  </w:tcBorders>
                  <w:noWrap w:val="0"/>
                  <w:vAlign w:val="center"/>
                </w:tcPr>
                <w:p w14:paraId="49420B59">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5.6</w:t>
                  </w:r>
                </w:p>
              </w:tc>
              <w:tc>
                <w:tcPr>
                  <w:tcW w:w="600" w:type="dxa"/>
                  <w:vMerge w:val="continue"/>
                  <w:tcBorders>
                    <w:tl2br w:val="nil"/>
                    <w:tr2bl w:val="nil"/>
                  </w:tcBorders>
                  <w:noWrap w:val="0"/>
                  <w:vAlign w:val="center"/>
                </w:tcPr>
                <w:p w14:paraId="0E178A7A">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p>
              </w:tc>
            </w:tr>
            <w:tr w14:paraId="0407B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14:paraId="5A3D7CC9">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tcBorders>
                    <w:tl2br w:val="nil"/>
                    <w:tr2bl w:val="nil"/>
                  </w:tcBorders>
                  <w:noWrap w:val="0"/>
                  <w:vAlign w:val="center"/>
                </w:tcPr>
                <w:p w14:paraId="605BDD92">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O</w:t>
                  </w:r>
                  <w:r>
                    <w:rPr>
                      <w:rFonts w:hint="default" w:ascii="Times New Roman" w:hAnsi="Times New Roman" w:eastAsia="宋体" w:cs="Times New Roman"/>
                      <w:color w:val="auto"/>
                      <w:sz w:val="21"/>
                      <w:szCs w:val="21"/>
                      <w:highlight w:val="none"/>
                      <w:vertAlign w:val="subscript"/>
                    </w:rPr>
                    <w:t>3</w:t>
                  </w:r>
                </w:p>
              </w:tc>
              <w:tc>
                <w:tcPr>
                  <w:tcW w:w="1524" w:type="dxa"/>
                  <w:tcBorders>
                    <w:tl2br w:val="nil"/>
                    <w:tr2bl w:val="nil"/>
                  </w:tcBorders>
                  <w:noWrap w:val="0"/>
                  <w:vAlign w:val="center"/>
                </w:tcPr>
                <w:p w14:paraId="3EF00DB3">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日最大8小时平均值的第90百分位数</w:t>
                  </w:r>
                </w:p>
              </w:tc>
              <w:tc>
                <w:tcPr>
                  <w:tcW w:w="859" w:type="dxa"/>
                  <w:tcBorders>
                    <w:tl2br w:val="nil"/>
                    <w:tr2bl w:val="nil"/>
                  </w:tcBorders>
                  <w:noWrap w:val="0"/>
                  <w:vAlign w:val="center"/>
                </w:tcPr>
                <w:p w14:paraId="479F6CFA">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160</w:t>
                  </w:r>
                </w:p>
              </w:tc>
              <w:tc>
                <w:tcPr>
                  <w:tcW w:w="973" w:type="dxa"/>
                  <w:tcBorders>
                    <w:tl2br w:val="nil"/>
                    <w:tr2bl w:val="nil"/>
                  </w:tcBorders>
                  <w:noWrap w:val="0"/>
                  <w:vAlign w:val="center"/>
                </w:tcPr>
                <w:p w14:paraId="4AF9F1F7">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194.6</w:t>
                  </w:r>
                </w:p>
              </w:tc>
              <w:tc>
                <w:tcPr>
                  <w:tcW w:w="1077" w:type="dxa"/>
                  <w:tcBorders>
                    <w:tl2br w:val="nil"/>
                    <w:tr2bl w:val="nil"/>
                  </w:tcBorders>
                  <w:noWrap w:val="0"/>
                  <w:vAlign w:val="center"/>
                </w:tcPr>
                <w:p w14:paraId="752D5057">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121.63</w:t>
                  </w:r>
                </w:p>
              </w:tc>
              <w:tc>
                <w:tcPr>
                  <w:tcW w:w="600" w:type="dxa"/>
                  <w:tcBorders>
                    <w:tl2br w:val="nil"/>
                    <w:tr2bl w:val="nil"/>
                  </w:tcBorders>
                  <w:noWrap w:val="0"/>
                  <w:vAlign w:val="center"/>
                </w:tcPr>
                <w:p w14:paraId="53E58C42">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0.22</w:t>
                  </w:r>
                </w:p>
              </w:tc>
              <w:tc>
                <w:tcPr>
                  <w:tcW w:w="825" w:type="dxa"/>
                  <w:tcBorders>
                    <w:tl2br w:val="nil"/>
                    <w:tr2bl w:val="nil"/>
                  </w:tcBorders>
                  <w:noWrap w:val="0"/>
                  <w:vAlign w:val="center"/>
                </w:tcPr>
                <w:p w14:paraId="764FD78B">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10.06</w:t>
                  </w:r>
                </w:p>
              </w:tc>
              <w:tc>
                <w:tcPr>
                  <w:tcW w:w="600" w:type="dxa"/>
                  <w:tcBorders>
                    <w:tl2br w:val="nil"/>
                    <w:tr2bl w:val="nil"/>
                  </w:tcBorders>
                  <w:noWrap w:val="0"/>
                  <w:vAlign w:val="center"/>
                </w:tcPr>
                <w:p w14:paraId="1A9826BF">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r>
                    <w:rPr>
                      <w:rFonts w:hint="eastAsia" w:cs="Times New Roman"/>
                      <w:bCs/>
                      <w:color w:val="auto"/>
                      <w:kern w:val="2"/>
                      <w:sz w:val="21"/>
                      <w:szCs w:val="21"/>
                      <w:highlight w:val="none"/>
                      <w:lang w:val="en-US" w:eastAsia="zh-CN" w:bidi="ar"/>
                    </w:rPr>
                    <w:t>超标</w:t>
                  </w:r>
                </w:p>
              </w:tc>
            </w:tr>
            <w:tr w14:paraId="26CC5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14:paraId="4D1DF580">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restart"/>
                  <w:tcBorders>
                    <w:tl2br w:val="nil"/>
                    <w:tr2bl w:val="nil"/>
                  </w:tcBorders>
                  <w:noWrap w:val="0"/>
                  <w:vAlign w:val="center"/>
                </w:tcPr>
                <w:p w14:paraId="16B037B7">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10</w:t>
                  </w:r>
                </w:p>
              </w:tc>
              <w:tc>
                <w:tcPr>
                  <w:tcW w:w="1524" w:type="dxa"/>
                  <w:tcBorders>
                    <w:tl2br w:val="nil"/>
                    <w:tr2bl w:val="nil"/>
                  </w:tcBorders>
                  <w:noWrap w:val="0"/>
                  <w:vAlign w:val="center"/>
                </w:tcPr>
                <w:p w14:paraId="56B263CA">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859" w:type="dxa"/>
                  <w:tcBorders>
                    <w:tl2br w:val="nil"/>
                    <w:tr2bl w:val="nil"/>
                  </w:tcBorders>
                  <w:noWrap w:val="0"/>
                  <w:vAlign w:val="center"/>
                </w:tcPr>
                <w:p w14:paraId="1609EE11">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70</w:t>
                  </w:r>
                </w:p>
              </w:tc>
              <w:tc>
                <w:tcPr>
                  <w:tcW w:w="973" w:type="dxa"/>
                  <w:tcBorders>
                    <w:tl2br w:val="nil"/>
                    <w:tr2bl w:val="nil"/>
                  </w:tcBorders>
                  <w:noWrap w:val="0"/>
                  <w:vAlign w:val="center"/>
                </w:tcPr>
                <w:p w14:paraId="179DC074">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115.8</w:t>
                  </w:r>
                </w:p>
              </w:tc>
              <w:tc>
                <w:tcPr>
                  <w:tcW w:w="1077" w:type="dxa"/>
                  <w:tcBorders>
                    <w:tl2br w:val="nil"/>
                    <w:tr2bl w:val="nil"/>
                  </w:tcBorders>
                  <w:noWrap w:val="0"/>
                  <w:vAlign w:val="center"/>
                </w:tcPr>
                <w:p w14:paraId="4892924D">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165.36</w:t>
                  </w:r>
                </w:p>
              </w:tc>
              <w:tc>
                <w:tcPr>
                  <w:tcW w:w="600" w:type="dxa"/>
                  <w:tcBorders>
                    <w:tl2br w:val="nil"/>
                    <w:tr2bl w:val="nil"/>
                  </w:tcBorders>
                  <w:noWrap w:val="0"/>
                  <w:vAlign w:val="center"/>
                </w:tcPr>
                <w:p w14:paraId="47C34749">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0.65</w:t>
                  </w:r>
                </w:p>
              </w:tc>
              <w:tc>
                <w:tcPr>
                  <w:tcW w:w="825" w:type="dxa"/>
                  <w:tcBorders>
                    <w:tl2br w:val="nil"/>
                    <w:tr2bl w:val="nil"/>
                  </w:tcBorders>
                  <w:noWrap w:val="0"/>
                  <w:vAlign w:val="center"/>
                </w:tcPr>
                <w:p w14:paraId="7B638E41">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0" w:type="dxa"/>
                  <w:vMerge w:val="restart"/>
                  <w:tcBorders>
                    <w:tl2br w:val="nil"/>
                    <w:tr2bl w:val="nil"/>
                  </w:tcBorders>
                  <w:noWrap w:val="0"/>
                  <w:vAlign w:val="center"/>
                </w:tcPr>
                <w:p w14:paraId="02DC7689">
                  <w:pPr>
                    <w:pStyle w:val="39"/>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r>
                    <w:rPr>
                      <w:rFonts w:hint="eastAsia" w:cs="Times New Roman"/>
                      <w:bCs/>
                      <w:color w:val="auto"/>
                      <w:kern w:val="2"/>
                      <w:sz w:val="21"/>
                      <w:szCs w:val="21"/>
                      <w:highlight w:val="none"/>
                      <w:lang w:val="en-US" w:eastAsia="zh-CN" w:bidi="ar"/>
                    </w:rPr>
                    <w:t>超标</w:t>
                  </w:r>
                </w:p>
              </w:tc>
            </w:tr>
            <w:tr w14:paraId="3BF1D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14:paraId="6F6833FB">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continue"/>
                  <w:tcBorders>
                    <w:tl2br w:val="nil"/>
                    <w:tr2bl w:val="nil"/>
                  </w:tcBorders>
                  <w:noWrap w:val="0"/>
                  <w:vAlign w:val="center"/>
                </w:tcPr>
                <w:p w14:paraId="0C94AA51">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p>
              </w:tc>
              <w:tc>
                <w:tcPr>
                  <w:tcW w:w="1524" w:type="dxa"/>
                  <w:tcBorders>
                    <w:tl2br w:val="nil"/>
                    <w:tr2bl w:val="nil"/>
                  </w:tcBorders>
                  <w:noWrap w:val="0"/>
                  <w:vAlign w:val="center"/>
                </w:tcPr>
                <w:p w14:paraId="55D25F6B">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24小时平均第95百分位数</w:t>
                  </w:r>
                </w:p>
              </w:tc>
              <w:tc>
                <w:tcPr>
                  <w:tcW w:w="859" w:type="dxa"/>
                  <w:tcBorders>
                    <w:tl2br w:val="nil"/>
                    <w:tr2bl w:val="nil"/>
                  </w:tcBorders>
                  <w:noWrap w:val="0"/>
                  <w:vAlign w:val="center"/>
                </w:tcPr>
                <w:p w14:paraId="003BA300">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150</w:t>
                  </w:r>
                </w:p>
              </w:tc>
              <w:tc>
                <w:tcPr>
                  <w:tcW w:w="973" w:type="dxa"/>
                  <w:tcBorders>
                    <w:tl2br w:val="nil"/>
                    <w:tr2bl w:val="nil"/>
                  </w:tcBorders>
                  <w:noWrap w:val="0"/>
                  <w:vAlign w:val="center"/>
                </w:tcPr>
                <w:p w14:paraId="4C6E187A">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234.4</w:t>
                  </w:r>
                </w:p>
              </w:tc>
              <w:tc>
                <w:tcPr>
                  <w:tcW w:w="1077" w:type="dxa"/>
                  <w:tcBorders>
                    <w:tl2br w:val="nil"/>
                    <w:tr2bl w:val="nil"/>
                  </w:tcBorders>
                  <w:noWrap w:val="0"/>
                  <w:vAlign w:val="center"/>
                </w:tcPr>
                <w:p w14:paraId="38C4E3DC">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156.27</w:t>
                  </w:r>
                </w:p>
              </w:tc>
              <w:tc>
                <w:tcPr>
                  <w:tcW w:w="600" w:type="dxa"/>
                  <w:tcBorders>
                    <w:tl2br w:val="nil"/>
                    <w:tr2bl w:val="nil"/>
                  </w:tcBorders>
                  <w:noWrap w:val="0"/>
                  <w:vAlign w:val="center"/>
                </w:tcPr>
                <w:p w14:paraId="1312A51F">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0.56</w:t>
                  </w:r>
                </w:p>
              </w:tc>
              <w:tc>
                <w:tcPr>
                  <w:tcW w:w="825" w:type="dxa"/>
                  <w:tcBorders>
                    <w:tl2br w:val="nil"/>
                    <w:tr2bl w:val="nil"/>
                  </w:tcBorders>
                  <w:noWrap w:val="0"/>
                  <w:vAlign w:val="center"/>
                </w:tcPr>
                <w:p w14:paraId="640ECD32">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18.21</w:t>
                  </w:r>
                </w:p>
              </w:tc>
              <w:tc>
                <w:tcPr>
                  <w:tcW w:w="600" w:type="dxa"/>
                  <w:vMerge w:val="continue"/>
                  <w:tcBorders>
                    <w:tl2br w:val="nil"/>
                    <w:tr2bl w:val="nil"/>
                  </w:tcBorders>
                  <w:noWrap w:val="0"/>
                  <w:vAlign w:val="center"/>
                </w:tcPr>
                <w:p w14:paraId="2483B712">
                  <w:pPr>
                    <w:pStyle w:val="39"/>
                    <w:keepNext w:val="0"/>
                    <w:keepLines w:val="0"/>
                    <w:pageBreakBefore w:val="0"/>
                    <w:widowControl w:val="0"/>
                    <w:kinsoku/>
                    <w:wordWrap/>
                    <w:overflowPunct/>
                    <w:topLinePunct w:val="0"/>
                    <w:autoSpaceDE/>
                    <w:autoSpaceDN/>
                    <w:bidi w:val="0"/>
                    <w:snapToGrid/>
                    <w:spacing w:line="240" w:lineRule="auto"/>
                    <w:ind w:firstLine="0" w:firstLineChars="0"/>
                    <w:jc w:val="center"/>
                    <w:rPr>
                      <w:rFonts w:hint="eastAsia" w:ascii="Times New Roman" w:hAnsi="Times New Roman" w:eastAsia="宋体" w:cs="Times New Roman"/>
                      <w:bCs/>
                      <w:color w:val="auto"/>
                      <w:kern w:val="2"/>
                      <w:sz w:val="21"/>
                      <w:szCs w:val="21"/>
                      <w:highlight w:val="none"/>
                      <w:lang w:val="en-US" w:eastAsia="zh-CN" w:bidi="ar"/>
                    </w:rPr>
                  </w:pPr>
                </w:p>
              </w:tc>
            </w:tr>
            <w:tr w14:paraId="4814D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14:paraId="58432459">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restart"/>
                  <w:tcBorders>
                    <w:tl2br w:val="nil"/>
                    <w:tr2bl w:val="nil"/>
                  </w:tcBorders>
                  <w:noWrap w:val="0"/>
                  <w:vAlign w:val="center"/>
                </w:tcPr>
                <w:p w14:paraId="194EEED0">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2.5</w:t>
                  </w:r>
                </w:p>
              </w:tc>
              <w:tc>
                <w:tcPr>
                  <w:tcW w:w="1524" w:type="dxa"/>
                  <w:tcBorders>
                    <w:tl2br w:val="nil"/>
                    <w:tr2bl w:val="nil"/>
                  </w:tcBorders>
                  <w:noWrap w:val="0"/>
                  <w:vAlign w:val="center"/>
                </w:tcPr>
                <w:p w14:paraId="5544C164">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859" w:type="dxa"/>
                  <w:tcBorders>
                    <w:tl2br w:val="nil"/>
                    <w:tr2bl w:val="nil"/>
                  </w:tcBorders>
                  <w:noWrap w:val="0"/>
                  <w:vAlign w:val="center"/>
                </w:tcPr>
                <w:p w14:paraId="61B5092E">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35</w:t>
                  </w:r>
                </w:p>
              </w:tc>
              <w:tc>
                <w:tcPr>
                  <w:tcW w:w="973" w:type="dxa"/>
                  <w:tcBorders>
                    <w:tl2br w:val="nil"/>
                    <w:tr2bl w:val="nil"/>
                  </w:tcBorders>
                  <w:noWrap w:val="0"/>
                  <w:vAlign w:val="center"/>
                </w:tcPr>
                <w:p w14:paraId="67E84E7B">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62.8</w:t>
                  </w:r>
                </w:p>
              </w:tc>
              <w:tc>
                <w:tcPr>
                  <w:tcW w:w="1077" w:type="dxa"/>
                  <w:tcBorders>
                    <w:tl2br w:val="nil"/>
                    <w:tr2bl w:val="nil"/>
                  </w:tcBorders>
                  <w:noWrap w:val="0"/>
                  <w:vAlign w:val="center"/>
                </w:tcPr>
                <w:p w14:paraId="76532DC4">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179.46</w:t>
                  </w:r>
                </w:p>
              </w:tc>
              <w:tc>
                <w:tcPr>
                  <w:tcW w:w="600" w:type="dxa"/>
                  <w:tcBorders>
                    <w:tl2br w:val="nil"/>
                    <w:tr2bl w:val="nil"/>
                  </w:tcBorders>
                  <w:noWrap w:val="0"/>
                  <w:vAlign w:val="center"/>
                </w:tcPr>
                <w:p w14:paraId="5CAABE12">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0.79</w:t>
                  </w:r>
                </w:p>
              </w:tc>
              <w:tc>
                <w:tcPr>
                  <w:tcW w:w="825" w:type="dxa"/>
                  <w:tcBorders>
                    <w:tl2br w:val="nil"/>
                    <w:tr2bl w:val="nil"/>
                  </w:tcBorders>
                  <w:noWrap w:val="0"/>
                  <w:vAlign w:val="center"/>
                </w:tcPr>
                <w:p w14:paraId="3C92C6B6">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0" w:type="dxa"/>
                  <w:vMerge w:val="restart"/>
                  <w:tcBorders>
                    <w:tl2br w:val="nil"/>
                    <w:tr2bl w:val="nil"/>
                  </w:tcBorders>
                  <w:noWrap w:val="0"/>
                  <w:vAlign w:val="center"/>
                </w:tcPr>
                <w:p w14:paraId="0F9019D1">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r>
                    <w:rPr>
                      <w:rFonts w:hint="eastAsia" w:cs="Times New Roman"/>
                      <w:bCs/>
                      <w:color w:val="auto"/>
                      <w:kern w:val="2"/>
                      <w:sz w:val="21"/>
                      <w:szCs w:val="21"/>
                      <w:highlight w:val="none"/>
                      <w:lang w:val="en-US" w:eastAsia="zh-CN" w:bidi="ar"/>
                    </w:rPr>
                    <w:t>超标</w:t>
                  </w:r>
                </w:p>
              </w:tc>
            </w:tr>
            <w:tr w14:paraId="1B9A0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84" w:type="dxa"/>
                  <w:vMerge w:val="continue"/>
                  <w:tcBorders>
                    <w:tl2br w:val="nil"/>
                    <w:tr2bl w:val="nil"/>
                  </w:tcBorders>
                  <w:noWrap w:val="0"/>
                  <w:vAlign w:val="center"/>
                </w:tcPr>
                <w:p w14:paraId="6E27AC98">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rPr>
                  </w:pPr>
                </w:p>
              </w:tc>
              <w:tc>
                <w:tcPr>
                  <w:tcW w:w="780" w:type="dxa"/>
                  <w:vMerge w:val="continue"/>
                  <w:tcBorders>
                    <w:tl2br w:val="nil"/>
                    <w:tr2bl w:val="nil"/>
                  </w:tcBorders>
                  <w:noWrap w:val="0"/>
                  <w:vAlign w:val="center"/>
                </w:tcPr>
                <w:p w14:paraId="1EBE1B23">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p>
              </w:tc>
              <w:tc>
                <w:tcPr>
                  <w:tcW w:w="1524" w:type="dxa"/>
                  <w:tcBorders>
                    <w:tl2br w:val="nil"/>
                    <w:tr2bl w:val="nil"/>
                  </w:tcBorders>
                  <w:noWrap w:val="0"/>
                  <w:vAlign w:val="center"/>
                </w:tcPr>
                <w:p w14:paraId="3B1D0F73">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24小时平均第95百分位数</w:t>
                  </w:r>
                </w:p>
              </w:tc>
              <w:tc>
                <w:tcPr>
                  <w:tcW w:w="859" w:type="dxa"/>
                  <w:tcBorders>
                    <w:tl2br w:val="nil"/>
                    <w:tr2bl w:val="nil"/>
                  </w:tcBorders>
                  <w:noWrap w:val="0"/>
                  <w:vAlign w:val="center"/>
                </w:tcPr>
                <w:p w14:paraId="0172A4CD">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75</w:t>
                  </w:r>
                </w:p>
              </w:tc>
              <w:tc>
                <w:tcPr>
                  <w:tcW w:w="973" w:type="dxa"/>
                  <w:tcBorders>
                    <w:tl2br w:val="nil"/>
                    <w:tr2bl w:val="nil"/>
                  </w:tcBorders>
                  <w:noWrap w:val="0"/>
                  <w:vAlign w:val="center"/>
                </w:tcPr>
                <w:p w14:paraId="70393BED">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166.6</w:t>
                  </w:r>
                </w:p>
              </w:tc>
              <w:tc>
                <w:tcPr>
                  <w:tcW w:w="1077" w:type="dxa"/>
                  <w:tcBorders>
                    <w:tl2br w:val="nil"/>
                    <w:tr2bl w:val="nil"/>
                  </w:tcBorders>
                  <w:noWrap w:val="0"/>
                  <w:vAlign w:val="center"/>
                </w:tcPr>
                <w:p w14:paraId="4599E104">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222.13</w:t>
                  </w:r>
                </w:p>
              </w:tc>
              <w:tc>
                <w:tcPr>
                  <w:tcW w:w="600" w:type="dxa"/>
                  <w:tcBorders>
                    <w:tl2br w:val="nil"/>
                    <w:tr2bl w:val="nil"/>
                  </w:tcBorders>
                  <w:noWrap w:val="0"/>
                  <w:vAlign w:val="center"/>
                </w:tcPr>
                <w:p w14:paraId="05CCC9AD">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1.22</w:t>
                  </w:r>
                </w:p>
              </w:tc>
              <w:tc>
                <w:tcPr>
                  <w:tcW w:w="825" w:type="dxa"/>
                  <w:tcBorders>
                    <w:tl2br w:val="nil"/>
                    <w:tr2bl w:val="nil"/>
                  </w:tcBorders>
                  <w:noWrap w:val="0"/>
                  <w:vAlign w:val="center"/>
                </w:tcPr>
                <w:p w14:paraId="5676C2E8">
                  <w:pPr>
                    <w:pStyle w:val="39"/>
                    <w:keepNext w:val="0"/>
                    <w:keepLines w:val="0"/>
                    <w:pageBreakBefore w:val="0"/>
                    <w:widowControl w:val="0"/>
                    <w:kinsoku/>
                    <w:wordWrap/>
                    <w:overflowPunct/>
                    <w:topLinePunct w:val="0"/>
                    <w:autoSpaceDE/>
                    <w:autoSpaceDN/>
                    <w:bidi w:val="0"/>
                    <w:snapToGrid/>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20.23</w:t>
                  </w:r>
                </w:p>
              </w:tc>
              <w:tc>
                <w:tcPr>
                  <w:tcW w:w="600" w:type="dxa"/>
                  <w:vMerge w:val="continue"/>
                  <w:tcBorders>
                    <w:tl2br w:val="nil"/>
                    <w:tr2bl w:val="nil"/>
                  </w:tcBorders>
                  <w:noWrap w:val="0"/>
                  <w:vAlign w:val="center"/>
                </w:tcPr>
                <w:p w14:paraId="1059185B">
                  <w:pPr>
                    <w:keepNext w:val="0"/>
                    <w:keepLines w:val="0"/>
                    <w:pageBreakBefore w:val="0"/>
                    <w:kinsoku/>
                    <w:wordWrap/>
                    <w:overflowPunct/>
                    <w:topLinePunct w:val="0"/>
                    <w:autoSpaceDE/>
                    <w:autoSpaceDN/>
                    <w:bidi w:val="0"/>
                    <w:snapToGrid/>
                    <w:spacing w:line="240" w:lineRule="auto"/>
                    <w:ind w:firstLine="0" w:firstLineChars="0"/>
                    <w:jc w:val="center"/>
                    <w:rPr>
                      <w:rFonts w:hint="default" w:ascii="Times New Roman" w:hAnsi="Times New Roman" w:eastAsia="宋体" w:cs="Times New Roman"/>
                      <w:bCs/>
                      <w:color w:val="auto"/>
                      <w:kern w:val="2"/>
                      <w:sz w:val="21"/>
                      <w:szCs w:val="21"/>
                      <w:highlight w:val="none"/>
                      <w:lang w:val="en-US" w:eastAsia="zh-CN" w:bidi="ar"/>
                    </w:rPr>
                  </w:pPr>
                </w:p>
              </w:tc>
            </w:tr>
          </w:tbl>
          <w:p w14:paraId="098E0442">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kern w:val="2"/>
                <w:sz w:val="24"/>
                <w:szCs w:val="24"/>
                <w:highlight w:val="none"/>
                <w:shd w:val="clear" w:color="auto" w:fill="auto"/>
                <w:lang w:val="en-US" w:eastAsia="zh-CN" w:bidi="ar"/>
              </w:rPr>
            </w:pPr>
            <w:r>
              <w:rPr>
                <w:rFonts w:hint="default" w:ascii="Times New Roman" w:hAnsi="Times New Roman" w:eastAsia="宋体" w:cs="Times New Roman"/>
                <w:color w:val="auto"/>
                <w:sz w:val="24"/>
                <w:szCs w:val="24"/>
                <w:highlight w:val="none"/>
                <w:shd w:val="clear" w:color="auto" w:fill="auto"/>
                <w:lang w:val="en-US" w:eastAsia="zh-CN"/>
              </w:rPr>
              <w:t>由上表可知，</w:t>
            </w:r>
            <w:r>
              <w:rPr>
                <w:rFonts w:hint="default" w:ascii="Times New Roman" w:hAnsi="Times New Roman" w:eastAsia="宋体" w:cs="Times New Roman"/>
                <w:color w:val="auto"/>
                <w:kern w:val="0"/>
                <w:sz w:val="24"/>
                <w:szCs w:val="24"/>
                <w:lang w:val="en-US" w:eastAsia="zh-CN" w:bidi="ar"/>
              </w:rPr>
              <w:t>唐山市高新区环境空气例行监测点年评价指标中SO</w:t>
            </w:r>
            <w:r>
              <w:rPr>
                <w:rFonts w:hint="default" w:ascii="Times New Roman" w:hAnsi="Times New Roman" w:eastAsia="宋体" w:cs="Times New Roman"/>
                <w:color w:val="auto"/>
                <w:kern w:val="0"/>
                <w:sz w:val="24"/>
                <w:szCs w:val="24"/>
                <w:vertAlign w:val="subscript"/>
                <w:lang w:val="en-US" w:eastAsia="zh-CN" w:bidi="ar"/>
              </w:rPr>
              <w:t>2</w:t>
            </w:r>
            <w:r>
              <w:rPr>
                <w:rFonts w:hint="default" w:ascii="Times New Roman" w:hAnsi="Times New Roman" w:eastAsia="宋体" w:cs="Times New Roman"/>
                <w:color w:val="auto"/>
                <w:kern w:val="0"/>
                <w:sz w:val="24"/>
                <w:szCs w:val="24"/>
                <w:lang w:val="en-US" w:eastAsia="zh-CN" w:bidi="ar"/>
              </w:rPr>
              <w:t>年均值及24小时平均第98百分位数值、CO</w:t>
            </w:r>
            <w:r>
              <w:rPr>
                <w:rFonts w:hint="eastAsia"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宋体" w:cs="Times New Roman"/>
                <w:color w:val="auto"/>
                <w:kern w:val="0"/>
                <w:sz w:val="24"/>
                <w:szCs w:val="24"/>
                <w:lang w:val="en-US" w:eastAsia="zh-CN" w:bidi="ar"/>
              </w:rPr>
              <w:t>24小时平均第95百分位数值满足《环境空气质量标准》(GB3095－2012)中二级标准及修改单(环境保护部公告2018年第29号)要求；NO</w:t>
            </w:r>
            <w:r>
              <w:rPr>
                <w:rFonts w:hint="default" w:ascii="Times New Roman" w:hAnsi="Times New Roman" w:eastAsia="宋体" w:cs="Times New Roman"/>
                <w:color w:val="auto"/>
                <w:kern w:val="0"/>
                <w:sz w:val="24"/>
                <w:szCs w:val="24"/>
                <w:vertAlign w:val="subscript"/>
                <w:lang w:val="en-US" w:eastAsia="zh-CN" w:bidi="ar"/>
              </w:rPr>
              <w:t>2</w:t>
            </w:r>
            <w:r>
              <w:rPr>
                <w:rFonts w:hint="default" w:ascii="Times New Roman" w:hAnsi="Times New Roman" w:eastAsia="宋体" w:cs="Times New Roman"/>
                <w:color w:val="auto"/>
                <w:kern w:val="0"/>
                <w:sz w:val="24"/>
                <w:szCs w:val="24"/>
                <w:lang w:val="en-US" w:eastAsia="zh-CN" w:bidi="ar"/>
              </w:rPr>
              <w:t>年均值及24小时平均第98百分位数值、PM</w:t>
            </w:r>
            <w:r>
              <w:rPr>
                <w:rFonts w:hint="default" w:ascii="Times New Roman" w:hAnsi="Times New Roman" w:eastAsia="宋体" w:cs="Times New Roman"/>
                <w:color w:val="auto"/>
                <w:kern w:val="0"/>
                <w:sz w:val="24"/>
                <w:szCs w:val="24"/>
                <w:vertAlign w:val="subscript"/>
                <w:lang w:val="en-US" w:eastAsia="zh-CN" w:bidi="ar"/>
              </w:rPr>
              <w:t>10</w:t>
            </w:r>
            <w:r>
              <w:rPr>
                <w:rFonts w:hint="default" w:ascii="Times New Roman" w:hAnsi="Times New Roman" w:eastAsia="宋体" w:cs="Times New Roman"/>
                <w:color w:val="auto"/>
                <w:kern w:val="0"/>
                <w:sz w:val="24"/>
                <w:szCs w:val="24"/>
                <w:lang w:val="en-US" w:eastAsia="zh-CN" w:bidi="ar"/>
              </w:rPr>
              <w:t>和PM</w:t>
            </w:r>
            <w:r>
              <w:rPr>
                <w:rFonts w:hint="default" w:ascii="Times New Roman" w:hAnsi="Times New Roman" w:eastAsia="宋体" w:cs="Times New Roman"/>
                <w:color w:val="auto"/>
                <w:kern w:val="0"/>
                <w:sz w:val="24"/>
                <w:szCs w:val="24"/>
                <w:vertAlign w:val="subscript"/>
                <w:lang w:val="en-US" w:eastAsia="zh-CN" w:bidi="ar"/>
              </w:rPr>
              <w:t>2.5</w:t>
            </w:r>
            <w:r>
              <w:rPr>
                <w:rFonts w:hint="default" w:ascii="Times New Roman" w:hAnsi="Times New Roman" w:eastAsia="宋体" w:cs="Times New Roman"/>
                <w:color w:val="auto"/>
                <w:kern w:val="0"/>
                <w:sz w:val="24"/>
                <w:szCs w:val="24"/>
                <w:lang w:val="en-US" w:eastAsia="zh-CN" w:bidi="ar"/>
              </w:rPr>
              <w:t>年平均值及24小时平均第95百分位数值、O</w:t>
            </w:r>
            <w:r>
              <w:rPr>
                <w:rFonts w:hint="default" w:ascii="Times New Roman" w:hAnsi="Times New Roman" w:eastAsia="宋体" w:cs="Times New Roman"/>
                <w:color w:val="auto"/>
                <w:kern w:val="0"/>
                <w:sz w:val="24"/>
                <w:szCs w:val="24"/>
                <w:vertAlign w:val="subscript"/>
                <w:lang w:val="en-US" w:eastAsia="zh-CN" w:bidi="ar"/>
              </w:rPr>
              <w:t>3</w:t>
            </w:r>
            <w:r>
              <w:rPr>
                <w:rFonts w:hint="default" w:ascii="Times New Roman" w:hAnsi="Times New Roman" w:eastAsia="宋体" w:cs="Times New Roman"/>
                <w:color w:val="auto"/>
                <w:kern w:val="0"/>
                <w:sz w:val="24"/>
                <w:szCs w:val="24"/>
                <w:lang w:val="en-US" w:eastAsia="zh-CN" w:bidi="ar"/>
              </w:rPr>
              <w:t>日最大8小时滑动平均值的第90百分位数值超过了《环境空气质量标准》(GB3095－2012)及修改单(环境保护部公告2018年第29号)中二级标准要求，O</w:t>
            </w:r>
            <w:r>
              <w:rPr>
                <w:rFonts w:hint="default" w:ascii="Times New Roman" w:hAnsi="Times New Roman" w:eastAsia="宋体" w:cs="Times New Roman"/>
                <w:color w:val="auto"/>
                <w:kern w:val="0"/>
                <w:sz w:val="24"/>
                <w:szCs w:val="24"/>
                <w:vertAlign w:val="subscript"/>
                <w:lang w:val="en-US" w:eastAsia="zh-CN" w:bidi="ar"/>
              </w:rPr>
              <w:t>3</w:t>
            </w:r>
            <w:r>
              <w:rPr>
                <w:rFonts w:hint="default" w:ascii="Times New Roman" w:hAnsi="Times New Roman" w:eastAsia="宋体" w:cs="Times New Roman"/>
                <w:color w:val="auto"/>
                <w:kern w:val="0"/>
                <w:sz w:val="24"/>
                <w:szCs w:val="24"/>
                <w:lang w:val="en-US" w:eastAsia="zh-CN" w:bidi="ar"/>
              </w:rPr>
              <w:t>、NO</w:t>
            </w:r>
            <w:r>
              <w:rPr>
                <w:rFonts w:hint="default" w:ascii="Times New Roman" w:hAnsi="Times New Roman" w:eastAsia="宋体" w:cs="Times New Roman"/>
                <w:color w:val="auto"/>
                <w:kern w:val="0"/>
                <w:sz w:val="24"/>
                <w:szCs w:val="24"/>
                <w:vertAlign w:val="subscript"/>
                <w:lang w:val="en-US" w:eastAsia="zh-CN" w:bidi="ar"/>
              </w:rPr>
              <w:t>2</w:t>
            </w:r>
            <w:r>
              <w:rPr>
                <w:rFonts w:hint="default" w:ascii="Times New Roman" w:hAnsi="Times New Roman" w:eastAsia="宋体" w:cs="Times New Roman"/>
                <w:color w:val="auto"/>
                <w:kern w:val="0"/>
                <w:sz w:val="24"/>
                <w:szCs w:val="24"/>
                <w:lang w:val="en-US" w:eastAsia="zh-CN" w:bidi="ar"/>
              </w:rPr>
              <w:t>、PM</w:t>
            </w:r>
            <w:r>
              <w:rPr>
                <w:rFonts w:hint="default" w:ascii="Times New Roman" w:hAnsi="Times New Roman" w:eastAsia="宋体" w:cs="Times New Roman"/>
                <w:color w:val="auto"/>
                <w:kern w:val="0"/>
                <w:sz w:val="24"/>
                <w:szCs w:val="24"/>
                <w:vertAlign w:val="subscript"/>
                <w:lang w:val="en-US" w:eastAsia="zh-CN" w:bidi="ar"/>
              </w:rPr>
              <w:t>10</w:t>
            </w:r>
            <w:r>
              <w:rPr>
                <w:rFonts w:hint="default" w:ascii="Times New Roman" w:hAnsi="Times New Roman" w:eastAsia="宋体" w:cs="Times New Roman"/>
                <w:color w:val="auto"/>
                <w:kern w:val="0"/>
                <w:sz w:val="24"/>
                <w:szCs w:val="24"/>
                <w:lang w:val="en-US" w:eastAsia="zh-CN" w:bidi="ar"/>
              </w:rPr>
              <w:t>、PM</w:t>
            </w:r>
            <w:r>
              <w:rPr>
                <w:rFonts w:hint="default" w:ascii="Times New Roman" w:hAnsi="Times New Roman" w:eastAsia="宋体" w:cs="Times New Roman"/>
                <w:color w:val="auto"/>
                <w:kern w:val="0"/>
                <w:sz w:val="24"/>
                <w:szCs w:val="24"/>
                <w:vertAlign w:val="subscript"/>
                <w:lang w:val="en-US" w:eastAsia="zh-CN" w:bidi="ar"/>
              </w:rPr>
              <w:t>2.5</w:t>
            </w:r>
            <w:r>
              <w:rPr>
                <w:rFonts w:hint="default" w:ascii="Times New Roman" w:hAnsi="Times New Roman" w:eastAsia="宋体" w:cs="Times New Roman"/>
                <w:color w:val="auto"/>
                <w:kern w:val="0"/>
                <w:sz w:val="24"/>
                <w:szCs w:val="24"/>
                <w:lang w:val="en-US" w:eastAsia="zh-CN" w:bidi="ar"/>
              </w:rPr>
              <w:t>为超标因子</w:t>
            </w:r>
            <w:r>
              <w:rPr>
                <w:rFonts w:hint="default" w:ascii="Times New Roman" w:hAnsi="Times New Roman" w:eastAsia="宋体" w:cs="Times New Roman"/>
                <w:color w:val="auto"/>
                <w:sz w:val="24"/>
                <w:szCs w:val="24"/>
                <w:highlight w:val="none"/>
                <w:shd w:val="clear" w:color="auto" w:fill="auto"/>
                <w:lang w:val="en-US" w:eastAsia="zh-CN"/>
              </w:rPr>
              <w:t>。</w:t>
            </w:r>
          </w:p>
          <w:p w14:paraId="677691E1">
            <w:pPr>
              <w:bidi w:val="0"/>
              <w:rPr>
                <w:rFonts w:hint="default"/>
                <w:color w:val="auto"/>
                <w:highlight w:val="none"/>
              </w:rPr>
            </w:pPr>
            <w:r>
              <w:rPr>
                <w:rFonts w:hint="eastAsia"/>
                <w:color w:val="auto"/>
                <w:highlight w:val="none"/>
              </w:rPr>
              <w:t>②</w:t>
            </w:r>
            <w:r>
              <w:rPr>
                <w:rFonts w:hint="default"/>
                <w:color w:val="auto"/>
                <w:highlight w:val="none"/>
              </w:rPr>
              <w:t>其他污染物环境质量现状评价</w:t>
            </w:r>
          </w:p>
          <w:p w14:paraId="048F9F34">
            <w:pPr>
              <w:bidi w:val="0"/>
              <w:rPr>
                <w:rFonts w:hint="eastAsia"/>
                <w:color w:val="auto"/>
                <w:highlight w:val="none"/>
                <w:lang w:val="en-US" w:eastAsia="zh-CN"/>
              </w:rPr>
            </w:pPr>
            <w:r>
              <w:rPr>
                <w:rFonts w:hint="eastAsia"/>
                <w:color w:val="auto"/>
                <w:highlight w:val="none"/>
                <w:lang w:val="en-US" w:eastAsia="zh-CN"/>
              </w:rPr>
              <w:t>根据《建设项目环境影响报告表编制技术指南（污染影响类）（试行）》“排放国家、地方环境空气质量标准中有标准限值要求的特征污染物时，引用建设项目周边5千米范围内近3年的现有监测数据，无相关数据的选择当季主导风向下风向1个点位补充不少于3天的监测数据”。本项目生产过程涉及排放的有环境空气质量标准限值的特征污染物为非甲烷总烃、苯、甲苯、二甲苯、TSP。本次在评价特征污染物环境质量现状时，引用建设项目周边5千米范围内近3年的现有监测数据进行分析。</w:t>
            </w:r>
          </w:p>
          <w:p w14:paraId="12985E36">
            <w:pPr>
              <w:pStyle w:val="13"/>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default" w:ascii="Times New Roman" w:hAnsi="Times New Roman" w:eastAsia="宋体" w:cs="Times New Roman"/>
                <w:color w:val="auto"/>
                <w:spacing w:val="0"/>
                <w:position w:val="0"/>
                <w:sz w:val="24"/>
                <w:szCs w:val="21"/>
                <w:highlight w:val="none"/>
                <w:shd w:val="clear" w:color="auto" w:fill="auto"/>
                <w:lang w:eastAsia="zh-TW"/>
              </w:rPr>
            </w:pPr>
            <w:r>
              <w:rPr>
                <w:rFonts w:hint="eastAsia"/>
                <w:color w:val="auto"/>
                <w:highlight w:val="none"/>
                <w:lang w:val="en-US" w:eastAsia="zh-CN"/>
              </w:rPr>
              <w:t>非甲烷总烃、苯、甲苯、二甲苯、TSP</w:t>
            </w:r>
            <w:r>
              <w:rPr>
                <w:rFonts w:hint="default" w:ascii="Times New Roman" w:hAnsi="Times New Roman" w:eastAsia="宋体" w:cs="Times New Roman"/>
                <w:color w:val="auto"/>
                <w:spacing w:val="0"/>
                <w:position w:val="0"/>
                <w:sz w:val="24"/>
                <w:szCs w:val="21"/>
                <w:highlight w:val="none"/>
                <w:shd w:val="clear" w:color="auto" w:fill="auto"/>
                <w:lang w:eastAsia="zh-TW"/>
              </w:rPr>
              <w:t>环境质量现状</w:t>
            </w:r>
            <w:r>
              <w:rPr>
                <w:rFonts w:hint="eastAsia" w:ascii="Times New Roman" w:hAnsi="Times New Roman" w:eastAsia="宋体" w:cs="Times New Roman"/>
                <w:color w:val="auto"/>
                <w:spacing w:val="0"/>
                <w:position w:val="0"/>
                <w:sz w:val="24"/>
                <w:szCs w:val="21"/>
                <w:highlight w:val="none"/>
                <w:shd w:val="clear" w:color="auto" w:fill="auto"/>
                <w:lang w:eastAsia="zh-CN"/>
              </w:rPr>
              <w:t>检测</w:t>
            </w:r>
            <w:r>
              <w:rPr>
                <w:rFonts w:hint="default" w:ascii="Times New Roman" w:hAnsi="Times New Roman" w:eastAsia="宋体" w:cs="Times New Roman"/>
                <w:color w:val="auto"/>
                <w:spacing w:val="0"/>
                <w:position w:val="0"/>
                <w:sz w:val="24"/>
                <w:szCs w:val="21"/>
                <w:highlight w:val="none"/>
                <w:shd w:val="clear" w:color="auto" w:fill="auto"/>
                <w:lang w:eastAsia="zh-TW"/>
              </w:rPr>
              <w:t>数据引用</w:t>
            </w:r>
            <w:r>
              <w:rPr>
                <w:rFonts w:ascii="宋体" w:hAnsi="宋体"/>
                <w:color w:val="auto"/>
                <w:sz w:val="24"/>
              </w:rPr>
              <w:t>河北中彻环境检测技术有限公司于</w:t>
            </w:r>
            <w:r>
              <w:rPr>
                <w:color w:val="auto"/>
                <w:sz w:val="24"/>
              </w:rPr>
              <w:t>20</w:t>
            </w:r>
            <w:r>
              <w:rPr>
                <w:rFonts w:hint="eastAsia"/>
                <w:color w:val="auto"/>
                <w:sz w:val="24"/>
              </w:rPr>
              <w:t>20</w:t>
            </w:r>
            <w:r>
              <w:rPr>
                <w:rFonts w:ascii="宋体" w:hAnsi="宋体"/>
                <w:color w:val="auto"/>
                <w:sz w:val="24"/>
              </w:rPr>
              <w:t>年</w:t>
            </w:r>
            <w:r>
              <w:rPr>
                <w:rFonts w:hint="eastAsia"/>
                <w:color w:val="auto"/>
                <w:sz w:val="24"/>
              </w:rPr>
              <w:t>4</w:t>
            </w:r>
            <w:r>
              <w:rPr>
                <w:rFonts w:ascii="宋体" w:hAnsi="宋体"/>
                <w:color w:val="auto"/>
                <w:sz w:val="24"/>
              </w:rPr>
              <w:t>月</w:t>
            </w:r>
            <w:r>
              <w:rPr>
                <w:rFonts w:hint="eastAsia"/>
                <w:color w:val="auto"/>
                <w:sz w:val="24"/>
              </w:rPr>
              <w:t>10</w:t>
            </w:r>
            <w:r>
              <w:rPr>
                <w:rFonts w:ascii="宋体" w:hAnsi="宋体"/>
                <w:color w:val="auto"/>
                <w:sz w:val="24"/>
              </w:rPr>
              <w:t>日</w:t>
            </w:r>
            <w:r>
              <w:rPr>
                <w:color w:val="auto"/>
                <w:sz w:val="24"/>
              </w:rPr>
              <w:t>-20</w:t>
            </w:r>
            <w:r>
              <w:rPr>
                <w:rFonts w:hint="eastAsia"/>
                <w:color w:val="auto"/>
                <w:sz w:val="24"/>
              </w:rPr>
              <w:t>20</w:t>
            </w:r>
            <w:r>
              <w:rPr>
                <w:rFonts w:ascii="宋体" w:hAnsi="宋体"/>
                <w:color w:val="auto"/>
                <w:sz w:val="24"/>
              </w:rPr>
              <w:t>年</w:t>
            </w:r>
            <w:r>
              <w:rPr>
                <w:rFonts w:hint="eastAsia"/>
                <w:color w:val="auto"/>
                <w:sz w:val="24"/>
              </w:rPr>
              <w:t>4</w:t>
            </w:r>
            <w:r>
              <w:rPr>
                <w:rFonts w:ascii="宋体" w:hAnsi="宋体"/>
                <w:color w:val="auto"/>
                <w:sz w:val="24"/>
              </w:rPr>
              <w:t>月</w:t>
            </w:r>
            <w:r>
              <w:rPr>
                <w:rFonts w:hint="eastAsia"/>
                <w:color w:val="auto"/>
                <w:sz w:val="24"/>
              </w:rPr>
              <w:t>17</w:t>
            </w:r>
            <w:r>
              <w:rPr>
                <w:rFonts w:ascii="宋体" w:hAnsi="宋体"/>
                <w:color w:val="auto"/>
                <w:sz w:val="24"/>
              </w:rPr>
              <w:t>日</w:t>
            </w:r>
            <w:r>
              <w:rPr>
                <w:rFonts w:hint="eastAsia"/>
                <w:color w:val="auto"/>
                <w:highlight w:val="none"/>
                <w:lang w:val="en-US" w:eastAsia="zh-CN"/>
              </w:rPr>
              <w:t>对《</w:t>
            </w:r>
            <w:r>
              <w:rPr>
                <w:rFonts w:hint="eastAsia"/>
                <w:color w:val="auto"/>
                <w:sz w:val="24"/>
              </w:rPr>
              <w:t>意商科沛达（北京）泵业有限公司生产2000台（套）/年泵器系统项目</w:t>
            </w:r>
            <w:r>
              <w:rPr>
                <w:rFonts w:hint="eastAsia"/>
                <w:color w:val="auto"/>
                <w:highlight w:val="none"/>
                <w:lang w:val="en-US" w:eastAsia="zh-CN"/>
              </w:rPr>
              <w:t>》出具的环境质量现状检测报告，该检测点位距本项目1.4km，引用数据符合《建设项目环境影响报告表编制技术指南（污染影响类）（试行）》要求，引用数据可用</w:t>
            </w:r>
            <w:r>
              <w:rPr>
                <w:rFonts w:hint="default" w:ascii="Times New Roman" w:hAnsi="Times New Roman" w:eastAsia="宋体" w:cs="Times New Roman"/>
                <w:color w:val="auto"/>
                <w:spacing w:val="0"/>
                <w:position w:val="0"/>
                <w:sz w:val="24"/>
                <w:szCs w:val="21"/>
                <w:highlight w:val="none"/>
                <w:shd w:val="clear" w:color="auto" w:fill="auto"/>
                <w:lang w:eastAsia="zh-TW"/>
              </w:rPr>
              <w:t>。</w:t>
            </w:r>
          </w:p>
          <w:p w14:paraId="2FB15213">
            <w:pPr>
              <w:keepNext w:val="0"/>
              <w:keepLines w:val="0"/>
              <w:pageBreakBefore w:val="0"/>
              <w:widowControl w:val="0"/>
              <w:kinsoku/>
              <w:wordWrap/>
              <w:overflowPunct/>
              <w:topLinePunct w:val="0"/>
              <w:autoSpaceDE w:val="0"/>
              <w:autoSpaceDN w:val="0"/>
              <w:bidi w:val="0"/>
              <w:adjustRightInd w:val="0"/>
              <w:snapToGrid w:val="0"/>
              <w:spacing w:line="480" w:lineRule="exact"/>
              <w:jc w:val="center"/>
              <w:textAlignment w:val="auto"/>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pPr>
            <w:r>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t>表</w:t>
            </w:r>
            <w:r>
              <w:rPr>
                <w:rFonts w:hint="eastAsia" w:cs="Times New Roman"/>
                <w:b/>
                <w:color w:val="auto"/>
                <w:spacing w:val="0"/>
                <w:kern w:val="0"/>
                <w:position w:val="0"/>
                <w:sz w:val="21"/>
                <w:szCs w:val="21"/>
                <w:highlight w:val="none"/>
                <w:shd w:val="clear" w:color="auto" w:fill="auto"/>
                <w:lang w:val="en-US" w:eastAsia="zh-CN"/>
              </w:rPr>
              <w:t>18</w:t>
            </w:r>
            <w:r>
              <w:rPr>
                <w:rFonts w:hint="eastAsia" w:ascii="Times New Roman" w:hAnsi="Times New Roman" w:eastAsia="宋体" w:cs="Times New Roman"/>
                <w:b/>
                <w:color w:val="auto"/>
                <w:spacing w:val="0"/>
                <w:kern w:val="0"/>
                <w:position w:val="0"/>
                <w:sz w:val="21"/>
                <w:szCs w:val="21"/>
                <w:highlight w:val="none"/>
                <w:shd w:val="clear" w:color="auto" w:fill="auto"/>
                <w:lang w:val="en-US" w:eastAsia="zh-CN"/>
              </w:rPr>
              <w:t xml:space="preserve">  </w:t>
            </w:r>
            <w:r>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t>其他污染物环境质量现状</w:t>
            </w:r>
            <w:r>
              <w:rPr>
                <w:rFonts w:hint="eastAsia" w:ascii="Times New Roman" w:hAnsi="Times New Roman" w:eastAsia="宋体" w:cs="Times New Roman"/>
                <w:b/>
                <w:color w:val="auto"/>
                <w:spacing w:val="0"/>
                <w:kern w:val="0"/>
                <w:position w:val="0"/>
                <w:sz w:val="21"/>
                <w:szCs w:val="21"/>
                <w:highlight w:val="none"/>
                <w:shd w:val="clear" w:color="auto" w:fill="auto"/>
                <w:lang w:val="en-US" w:eastAsia="zh-CN"/>
              </w:rPr>
              <w:t>检测</w:t>
            </w:r>
            <w:r>
              <w:rPr>
                <w:rFonts w:hint="default" w:ascii="Times New Roman" w:hAnsi="Times New Roman" w:eastAsia="宋体" w:cs="Times New Roman"/>
                <w:b/>
                <w:color w:val="auto"/>
                <w:spacing w:val="0"/>
                <w:kern w:val="0"/>
                <w:position w:val="0"/>
                <w:sz w:val="21"/>
                <w:szCs w:val="21"/>
                <w:highlight w:val="none"/>
                <w:shd w:val="clear" w:color="auto" w:fill="auto"/>
                <w:lang w:val="en-US" w:eastAsia="zh-CN"/>
              </w:rPr>
              <w:t>结果</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5"/>
              <w:gridCol w:w="510"/>
              <w:gridCol w:w="510"/>
              <w:gridCol w:w="937"/>
              <w:gridCol w:w="1365"/>
              <w:gridCol w:w="1020"/>
              <w:gridCol w:w="1005"/>
              <w:gridCol w:w="1272"/>
              <w:gridCol w:w="647"/>
            </w:tblGrid>
            <w:tr w14:paraId="79062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5" w:type="dxa"/>
                  <w:vMerge w:val="restart"/>
                  <w:noWrap w:val="0"/>
                  <w:vAlign w:val="center"/>
                </w:tcPr>
                <w:p w14:paraId="4E9A5D97">
                  <w:pPr>
                    <w:pStyle w:val="44"/>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检测</w:t>
                  </w:r>
                </w:p>
                <w:p w14:paraId="71627DC3">
                  <w:pPr>
                    <w:pStyle w:val="44"/>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点位</w:t>
                  </w:r>
                </w:p>
              </w:tc>
              <w:tc>
                <w:tcPr>
                  <w:tcW w:w="1020" w:type="dxa"/>
                  <w:gridSpan w:val="2"/>
                  <w:noWrap w:val="0"/>
                  <w:vAlign w:val="center"/>
                </w:tcPr>
                <w:p w14:paraId="4A3C90C2">
                  <w:pPr>
                    <w:pStyle w:val="44"/>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检测点坐标（m）</w:t>
                  </w:r>
                </w:p>
              </w:tc>
              <w:tc>
                <w:tcPr>
                  <w:tcW w:w="937" w:type="dxa"/>
                  <w:vMerge w:val="restart"/>
                  <w:noWrap w:val="0"/>
                  <w:vAlign w:val="center"/>
                </w:tcPr>
                <w:p w14:paraId="10CCD50E">
                  <w:pPr>
                    <w:pStyle w:val="44"/>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污染物</w:t>
                  </w:r>
                </w:p>
              </w:tc>
              <w:tc>
                <w:tcPr>
                  <w:tcW w:w="1365" w:type="dxa"/>
                  <w:vMerge w:val="restart"/>
                  <w:noWrap w:val="0"/>
                  <w:vAlign w:val="center"/>
                </w:tcPr>
                <w:p w14:paraId="73D0F64D">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rPr>
                    <w:t>类别</w:t>
                  </w:r>
                </w:p>
              </w:tc>
              <w:tc>
                <w:tcPr>
                  <w:tcW w:w="1020" w:type="dxa"/>
                  <w:vMerge w:val="restart"/>
                  <w:noWrap w:val="0"/>
                  <w:vAlign w:val="center"/>
                </w:tcPr>
                <w:p w14:paraId="7E7562D8">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监测值</w:t>
                  </w:r>
                </w:p>
                <w:p w14:paraId="19ADC601">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1005" w:type="dxa"/>
                  <w:vMerge w:val="restart"/>
                  <w:noWrap w:val="0"/>
                  <w:vAlign w:val="center"/>
                </w:tcPr>
                <w:p w14:paraId="0648E8B2">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标准值</w:t>
                  </w:r>
                </w:p>
                <w:p w14:paraId="03147664">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1272" w:type="dxa"/>
                  <w:vMerge w:val="restart"/>
                  <w:noWrap w:val="0"/>
                  <w:vAlign w:val="center"/>
                </w:tcPr>
                <w:p w14:paraId="32916D56">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rPr>
                    <w:t>标准指数</w:t>
                  </w:r>
                </w:p>
              </w:tc>
              <w:tc>
                <w:tcPr>
                  <w:tcW w:w="647" w:type="dxa"/>
                  <w:vMerge w:val="restart"/>
                  <w:noWrap w:val="0"/>
                  <w:vAlign w:val="center"/>
                </w:tcPr>
                <w:p w14:paraId="7744BE7D">
                  <w:pPr>
                    <w:pStyle w:val="44"/>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达标情况</w:t>
                  </w:r>
                </w:p>
              </w:tc>
            </w:tr>
            <w:tr w14:paraId="33993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5" w:type="dxa"/>
                  <w:vMerge w:val="continue"/>
                  <w:noWrap w:val="0"/>
                  <w:vAlign w:val="center"/>
                </w:tcPr>
                <w:p w14:paraId="02027720">
                  <w:pPr>
                    <w:pStyle w:val="44"/>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510" w:type="dxa"/>
                  <w:noWrap w:val="0"/>
                  <w:vAlign w:val="center"/>
                </w:tcPr>
                <w:p w14:paraId="35843CBA">
                  <w:pPr>
                    <w:pStyle w:val="44"/>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X</w:t>
                  </w:r>
                </w:p>
              </w:tc>
              <w:tc>
                <w:tcPr>
                  <w:tcW w:w="510" w:type="dxa"/>
                  <w:noWrap w:val="0"/>
                  <w:vAlign w:val="center"/>
                </w:tcPr>
                <w:p w14:paraId="3C5191C8">
                  <w:pPr>
                    <w:pStyle w:val="44"/>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Y</w:t>
                  </w:r>
                </w:p>
              </w:tc>
              <w:tc>
                <w:tcPr>
                  <w:tcW w:w="937" w:type="dxa"/>
                  <w:vMerge w:val="continue"/>
                  <w:noWrap w:val="0"/>
                  <w:vAlign w:val="center"/>
                </w:tcPr>
                <w:p w14:paraId="235F1DF8">
                  <w:pPr>
                    <w:pStyle w:val="44"/>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365" w:type="dxa"/>
                  <w:vMerge w:val="continue"/>
                  <w:noWrap w:val="0"/>
                  <w:vAlign w:val="center"/>
                </w:tcPr>
                <w:p w14:paraId="6C76BF16">
                  <w:pPr>
                    <w:pStyle w:val="44"/>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020" w:type="dxa"/>
                  <w:vMerge w:val="continue"/>
                  <w:noWrap w:val="0"/>
                  <w:vAlign w:val="center"/>
                </w:tcPr>
                <w:p w14:paraId="2CB5EE6F">
                  <w:pPr>
                    <w:pStyle w:val="44"/>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005" w:type="dxa"/>
                  <w:vMerge w:val="continue"/>
                  <w:noWrap w:val="0"/>
                  <w:vAlign w:val="center"/>
                </w:tcPr>
                <w:p w14:paraId="3E9DB41F">
                  <w:pPr>
                    <w:pStyle w:val="44"/>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272" w:type="dxa"/>
                  <w:vMerge w:val="continue"/>
                  <w:noWrap w:val="0"/>
                  <w:vAlign w:val="center"/>
                </w:tcPr>
                <w:p w14:paraId="2A1480DC">
                  <w:pPr>
                    <w:pStyle w:val="44"/>
                    <w:keepNext w:val="0"/>
                    <w:keepLines w:val="0"/>
                    <w:pageBreakBefore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647" w:type="dxa"/>
                  <w:vMerge w:val="continue"/>
                  <w:noWrap w:val="0"/>
                  <w:vAlign w:val="center"/>
                </w:tcPr>
                <w:p w14:paraId="1AF2E91B">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r>
            <w:tr w14:paraId="48A08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5" w:type="dxa"/>
                  <w:vMerge w:val="restart"/>
                  <w:noWrap w:val="0"/>
                  <w:vAlign w:val="center"/>
                </w:tcPr>
                <w:p w14:paraId="5D440AC8">
                  <w:pPr>
                    <w:pStyle w:val="44"/>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项目厂房东侧</w:t>
                  </w:r>
                </w:p>
              </w:tc>
              <w:tc>
                <w:tcPr>
                  <w:tcW w:w="510" w:type="dxa"/>
                  <w:vMerge w:val="restart"/>
                  <w:noWrap w:val="0"/>
                  <w:vAlign w:val="center"/>
                </w:tcPr>
                <w:p w14:paraId="4A5A86A2">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-1100</w:t>
                  </w:r>
                </w:p>
              </w:tc>
              <w:tc>
                <w:tcPr>
                  <w:tcW w:w="510" w:type="dxa"/>
                  <w:vMerge w:val="restart"/>
                  <w:noWrap w:val="0"/>
                  <w:vAlign w:val="center"/>
                </w:tcPr>
                <w:p w14:paraId="5EBC3456">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-875</w:t>
                  </w:r>
                </w:p>
              </w:tc>
              <w:tc>
                <w:tcPr>
                  <w:tcW w:w="937" w:type="dxa"/>
                  <w:noWrap w:val="0"/>
                  <w:vAlign w:val="center"/>
                </w:tcPr>
                <w:p w14:paraId="028EA7BD">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TSP</w:t>
                  </w:r>
                </w:p>
              </w:tc>
              <w:tc>
                <w:tcPr>
                  <w:tcW w:w="1365" w:type="dxa"/>
                  <w:noWrap w:val="0"/>
                  <w:vAlign w:val="center"/>
                </w:tcPr>
                <w:p w14:paraId="46A266F9">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24小时平均</w:t>
                  </w:r>
                </w:p>
              </w:tc>
              <w:tc>
                <w:tcPr>
                  <w:tcW w:w="1020" w:type="dxa"/>
                  <w:noWrap w:val="0"/>
                  <w:vAlign w:val="center"/>
                </w:tcPr>
                <w:p w14:paraId="7BA3A3DE">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0.104～0.196</w:t>
                  </w:r>
                </w:p>
              </w:tc>
              <w:tc>
                <w:tcPr>
                  <w:tcW w:w="1005" w:type="dxa"/>
                  <w:noWrap w:val="0"/>
                  <w:vAlign w:val="center"/>
                </w:tcPr>
                <w:p w14:paraId="49789C6C">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rPr>
                    <w:t>0.3</w:t>
                  </w:r>
                </w:p>
              </w:tc>
              <w:tc>
                <w:tcPr>
                  <w:tcW w:w="1272" w:type="dxa"/>
                  <w:noWrap w:val="0"/>
                  <w:vAlign w:val="center"/>
                </w:tcPr>
                <w:p w14:paraId="0C6893E2">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rPr>
                    <w:t>0.347～0.653</w:t>
                  </w:r>
                </w:p>
              </w:tc>
              <w:tc>
                <w:tcPr>
                  <w:tcW w:w="647" w:type="dxa"/>
                  <w:vMerge w:val="restart"/>
                  <w:noWrap w:val="0"/>
                  <w:vAlign w:val="center"/>
                </w:tcPr>
                <w:p w14:paraId="3BB1978A">
                  <w:pPr>
                    <w:pStyle w:val="44"/>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达标</w:t>
                  </w:r>
                </w:p>
              </w:tc>
            </w:tr>
            <w:tr w14:paraId="17B96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5" w:type="dxa"/>
                  <w:vMerge w:val="continue"/>
                  <w:noWrap w:val="0"/>
                  <w:vAlign w:val="center"/>
                </w:tcPr>
                <w:p w14:paraId="5DD4240C">
                  <w:pPr>
                    <w:pStyle w:val="44"/>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14:paraId="373D017B">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14:paraId="3B5C6ACB">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937" w:type="dxa"/>
                  <w:noWrap w:val="0"/>
                  <w:vAlign w:val="center"/>
                </w:tcPr>
                <w:p w14:paraId="4A7506E1">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非甲烷总烃</w:t>
                  </w:r>
                </w:p>
              </w:tc>
              <w:tc>
                <w:tcPr>
                  <w:tcW w:w="1365" w:type="dxa"/>
                  <w:noWrap w:val="0"/>
                  <w:vAlign w:val="center"/>
                </w:tcPr>
                <w:p w14:paraId="6A925FBE">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1小时平均</w:t>
                  </w:r>
                </w:p>
              </w:tc>
              <w:tc>
                <w:tcPr>
                  <w:tcW w:w="1020" w:type="dxa"/>
                  <w:noWrap w:val="0"/>
                  <w:vAlign w:val="center"/>
                </w:tcPr>
                <w:p w14:paraId="283329CD">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0.18~0.49</w:t>
                  </w:r>
                </w:p>
              </w:tc>
              <w:tc>
                <w:tcPr>
                  <w:tcW w:w="1005" w:type="dxa"/>
                  <w:noWrap w:val="0"/>
                  <w:vAlign w:val="center"/>
                </w:tcPr>
                <w:p w14:paraId="7BAFB3E7">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sz w:val="21"/>
                      <w:szCs w:val="21"/>
                    </w:rPr>
                    <w:t>2.0</w:t>
                  </w:r>
                </w:p>
              </w:tc>
              <w:tc>
                <w:tcPr>
                  <w:tcW w:w="1272" w:type="dxa"/>
                  <w:noWrap w:val="0"/>
                  <w:vAlign w:val="center"/>
                </w:tcPr>
                <w:p w14:paraId="4045B537">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sz w:val="21"/>
                      <w:szCs w:val="21"/>
                    </w:rPr>
                    <w:t>0.090~0.245</w:t>
                  </w:r>
                </w:p>
              </w:tc>
              <w:tc>
                <w:tcPr>
                  <w:tcW w:w="647" w:type="dxa"/>
                  <w:vMerge w:val="continue"/>
                  <w:noWrap w:val="0"/>
                  <w:vAlign w:val="center"/>
                </w:tcPr>
                <w:p w14:paraId="2B5CB021">
                  <w:pPr>
                    <w:pStyle w:val="44"/>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p>
              </w:tc>
            </w:tr>
            <w:tr w14:paraId="72D56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5" w:type="dxa"/>
                  <w:vMerge w:val="continue"/>
                  <w:noWrap w:val="0"/>
                  <w:vAlign w:val="center"/>
                </w:tcPr>
                <w:p w14:paraId="02BD26C8">
                  <w:pPr>
                    <w:pStyle w:val="44"/>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14:paraId="288B1B9C">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14:paraId="3ACA31D7">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937" w:type="dxa"/>
                  <w:noWrap w:val="0"/>
                  <w:vAlign w:val="center"/>
                </w:tcPr>
                <w:p w14:paraId="36C4C17E">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苯</w:t>
                  </w:r>
                </w:p>
              </w:tc>
              <w:tc>
                <w:tcPr>
                  <w:tcW w:w="1365" w:type="dxa"/>
                  <w:noWrap w:val="0"/>
                  <w:vAlign w:val="center"/>
                </w:tcPr>
                <w:p w14:paraId="037FB723">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1小时平均</w:t>
                  </w:r>
                </w:p>
              </w:tc>
              <w:tc>
                <w:tcPr>
                  <w:tcW w:w="1020" w:type="dxa"/>
                  <w:noWrap w:val="0"/>
                  <w:vAlign w:val="center"/>
                </w:tcPr>
                <w:p w14:paraId="6F715A49">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未检出</w:t>
                  </w:r>
                </w:p>
              </w:tc>
              <w:tc>
                <w:tcPr>
                  <w:tcW w:w="1005" w:type="dxa"/>
                  <w:noWrap w:val="0"/>
                  <w:vAlign w:val="center"/>
                </w:tcPr>
                <w:p w14:paraId="7C521B65">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rPr>
                    <w:t>0.11</w:t>
                  </w:r>
                </w:p>
              </w:tc>
              <w:tc>
                <w:tcPr>
                  <w:tcW w:w="1272" w:type="dxa"/>
                  <w:noWrap w:val="0"/>
                  <w:vAlign w:val="center"/>
                </w:tcPr>
                <w:p w14:paraId="4C445CC6">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rPr>
                    <w:t>/</w:t>
                  </w:r>
                </w:p>
              </w:tc>
              <w:tc>
                <w:tcPr>
                  <w:tcW w:w="647" w:type="dxa"/>
                  <w:vMerge w:val="continue"/>
                  <w:noWrap w:val="0"/>
                  <w:vAlign w:val="center"/>
                </w:tcPr>
                <w:p w14:paraId="0487A6E5">
                  <w:pPr>
                    <w:pStyle w:val="44"/>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r>
            <w:tr w14:paraId="3EEAA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5" w:type="dxa"/>
                  <w:vMerge w:val="continue"/>
                  <w:noWrap w:val="0"/>
                  <w:vAlign w:val="center"/>
                </w:tcPr>
                <w:p w14:paraId="1981D940">
                  <w:pPr>
                    <w:pStyle w:val="44"/>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14:paraId="49A639C4">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14:paraId="2B5B1072">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937" w:type="dxa"/>
                  <w:noWrap w:val="0"/>
                  <w:vAlign w:val="center"/>
                </w:tcPr>
                <w:p w14:paraId="26F73092">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甲苯</w:t>
                  </w:r>
                </w:p>
              </w:tc>
              <w:tc>
                <w:tcPr>
                  <w:tcW w:w="1365" w:type="dxa"/>
                  <w:noWrap w:val="0"/>
                  <w:vAlign w:val="center"/>
                </w:tcPr>
                <w:p w14:paraId="79A4F43F">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1小时平均</w:t>
                  </w:r>
                </w:p>
              </w:tc>
              <w:tc>
                <w:tcPr>
                  <w:tcW w:w="1020" w:type="dxa"/>
                  <w:noWrap w:val="0"/>
                  <w:vAlign w:val="center"/>
                </w:tcPr>
                <w:p w14:paraId="3301CD1D">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未检出</w:t>
                  </w:r>
                </w:p>
              </w:tc>
              <w:tc>
                <w:tcPr>
                  <w:tcW w:w="1005" w:type="dxa"/>
                  <w:noWrap w:val="0"/>
                  <w:vAlign w:val="center"/>
                </w:tcPr>
                <w:p w14:paraId="65D1964C">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sz w:val="21"/>
                      <w:szCs w:val="21"/>
                    </w:rPr>
                    <w:t>0.2</w:t>
                  </w:r>
                </w:p>
              </w:tc>
              <w:tc>
                <w:tcPr>
                  <w:tcW w:w="1272" w:type="dxa"/>
                  <w:noWrap w:val="0"/>
                  <w:vAlign w:val="center"/>
                </w:tcPr>
                <w:p w14:paraId="3E7F767D">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sz w:val="21"/>
                      <w:szCs w:val="21"/>
                    </w:rPr>
                    <w:t>/</w:t>
                  </w:r>
                </w:p>
              </w:tc>
              <w:tc>
                <w:tcPr>
                  <w:tcW w:w="647" w:type="dxa"/>
                  <w:vMerge w:val="continue"/>
                  <w:noWrap w:val="0"/>
                  <w:vAlign w:val="center"/>
                </w:tcPr>
                <w:p w14:paraId="5A176921">
                  <w:pPr>
                    <w:pStyle w:val="44"/>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r>
            <w:tr w14:paraId="204FD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5" w:type="dxa"/>
                  <w:vMerge w:val="continue"/>
                  <w:noWrap w:val="0"/>
                  <w:vAlign w:val="center"/>
                </w:tcPr>
                <w:p w14:paraId="247F8379">
                  <w:pPr>
                    <w:pStyle w:val="44"/>
                    <w:keepNext w:val="0"/>
                    <w:keepLines w:val="0"/>
                    <w:pageBreakBefore w:val="0"/>
                    <w:shd w:val="clear" w:color="auto" w:fill="auto"/>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14:paraId="5DAE5C0B">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510" w:type="dxa"/>
                  <w:vMerge w:val="continue"/>
                  <w:noWrap w:val="0"/>
                  <w:vAlign w:val="center"/>
                </w:tcPr>
                <w:p w14:paraId="19FB3587">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c>
                <w:tcPr>
                  <w:tcW w:w="937" w:type="dxa"/>
                  <w:noWrap w:val="0"/>
                  <w:vAlign w:val="center"/>
                </w:tcPr>
                <w:p w14:paraId="24007843">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二甲苯</w:t>
                  </w:r>
                </w:p>
              </w:tc>
              <w:tc>
                <w:tcPr>
                  <w:tcW w:w="1365" w:type="dxa"/>
                  <w:noWrap w:val="0"/>
                  <w:vAlign w:val="center"/>
                </w:tcPr>
                <w:p w14:paraId="59F98694">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1小时平均</w:t>
                  </w:r>
                </w:p>
              </w:tc>
              <w:tc>
                <w:tcPr>
                  <w:tcW w:w="1020" w:type="dxa"/>
                  <w:noWrap w:val="0"/>
                  <w:vAlign w:val="center"/>
                </w:tcPr>
                <w:p w14:paraId="09A343AE">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未检出</w:t>
                  </w:r>
                </w:p>
              </w:tc>
              <w:tc>
                <w:tcPr>
                  <w:tcW w:w="1005" w:type="dxa"/>
                  <w:noWrap w:val="0"/>
                  <w:vAlign w:val="center"/>
                </w:tcPr>
                <w:p w14:paraId="060F384A">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sz w:val="21"/>
                      <w:szCs w:val="21"/>
                    </w:rPr>
                    <w:t>0.2</w:t>
                  </w:r>
                </w:p>
              </w:tc>
              <w:tc>
                <w:tcPr>
                  <w:tcW w:w="1272" w:type="dxa"/>
                  <w:noWrap w:val="0"/>
                  <w:vAlign w:val="center"/>
                </w:tcPr>
                <w:p w14:paraId="7A796AA4">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default" w:ascii="Times New Roman" w:hAnsi="Times New Roman" w:eastAsia="宋体" w:cs="Times New Roman"/>
                      <w:color w:val="auto"/>
                      <w:sz w:val="21"/>
                      <w:szCs w:val="21"/>
                    </w:rPr>
                    <w:t>/</w:t>
                  </w:r>
                </w:p>
              </w:tc>
              <w:tc>
                <w:tcPr>
                  <w:tcW w:w="647" w:type="dxa"/>
                  <w:vMerge w:val="continue"/>
                  <w:noWrap w:val="0"/>
                  <w:vAlign w:val="center"/>
                </w:tcPr>
                <w:p w14:paraId="4692C400">
                  <w:pPr>
                    <w:pStyle w:val="44"/>
                    <w:keepNext w:val="0"/>
                    <w:keepLines w:val="0"/>
                    <w:pageBreakBefore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shd w:val="clear" w:color="auto" w:fill="auto"/>
                      <w:lang w:val="en-US" w:eastAsia="zh-CN"/>
                    </w:rPr>
                  </w:pPr>
                </w:p>
              </w:tc>
            </w:tr>
          </w:tbl>
          <w:p w14:paraId="57562CE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color w:val="auto"/>
                <w:sz w:val="21"/>
                <w:szCs w:val="21"/>
                <w:highlight w:val="none"/>
                <w:shd w:val="clear" w:color="auto" w:fill="auto"/>
              </w:rPr>
            </w:pPr>
            <w:r>
              <w:rPr>
                <w:rFonts w:hint="default" w:ascii="Times New Roman" w:hAnsi="Times New Roman" w:eastAsia="宋体" w:cs="Times New Roman"/>
                <w:b/>
                <w:bCs/>
                <w:color w:val="auto"/>
                <w:sz w:val="21"/>
                <w:szCs w:val="21"/>
                <w:highlight w:val="none"/>
                <w:shd w:val="clear" w:color="auto" w:fill="auto"/>
              </w:rPr>
              <w:t>注：以</w:t>
            </w:r>
            <w:r>
              <w:rPr>
                <w:rFonts w:hint="default" w:ascii="Times New Roman" w:hAnsi="Times New Roman" w:eastAsia="宋体" w:cs="Times New Roman"/>
                <w:b/>
                <w:bCs/>
                <w:color w:val="auto"/>
                <w:sz w:val="21"/>
                <w:szCs w:val="21"/>
                <w:highlight w:val="none"/>
                <w:shd w:val="clear" w:color="auto" w:fill="auto"/>
                <w:lang w:eastAsia="zh-CN"/>
              </w:rPr>
              <w:t>项目</w:t>
            </w:r>
            <w:r>
              <w:rPr>
                <w:rFonts w:hint="eastAsia" w:ascii="Times New Roman" w:hAnsi="Times New Roman" w:eastAsia="宋体" w:cs="Times New Roman"/>
                <w:b/>
                <w:bCs/>
                <w:color w:val="auto"/>
                <w:sz w:val="21"/>
                <w:szCs w:val="21"/>
                <w:highlight w:val="none"/>
                <w:shd w:val="clear" w:color="auto" w:fill="auto"/>
                <w:lang w:val="en-US" w:eastAsia="zh-CN"/>
              </w:rPr>
              <w:t>厂区</w:t>
            </w:r>
            <w:r>
              <w:rPr>
                <w:rFonts w:hint="default" w:ascii="Times New Roman" w:hAnsi="Times New Roman" w:eastAsia="宋体" w:cs="Times New Roman"/>
                <w:b/>
                <w:bCs/>
                <w:color w:val="auto"/>
                <w:sz w:val="21"/>
                <w:szCs w:val="21"/>
                <w:highlight w:val="none"/>
                <w:shd w:val="clear" w:color="auto" w:fill="auto"/>
                <w:lang w:eastAsia="zh-CN"/>
              </w:rPr>
              <w:t>中心为坐标原点</w:t>
            </w:r>
            <w:r>
              <w:rPr>
                <w:rFonts w:hint="default" w:ascii="Times New Roman" w:hAnsi="Times New Roman" w:eastAsia="宋体" w:cs="Times New Roman"/>
                <w:b/>
                <w:bCs/>
                <w:color w:val="auto"/>
                <w:sz w:val="21"/>
                <w:szCs w:val="21"/>
                <w:highlight w:val="none"/>
                <w:shd w:val="clear" w:color="auto" w:fill="auto"/>
              </w:rPr>
              <w:t>。</w:t>
            </w:r>
          </w:p>
          <w:p w14:paraId="393924C3">
            <w:pPr>
              <w:bidi w:val="0"/>
              <w:rPr>
                <w:rFonts w:hint="default"/>
                <w:color w:val="auto"/>
                <w:sz w:val="24"/>
                <w:szCs w:val="24"/>
                <w:highlight w:val="none"/>
              </w:rPr>
            </w:pPr>
            <w:r>
              <w:rPr>
                <w:rFonts w:ascii="宋体" w:hAnsi="宋体"/>
                <w:color w:val="auto"/>
                <w:sz w:val="24"/>
              </w:rPr>
              <w:t>监测期间监测点</w:t>
            </w:r>
            <w:r>
              <w:rPr>
                <w:color w:val="auto"/>
                <w:sz w:val="24"/>
              </w:rPr>
              <w:t>TSP</w:t>
            </w:r>
            <w:r>
              <w:rPr>
                <w:rFonts w:ascii="宋体" w:hAnsi="宋体"/>
                <w:color w:val="auto"/>
                <w:sz w:val="24"/>
              </w:rPr>
              <w:t>的</w:t>
            </w:r>
            <w:r>
              <w:rPr>
                <w:color w:val="auto"/>
                <w:sz w:val="24"/>
              </w:rPr>
              <w:t>24</w:t>
            </w:r>
            <w:r>
              <w:rPr>
                <w:rFonts w:ascii="宋体" w:hAnsi="宋体"/>
                <w:color w:val="auto"/>
                <w:sz w:val="24"/>
              </w:rPr>
              <w:t>小时平均浓度标满足《环境空气质量标准》（</w:t>
            </w:r>
            <w:r>
              <w:rPr>
                <w:color w:val="auto"/>
                <w:sz w:val="24"/>
              </w:rPr>
              <w:t>GB3095-2012</w:t>
            </w:r>
            <w:r>
              <w:rPr>
                <w:rFonts w:ascii="宋体" w:hAnsi="宋体"/>
                <w:color w:val="auto"/>
                <w:sz w:val="24"/>
              </w:rPr>
              <w:t>）中的二级标准；非甲烷总烃</w:t>
            </w:r>
            <w:r>
              <w:rPr>
                <w:color w:val="auto"/>
                <w:sz w:val="24"/>
              </w:rPr>
              <w:t>1</w:t>
            </w:r>
            <w:r>
              <w:rPr>
                <w:rFonts w:ascii="宋体" w:hAnsi="宋体"/>
                <w:color w:val="auto"/>
                <w:sz w:val="24"/>
              </w:rPr>
              <w:t>小时平均浓度满足河北省地方标准《环境空气质量 非甲烷总烃限值》（</w:t>
            </w:r>
            <w:r>
              <w:rPr>
                <w:color w:val="auto"/>
                <w:sz w:val="24"/>
              </w:rPr>
              <w:t>DB13/1577-2012</w:t>
            </w:r>
            <w:r>
              <w:rPr>
                <w:rFonts w:ascii="宋体" w:hAnsi="宋体"/>
                <w:color w:val="auto"/>
                <w:sz w:val="24"/>
              </w:rPr>
              <w:t>）表</w:t>
            </w:r>
            <w:r>
              <w:rPr>
                <w:color w:val="auto"/>
                <w:sz w:val="24"/>
              </w:rPr>
              <w:t>1</w:t>
            </w:r>
            <w:r>
              <w:rPr>
                <w:rFonts w:ascii="宋体" w:hAnsi="宋体"/>
                <w:color w:val="auto"/>
                <w:sz w:val="24"/>
              </w:rPr>
              <w:t>二级标准：</w:t>
            </w:r>
            <w:r>
              <w:rPr>
                <w:color w:val="auto"/>
                <w:sz w:val="24"/>
              </w:rPr>
              <w:t>2.0mg/m</w:t>
            </w:r>
            <w:r>
              <w:rPr>
                <w:color w:val="auto"/>
                <w:sz w:val="24"/>
                <w:vertAlign w:val="superscript"/>
              </w:rPr>
              <w:t>3</w:t>
            </w:r>
            <w:r>
              <w:rPr>
                <w:rFonts w:ascii="宋体" w:hAnsi="宋体"/>
                <w:color w:val="auto"/>
                <w:sz w:val="24"/>
              </w:rPr>
              <w:t>；苯、甲苯、二甲苯</w:t>
            </w:r>
            <w:r>
              <w:rPr>
                <w:color w:val="auto"/>
                <w:sz w:val="24"/>
              </w:rPr>
              <w:t>1</w:t>
            </w:r>
            <w:r>
              <w:rPr>
                <w:rFonts w:ascii="宋体" w:hAnsi="宋体"/>
                <w:color w:val="auto"/>
                <w:sz w:val="24"/>
              </w:rPr>
              <w:t>小时平均浓度满足《环境影响评价技术导则 大气环境》（</w:t>
            </w:r>
            <w:r>
              <w:rPr>
                <w:color w:val="auto"/>
                <w:sz w:val="24"/>
              </w:rPr>
              <w:t>HJ2.2-2018</w:t>
            </w:r>
            <w:r>
              <w:rPr>
                <w:rFonts w:ascii="宋体" w:hAnsi="宋体"/>
                <w:color w:val="auto"/>
                <w:sz w:val="24"/>
              </w:rPr>
              <w:t>）附录中标准：苯</w:t>
            </w:r>
            <w:r>
              <w:rPr>
                <w:color w:val="auto"/>
                <w:sz w:val="24"/>
              </w:rPr>
              <w:t>110μg/m</w:t>
            </w:r>
            <w:r>
              <w:rPr>
                <w:color w:val="auto"/>
                <w:sz w:val="24"/>
                <w:vertAlign w:val="superscript"/>
              </w:rPr>
              <w:t>3</w:t>
            </w:r>
            <w:r>
              <w:rPr>
                <w:rFonts w:ascii="宋体" w:hAnsi="宋体"/>
                <w:color w:val="auto"/>
                <w:sz w:val="24"/>
              </w:rPr>
              <w:t>、甲苯</w:t>
            </w:r>
            <w:r>
              <w:rPr>
                <w:color w:val="auto"/>
                <w:sz w:val="24"/>
              </w:rPr>
              <w:t>200μg/m</w:t>
            </w:r>
            <w:r>
              <w:rPr>
                <w:color w:val="auto"/>
                <w:sz w:val="24"/>
                <w:vertAlign w:val="superscript"/>
              </w:rPr>
              <w:t>3</w:t>
            </w:r>
            <w:r>
              <w:rPr>
                <w:rFonts w:ascii="宋体" w:hAnsi="宋体"/>
                <w:color w:val="auto"/>
                <w:sz w:val="24"/>
              </w:rPr>
              <w:t>、二甲苯</w:t>
            </w:r>
            <w:r>
              <w:rPr>
                <w:color w:val="auto"/>
                <w:sz w:val="24"/>
              </w:rPr>
              <w:t>200μg/m</w:t>
            </w:r>
            <w:r>
              <w:rPr>
                <w:color w:val="auto"/>
                <w:sz w:val="24"/>
                <w:vertAlign w:val="superscript"/>
              </w:rPr>
              <w:t>3</w:t>
            </w:r>
            <w:r>
              <w:rPr>
                <w:rFonts w:ascii="宋体" w:hAnsi="宋体"/>
                <w:color w:val="auto"/>
                <w:sz w:val="24"/>
              </w:rPr>
              <w:t>。</w:t>
            </w:r>
          </w:p>
          <w:p w14:paraId="3FAE1331">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color w:val="auto"/>
              </w:rPr>
            </w:pPr>
            <w:r>
              <w:rPr>
                <w:rFonts w:hint="eastAsia"/>
                <w:b/>
                <w:bCs/>
                <w:color w:val="auto"/>
                <w:lang w:val="en-US" w:eastAsia="zh-CN"/>
              </w:rPr>
              <w:t>2、</w:t>
            </w:r>
            <w:r>
              <w:rPr>
                <w:rFonts w:hint="default"/>
                <w:b/>
                <w:bCs/>
                <w:color w:val="auto"/>
              </w:rPr>
              <w:t>声环境</w:t>
            </w:r>
          </w:p>
          <w:p w14:paraId="51FBF8DC">
            <w:pPr>
              <w:bidi w:val="0"/>
              <w:rPr>
                <w:rFonts w:hint="default"/>
                <w:color w:val="auto"/>
                <w:highlight w:val="none"/>
                <w:lang w:val="en-US" w:eastAsia="zh-CN"/>
              </w:rPr>
            </w:pPr>
            <w:r>
              <w:rPr>
                <w:rFonts w:hint="default"/>
                <w:color w:val="auto"/>
                <w:highlight w:val="none"/>
                <w:lang w:val="en-US" w:eastAsia="zh-CN"/>
              </w:rPr>
              <w:t>本项目周边50m范围内无声环境保护目标，声环境质量较好。</w:t>
            </w:r>
          </w:p>
          <w:p w14:paraId="0D3A3F89">
            <w:pPr>
              <w:keepNext w:val="0"/>
              <w:keepLines w:val="0"/>
              <w:pageBreakBefore w:val="0"/>
              <w:widowControl w:val="0"/>
              <w:kinsoku/>
              <w:wordWrap/>
              <w:overflowPunct/>
              <w:topLinePunct w:val="0"/>
              <w:autoSpaceDE/>
              <w:autoSpaceDN/>
              <w:bidi w:val="0"/>
              <w:adjustRightInd/>
              <w:snapToGrid/>
              <w:ind w:firstLine="0" w:firstLineChars="0"/>
              <w:textAlignment w:val="auto"/>
              <w:rPr>
                <w:b/>
                <w:bCs/>
                <w:color w:val="auto"/>
              </w:rPr>
            </w:pPr>
            <w:r>
              <w:rPr>
                <w:b/>
                <w:bCs/>
                <w:color w:val="auto"/>
              </w:rPr>
              <w:t>3、地表水</w:t>
            </w:r>
          </w:p>
          <w:p w14:paraId="62B6C008">
            <w:pPr>
              <w:pStyle w:val="41"/>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pP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项目所在区域</w:t>
            </w:r>
            <w:r>
              <w:rPr>
                <w:rFonts w:hint="eastAsia" w:ascii="Times New Roman" w:hAnsi="Times New Roman" w:eastAsia="宋体" w:cs="Times New Roman"/>
                <w:bCs/>
                <w:smallCaps w:val="0"/>
                <w:snapToGrid/>
                <w:color w:val="auto"/>
                <w:spacing w:val="0"/>
                <w:kern w:val="2"/>
                <w:position w:val="0"/>
                <w:sz w:val="24"/>
                <w:szCs w:val="24"/>
                <w:highlight w:val="none"/>
                <w:lang w:val="en-US" w:eastAsia="zh-CN" w:bidi="ar-SA"/>
              </w:rPr>
              <w:t>地表水环境</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质量现状数据采用唐山市生态环境局公开发布的</w:t>
            </w:r>
            <w:r>
              <w:rPr>
                <w:rFonts w:hint="default" w:ascii="Times New Roman" w:hAnsi="Times New Roman" w:eastAsia="宋体" w:cs="Times New Roman"/>
                <w:bCs/>
                <w:smallCaps w:val="0"/>
                <w:snapToGrid/>
                <w:color w:val="auto"/>
                <w:spacing w:val="0"/>
                <w:kern w:val="2"/>
                <w:position w:val="0"/>
                <w:sz w:val="24"/>
                <w:szCs w:val="24"/>
                <w:highlight w:val="none"/>
                <w:lang w:val="zh-CN" w:eastAsia="zh-CN" w:bidi="ar-SA"/>
              </w:rPr>
              <w:t>《20</w:t>
            </w:r>
            <w:r>
              <w:rPr>
                <w:rFonts w:hint="eastAsia" w:eastAsia="宋体" w:cs="Times New Roman"/>
                <w:bCs/>
                <w:smallCaps w:val="0"/>
                <w:snapToGrid/>
                <w:color w:val="auto"/>
                <w:spacing w:val="0"/>
                <w:kern w:val="2"/>
                <w:position w:val="0"/>
                <w:sz w:val="24"/>
                <w:szCs w:val="24"/>
                <w:highlight w:val="none"/>
                <w:lang w:val="en-US" w:eastAsia="zh-CN" w:bidi="ar-SA"/>
              </w:rPr>
              <w:t>20</w:t>
            </w:r>
            <w:r>
              <w:rPr>
                <w:rFonts w:hint="default" w:ascii="Times New Roman" w:hAnsi="Times New Roman" w:eastAsia="宋体" w:cs="Times New Roman"/>
                <w:bCs/>
                <w:smallCaps w:val="0"/>
                <w:snapToGrid/>
                <w:color w:val="auto"/>
                <w:spacing w:val="0"/>
                <w:kern w:val="2"/>
                <w:position w:val="0"/>
                <w:sz w:val="24"/>
                <w:szCs w:val="24"/>
                <w:highlight w:val="none"/>
                <w:lang w:val="zh-CN" w:eastAsia="zh-CN" w:bidi="ar-SA"/>
              </w:rPr>
              <w:t>年唐山市环境状况公报》中</w:t>
            </w:r>
            <w:r>
              <w:rPr>
                <w:rFonts w:hint="eastAsia" w:ascii="Times New Roman" w:hAnsi="Times New Roman" w:eastAsia="宋体" w:cs="Times New Roman"/>
                <w:bCs/>
                <w:smallCaps w:val="0"/>
                <w:snapToGrid/>
                <w:color w:val="auto"/>
                <w:spacing w:val="0"/>
                <w:kern w:val="2"/>
                <w:position w:val="0"/>
                <w:sz w:val="24"/>
                <w:szCs w:val="24"/>
                <w:highlight w:val="none"/>
                <w:lang w:val="en-US" w:eastAsia="zh-CN" w:bidi="ar-SA"/>
              </w:rPr>
              <w:t>地表水环境</w:t>
            </w:r>
            <w:r>
              <w:rPr>
                <w:rFonts w:hint="default" w:ascii="Times New Roman" w:hAnsi="Times New Roman" w:eastAsia="宋体" w:cs="Times New Roman"/>
                <w:bCs/>
                <w:smallCaps w:val="0"/>
                <w:snapToGrid/>
                <w:color w:val="auto"/>
                <w:spacing w:val="0"/>
                <w:kern w:val="2"/>
                <w:position w:val="0"/>
                <w:sz w:val="24"/>
                <w:szCs w:val="24"/>
                <w:highlight w:val="none"/>
                <w:lang w:val="zh-CN" w:eastAsia="zh-CN" w:bidi="ar-SA"/>
              </w:rPr>
              <w:t>质量数据</w:t>
            </w:r>
            <w:r>
              <w:rPr>
                <w:rFonts w:hint="eastAsia" w:cs="Times New Roman"/>
                <w:bCs/>
                <w:smallCaps w:val="0"/>
                <w:snapToGrid/>
                <w:color w:val="auto"/>
                <w:spacing w:val="0"/>
                <w:kern w:val="2"/>
                <w:position w:val="0"/>
                <w:sz w:val="24"/>
                <w:szCs w:val="24"/>
                <w:highlight w:val="none"/>
                <w:lang w:val="zh-CN" w:eastAsia="zh-CN" w:bidi="ar-SA"/>
              </w:rPr>
              <w:t>。</w:t>
            </w:r>
          </w:p>
          <w:p w14:paraId="258BE7B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480" w:lineRule="exact"/>
              <w:ind w:left="0" w:right="0" w:firstLine="480" w:firstLineChars="200"/>
              <w:textAlignment w:val="auto"/>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pP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唐山市境内共有大小河流70余条。其中共有国家和河北省控制河流6条，分别为陡河、滦河、黎河、淋河、沙河、还乡河，共设有（国、省控）河流监测断面</w:t>
            </w:r>
            <w:r>
              <w:rPr>
                <w:rFonts w:hint="eastAsia" w:ascii="Times New Roman" w:hAnsi="Times New Roman" w:cs="Times New Roman"/>
                <w:bCs/>
                <w:smallCaps w:val="0"/>
                <w:snapToGrid/>
                <w:color w:val="auto"/>
                <w:spacing w:val="0"/>
                <w:kern w:val="2"/>
                <w:position w:val="0"/>
                <w:sz w:val="24"/>
                <w:szCs w:val="24"/>
                <w:highlight w:val="none"/>
                <w:lang w:val="en-US" w:eastAsia="zh-CN" w:bidi="ar-SA"/>
              </w:rPr>
              <w:t>9</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个。按照《地表水环境质量标准》</w:t>
            </w:r>
            <w:r>
              <w:rPr>
                <w:rFonts w:hint="eastAsia" w:ascii="Times New Roman" w:hAnsi="Times New Roman" w:cs="Times New Roman"/>
                <w:bCs/>
                <w:smallCaps w:val="0"/>
                <w:snapToGrid/>
                <w:color w:val="auto"/>
                <w:spacing w:val="0"/>
                <w:kern w:val="2"/>
                <w:position w:val="0"/>
                <w:sz w:val="24"/>
                <w:szCs w:val="24"/>
                <w:highlight w:val="none"/>
                <w:lang w:val="en-US" w:eastAsia="zh-CN" w:bidi="ar-SA"/>
              </w:rPr>
              <w:t>（</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GB3838-2002）进行监测，监测频次每月1次，全年共监测12次，监测项目25项。按照《地表水环境质量标准》（GB3838-2002）进行评价，评价方法采用单因子评价法进行。国控断面采用国家地表水采测分离监测数据进行评价</w:t>
            </w:r>
            <w:r>
              <w:rPr>
                <w:rFonts w:hint="eastAsia" w:ascii="Times New Roman" w:hAnsi="Times New Roman" w:cs="Times New Roman"/>
                <w:bCs/>
                <w:smallCaps w:val="0"/>
                <w:snapToGrid/>
                <w:color w:val="auto"/>
                <w:spacing w:val="0"/>
                <w:kern w:val="2"/>
                <w:position w:val="0"/>
                <w:sz w:val="24"/>
                <w:szCs w:val="24"/>
                <w:highlight w:val="none"/>
                <w:lang w:val="en-US" w:eastAsia="zh-CN" w:bidi="ar-SA"/>
              </w:rPr>
              <w:t>；</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省控断面采用河北省唐山生态环境监测中心监测数据进行评价。</w:t>
            </w:r>
          </w:p>
          <w:p w14:paraId="68D1350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480" w:lineRule="exact"/>
              <w:ind w:left="0" w:right="0" w:firstLine="480" w:firstLineChars="200"/>
              <w:textAlignment w:val="auto"/>
              <w:rPr>
                <w:rFonts w:hint="eastAsia" w:ascii="Times New Roman" w:hAnsi="Times New Roman" w:cs="Times New Roman"/>
                <w:bCs/>
                <w:smallCaps w:val="0"/>
                <w:snapToGrid/>
                <w:color w:val="auto"/>
                <w:spacing w:val="0"/>
                <w:kern w:val="2"/>
                <w:position w:val="0"/>
                <w:sz w:val="24"/>
                <w:szCs w:val="24"/>
                <w:highlight w:val="none"/>
                <w:lang w:val="en-US" w:eastAsia="zh-CN" w:bidi="ar-SA"/>
              </w:rPr>
            </w:pPr>
            <w:r>
              <w:rPr>
                <w:rFonts w:hint="eastAsia" w:ascii="Times New Roman" w:hAnsi="Times New Roman" w:cs="Times New Roman"/>
                <w:bCs/>
                <w:smallCaps w:val="0"/>
                <w:snapToGrid/>
                <w:color w:val="auto"/>
                <w:spacing w:val="0"/>
                <w:kern w:val="2"/>
                <w:position w:val="0"/>
                <w:sz w:val="24"/>
                <w:szCs w:val="24"/>
                <w:highlight w:val="none"/>
                <w:lang w:val="en-US" w:eastAsia="zh-CN" w:bidi="ar-SA"/>
              </w:rPr>
              <w:t>陡河设置一个监测断面为涧河口，还乡河设置一个监测断面为丰北闸，全年各断面水质监测结果见下表。</w:t>
            </w:r>
          </w:p>
          <w:p w14:paraId="7D47034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Times New Roman" w:hAnsi="Times New Roman" w:eastAsia="宋体" w:cs="Times New Roman"/>
                <w:b/>
                <w:snapToGrid w:val="0"/>
                <w:color w:val="auto"/>
                <w:kern w:val="0"/>
                <w:sz w:val="21"/>
                <w:szCs w:val="21"/>
                <w:highlight w:val="none"/>
                <w:shd w:val="clear" w:color="auto" w:fill="auto"/>
                <w:lang w:val="en-US" w:eastAsia="zh-CN"/>
              </w:rPr>
            </w:pPr>
            <w:r>
              <w:rPr>
                <w:rFonts w:hint="default" w:ascii="Times New Roman" w:hAnsi="Times New Roman" w:eastAsia="宋体" w:cs="Times New Roman"/>
                <w:b/>
                <w:snapToGrid w:val="0"/>
                <w:color w:val="auto"/>
                <w:kern w:val="0"/>
                <w:sz w:val="21"/>
                <w:szCs w:val="21"/>
                <w:highlight w:val="none"/>
                <w:shd w:val="clear" w:color="auto" w:fill="auto"/>
              </w:rPr>
              <w:t>表</w:t>
            </w:r>
            <w:r>
              <w:rPr>
                <w:rFonts w:hint="eastAsia" w:cs="Times New Roman"/>
                <w:b/>
                <w:snapToGrid w:val="0"/>
                <w:color w:val="auto"/>
                <w:kern w:val="0"/>
                <w:sz w:val="21"/>
                <w:szCs w:val="21"/>
                <w:highlight w:val="none"/>
                <w:shd w:val="clear" w:color="auto" w:fill="auto"/>
                <w:lang w:val="en-US" w:eastAsia="zh-CN"/>
              </w:rPr>
              <w:t xml:space="preserve">19  </w:t>
            </w:r>
            <w:r>
              <w:rPr>
                <w:rFonts w:hint="default" w:ascii="Times New Roman" w:hAnsi="Times New Roman" w:eastAsia="宋体" w:cs="Times New Roman"/>
                <w:b/>
                <w:snapToGrid w:val="0"/>
                <w:color w:val="auto"/>
                <w:kern w:val="0"/>
                <w:sz w:val="21"/>
                <w:szCs w:val="21"/>
                <w:highlight w:val="none"/>
                <w:shd w:val="clear" w:color="auto" w:fill="auto"/>
                <w:lang w:val="en-US" w:eastAsia="zh-CN"/>
              </w:rPr>
              <w:t>还乡河及</w:t>
            </w:r>
            <w:r>
              <w:rPr>
                <w:rFonts w:hint="default" w:ascii="Times New Roman" w:hAnsi="Times New Roman" w:eastAsia="宋体" w:cs="Times New Roman"/>
                <w:b/>
                <w:snapToGrid w:val="0"/>
                <w:color w:val="auto"/>
                <w:kern w:val="0"/>
                <w:sz w:val="21"/>
                <w:szCs w:val="21"/>
                <w:highlight w:val="none"/>
                <w:shd w:val="clear" w:color="auto" w:fill="auto"/>
              </w:rPr>
              <w:t>陡河各监测断面水质类别</w:t>
            </w:r>
            <w:r>
              <w:rPr>
                <w:rFonts w:hint="eastAsia" w:cs="Times New Roman"/>
                <w:b/>
                <w:snapToGrid w:val="0"/>
                <w:color w:val="auto"/>
                <w:kern w:val="0"/>
                <w:sz w:val="21"/>
                <w:szCs w:val="21"/>
                <w:highlight w:val="none"/>
                <w:shd w:val="clear" w:color="auto" w:fill="auto"/>
                <w:lang w:val="en-US" w:eastAsia="zh-CN"/>
              </w:rPr>
              <w:t>一览表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27"/>
              <w:gridCol w:w="785"/>
              <w:gridCol w:w="464"/>
              <w:gridCol w:w="440"/>
              <w:gridCol w:w="419"/>
              <w:gridCol w:w="407"/>
              <w:gridCol w:w="407"/>
              <w:gridCol w:w="419"/>
              <w:gridCol w:w="428"/>
              <w:gridCol w:w="419"/>
              <w:gridCol w:w="429"/>
              <w:gridCol w:w="452"/>
              <w:gridCol w:w="462"/>
              <w:gridCol w:w="500"/>
              <w:gridCol w:w="505"/>
              <w:gridCol w:w="587"/>
            </w:tblGrid>
            <w:tr w14:paraId="7CD27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512" w:type="dxa"/>
                  <w:gridSpan w:val="2"/>
                  <w:tcBorders>
                    <w:bottom w:val="single" w:color="auto" w:sz="4" w:space="0"/>
                    <w:right w:val="single" w:color="auto" w:sz="4" w:space="0"/>
                    <w:tl2br w:val="single" w:color="auto" w:sz="4" w:space="0"/>
                  </w:tcBorders>
                  <w:noWrap w:val="0"/>
                  <w:vAlign w:val="center"/>
                </w:tcPr>
                <w:p w14:paraId="19A324E0">
                  <w:pPr>
                    <w:pStyle w:val="7"/>
                    <w:keepNext w:val="0"/>
                    <w:keepLines w:val="0"/>
                    <w:pageBreakBefore w:val="0"/>
                    <w:kinsoku/>
                    <w:wordWrap/>
                    <w:overflowPunct/>
                    <w:topLinePunct w:val="0"/>
                    <w:bidi w:val="0"/>
                    <w:snapToGrid/>
                    <w:spacing w:line="240" w:lineRule="auto"/>
                    <w:ind w:firstLine="0" w:firstLineChars="0"/>
                    <w:jc w:val="right"/>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月份</w:t>
                  </w:r>
                </w:p>
                <w:p w14:paraId="45728CDA">
                  <w:pPr>
                    <w:pStyle w:val="7"/>
                    <w:keepNext w:val="0"/>
                    <w:keepLines w:val="0"/>
                    <w:pageBreakBefore w:val="0"/>
                    <w:kinsoku/>
                    <w:wordWrap/>
                    <w:overflowPunct/>
                    <w:topLinePunct w:val="0"/>
                    <w:bidi w:val="0"/>
                    <w:snapToGrid/>
                    <w:spacing w:line="240" w:lineRule="auto"/>
                    <w:ind w:left="0" w:leftChars="0" w:firstLine="0" w:firstLineChars="0"/>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en-US" w:eastAsia="zh-CN"/>
                    </w:rPr>
                    <w:t>断面</w:t>
                  </w:r>
                </w:p>
              </w:tc>
              <w:tc>
                <w:tcPr>
                  <w:tcW w:w="464" w:type="dxa"/>
                  <w:tcBorders>
                    <w:left w:val="single" w:color="auto" w:sz="4" w:space="0"/>
                  </w:tcBorders>
                  <w:noWrap w:val="0"/>
                  <w:vAlign w:val="center"/>
                </w:tcPr>
                <w:p w14:paraId="041062D6">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1月</w:t>
                  </w:r>
                </w:p>
              </w:tc>
              <w:tc>
                <w:tcPr>
                  <w:tcW w:w="440" w:type="dxa"/>
                  <w:noWrap w:val="0"/>
                  <w:vAlign w:val="center"/>
                </w:tcPr>
                <w:p w14:paraId="42BEC353">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2月</w:t>
                  </w:r>
                </w:p>
              </w:tc>
              <w:tc>
                <w:tcPr>
                  <w:tcW w:w="419" w:type="dxa"/>
                  <w:noWrap w:val="0"/>
                  <w:vAlign w:val="center"/>
                </w:tcPr>
                <w:p w14:paraId="168E032F">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3月</w:t>
                  </w:r>
                </w:p>
              </w:tc>
              <w:tc>
                <w:tcPr>
                  <w:tcW w:w="407" w:type="dxa"/>
                  <w:noWrap w:val="0"/>
                  <w:vAlign w:val="center"/>
                </w:tcPr>
                <w:p w14:paraId="086F1728">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4月</w:t>
                  </w:r>
                </w:p>
              </w:tc>
              <w:tc>
                <w:tcPr>
                  <w:tcW w:w="407" w:type="dxa"/>
                  <w:noWrap w:val="0"/>
                  <w:vAlign w:val="center"/>
                </w:tcPr>
                <w:p w14:paraId="0165F29A">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5月</w:t>
                  </w:r>
                </w:p>
              </w:tc>
              <w:tc>
                <w:tcPr>
                  <w:tcW w:w="419" w:type="dxa"/>
                  <w:noWrap w:val="0"/>
                  <w:vAlign w:val="center"/>
                </w:tcPr>
                <w:p w14:paraId="476A2EE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6月</w:t>
                  </w:r>
                </w:p>
              </w:tc>
              <w:tc>
                <w:tcPr>
                  <w:tcW w:w="428" w:type="dxa"/>
                  <w:noWrap w:val="0"/>
                  <w:vAlign w:val="center"/>
                </w:tcPr>
                <w:p w14:paraId="0964BE4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7月</w:t>
                  </w:r>
                </w:p>
              </w:tc>
              <w:tc>
                <w:tcPr>
                  <w:tcW w:w="419" w:type="dxa"/>
                  <w:noWrap w:val="0"/>
                  <w:vAlign w:val="center"/>
                </w:tcPr>
                <w:p w14:paraId="78E38F59">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8月</w:t>
                  </w:r>
                </w:p>
              </w:tc>
              <w:tc>
                <w:tcPr>
                  <w:tcW w:w="429" w:type="dxa"/>
                  <w:noWrap w:val="0"/>
                  <w:vAlign w:val="center"/>
                </w:tcPr>
                <w:p w14:paraId="75C60C4C">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9月</w:t>
                  </w:r>
                </w:p>
              </w:tc>
              <w:tc>
                <w:tcPr>
                  <w:tcW w:w="452" w:type="dxa"/>
                  <w:noWrap w:val="0"/>
                  <w:vAlign w:val="center"/>
                </w:tcPr>
                <w:p w14:paraId="377E2752">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10月</w:t>
                  </w:r>
                </w:p>
              </w:tc>
              <w:tc>
                <w:tcPr>
                  <w:tcW w:w="462" w:type="dxa"/>
                  <w:noWrap w:val="0"/>
                  <w:vAlign w:val="center"/>
                </w:tcPr>
                <w:p w14:paraId="3BEB619A">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11月</w:t>
                  </w:r>
                </w:p>
              </w:tc>
              <w:tc>
                <w:tcPr>
                  <w:tcW w:w="500" w:type="dxa"/>
                  <w:noWrap w:val="0"/>
                  <w:vAlign w:val="center"/>
                </w:tcPr>
                <w:p w14:paraId="32D72B54">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12月</w:t>
                  </w:r>
                </w:p>
              </w:tc>
              <w:tc>
                <w:tcPr>
                  <w:tcW w:w="505" w:type="dxa"/>
                  <w:noWrap w:val="0"/>
                  <w:vAlign w:val="center"/>
                </w:tcPr>
                <w:p w14:paraId="190618AD">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年均</w:t>
                  </w:r>
                </w:p>
              </w:tc>
              <w:tc>
                <w:tcPr>
                  <w:tcW w:w="587" w:type="dxa"/>
                  <w:noWrap w:val="0"/>
                  <w:vAlign w:val="center"/>
                </w:tcPr>
                <w:p w14:paraId="5EF5C286">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水质目标</w:t>
                  </w:r>
                </w:p>
              </w:tc>
            </w:tr>
            <w:tr w14:paraId="39AD1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727" w:type="dxa"/>
                  <w:tcBorders>
                    <w:top w:val="single" w:color="auto" w:sz="4" w:space="0"/>
                    <w:bottom w:val="single" w:color="auto" w:sz="4" w:space="0"/>
                    <w:right w:val="single" w:color="auto" w:sz="4" w:space="0"/>
                  </w:tcBorders>
                  <w:noWrap w:val="0"/>
                  <w:vAlign w:val="center"/>
                </w:tcPr>
                <w:p w14:paraId="40E4D6AF">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rPr>
                  </w:pPr>
                  <w:r>
                    <w:rPr>
                      <w:rFonts w:hint="default" w:ascii="Times New Roman" w:hAnsi="Times New Roman" w:eastAsia="宋体" w:cs="Times New Roman"/>
                      <w:snapToGrid w:val="0"/>
                      <w:color w:val="auto"/>
                      <w:kern w:val="0"/>
                      <w:sz w:val="21"/>
                      <w:szCs w:val="21"/>
                      <w:highlight w:val="none"/>
                      <w:shd w:val="clear" w:color="auto" w:fill="auto"/>
                      <w:lang w:val="en-US" w:eastAsia="zh-CN"/>
                    </w:rPr>
                    <w:t>陡河</w:t>
                  </w:r>
                </w:p>
              </w:tc>
              <w:tc>
                <w:tcPr>
                  <w:tcW w:w="785" w:type="dxa"/>
                  <w:tcBorders>
                    <w:top w:val="single" w:color="auto" w:sz="4" w:space="0"/>
                    <w:left w:val="single" w:color="auto" w:sz="4" w:space="0"/>
                    <w:bottom w:val="single" w:color="auto" w:sz="4" w:space="0"/>
                  </w:tcBorders>
                  <w:noWrap w:val="0"/>
                  <w:vAlign w:val="center"/>
                </w:tcPr>
                <w:p w14:paraId="67D02430">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eastAsia="宋体" w:cs="Times New Roman"/>
                      <w:snapToGrid w:val="0"/>
                      <w:color w:val="auto"/>
                      <w:kern w:val="0"/>
                      <w:sz w:val="21"/>
                      <w:szCs w:val="21"/>
                      <w:highlight w:val="none"/>
                      <w:shd w:val="clear" w:color="auto" w:fill="auto"/>
                      <w:lang w:eastAsia="zh-CN"/>
                    </w:rPr>
                  </w:pPr>
                  <w:r>
                    <w:rPr>
                      <w:rFonts w:hint="eastAsia" w:eastAsia="宋体" w:cs="Times New Roman"/>
                      <w:snapToGrid w:val="0"/>
                      <w:color w:val="auto"/>
                      <w:kern w:val="0"/>
                      <w:sz w:val="21"/>
                      <w:szCs w:val="21"/>
                      <w:highlight w:val="none"/>
                      <w:shd w:val="clear" w:color="auto" w:fill="auto"/>
                      <w:lang w:val="en-US" w:eastAsia="zh-CN"/>
                    </w:rPr>
                    <w:t>涧河口</w:t>
                  </w:r>
                </w:p>
              </w:tc>
              <w:tc>
                <w:tcPr>
                  <w:tcW w:w="464" w:type="dxa"/>
                  <w:noWrap w:val="0"/>
                  <w:vAlign w:val="center"/>
                </w:tcPr>
                <w:p w14:paraId="337A1BC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40" w:type="dxa"/>
                  <w:noWrap w:val="0"/>
                  <w:vAlign w:val="center"/>
                </w:tcPr>
                <w:p w14:paraId="526E56E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19" w:type="dxa"/>
                  <w:noWrap w:val="0"/>
                  <w:vAlign w:val="center"/>
                </w:tcPr>
                <w:p w14:paraId="4989BC3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07" w:type="dxa"/>
                  <w:noWrap w:val="0"/>
                  <w:vAlign w:val="center"/>
                </w:tcPr>
                <w:p w14:paraId="3259E0E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07" w:type="dxa"/>
                  <w:noWrap w:val="0"/>
                  <w:vAlign w:val="center"/>
                </w:tcPr>
                <w:p w14:paraId="4CBE1E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19" w:type="dxa"/>
                  <w:noWrap w:val="0"/>
                  <w:vAlign w:val="center"/>
                </w:tcPr>
                <w:p w14:paraId="5790BA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28" w:type="dxa"/>
                  <w:noWrap w:val="0"/>
                  <w:vAlign w:val="center"/>
                </w:tcPr>
                <w:p w14:paraId="289C5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19" w:type="dxa"/>
                  <w:noWrap w:val="0"/>
                  <w:vAlign w:val="center"/>
                </w:tcPr>
                <w:p w14:paraId="40F3162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Ⅲ</w:t>
                  </w:r>
                </w:p>
              </w:tc>
              <w:tc>
                <w:tcPr>
                  <w:tcW w:w="429" w:type="dxa"/>
                  <w:noWrap w:val="0"/>
                  <w:vAlign w:val="center"/>
                </w:tcPr>
                <w:p w14:paraId="33A551E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52" w:type="dxa"/>
                  <w:noWrap w:val="0"/>
                  <w:vAlign w:val="center"/>
                </w:tcPr>
                <w:p w14:paraId="2D7BD2E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62" w:type="dxa"/>
                  <w:noWrap w:val="0"/>
                  <w:vAlign w:val="center"/>
                </w:tcPr>
                <w:p w14:paraId="2C0D2B6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500" w:type="dxa"/>
                  <w:noWrap w:val="0"/>
                  <w:vAlign w:val="center"/>
                </w:tcPr>
                <w:p w14:paraId="1BEE3E3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505" w:type="dxa"/>
                  <w:noWrap w:val="0"/>
                  <w:vAlign w:val="center"/>
                </w:tcPr>
                <w:p w14:paraId="25DE8FE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color w:val="auto"/>
                      <w:sz w:val="21"/>
                      <w:szCs w:val="21"/>
                      <w:shd w:val="clear" w:color="auto" w:fill="auto"/>
                    </w:rPr>
                    <w:t>Ⅳ</w:t>
                  </w:r>
                </w:p>
              </w:tc>
              <w:tc>
                <w:tcPr>
                  <w:tcW w:w="587" w:type="dxa"/>
                  <w:noWrap w:val="0"/>
                  <w:vAlign w:val="center"/>
                </w:tcPr>
                <w:p w14:paraId="4F772E3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rPr>
                  </w:pPr>
                  <w:r>
                    <w:rPr>
                      <w:rFonts w:hint="default" w:ascii="Times New Roman" w:hAnsi="Times New Roman" w:eastAsia="宋体" w:cs="Times New Roman"/>
                      <w:color w:val="auto"/>
                      <w:sz w:val="21"/>
                      <w:szCs w:val="21"/>
                      <w:shd w:val="clear" w:color="auto" w:fill="auto"/>
                    </w:rPr>
                    <w:t>Ⅳ</w:t>
                  </w:r>
                </w:p>
              </w:tc>
            </w:tr>
            <w:tr w14:paraId="56C32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727" w:type="dxa"/>
                  <w:tcBorders>
                    <w:top w:val="single" w:color="auto" w:sz="4" w:space="0"/>
                    <w:right w:val="single" w:color="auto" w:sz="4" w:space="0"/>
                  </w:tcBorders>
                  <w:noWrap w:val="0"/>
                  <w:vAlign w:val="center"/>
                </w:tcPr>
                <w:p w14:paraId="28C7F5F1">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snapToGrid w:val="0"/>
                      <w:color w:val="auto"/>
                      <w:kern w:val="0"/>
                      <w:sz w:val="21"/>
                      <w:szCs w:val="21"/>
                      <w:highlight w:val="none"/>
                      <w:shd w:val="clear" w:color="auto" w:fill="auto"/>
                      <w:lang w:eastAsia="zh-CN"/>
                    </w:rPr>
                    <w:t>还乡河</w:t>
                  </w:r>
                </w:p>
              </w:tc>
              <w:tc>
                <w:tcPr>
                  <w:tcW w:w="785" w:type="dxa"/>
                  <w:tcBorders>
                    <w:top w:val="single" w:color="auto" w:sz="4" w:space="0"/>
                    <w:left w:val="single" w:color="auto" w:sz="4" w:space="0"/>
                  </w:tcBorders>
                  <w:noWrap w:val="0"/>
                  <w:vAlign w:val="center"/>
                </w:tcPr>
                <w:p w14:paraId="4D8E6B46">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snapToGrid w:val="0"/>
                      <w:color w:val="auto"/>
                      <w:kern w:val="0"/>
                      <w:sz w:val="21"/>
                      <w:szCs w:val="21"/>
                      <w:highlight w:val="none"/>
                      <w:shd w:val="clear" w:color="auto" w:fill="auto"/>
                      <w:lang w:eastAsia="zh-CN"/>
                    </w:rPr>
                    <w:t>丰北闸</w:t>
                  </w:r>
                </w:p>
              </w:tc>
              <w:tc>
                <w:tcPr>
                  <w:tcW w:w="464" w:type="dxa"/>
                  <w:noWrap w:val="0"/>
                  <w:vAlign w:val="center"/>
                </w:tcPr>
                <w:p w14:paraId="2DF271D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Ⅲ</w:t>
                  </w:r>
                </w:p>
              </w:tc>
              <w:tc>
                <w:tcPr>
                  <w:tcW w:w="440" w:type="dxa"/>
                  <w:noWrap w:val="0"/>
                  <w:vAlign w:val="center"/>
                </w:tcPr>
                <w:p w14:paraId="32A5A15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19" w:type="dxa"/>
                  <w:noWrap w:val="0"/>
                  <w:vAlign w:val="center"/>
                </w:tcPr>
                <w:p w14:paraId="6A5591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07" w:type="dxa"/>
                  <w:noWrap w:val="0"/>
                  <w:vAlign w:val="center"/>
                </w:tcPr>
                <w:p w14:paraId="5D2E3A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07" w:type="dxa"/>
                  <w:noWrap w:val="0"/>
                  <w:vAlign w:val="center"/>
                </w:tcPr>
                <w:p w14:paraId="1A3C94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19" w:type="dxa"/>
                  <w:noWrap w:val="0"/>
                  <w:vAlign w:val="center"/>
                </w:tcPr>
                <w:p w14:paraId="69C4E0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28" w:type="dxa"/>
                  <w:noWrap w:val="0"/>
                  <w:vAlign w:val="center"/>
                </w:tcPr>
                <w:p w14:paraId="76EB45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c>
                <w:tcPr>
                  <w:tcW w:w="419" w:type="dxa"/>
                  <w:noWrap w:val="0"/>
                  <w:vAlign w:val="center"/>
                </w:tcPr>
                <w:p w14:paraId="4CB4DFA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kern w:val="0"/>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shd w:val="clear" w:color="auto" w:fill="auto"/>
                      <w:lang w:val="en-US" w:eastAsia="zh-CN"/>
                    </w:rPr>
                    <w:t>-</w:t>
                  </w:r>
                </w:p>
              </w:tc>
              <w:tc>
                <w:tcPr>
                  <w:tcW w:w="429" w:type="dxa"/>
                  <w:noWrap w:val="0"/>
                  <w:vAlign w:val="center"/>
                </w:tcPr>
                <w:p w14:paraId="477ED22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kern w:val="0"/>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shd w:val="clear" w:color="auto" w:fill="auto"/>
                      <w:lang w:val="en-US" w:eastAsia="zh-CN"/>
                    </w:rPr>
                    <w:t>劣</w:t>
                  </w:r>
                  <w:r>
                    <w:rPr>
                      <w:rFonts w:hint="default" w:ascii="Times New Roman" w:hAnsi="Times New Roman" w:eastAsia="宋体" w:cs="Times New Roman"/>
                      <w:color w:val="auto"/>
                      <w:sz w:val="21"/>
                      <w:szCs w:val="21"/>
                      <w:shd w:val="clear" w:color="auto" w:fill="auto"/>
                    </w:rPr>
                    <w:t>Ⅴ</w:t>
                  </w:r>
                </w:p>
              </w:tc>
              <w:tc>
                <w:tcPr>
                  <w:tcW w:w="452" w:type="dxa"/>
                  <w:noWrap w:val="0"/>
                  <w:vAlign w:val="center"/>
                </w:tcPr>
                <w:p w14:paraId="1281C9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462" w:type="dxa"/>
                  <w:noWrap w:val="0"/>
                  <w:vAlign w:val="center"/>
                </w:tcPr>
                <w:p w14:paraId="3C3958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500" w:type="dxa"/>
                  <w:noWrap w:val="0"/>
                  <w:vAlign w:val="center"/>
                </w:tcPr>
                <w:p w14:paraId="160050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505" w:type="dxa"/>
                  <w:noWrap w:val="0"/>
                  <w:vAlign w:val="center"/>
                </w:tcPr>
                <w:p w14:paraId="59882D4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Ⅳ</w:t>
                  </w:r>
                </w:p>
              </w:tc>
              <w:tc>
                <w:tcPr>
                  <w:tcW w:w="587" w:type="dxa"/>
                  <w:noWrap w:val="0"/>
                  <w:vAlign w:val="center"/>
                </w:tcPr>
                <w:p w14:paraId="6E66805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0"/>
                      <w:sz w:val="21"/>
                      <w:szCs w:val="21"/>
                      <w:highlight w:val="none"/>
                      <w:shd w:val="clear" w:color="auto" w:fill="auto"/>
                      <w:lang w:val="en-US" w:eastAsia="zh-CN" w:bidi="ar-SA"/>
                    </w:rPr>
                  </w:pPr>
                  <w:r>
                    <w:rPr>
                      <w:rFonts w:hint="default" w:ascii="Times New Roman" w:hAnsi="Times New Roman" w:eastAsia="宋体" w:cs="Times New Roman"/>
                      <w:color w:val="auto"/>
                      <w:sz w:val="21"/>
                      <w:szCs w:val="21"/>
                      <w:shd w:val="clear" w:color="auto" w:fill="auto"/>
                    </w:rPr>
                    <w:t>Ⅴ</w:t>
                  </w:r>
                </w:p>
              </w:tc>
            </w:tr>
          </w:tbl>
          <w:p w14:paraId="4A9BCEEC">
            <w:pPr>
              <w:pStyle w:val="13"/>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default" w:ascii="Times New Roman" w:hAnsi="Times New Roman" w:eastAsia="宋体" w:cs="Times New Roman"/>
                <w:color w:val="auto"/>
                <w:spacing w:val="0"/>
                <w:sz w:val="24"/>
                <w:szCs w:val="24"/>
                <w:highlight w:val="none"/>
                <w:shd w:val="clear" w:color="auto" w:fill="auto"/>
                <w:lang w:val="en-US" w:eastAsia="zh-CN"/>
              </w:rPr>
            </w:pP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由上表可知，</w:t>
            </w:r>
            <w:r>
              <w:rPr>
                <w:rFonts w:hint="eastAsia" w:ascii="Times New Roman" w:hAnsi="Times New Roman" w:eastAsia="宋体" w:cs="Times New Roman"/>
                <w:bCs/>
                <w:smallCaps w:val="0"/>
                <w:snapToGrid/>
                <w:color w:val="auto"/>
                <w:spacing w:val="0"/>
                <w:kern w:val="2"/>
                <w:position w:val="0"/>
                <w:sz w:val="24"/>
                <w:szCs w:val="24"/>
                <w:highlight w:val="none"/>
                <w:lang w:val="en-US" w:eastAsia="zh-CN" w:bidi="ar-SA"/>
              </w:rPr>
              <w:t>监测断面</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丰北闸年均水质为Ⅳ类水质，达到</w:t>
            </w:r>
            <w:r>
              <w:rPr>
                <w:rFonts w:hint="eastAsia" w:ascii="Times New Roman" w:hAnsi="Times New Roman" w:eastAsia="宋体" w:cs="Times New Roman"/>
                <w:bCs/>
                <w:smallCaps w:val="0"/>
                <w:snapToGrid/>
                <w:color w:val="auto"/>
                <w:spacing w:val="0"/>
                <w:kern w:val="2"/>
                <w:position w:val="0"/>
                <w:sz w:val="24"/>
                <w:szCs w:val="24"/>
                <w:highlight w:val="none"/>
                <w:lang w:val="en-US" w:eastAsia="zh-CN" w:bidi="ar-SA"/>
              </w:rPr>
              <w:t>还乡河</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目标水质要求；涧河口年均水质为Ⅳ类水质，达到</w:t>
            </w:r>
            <w:r>
              <w:rPr>
                <w:rFonts w:hint="eastAsia" w:ascii="Times New Roman" w:hAnsi="Times New Roman" w:eastAsia="宋体" w:cs="Times New Roman"/>
                <w:bCs/>
                <w:smallCaps w:val="0"/>
                <w:snapToGrid/>
                <w:color w:val="auto"/>
                <w:spacing w:val="0"/>
                <w:kern w:val="2"/>
                <w:position w:val="0"/>
                <w:sz w:val="24"/>
                <w:szCs w:val="24"/>
                <w:highlight w:val="none"/>
                <w:lang w:val="en-US" w:eastAsia="zh-CN" w:bidi="ar-SA"/>
              </w:rPr>
              <w:t>陡河</w:t>
            </w:r>
            <w:r>
              <w:rPr>
                <w:rFonts w:hint="default" w:ascii="Times New Roman" w:hAnsi="Times New Roman" w:eastAsia="宋体" w:cs="Times New Roman"/>
                <w:bCs/>
                <w:smallCaps w:val="0"/>
                <w:snapToGrid/>
                <w:color w:val="auto"/>
                <w:spacing w:val="0"/>
                <w:kern w:val="2"/>
                <w:position w:val="0"/>
                <w:sz w:val="24"/>
                <w:szCs w:val="24"/>
                <w:highlight w:val="none"/>
                <w:lang w:val="en-US" w:eastAsia="zh-CN" w:bidi="ar-SA"/>
              </w:rPr>
              <w:t>目标水质要求。</w:t>
            </w:r>
          </w:p>
          <w:p w14:paraId="14714CDA">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4、</w:t>
            </w:r>
            <w:r>
              <w:rPr>
                <w:rFonts w:hint="eastAsia" w:ascii="Times New Roman" w:hAnsi="Times New Roman" w:eastAsia="宋体" w:cs="Times New Roman"/>
                <w:b/>
                <w:bCs/>
                <w:color w:val="auto"/>
                <w:highlight w:val="none"/>
                <w:lang w:val="en-US" w:eastAsia="zh-CN"/>
              </w:rPr>
              <w:t>地下水</w:t>
            </w:r>
            <w:r>
              <w:rPr>
                <w:rFonts w:hint="eastAsia" w:cs="Times New Roman"/>
                <w:b/>
                <w:bCs/>
                <w:color w:val="auto"/>
                <w:highlight w:val="none"/>
                <w:lang w:val="en-US" w:eastAsia="zh-CN"/>
              </w:rPr>
              <w:t>环境</w:t>
            </w:r>
          </w:p>
          <w:p w14:paraId="16022A97">
            <w:pPr>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本项目润滑油</w:t>
            </w:r>
            <w:r>
              <w:rPr>
                <w:rFonts w:hint="eastAsia" w:cs="Times New Roman"/>
                <w:color w:val="auto"/>
                <w:lang w:val="en-US" w:eastAsia="zh-CN"/>
              </w:rPr>
              <w:t>、切削液、液压油、漆料等均</w:t>
            </w:r>
            <w:r>
              <w:rPr>
                <w:rFonts w:hint="eastAsia" w:ascii="Times New Roman" w:hAnsi="Times New Roman" w:eastAsia="宋体" w:cs="Times New Roman"/>
                <w:color w:val="auto"/>
                <w:lang w:val="en-US" w:eastAsia="zh-CN"/>
              </w:rPr>
              <w:t>为桶装，年使用量</w:t>
            </w:r>
            <w:r>
              <w:rPr>
                <w:rFonts w:hint="eastAsia" w:cs="Times New Roman"/>
                <w:color w:val="auto"/>
                <w:lang w:val="en-US" w:eastAsia="zh-CN"/>
              </w:rPr>
              <w:t>很少</w:t>
            </w:r>
            <w:r>
              <w:rPr>
                <w:rFonts w:hint="eastAsia" w:ascii="Times New Roman" w:hAnsi="Times New Roman" w:eastAsia="宋体" w:cs="Times New Roman"/>
                <w:color w:val="auto"/>
                <w:lang w:val="en-US" w:eastAsia="zh-CN"/>
              </w:rPr>
              <w:t>，且储存时油桶下设铁质托盘，储存区地面进行硬化、防腐防渗处理</w:t>
            </w:r>
            <w:r>
              <w:rPr>
                <w:rFonts w:hint="eastAsia" w:cs="Times New Roman"/>
                <w:color w:val="auto"/>
                <w:lang w:val="en-US" w:eastAsia="zh-CN"/>
              </w:rPr>
              <w:t>。</w:t>
            </w:r>
            <w:r>
              <w:rPr>
                <w:rFonts w:hint="eastAsia" w:ascii="Times New Roman" w:hAnsi="Times New Roman" w:eastAsia="宋体" w:cs="Times New Roman"/>
                <w:color w:val="auto"/>
                <w:lang w:val="en-US" w:eastAsia="zh-CN"/>
              </w:rPr>
              <w:t>废润滑油</w:t>
            </w:r>
            <w:r>
              <w:rPr>
                <w:rFonts w:hint="eastAsia" w:cs="Times New Roman"/>
                <w:color w:val="auto"/>
                <w:lang w:val="en-US" w:eastAsia="zh-CN"/>
              </w:rPr>
              <w:t>等危险废物</w:t>
            </w:r>
            <w:r>
              <w:rPr>
                <w:rFonts w:hint="eastAsia" w:ascii="Times New Roman" w:hAnsi="Times New Roman" w:eastAsia="宋体" w:cs="Times New Roman"/>
                <w:color w:val="auto"/>
                <w:lang w:val="en-US" w:eastAsia="zh-CN"/>
              </w:rPr>
              <w:t>储存在危废间内，</w:t>
            </w:r>
            <w:r>
              <w:rPr>
                <w:rFonts w:hint="eastAsia" w:cs="Times New Roman"/>
                <w:color w:val="auto"/>
                <w:lang w:val="en-US" w:eastAsia="zh-CN"/>
              </w:rPr>
              <w:t>使用专用容器承装</w:t>
            </w:r>
            <w:r>
              <w:rPr>
                <w:rFonts w:hint="eastAsia" w:ascii="Times New Roman" w:hAnsi="Times New Roman" w:eastAsia="宋体" w:cs="Times New Roman"/>
                <w:color w:val="auto"/>
                <w:lang w:val="en-US" w:eastAsia="zh-CN"/>
              </w:rPr>
              <w:t>，下设铁质托盘</w:t>
            </w:r>
            <w:r>
              <w:rPr>
                <w:rFonts w:hint="eastAsia" w:cs="Times New Roman"/>
                <w:color w:val="auto"/>
                <w:lang w:val="en-US" w:eastAsia="zh-CN"/>
              </w:rPr>
              <w:t>；危废间</w:t>
            </w:r>
            <w:r>
              <w:rPr>
                <w:rFonts w:hint="eastAsia" w:ascii="Times New Roman" w:hAnsi="Times New Roman" w:eastAsia="宋体" w:cs="Times New Roman"/>
                <w:color w:val="auto"/>
                <w:lang w:val="en-US" w:eastAsia="zh-CN"/>
              </w:rPr>
              <w:t>地面及裙角进行硬化、防腐防渗处理；使用润滑油等油类物质的设备，定期巡检，避免跑冒滴漏现场发生，油类使用区域下方设铁质托盘，车间地面进行硬化、防腐防渗处理。</w:t>
            </w:r>
          </w:p>
          <w:p w14:paraId="0CACFFC3">
            <w:pPr>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综上所述，本项目无</w:t>
            </w:r>
            <w:r>
              <w:rPr>
                <w:rFonts w:hint="eastAsia" w:cs="Times New Roman"/>
                <w:color w:val="auto"/>
                <w:highlight w:val="none"/>
                <w:lang w:val="en-US" w:eastAsia="zh-CN"/>
              </w:rPr>
              <w:t>地下水</w:t>
            </w:r>
            <w:r>
              <w:rPr>
                <w:rFonts w:hint="eastAsia" w:ascii="Times New Roman" w:hAnsi="Times New Roman" w:eastAsia="宋体" w:cs="Times New Roman"/>
                <w:color w:val="auto"/>
                <w:highlight w:val="none"/>
                <w:lang w:val="en-US" w:eastAsia="zh-CN"/>
              </w:rPr>
              <w:t>环</w:t>
            </w:r>
            <w:r>
              <w:rPr>
                <w:rFonts w:hint="eastAsia" w:ascii="Times New Roman" w:hAnsi="Times New Roman" w:eastAsia="宋体" w:cs="Times New Roman"/>
                <w:color w:val="auto"/>
                <w:lang w:val="en-US" w:eastAsia="zh-CN"/>
              </w:rPr>
              <w:t>境污染途径，且无</w:t>
            </w:r>
            <w:r>
              <w:rPr>
                <w:rFonts w:hint="eastAsia" w:cs="Times New Roman"/>
                <w:color w:val="auto"/>
                <w:lang w:val="en-US" w:eastAsia="zh-CN"/>
              </w:rPr>
              <w:t>地下水</w:t>
            </w:r>
            <w:r>
              <w:rPr>
                <w:rFonts w:hint="eastAsia" w:ascii="Times New Roman" w:hAnsi="Times New Roman" w:eastAsia="宋体" w:cs="Times New Roman"/>
                <w:color w:val="auto"/>
                <w:lang w:val="en-US" w:eastAsia="zh-CN"/>
              </w:rPr>
              <w:t>环境保护目标，故不开展</w:t>
            </w:r>
            <w:r>
              <w:rPr>
                <w:rFonts w:hint="eastAsia" w:cs="Times New Roman"/>
                <w:color w:val="auto"/>
                <w:lang w:val="en-US" w:eastAsia="zh-CN"/>
              </w:rPr>
              <w:t>地下水</w:t>
            </w:r>
            <w:r>
              <w:rPr>
                <w:rFonts w:hint="eastAsia" w:ascii="Times New Roman" w:hAnsi="Times New Roman" w:eastAsia="宋体" w:cs="Times New Roman"/>
                <w:color w:val="auto"/>
                <w:lang w:val="en-US" w:eastAsia="zh-CN"/>
              </w:rPr>
              <w:t>环境质量现状调查。</w:t>
            </w:r>
          </w:p>
          <w:p w14:paraId="723E19B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b/>
                <w:bCs/>
                <w:color w:val="auto"/>
                <w:lang w:val="en-US" w:eastAsia="zh-CN"/>
              </w:rPr>
            </w:pPr>
            <w:r>
              <w:rPr>
                <w:rFonts w:hint="eastAsia"/>
                <w:b/>
                <w:bCs/>
                <w:color w:val="auto"/>
                <w:lang w:val="en-US" w:eastAsia="zh-CN"/>
              </w:rPr>
              <w:t>5、</w:t>
            </w:r>
            <w:r>
              <w:rPr>
                <w:b/>
                <w:bCs/>
                <w:color w:val="auto"/>
              </w:rPr>
              <w:t>生态</w:t>
            </w:r>
            <w:r>
              <w:rPr>
                <w:rFonts w:hint="eastAsia"/>
                <w:b/>
                <w:bCs/>
                <w:color w:val="auto"/>
                <w:lang w:val="en-US" w:eastAsia="zh-CN"/>
              </w:rPr>
              <w:t>环境</w:t>
            </w:r>
          </w:p>
          <w:p w14:paraId="241C8B06">
            <w:pPr>
              <w:bidi w:val="0"/>
              <w:rPr>
                <w:rFonts w:hint="eastAsia" w:eastAsia="宋体"/>
                <w:color w:val="auto"/>
                <w:lang w:eastAsia="zh-CN"/>
              </w:rPr>
            </w:pPr>
            <w:r>
              <w:rPr>
                <w:color w:val="auto"/>
              </w:rPr>
              <w:t>项目所在区域内生态环境以城市环境为主，地表植被主要是人工植被，主要农作物有玉米、小麦、花生、棉花。树种主要以杨、柳、槐树为主，动物种类主要为农村饲养的家禽、家畜。区域内无名胜古迹和重点文物</w:t>
            </w:r>
            <w:r>
              <w:rPr>
                <w:rFonts w:hint="eastAsia"/>
                <w:color w:val="auto"/>
                <w:lang w:eastAsia="zh-CN"/>
              </w:rPr>
              <w:t>。</w:t>
            </w:r>
          </w:p>
          <w:p w14:paraId="5A3A2035">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宋体"/>
                <w:b/>
                <w:bCs/>
                <w:color w:val="auto"/>
                <w:lang w:val="en-US" w:eastAsia="zh-CN"/>
              </w:rPr>
            </w:pPr>
            <w:r>
              <w:rPr>
                <w:rFonts w:hint="eastAsia"/>
                <w:b/>
                <w:bCs/>
                <w:color w:val="auto"/>
                <w:lang w:val="en-US" w:eastAsia="zh-CN"/>
              </w:rPr>
              <w:t>6</w:t>
            </w:r>
            <w:r>
              <w:rPr>
                <w:b/>
                <w:bCs/>
                <w:color w:val="auto"/>
              </w:rPr>
              <w:t>、</w:t>
            </w:r>
            <w:r>
              <w:rPr>
                <w:rFonts w:hint="eastAsia"/>
                <w:b/>
                <w:bCs/>
                <w:color w:val="auto"/>
                <w:lang w:val="en-US" w:eastAsia="zh-CN"/>
              </w:rPr>
              <w:t>土壤环境</w:t>
            </w:r>
          </w:p>
          <w:p w14:paraId="1D0F5074">
            <w:pPr>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本项目润滑油</w:t>
            </w:r>
            <w:r>
              <w:rPr>
                <w:rFonts w:hint="eastAsia" w:cs="Times New Roman"/>
                <w:color w:val="auto"/>
                <w:lang w:val="en-US" w:eastAsia="zh-CN"/>
              </w:rPr>
              <w:t>、切削液、液压油、漆料等均</w:t>
            </w:r>
            <w:r>
              <w:rPr>
                <w:rFonts w:hint="eastAsia" w:ascii="Times New Roman" w:hAnsi="Times New Roman" w:eastAsia="宋体" w:cs="Times New Roman"/>
                <w:color w:val="auto"/>
                <w:lang w:val="en-US" w:eastAsia="zh-CN"/>
              </w:rPr>
              <w:t>为桶装，年使用量</w:t>
            </w:r>
            <w:r>
              <w:rPr>
                <w:rFonts w:hint="eastAsia" w:cs="Times New Roman"/>
                <w:color w:val="auto"/>
                <w:lang w:val="en-US" w:eastAsia="zh-CN"/>
              </w:rPr>
              <w:t>很少</w:t>
            </w:r>
            <w:r>
              <w:rPr>
                <w:rFonts w:hint="eastAsia" w:ascii="Times New Roman" w:hAnsi="Times New Roman" w:eastAsia="宋体" w:cs="Times New Roman"/>
                <w:color w:val="auto"/>
                <w:lang w:val="en-US" w:eastAsia="zh-CN"/>
              </w:rPr>
              <w:t>，且储存时油桶下设铁质托盘，储存区地面进行硬化、防腐防渗处理</w:t>
            </w:r>
            <w:r>
              <w:rPr>
                <w:rFonts w:hint="eastAsia" w:cs="Times New Roman"/>
                <w:color w:val="auto"/>
                <w:lang w:val="en-US" w:eastAsia="zh-CN"/>
              </w:rPr>
              <w:t>。</w:t>
            </w:r>
            <w:r>
              <w:rPr>
                <w:rFonts w:hint="eastAsia" w:ascii="Times New Roman" w:hAnsi="Times New Roman" w:eastAsia="宋体" w:cs="Times New Roman"/>
                <w:color w:val="auto"/>
                <w:lang w:val="en-US" w:eastAsia="zh-CN"/>
              </w:rPr>
              <w:t>废润滑油</w:t>
            </w:r>
            <w:r>
              <w:rPr>
                <w:rFonts w:hint="eastAsia" w:cs="Times New Roman"/>
                <w:color w:val="auto"/>
                <w:lang w:val="en-US" w:eastAsia="zh-CN"/>
              </w:rPr>
              <w:t>等危险废物</w:t>
            </w:r>
            <w:r>
              <w:rPr>
                <w:rFonts w:hint="eastAsia" w:ascii="Times New Roman" w:hAnsi="Times New Roman" w:eastAsia="宋体" w:cs="Times New Roman"/>
                <w:color w:val="auto"/>
                <w:lang w:val="en-US" w:eastAsia="zh-CN"/>
              </w:rPr>
              <w:t>储存在危废间内，</w:t>
            </w:r>
            <w:r>
              <w:rPr>
                <w:rFonts w:hint="eastAsia" w:cs="Times New Roman"/>
                <w:color w:val="auto"/>
                <w:lang w:val="en-US" w:eastAsia="zh-CN"/>
              </w:rPr>
              <w:t>使用专用容器承装</w:t>
            </w:r>
            <w:r>
              <w:rPr>
                <w:rFonts w:hint="eastAsia" w:ascii="Times New Roman" w:hAnsi="Times New Roman" w:eastAsia="宋体" w:cs="Times New Roman"/>
                <w:color w:val="auto"/>
                <w:lang w:val="en-US" w:eastAsia="zh-CN"/>
              </w:rPr>
              <w:t>，下设铁质托盘</w:t>
            </w:r>
            <w:r>
              <w:rPr>
                <w:rFonts w:hint="eastAsia" w:cs="Times New Roman"/>
                <w:color w:val="auto"/>
                <w:lang w:val="en-US" w:eastAsia="zh-CN"/>
              </w:rPr>
              <w:t>；危废间</w:t>
            </w:r>
            <w:r>
              <w:rPr>
                <w:rFonts w:hint="eastAsia" w:ascii="Times New Roman" w:hAnsi="Times New Roman" w:eastAsia="宋体" w:cs="Times New Roman"/>
                <w:color w:val="auto"/>
                <w:lang w:val="en-US" w:eastAsia="zh-CN"/>
              </w:rPr>
              <w:t>地面及裙角进行硬化、防腐防渗处理；使用润滑油等油类物质的设备，定期巡检，避免跑冒滴漏现场发生，油类使用区域下方设铁质托盘，车间地面进行硬化、防腐防渗处理。</w:t>
            </w:r>
          </w:p>
          <w:p w14:paraId="3392B0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综上所述，本项目无</w:t>
            </w:r>
            <w:r>
              <w:rPr>
                <w:rFonts w:hint="eastAsia" w:cs="Times New Roman"/>
                <w:color w:val="auto"/>
                <w:highlight w:val="none"/>
                <w:lang w:val="en-US" w:eastAsia="zh-CN"/>
              </w:rPr>
              <w:t>土壤</w:t>
            </w:r>
            <w:r>
              <w:rPr>
                <w:rFonts w:hint="eastAsia" w:ascii="Times New Roman" w:hAnsi="Times New Roman" w:eastAsia="宋体" w:cs="Times New Roman"/>
                <w:color w:val="auto"/>
                <w:highlight w:val="none"/>
                <w:lang w:val="en-US" w:eastAsia="zh-CN"/>
              </w:rPr>
              <w:t>环</w:t>
            </w:r>
            <w:r>
              <w:rPr>
                <w:rFonts w:hint="eastAsia" w:ascii="Times New Roman" w:hAnsi="Times New Roman" w:eastAsia="宋体" w:cs="Times New Roman"/>
                <w:color w:val="auto"/>
                <w:lang w:val="en-US" w:eastAsia="zh-CN"/>
              </w:rPr>
              <w:t>境污染途径，且无</w:t>
            </w:r>
            <w:r>
              <w:rPr>
                <w:rFonts w:hint="eastAsia" w:cs="Times New Roman"/>
                <w:color w:val="auto"/>
                <w:lang w:val="en-US" w:eastAsia="zh-CN"/>
              </w:rPr>
              <w:t>土壤</w:t>
            </w:r>
            <w:r>
              <w:rPr>
                <w:rFonts w:hint="eastAsia" w:ascii="Times New Roman" w:hAnsi="Times New Roman" w:eastAsia="宋体" w:cs="Times New Roman"/>
                <w:color w:val="auto"/>
                <w:lang w:val="en-US" w:eastAsia="zh-CN"/>
              </w:rPr>
              <w:t>环境保护目标，故不开展</w:t>
            </w:r>
            <w:r>
              <w:rPr>
                <w:rFonts w:hint="eastAsia" w:cs="Times New Roman"/>
                <w:color w:val="auto"/>
                <w:lang w:val="en-US" w:eastAsia="zh-CN"/>
              </w:rPr>
              <w:t>土壤</w:t>
            </w:r>
            <w:r>
              <w:rPr>
                <w:rFonts w:hint="eastAsia" w:ascii="Times New Roman" w:hAnsi="Times New Roman" w:eastAsia="宋体" w:cs="Times New Roman"/>
                <w:color w:val="auto"/>
                <w:lang w:val="en-US" w:eastAsia="zh-CN"/>
              </w:rPr>
              <w:t>环境质量现状调查</w:t>
            </w:r>
            <w:r>
              <w:rPr>
                <w:rFonts w:hint="eastAsia" w:cs="Times New Roman"/>
                <w:color w:val="auto"/>
                <w:lang w:val="en-US" w:eastAsia="zh-CN"/>
              </w:rPr>
              <w:t>。</w:t>
            </w:r>
          </w:p>
          <w:p w14:paraId="5C4D2D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09CE67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1E3235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57EB0A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041D62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2BE20B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3EF9CC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420451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4DF26D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42044D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60477C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46ECD5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0B6064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3BAD48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7695A3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7C2D26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6728E9A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05FB9A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0632BD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lang w:val="en-US" w:eastAsia="zh-CN"/>
              </w:rPr>
            </w:pPr>
          </w:p>
          <w:p w14:paraId="3FA4FE8D">
            <w:pPr>
              <w:keepNext w:val="0"/>
              <w:keepLines w:val="0"/>
              <w:pageBreakBefore w:val="0"/>
              <w:widowControl w:val="0"/>
              <w:kinsoku/>
              <w:wordWrap/>
              <w:overflowPunct/>
              <w:topLinePunct w:val="0"/>
              <w:autoSpaceDE/>
              <w:autoSpaceDN/>
              <w:bidi w:val="0"/>
              <w:adjustRightInd/>
              <w:snapToGrid/>
              <w:ind w:firstLine="482" w:firstLineChars="200"/>
              <w:textAlignment w:val="auto"/>
              <w:rPr>
                <w:b/>
                <w:bCs/>
                <w:color w:val="auto"/>
              </w:rPr>
            </w:pPr>
          </w:p>
          <w:p w14:paraId="1ECF7C27">
            <w:pPr>
              <w:bidi w:val="0"/>
              <w:rPr>
                <w:color w:val="auto"/>
              </w:rPr>
            </w:pPr>
          </w:p>
          <w:p w14:paraId="6758CC0E">
            <w:pPr>
              <w:bidi w:val="0"/>
              <w:rPr>
                <w:color w:val="auto"/>
              </w:rPr>
            </w:pPr>
          </w:p>
          <w:p w14:paraId="6A0B67AA">
            <w:pPr>
              <w:bidi w:val="0"/>
              <w:ind w:left="0" w:leftChars="0" w:firstLine="0" w:firstLineChars="0"/>
              <w:rPr>
                <w:color w:val="auto"/>
              </w:rPr>
            </w:pPr>
          </w:p>
        </w:tc>
      </w:tr>
      <w:tr w14:paraId="02D50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85" w:hRule="atLeast"/>
          <w:jc w:val="center"/>
        </w:trPr>
        <w:tc>
          <w:tcPr>
            <w:tcW w:w="800" w:type="dxa"/>
            <w:noWrap w:val="0"/>
            <w:vAlign w:val="center"/>
          </w:tcPr>
          <w:p w14:paraId="7543A5FA">
            <w:pPr>
              <w:pStyle w:val="27"/>
              <w:bidi w:val="0"/>
              <w:rPr>
                <w:rFonts w:hint="eastAsia"/>
                <w:color w:val="auto"/>
              </w:rPr>
            </w:pPr>
            <w:r>
              <w:rPr>
                <w:rFonts w:hint="eastAsia"/>
                <w:color w:val="auto"/>
              </w:rPr>
              <w:t>环境</w:t>
            </w:r>
          </w:p>
          <w:p w14:paraId="4B067545">
            <w:pPr>
              <w:pStyle w:val="27"/>
              <w:bidi w:val="0"/>
              <w:rPr>
                <w:rFonts w:hint="eastAsia"/>
                <w:color w:val="auto"/>
              </w:rPr>
            </w:pPr>
            <w:r>
              <w:rPr>
                <w:rFonts w:hint="eastAsia"/>
                <w:color w:val="auto"/>
              </w:rPr>
              <w:t>保护</w:t>
            </w:r>
          </w:p>
          <w:p w14:paraId="2B6E8D41">
            <w:pPr>
              <w:pStyle w:val="27"/>
              <w:bidi w:val="0"/>
              <w:rPr>
                <w:rFonts w:hint="eastAsia"/>
                <w:color w:val="auto"/>
              </w:rPr>
            </w:pPr>
            <w:r>
              <w:rPr>
                <w:rFonts w:hint="eastAsia"/>
                <w:color w:val="auto"/>
              </w:rPr>
              <w:t>目标</w:t>
            </w:r>
          </w:p>
        </w:tc>
        <w:tc>
          <w:tcPr>
            <w:tcW w:w="8510" w:type="dxa"/>
            <w:noWrap w:val="0"/>
            <w:vAlign w:val="center"/>
          </w:tcPr>
          <w:p w14:paraId="4FFD33F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highlight w:val="none"/>
                <w:lang w:val="en-US" w:eastAsia="zh-CN"/>
              </w:rPr>
            </w:pPr>
            <w:r>
              <w:rPr>
                <w:rFonts w:hint="eastAsia" w:ascii="Times New Roman" w:hAnsi="Times New Roman" w:eastAsia="宋体"/>
                <w:b w:val="0"/>
                <w:bCs w:val="0"/>
                <w:color w:val="auto"/>
                <w:sz w:val="24"/>
                <w:szCs w:val="24"/>
                <w:highlight w:val="none"/>
                <w:lang w:val="en-US" w:eastAsia="zh-CN"/>
              </w:rPr>
              <w:t>大气环境：</w:t>
            </w:r>
            <w:r>
              <w:rPr>
                <w:rFonts w:hint="default"/>
                <w:color w:val="auto"/>
                <w:sz w:val="24"/>
                <w:szCs w:val="24"/>
                <w:highlight w:val="none"/>
                <w:lang w:val="en-US" w:eastAsia="zh-CN"/>
              </w:rPr>
              <w:t>项目</w:t>
            </w:r>
            <w:r>
              <w:rPr>
                <w:rFonts w:hint="eastAsia"/>
                <w:color w:val="auto"/>
                <w:sz w:val="24"/>
                <w:szCs w:val="24"/>
                <w:highlight w:val="none"/>
                <w:lang w:val="en-US" w:eastAsia="zh-CN"/>
              </w:rPr>
              <w:t>厂界外</w:t>
            </w:r>
            <w:r>
              <w:rPr>
                <w:rFonts w:hint="default"/>
                <w:color w:val="auto"/>
                <w:sz w:val="24"/>
                <w:szCs w:val="24"/>
                <w:highlight w:val="none"/>
                <w:lang w:val="en-US" w:eastAsia="zh-CN"/>
              </w:rPr>
              <w:t>500m范围内</w:t>
            </w:r>
            <w:r>
              <w:rPr>
                <w:rFonts w:hint="eastAsia"/>
                <w:color w:val="auto"/>
                <w:sz w:val="24"/>
                <w:szCs w:val="24"/>
                <w:highlight w:val="none"/>
                <w:lang w:val="en-US" w:eastAsia="zh-CN"/>
              </w:rPr>
              <w:t>的</w:t>
            </w:r>
            <w:r>
              <w:rPr>
                <w:rFonts w:hint="default"/>
                <w:color w:val="auto"/>
                <w:sz w:val="24"/>
                <w:szCs w:val="24"/>
                <w:highlight w:val="none"/>
                <w:lang w:val="en-US" w:eastAsia="zh-CN"/>
              </w:rPr>
              <w:t>环境敏感点</w:t>
            </w:r>
            <w:r>
              <w:rPr>
                <w:rFonts w:hint="eastAsia"/>
                <w:color w:val="auto"/>
                <w:sz w:val="24"/>
                <w:szCs w:val="24"/>
                <w:highlight w:val="none"/>
                <w:lang w:val="en-US" w:eastAsia="zh-CN"/>
              </w:rPr>
              <w:t>为厂区南侧103米的梁各庄村和东侧317米的王官庄村；</w:t>
            </w:r>
          </w:p>
          <w:p w14:paraId="1749484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highlight w:val="none"/>
                <w:lang w:val="en-US" w:eastAsia="zh-CN"/>
              </w:rPr>
            </w:pPr>
            <w:r>
              <w:rPr>
                <w:rFonts w:hint="eastAsia" w:ascii="Times New Roman" w:hAnsi="Times New Roman" w:eastAsia="宋体"/>
                <w:b w:val="0"/>
                <w:bCs w:val="0"/>
                <w:color w:val="auto"/>
                <w:sz w:val="24"/>
                <w:szCs w:val="24"/>
                <w:highlight w:val="none"/>
                <w:lang w:val="en-US" w:eastAsia="zh-CN"/>
              </w:rPr>
              <w:t>声环境：厂界外50m范围内</w:t>
            </w:r>
            <w:r>
              <w:rPr>
                <w:rFonts w:hint="eastAsia"/>
                <w:b w:val="0"/>
                <w:bCs w:val="0"/>
                <w:color w:val="auto"/>
                <w:sz w:val="24"/>
                <w:szCs w:val="24"/>
                <w:highlight w:val="none"/>
                <w:lang w:val="en-US" w:eastAsia="zh-CN"/>
              </w:rPr>
              <w:t>无</w:t>
            </w:r>
            <w:r>
              <w:rPr>
                <w:rFonts w:hint="eastAsia" w:ascii="Times New Roman" w:hAnsi="Times New Roman" w:eastAsia="宋体"/>
                <w:b w:val="0"/>
                <w:bCs w:val="0"/>
                <w:color w:val="auto"/>
                <w:sz w:val="24"/>
                <w:szCs w:val="24"/>
                <w:highlight w:val="none"/>
                <w:lang w:val="en-US" w:eastAsia="zh-CN"/>
              </w:rPr>
              <w:t>声环境保护目标；</w:t>
            </w:r>
          </w:p>
          <w:p w14:paraId="3E58549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lang w:val="en-US" w:eastAsia="zh-CN"/>
              </w:rPr>
            </w:pPr>
            <w:r>
              <w:rPr>
                <w:rFonts w:hint="eastAsia" w:ascii="Times New Roman" w:hAnsi="Times New Roman" w:eastAsia="宋体"/>
                <w:b w:val="0"/>
                <w:bCs w:val="0"/>
                <w:color w:val="auto"/>
                <w:sz w:val="24"/>
                <w:szCs w:val="24"/>
                <w:lang w:val="en-US" w:eastAsia="zh-CN"/>
              </w:rPr>
              <w:t>地下水环境：无地下水环境</w:t>
            </w:r>
            <w:r>
              <w:rPr>
                <w:rFonts w:hint="eastAsia" w:ascii="Times New Roman" w:hAnsi="Times New Roman" w:eastAsia="宋体"/>
                <w:b w:val="0"/>
                <w:bCs w:val="0"/>
                <w:color w:val="auto"/>
                <w:sz w:val="24"/>
                <w:szCs w:val="24"/>
                <w:highlight w:val="none"/>
                <w:lang w:val="en-US" w:eastAsia="zh-CN"/>
              </w:rPr>
              <w:t>保护目标</w:t>
            </w:r>
            <w:r>
              <w:rPr>
                <w:rFonts w:hint="eastAsia" w:ascii="Times New Roman" w:hAnsi="Times New Roman" w:eastAsia="宋体"/>
                <w:b w:val="0"/>
                <w:bCs w:val="0"/>
                <w:color w:val="auto"/>
                <w:sz w:val="24"/>
                <w:szCs w:val="24"/>
                <w:lang w:val="en-US" w:eastAsia="zh-CN"/>
              </w:rPr>
              <w:t>；</w:t>
            </w:r>
          </w:p>
          <w:p w14:paraId="1ACF9D56">
            <w:pPr>
              <w:keepNext w:val="0"/>
              <w:keepLines w:val="0"/>
              <w:pageBreakBefore w:val="0"/>
              <w:widowControl w:val="0"/>
              <w:kinsoku/>
              <w:wordWrap/>
              <w:overflowPunct/>
              <w:topLinePunct/>
              <w:autoSpaceDE/>
              <w:autoSpaceDN/>
              <w:bidi w:val="0"/>
              <w:adjustRightInd w:val="0"/>
              <w:snapToGrid/>
              <w:spacing w:before="0" w:line="480" w:lineRule="exact"/>
              <w:ind w:firstLine="480" w:firstLineChars="200"/>
              <w:jc w:val="left"/>
              <w:textAlignment w:val="auto"/>
              <w:rPr>
                <w:rFonts w:hint="eastAsia"/>
                <w:color w:val="auto"/>
                <w:sz w:val="24"/>
                <w:szCs w:val="24"/>
                <w:lang w:val="en-US" w:eastAsia="zh-CN"/>
              </w:rPr>
            </w:pPr>
            <w:r>
              <w:rPr>
                <w:rFonts w:hint="eastAsia" w:ascii="Times New Roman" w:hAnsi="Times New Roman" w:eastAsia="宋体"/>
                <w:b w:val="0"/>
                <w:bCs w:val="0"/>
                <w:color w:val="auto"/>
                <w:sz w:val="24"/>
                <w:szCs w:val="24"/>
                <w:lang w:val="en-US" w:eastAsia="zh-CN"/>
              </w:rPr>
              <w:t>生态环境：本项目用地范围内无生态环境保护目标</w:t>
            </w:r>
            <w:r>
              <w:rPr>
                <w:rFonts w:hint="eastAsia"/>
                <w:color w:val="auto"/>
                <w:sz w:val="24"/>
                <w:szCs w:val="24"/>
                <w:lang w:val="en-US" w:eastAsia="zh-CN"/>
              </w:rPr>
              <w:t>。</w:t>
            </w:r>
          </w:p>
          <w:p w14:paraId="758B4513">
            <w:pPr>
              <w:keepNext w:val="0"/>
              <w:keepLines w:val="0"/>
              <w:pageBreakBefore w:val="0"/>
              <w:widowControl w:val="0"/>
              <w:kinsoku/>
              <w:wordWrap/>
              <w:overflowPunct/>
              <w:topLinePunct/>
              <w:autoSpaceDE/>
              <w:autoSpaceDN/>
              <w:bidi w:val="0"/>
              <w:adjustRightInd w:val="0"/>
              <w:snapToGrid/>
              <w:spacing w:before="0" w:line="480" w:lineRule="exact"/>
              <w:ind w:firstLine="480" w:firstLineChars="200"/>
              <w:jc w:val="left"/>
              <w:textAlignment w:val="auto"/>
              <w:rPr>
                <w:rFonts w:hint="default"/>
              </w:rPr>
            </w:pPr>
            <w:r>
              <w:rPr>
                <w:rFonts w:hint="eastAsia"/>
                <w:lang w:val="en-US" w:eastAsia="zh-CN"/>
              </w:rPr>
              <w:t>本项目</w:t>
            </w:r>
            <w:r>
              <w:rPr>
                <w:rFonts w:hint="default"/>
              </w:rPr>
              <w:t>环境保护目标见下表。</w:t>
            </w:r>
          </w:p>
          <w:p w14:paraId="09B1A907">
            <w:pPr>
              <w:autoSpaceDE w:val="0"/>
              <w:autoSpaceDN w:val="0"/>
              <w:adjustRightInd w:val="0"/>
              <w:spacing w:before="0" w:line="440" w:lineRule="exact"/>
              <w:jc w:val="center"/>
              <w:rPr>
                <w:rFonts w:hint="default" w:ascii="Times New Roman" w:hAnsi="Times New Roman" w:eastAsia="宋体" w:cs="Times New Roman"/>
                <w:b/>
                <w:bCs/>
                <w:color w:val="000000"/>
                <w:sz w:val="21"/>
                <w:szCs w:val="21"/>
                <w:highlight w:val="none"/>
                <w:lang w:eastAsia="zh-CN"/>
              </w:rPr>
            </w:pPr>
            <w:r>
              <w:rPr>
                <w:rFonts w:hint="default" w:ascii="Times New Roman" w:hAnsi="Times New Roman" w:eastAsia="宋体" w:cs="Times New Roman"/>
                <w:b/>
                <w:bCs/>
                <w:color w:val="000000"/>
                <w:sz w:val="21"/>
                <w:szCs w:val="21"/>
                <w:highlight w:val="none"/>
                <w:lang w:eastAsia="zh-CN"/>
              </w:rPr>
              <w:t>表</w:t>
            </w:r>
            <w:r>
              <w:rPr>
                <w:rFonts w:hint="eastAsia" w:cs="Times New Roman"/>
                <w:b/>
                <w:bCs/>
                <w:color w:val="000000"/>
                <w:sz w:val="21"/>
                <w:szCs w:val="21"/>
                <w:highlight w:val="none"/>
                <w:lang w:val="en-US" w:eastAsia="zh-CN"/>
              </w:rPr>
              <w:t>20</w:t>
            </w:r>
            <w:r>
              <w:rPr>
                <w:rFonts w:hint="default" w:ascii="Times New Roman" w:hAnsi="Times New Roman" w:eastAsia="宋体" w:cs="Times New Roman"/>
                <w:b/>
                <w:bCs/>
                <w:color w:val="000000"/>
                <w:sz w:val="21"/>
                <w:szCs w:val="21"/>
                <w:highlight w:val="none"/>
                <w:lang w:eastAsia="zh-CN"/>
              </w:rPr>
              <w:t xml:space="preserve">  环境保护目标及保护等级一览表</w:t>
            </w:r>
          </w:p>
          <w:tbl>
            <w:tblPr>
              <w:tblStyle w:val="20"/>
              <w:tblW w:w="7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60"/>
              <w:gridCol w:w="675"/>
              <w:gridCol w:w="1311"/>
              <w:gridCol w:w="1065"/>
              <w:gridCol w:w="1589"/>
              <w:gridCol w:w="856"/>
              <w:gridCol w:w="895"/>
            </w:tblGrid>
            <w:tr w14:paraId="03117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Merge w:val="restart"/>
                  <w:tcBorders>
                    <w:tl2br w:val="nil"/>
                    <w:tr2bl w:val="nil"/>
                  </w:tcBorders>
                  <w:noWrap w:val="0"/>
                  <w:vAlign w:val="center"/>
                </w:tcPr>
                <w:p w14:paraId="162027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类别</w:t>
                  </w:r>
                </w:p>
              </w:tc>
              <w:tc>
                <w:tcPr>
                  <w:tcW w:w="1335" w:type="dxa"/>
                  <w:gridSpan w:val="2"/>
                  <w:tcBorders>
                    <w:tl2br w:val="nil"/>
                    <w:tr2bl w:val="nil"/>
                  </w:tcBorders>
                  <w:noWrap w:val="0"/>
                  <w:vAlign w:val="center"/>
                </w:tcPr>
                <w:p w14:paraId="2D89E6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坐标</w:t>
                  </w:r>
                  <w:r>
                    <w:rPr>
                      <w:rFonts w:hint="eastAsia" w:cs="Times New Roman"/>
                      <w:sz w:val="21"/>
                      <w:szCs w:val="21"/>
                      <w:lang w:eastAsia="zh-CN"/>
                    </w:rPr>
                    <w:t>（</w:t>
                  </w:r>
                  <w:r>
                    <w:rPr>
                      <w:rFonts w:hint="default" w:ascii="Times New Roman" w:hAnsi="Times New Roman" w:eastAsia="宋体" w:cs="Times New Roman"/>
                      <w:sz w:val="21"/>
                      <w:szCs w:val="21"/>
                    </w:rPr>
                    <w:t>m</w:t>
                  </w:r>
                  <w:r>
                    <w:rPr>
                      <w:rFonts w:hint="eastAsia" w:cs="Times New Roman"/>
                      <w:sz w:val="21"/>
                      <w:szCs w:val="21"/>
                      <w:lang w:eastAsia="zh-CN"/>
                    </w:rPr>
                    <w:t>）</w:t>
                  </w:r>
                </w:p>
              </w:tc>
              <w:tc>
                <w:tcPr>
                  <w:tcW w:w="1311" w:type="dxa"/>
                  <w:vMerge w:val="restart"/>
                  <w:tcBorders>
                    <w:tl2br w:val="nil"/>
                    <w:tr2bl w:val="nil"/>
                  </w:tcBorders>
                  <w:noWrap w:val="0"/>
                  <w:vAlign w:val="center"/>
                </w:tcPr>
                <w:p w14:paraId="0F834B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保护对象</w:t>
                  </w:r>
                </w:p>
              </w:tc>
              <w:tc>
                <w:tcPr>
                  <w:tcW w:w="1065" w:type="dxa"/>
                  <w:vMerge w:val="restart"/>
                  <w:tcBorders>
                    <w:tl2br w:val="nil"/>
                    <w:tr2bl w:val="nil"/>
                  </w:tcBorders>
                  <w:noWrap w:val="0"/>
                  <w:vAlign w:val="center"/>
                </w:tcPr>
                <w:p w14:paraId="619F86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保护内容</w:t>
                  </w:r>
                </w:p>
              </w:tc>
              <w:tc>
                <w:tcPr>
                  <w:tcW w:w="1589" w:type="dxa"/>
                  <w:vMerge w:val="restart"/>
                  <w:tcBorders>
                    <w:tl2br w:val="nil"/>
                    <w:tr2bl w:val="nil"/>
                  </w:tcBorders>
                  <w:noWrap w:val="0"/>
                  <w:vAlign w:val="center"/>
                </w:tcPr>
                <w:p w14:paraId="5F681F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环境功能区</w:t>
                  </w:r>
                </w:p>
              </w:tc>
              <w:tc>
                <w:tcPr>
                  <w:tcW w:w="856" w:type="dxa"/>
                  <w:vMerge w:val="restart"/>
                  <w:tcBorders>
                    <w:tl2br w:val="nil"/>
                    <w:tr2bl w:val="nil"/>
                  </w:tcBorders>
                  <w:noWrap w:val="0"/>
                  <w:vAlign w:val="center"/>
                </w:tcPr>
                <w:p w14:paraId="715007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相对厂址方位</w:t>
                  </w:r>
                </w:p>
              </w:tc>
              <w:tc>
                <w:tcPr>
                  <w:tcW w:w="895" w:type="dxa"/>
                  <w:vMerge w:val="restart"/>
                  <w:tcBorders>
                    <w:tl2br w:val="nil"/>
                    <w:tr2bl w:val="nil"/>
                  </w:tcBorders>
                  <w:noWrap w:val="0"/>
                  <w:vAlign w:val="center"/>
                </w:tcPr>
                <w:p w14:paraId="35C5F3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相对厂界距离</w:t>
                  </w:r>
                  <w:r>
                    <w:rPr>
                      <w:rFonts w:hint="eastAsia" w:cs="Times New Roman"/>
                      <w:sz w:val="21"/>
                      <w:szCs w:val="21"/>
                      <w:lang w:eastAsia="zh-CN"/>
                    </w:rPr>
                    <w:t>（</w:t>
                  </w:r>
                  <w:r>
                    <w:rPr>
                      <w:rFonts w:hint="default" w:ascii="Times New Roman" w:hAnsi="Times New Roman" w:eastAsia="宋体" w:cs="Times New Roman"/>
                      <w:sz w:val="21"/>
                      <w:szCs w:val="21"/>
                    </w:rPr>
                    <w:t>m</w:t>
                  </w:r>
                  <w:r>
                    <w:rPr>
                      <w:rFonts w:hint="eastAsia" w:cs="Times New Roman"/>
                      <w:sz w:val="21"/>
                      <w:szCs w:val="21"/>
                      <w:lang w:eastAsia="zh-CN"/>
                    </w:rPr>
                    <w:t>）</w:t>
                  </w:r>
                </w:p>
              </w:tc>
            </w:tr>
            <w:tr w14:paraId="62614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Merge w:val="continue"/>
                  <w:tcBorders>
                    <w:tl2br w:val="nil"/>
                    <w:tr2bl w:val="nil"/>
                  </w:tcBorders>
                  <w:noWrap w:val="0"/>
                  <w:vAlign w:val="center"/>
                </w:tcPr>
                <w:p w14:paraId="1D52B6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sz w:val="21"/>
                      <w:szCs w:val="21"/>
                    </w:rPr>
                  </w:pPr>
                </w:p>
              </w:tc>
              <w:tc>
                <w:tcPr>
                  <w:tcW w:w="660" w:type="dxa"/>
                  <w:tcBorders>
                    <w:tl2br w:val="nil"/>
                    <w:tr2bl w:val="nil"/>
                  </w:tcBorders>
                  <w:noWrap w:val="0"/>
                  <w:vAlign w:val="center"/>
                </w:tcPr>
                <w:p w14:paraId="319698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X</w:t>
                  </w:r>
                </w:p>
              </w:tc>
              <w:tc>
                <w:tcPr>
                  <w:tcW w:w="675" w:type="dxa"/>
                  <w:tcBorders>
                    <w:tl2br w:val="nil"/>
                    <w:tr2bl w:val="nil"/>
                  </w:tcBorders>
                  <w:noWrap w:val="0"/>
                  <w:vAlign w:val="center"/>
                </w:tcPr>
                <w:p w14:paraId="3CB409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Y</w:t>
                  </w:r>
                </w:p>
              </w:tc>
              <w:tc>
                <w:tcPr>
                  <w:tcW w:w="1311" w:type="dxa"/>
                  <w:vMerge w:val="continue"/>
                  <w:tcBorders>
                    <w:tl2br w:val="nil"/>
                    <w:tr2bl w:val="nil"/>
                  </w:tcBorders>
                  <w:noWrap w:val="0"/>
                  <w:vAlign w:val="center"/>
                </w:tcPr>
                <w:p w14:paraId="72BE94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065" w:type="dxa"/>
                  <w:vMerge w:val="continue"/>
                  <w:tcBorders>
                    <w:tl2br w:val="nil"/>
                    <w:tr2bl w:val="nil"/>
                  </w:tcBorders>
                  <w:noWrap w:val="0"/>
                  <w:vAlign w:val="center"/>
                </w:tcPr>
                <w:p w14:paraId="7E3736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589" w:type="dxa"/>
                  <w:vMerge w:val="continue"/>
                  <w:tcBorders>
                    <w:tl2br w:val="nil"/>
                    <w:tr2bl w:val="nil"/>
                  </w:tcBorders>
                  <w:noWrap w:val="0"/>
                  <w:vAlign w:val="center"/>
                </w:tcPr>
                <w:p w14:paraId="594378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856" w:type="dxa"/>
                  <w:vMerge w:val="continue"/>
                  <w:tcBorders>
                    <w:tl2br w:val="nil"/>
                    <w:tr2bl w:val="nil"/>
                  </w:tcBorders>
                  <w:noWrap w:val="0"/>
                  <w:vAlign w:val="center"/>
                </w:tcPr>
                <w:p w14:paraId="306C80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895" w:type="dxa"/>
                  <w:vMerge w:val="continue"/>
                  <w:tcBorders>
                    <w:tl2br w:val="nil"/>
                    <w:tr2bl w:val="nil"/>
                  </w:tcBorders>
                  <w:noWrap w:val="0"/>
                  <w:vAlign w:val="center"/>
                </w:tcPr>
                <w:p w14:paraId="468E19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16812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Merge w:val="restart"/>
                  <w:tcBorders>
                    <w:tl2br w:val="nil"/>
                    <w:tr2bl w:val="nil"/>
                  </w:tcBorders>
                  <w:noWrap w:val="0"/>
                  <w:vAlign w:val="center"/>
                </w:tcPr>
                <w:p w14:paraId="4E05CD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环境空气</w:t>
                  </w:r>
                </w:p>
              </w:tc>
              <w:tc>
                <w:tcPr>
                  <w:tcW w:w="660" w:type="dxa"/>
                  <w:tcBorders>
                    <w:tl2br w:val="nil"/>
                    <w:tr2bl w:val="nil"/>
                  </w:tcBorders>
                  <w:noWrap w:val="0"/>
                  <w:vAlign w:val="center"/>
                </w:tcPr>
                <w:p w14:paraId="3C502C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675" w:type="dxa"/>
                  <w:tcBorders>
                    <w:tl2br w:val="nil"/>
                    <w:tr2bl w:val="nil"/>
                  </w:tcBorders>
                  <w:noWrap w:val="0"/>
                  <w:vAlign w:val="center"/>
                </w:tcPr>
                <w:p w14:paraId="419AC9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-103</w:t>
                  </w:r>
                </w:p>
              </w:tc>
              <w:tc>
                <w:tcPr>
                  <w:tcW w:w="1311" w:type="dxa"/>
                  <w:tcBorders>
                    <w:tl2br w:val="nil"/>
                    <w:tr2bl w:val="nil"/>
                  </w:tcBorders>
                  <w:noWrap w:val="0"/>
                  <w:vAlign w:val="center"/>
                </w:tcPr>
                <w:p w14:paraId="36202B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olor w:val="auto"/>
                      <w:sz w:val="21"/>
                      <w:szCs w:val="21"/>
                      <w:highlight w:val="none"/>
                      <w:lang w:val="en-US" w:eastAsia="zh-CN"/>
                    </w:rPr>
                    <w:t>梁各庄村</w:t>
                  </w:r>
                </w:p>
              </w:tc>
              <w:tc>
                <w:tcPr>
                  <w:tcW w:w="1065" w:type="dxa"/>
                  <w:vMerge w:val="restart"/>
                  <w:tcBorders>
                    <w:tl2br w:val="nil"/>
                    <w:tr2bl w:val="nil"/>
                  </w:tcBorders>
                  <w:noWrap w:val="0"/>
                  <w:vAlign w:val="center"/>
                </w:tcPr>
                <w:p w14:paraId="76A87D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居民</w:t>
                  </w:r>
                </w:p>
              </w:tc>
              <w:tc>
                <w:tcPr>
                  <w:tcW w:w="1589" w:type="dxa"/>
                  <w:vMerge w:val="restart"/>
                  <w:tcBorders>
                    <w:tl2br w:val="nil"/>
                    <w:tr2bl w:val="nil"/>
                  </w:tcBorders>
                  <w:noWrap w:val="0"/>
                  <w:vAlign w:val="center"/>
                </w:tcPr>
                <w:p w14:paraId="4DEE64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《环境空气质量标准》（GB3095-2012）二级标准</w:t>
                  </w:r>
                  <w:r>
                    <w:rPr>
                      <w:rFonts w:hint="default" w:ascii="Times New Roman" w:hAnsi="Times New Roman" w:eastAsia="宋体" w:cs="Times New Roman"/>
                      <w:color w:val="auto"/>
                      <w:sz w:val="21"/>
                      <w:szCs w:val="21"/>
                      <w:lang w:eastAsia="zh-CN"/>
                    </w:rPr>
                    <w:t>及修改单</w:t>
                  </w:r>
                </w:p>
              </w:tc>
              <w:tc>
                <w:tcPr>
                  <w:tcW w:w="856" w:type="dxa"/>
                  <w:tcBorders>
                    <w:tl2br w:val="nil"/>
                    <w:tr2bl w:val="nil"/>
                  </w:tcBorders>
                  <w:noWrap w:val="0"/>
                  <w:vAlign w:val="center"/>
                </w:tcPr>
                <w:p w14:paraId="5C14E5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S</w:t>
                  </w:r>
                </w:p>
              </w:tc>
              <w:tc>
                <w:tcPr>
                  <w:tcW w:w="895" w:type="dxa"/>
                  <w:tcBorders>
                    <w:tl2br w:val="nil"/>
                    <w:tr2bl w:val="nil"/>
                  </w:tcBorders>
                  <w:noWrap w:val="0"/>
                  <w:vAlign w:val="center"/>
                </w:tcPr>
                <w:p w14:paraId="3998D5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103</w:t>
                  </w:r>
                </w:p>
              </w:tc>
            </w:tr>
            <w:tr w14:paraId="7D10C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6" w:type="dxa"/>
                  <w:vMerge w:val="continue"/>
                  <w:tcBorders>
                    <w:tl2br w:val="nil"/>
                    <w:tr2bl w:val="nil"/>
                  </w:tcBorders>
                  <w:noWrap w:val="0"/>
                  <w:vAlign w:val="center"/>
                </w:tcPr>
                <w:p w14:paraId="21A651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1"/>
                      <w:szCs w:val="21"/>
                      <w:lang w:val="en-US" w:eastAsia="zh-CN"/>
                    </w:rPr>
                  </w:pPr>
                </w:p>
              </w:tc>
              <w:tc>
                <w:tcPr>
                  <w:tcW w:w="660" w:type="dxa"/>
                  <w:tcBorders>
                    <w:tl2br w:val="nil"/>
                    <w:tr2bl w:val="nil"/>
                  </w:tcBorders>
                  <w:noWrap w:val="0"/>
                  <w:vAlign w:val="center"/>
                </w:tcPr>
                <w:p w14:paraId="6AAE9B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317</w:t>
                  </w:r>
                </w:p>
              </w:tc>
              <w:tc>
                <w:tcPr>
                  <w:tcW w:w="675" w:type="dxa"/>
                  <w:tcBorders>
                    <w:tl2br w:val="nil"/>
                    <w:tr2bl w:val="nil"/>
                  </w:tcBorders>
                  <w:noWrap w:val="0"/>
                  <w:vAlign w:val="center"/>
                </w:tcPr>
                <w:p w14:paraId="241257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1311" w:type="dxa"/>
                  <w:tcBorders>
                    <w:tl2br w:val="nil"/>
                    <w:tr2bl w:val="nil"/>
                  </w:tcBorders>
                  <w:noWrap w:val="0"/>
                  <w:vAlign w:val="center"/>
                </w:tcPr>
                <w:p w14:paraId="047181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王官庄村</w:t>
                  </w:r>
                </w:p>
              </w:tc>
              <w:tc>
                <w:tcPr>
                  <w:tcW w:w="1065" w:type="dxa"/>
                  <w:vMerge w:val="continue"/>
                  <w:tcBorders>
                    <w:tl2br w:val="nil"/>
                    <w:tr2bl w:val="nil"/>
                  </w:tcBorders>
                  <w:noWrap w:val="0"/>
                  <w:vAlign w:val="center"/>
                </w:tcPr>
                <w:p w14:paraId="03808C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1"/>
                      <w:szCs w:val="21"/>
                      <w:lang w:val="en-US" w:eastAsia="zh-CN"/>
                    </w:rPr>
                  </w:pPr>
                </w:p>
              </w:tc>
              <w:tc>
                <w:tcPr>
                  <w:tcW w:w="1589" w:type="dxa"/>
                  <w:vMerge w:val="continue"/>
                  <w:tcBorders>
                    <w:tl2br w:val="nil"/>
                    <w:tr2bl w:val="nil"/>
                  </w:tcBorders>
                  <w:noWrap w:val="0"/>
                  <w:vAlign w:val="center"/>
                </w:tcPr>
                <w:p w14:paraId="50C394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856" w:type="dxa"/>
                  <w:tcBorders>
                    <w:tl2br w:val="nil"/>
                    <w:tr2bl w:val="nil"/>
                  </w:tcBorders>
                  <w:noWrap w:val="0"/>
                  <w:vAlign w:val="center"/>
                </w:tcPr>
                <w:p w14:paraId="67F795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E</w:t>
                  </w:r>
                </w:p>
              </w:tc>
              <w:tc>
                <w:tcPr>
                  <w:tcW w:w="895" w:type="dxa"/>
                  <w:tcBorders>
                    <w:tl2br w:val="nil"/>
                    <w:tr2bl w:val="nil"/>
                  </w:tcBorders>
                  <w:noWrap w:val="0"/>
                  <w:vAlign w:val="center"/>
                </w:tcPr>
                <w:p w14:paraId="7A3E57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317</w:t>
                  </w:r>
                </w:p>
              </w:tc>
            </w:tr>
          </w:tbl>
          <w:p w14:paraId="243F5547">
            <w:pPr>
              <w:bidi w:val="0"/>
              <w:ind w:left="0" w:leftChars="0" w:firstLine="0" w:firstLineChars="0"/>
              <w:rPr>
                <w:rFonts w:hint="default"/>
                <w:sz w:val="21"/>
                <w:szCs w:val="21"/>
              </w:rPr>
            </w:pPr>
            <w:r>
              <w:rPr>
                <w:rFonts w:hint="default"/>
                <w:color w:val="auto"/>
                <w:sz w:val="21"/>
                <w:szCs w:val="21"/>
              </w:rPr>
              <w:t>注：本评价以厂址</w:t>
            </w:r>
            <w:r>
              <w:rPr>
                <w:rFonts w:hint="eastAsia"/>
                <w:color w:val="auto"/>
                <w:sz w:val="21"/>
                <w:szCs w:val="21"/>
              </w:rPr>
              <w:t>中心为</w:t>
            </w:r>
            <w:r>
              <w:rPr>
                <w:rFonts w:hint="default"/>
                <w:color w:val="auto"/>
                <w:sz w:val="21"/>
                <w:szCs w:val="21"/>
              </w:rPr>
              <w:t>坐标原点（0，0），东西向为X轴，南北</w:t>
            </w:r>
            <w:r>
              <w:rPr>
                <w:rFonts w:hint="default"/>
                <w:sz w:val="21"/>
                <w:szCs w:val="21"/>
              </w:rPr>
              <w:t>向为Y轴。</w:t>
            </w:r>
          </w:p>
        </w:tc>
      </w:tr>
      <w:tr w14:paraId="02BA6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50" w:hRule="atLeast"/>
          <w:jc w:val="center"/>
        </w:trPr>
        <w:tc>
          <w:tcPr>
            <w:tcW w:w="800" w:type="dxa"/>
            <w:noWrap w:val="0"/>
            <w:vAlign w:val="center"/>
          </w:tcPr>
          <w:p w14:paraId="204FC242">
            <w:pPr>
              <w:pStyle w:val="27"/>
              <w:bidi w:val="0"/>
              <w:rPr>
                <w:rFonts w:hint="eastAsia"/>
                <w:color w:val="auto"/>
              </w:rPr>
            </w:pPr>
            <w:r>
              <w:rPr>
                <w:rFonts w:hint="eastAsia"/>
                <w:color w:val="auto"/>
              </w:rPr>
              <w:t>污染</w:t>
            </w:r>
          </w:p>
          <w:p w14:paraId="62CA6272">
            <w:pPr>
              <w:pStyle w:val="27"/>
              <w:bidi w:val="0"/>
              <w:rPr>
                <w:rFonts w:hint="eastAsia"/>
                <w:color w:val="auto"/>
              </w:rPr>
            </w:pPr>
            <w:r>
              <w:rPr>
                <w:rFonts w:hint="eastAsia"/>
                <w:color w:val="auto"/>
              </w:rPr>
              <w:t>物排</w:t>
            </w:r>
          </w:p>
          <w:p w14:paraId="68906655">
            <w:pPr>
              <w:pStyle w:val="27"/>
              <w:bidi w:val="0"/>
              <w:rPr>
                <w:rFonts w:hint="eastAsia"/>
                <w:color w:val="auto"/>
              </w:rPr>
            </w:pPr>
            <w:r>
              <w:rPr>
                <w:rFonts w:hint="eastAsia"/>
                <w:color w:val="auto"/>
              </w:rPr>
              <w:t>放控</w:t>
            </w:r>
          </w:p>
          <w:p w14:paraId="5D831A29">
            <w:pPr>
              <w:pStyle w:val="27"/>
              <w:bidi w:val="0"/>
              <w:rPr>
                <w:rFonts w:hint="eastAsia"/>
                <w:color w:val="auto"/>
              </w:rPr>
            </w:pPr>
            <w:r>
              <w:rPr>
                <w:rFonts w:hint="eastAsia"/>
                <w:color w:val="auto"/>
              </w:rPr>
              <w:t>制标</w:t>
            </w:r>
          </w:p>
          <w:p w14:paraId="11EA5DAB">
            <w:pPr>
              <w:pStyle w:val="27"/>
              <w:bidi w:val="0"/>
              <w:ind w:firstLine="0" w:firstLineChars="0"/>
              <w:rPr>
                <w:rFonts w:hint="eastAsia"/>
                <w:color w:val="FF0000"/>
              </w:rPr>
            </w:pPr>
            <w:r>
              <w:rPr>
                <w:rFonts w:hint="eastAsia"/>
                <w:color w:val="auto"/>
              </w:rPr>
              <w:t>准</w:t>
            </w:r>
          </w:p>
        </w:tc>
        <w:tc>
          <w:tcPr>
            <w:tcW w:w="8510" w:type="dxa"/>
            <w:noWrap w:val="0"/>
            <w:vAlign w:val="center"/>
          </w:tcPr>
          <w:p w14:paraId="004D31F1">
            <w:pPr>
              <w:bidi w:val="0"/>
              <w:rPr>
                <w:rFonts w:hint="eastAsia"/>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lang w:val="en-US" w:eastAsia="zh-CN"/>
              </w:rPr>
              <w:t>喷漆烘干（烤漆）、塑粉固化烘干有机废气</w:t>
            </w:r>
            <w:r>
              <w:rPr>
                <w:rFonts w:hint="eastAsia"/>
                <w:color w:val="auto"/>
                <w:sz w:val="24"/>
                <w:szCs w:val="24"/>
              </w:rPr>
              <w:t>有组织排放执行</w:t>
            </w:r>
            <w:r>
              <w:rPr>
                <w:rFonts w:hint="eastAsia"/>
                <w:color w:val="auto"/>
              </w:rPr>
              <w:t>《工业企业挥发性有机物排放控制标准》（DB13/2322-2016）表1表面涂装业非甲烷总烃最高允许有组织排放浓度60</w:t>
            </w:r>
            <w:r>
              <w:rPr>
                <w:color w:val="auto"/>
              </w:rPr>
              <w:t>mg/m</w:t>
            </w:r>
            <w:r>
              <w:rPr>
                <w:color w:val="auto"/>
                <w:vertAlign w:val="superscript"/>
              </w:rPr>
              <w:t>3</w:t>
            </w:r>
            <w:r>
              <w:rPr>
                <w:rFonts w:hint="eastAsia"/>
                <w:color w:val="auto"/>
              </w:rPr>
              <w:t>，</w:t>
            </w:r>
            <w:r>
              <w:rPr>
                <w:rFonts w:hint="eastAsia"/>
                <w:color w:val="auto"/>
                <w:lang w:val="en-US" w:eastAsia="zh-CN"/>
              </w:rPr>
              <w:t>苯</w:t>
            </w:r>
            <w:r>
              <w:rPr>
                <w:rFonts w:hint="eastAsia"/>
                <w:color w:val="auto"/>
              </w:rPr>
              <w:t>最高允许有组织排放浓度</w:t>
            </w:r>
            <w:r>
              <w:rPr>
                <w:rFonts w:hint="eastAsia"/>
                <w:color w:val="auto"/>
                <w:lang w:val="en-US" w:eastAsia="zh-CN"/>
              </w:rPr>
              <w:t>1</w:t>
            </w:r>
            <w:r>
              <w:rPr>
                <w:color w:val="auto"/>
              </w:rPr>
              <w:t>mg/m</w:t>
            </w:r>
            <w:r>
              <w:rPr>
                <w:color w:val="auto"/>
                <w:vertAlign w:val="superscript"/>
              </w:rPr>
              <w:t>3</w:t>
            </w:r>
            <w:r>
              <w:rPr>
                <w:rFonts w:hint="eastAsia"/>
                <w:color w:val="auto"/>
              </w:rPr>
              <w:t>，甲苯与二甲苯合计</w:t>
            </w:r>
            <w:r>
              <w:rPr>
                <w:rFonts w:hint="eastAsia"/>
                <w:color w:val="auto"/>
                <w:lang w:val="en-US" w:eastAsia="zh-CN"/>
              </w:rPr>
              <w:t>最高允许排放浓度</w:t>
            </w:r>
            <w:r>
              <w:rPr>
                <w:rFonts w:hint="eastAsia"/>
                <w:color w:val="auto"/>
              </w:rPr>
              <w:t>20</w:t>
            </w:r>
            <w:r>
              <w:rPr>
                <w:color w:val="auto"/>
              </w:rPr>
              <w:t>mg/m</w:t>
            </w:r>
            <w:r>
              <w:rPr>
                <w:color w:val="auto"/>
                <w:vertAlign w:val="superscript"/>
              </w:rPr>
              <w:t>3</w:t>
            </w:r>
            <w:r>
              <w:rPr>
                <w:rFonts w:hint="eastAsia"/>
                <w:color w:val="auto"/>
              </w:rPr>
              <w:t>，</w:t>
            </w:r>
            <w:r>
              <w:rPr>
                <w:rFonts w:hint="eastAsia"/>
                <w:color w:val="auto"/>
                <w:lang w:val="en-US" w:eastAsia="zh-CN"/>
              </w:rPr>
              <w:t>非甲烷总烃</w:t>
            </w:r>
            <w:r>
              <w:rPr>
                <w:rFonts w:hint="eastAsia"/>
                <w:color w:val="auto"/>
              </w:rPr>
              <w:t>处理效率不低于70%，排气筒高度不低于15m</w:t>
            </w:r>
            <w:r>
              <w:rPr>
                <w:rFonts w:hint="eastAsia"/>
                <w:color w:val="auto"/>
                <w:lang w:eastAsia="zh-CN"/>
              </w:rPr>
              <w:t>，且高于周边</w:t>
            </w:r>
            <w:r>
              <w:rPr>
                <w:rFonts w:hint="eastAsia"/>
                <w:color w:val="auto"/>
                <w:lang w:val="en-US" w:eastAsia="zh-CN"/>
              </w:rPr>
              <w:t>200m范围内最高建筑物5m的要求</w:t>
            </w:r>
            <w:r>
              <w:rPr>
                <w:color w:val="auto"/>
                <w:sz w:val="24"/>
                <w:szCs w:val="24"/>
              </w:rPr>
              <w:t>。</w:t>
            </w:r>
          </w:p>
          <w:p w14:paraId="08ED3490">
            <w:pPr>
              <w:bidi w:val="0"/>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lang w:val="en-US" w:eastAsia="zh-CN"/>
              </w:rPr>
              <w:t>喷漆、喷塑颗粒物有组织排放执行</w:t>
            </w:r>
            <w:r>
              <w:rPr>
                <w:rFonts w:hint="eastAsia"/>
                <w:color w:val="auto"/>
                <w:sz w:val="24"/>
                <w:szCs w:val="24"/>
              </w:rPr>
              <w:t>《大气污染物综合排放标准》（</w:t>
            </w:r>
            <w:r>
              <w:rPr>
                <w:color w:val="auto"/>
                <w:sz w:val="24"/>
                <w:szCs w:val="24"/>
              </w:rPr>
              <w:t>GB16297-1996</w:t>
            </w:r>
            <w:r>
              <w:rPr>
                <w:rFonts w:hint="eastAsia"/>
                <w:color w:val="auto"/>
                <w:sz w:val="24"/>
                <w:szCs w:val="24"/>
              </w:rPr>
              <w:t>）表</w:t>
            </w:r>
            <w:r>
              <w:rPr>
                <w:color w:val="auto"/>
                <w:sz w:val="24"/>
                <w:szCs w:val="24"/>
              </w:rPr>
              <w:t>2</w:t>
            </w:r>
            <w:r>
              <w:rPr>
                <w:rFonts w:hint="eastAsia"/>
                <w:color w:val="auto"/>
                <w:sz w:val="24"/>
                <w:szCs w:val="24"/>
              </w:rPr>
              <w:t>中</w:t>
            </w:r>
            <w:r>
              <w:rPr>
                <w:color w:val="auto"/>
                <w:sz w:val="24"/>
                <w:szCs w:val="24"/>
              </w:rPr>
              <w:t>二级标准</w:t>
            </w:r>
            <w:r>
              <w:rPr>
                <w:rFonts w:hint="eastAsia"/>
                <w:color w:val="auto"/>
                <w:sz w:val="24"/>
                <w:szCs w:val="24"/>
              </w:rPr>
              <w:t>：颗粒物（染料尘）排放浓度限值</w:t>
            </w:r>
            <w:r>
              <w:rPr>
                <w:color w:val="auto"/>
                <w:sz w:val="24"/>
                <w:szCs w:val="24"/>
              </w:rPr>
              <w:t>18mg/m</w:t>
            </w:r>
            <w:r>
              <w:rPr>
                <w:color w:val="auto"/>
                <w:sz w:val="24"/>
                <w:szCs w:val="24"/>
                <w:vertAlign w:val="superscript"/>
              </w:rPr>
              <w:t>3</w:t>
            </w:r>
            <w:r>
              <w:rPr>
                <w:rFonts w:hint="eastAsia"/>
                <w:color w:val="auto"/>
              </w:rPr>
              <w:t>，排气筒高度不低于15m</w:t>
            </w:r>
            <w:r>
              <w:rPr>
                <w:rFonts w:hint="eastAsia"/>
                <w:color w:val="auto"/>
                <w:lang w:eastAsia="zh-CN"/>
              </w:rPr>
              <w:t>，且高于周边</w:t>
            </w:r>
            <w:r>
              <w:rPr>
                <w:rFonts w:hint="eastAsia"/>
                <w:color w:val="auto"/>
                <w:lang w:val="en-US" w:eastAsia="zh-CN"/>
              </w:rPr>
              <w:t>200m范围内最高建筑物5m</w:t>
            </w:r>
            <w:r>
              <w:rPr>
                <w:rFonts w:hint="eastAsia"/>
                <w:color w:val="auto"/>
                <w:sz w:val="24"/>
                <w:szCs w:val="24"/>
              </w:rPr>
              <w:t>的要求</w:t>
            </w:r>
            <w:r>
              <w:rPr>
                <w:rFonts w:hint="eastAsia"/>
                <w:color w:val="auto"/>
                <w:sz w:val="24"/>
                <w:szCs w:val="24"/>
                <w:lang w:eastAsia="zh-CN"/>
              </w:rPr>
              <w:t>。</w:t>
            </w:r>
          </w:p>
          <w:p w14:paraId="6369BE1D">
            <w:pPr>
              <w:bidi w:val="0"/>
              <w:rPr>
                <w:rFonts w:hint="eastAsia"/>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rFonts w:hint="eastAsia"/>
                <w:color w:val="auto"/>
                <w:sz w:val="24"/>
                <w:szCs w:val="24"/>
                <w:lang w:val="en-US" w:eastAsia="zh-CN"/>
              </w:rPr>
              <w:t>打磨、腻子打磨、打砂、抛丸颗粒物</w:t>
            </w:r>
            <w:r>
              <w:rPr>
                <w:rFonts w:hint="eastAsia"/>
                <w:color w:val="auto"/>
                <w:sz w:val="24"/>
                <w:szCs w:val="24"/>
                <w:lang w:eastAsia="zh-CN"/>
              </w:rPr>
              <w:t>有</w:t>
            </w:r>
            <w:r>
              <w:rPr>
                <w:rFonts w:hint="eastAsia"/>
                <w:color w:val="auto"/>
                <w:sz w:val="24"/>
                <w:szCs w:val="24"/>
              </w:rPr>
              <w:t>组织排放浓度</w:t>
            </w:r>
            <w:r>
              <w:rPr>
                <w:rFonts w:hint="eastAsia"/>
                <w:color w:val="auto"/>
                <w:sz w:val="24"/>
                <w:szCs w:val="24"/>
                <w:lang w:val="en-US" w:eastAsia="zh-CN"/>
              </w:rPr>
              <w:t>参照执行《钢铁工业大气污染物超低排放标准》（DB13/2169-2018）表1颗粒物排放限值：10mg/m</w:t>
            </w:r>
            <w:r>
              <w:rPr>
                <w:rFonts w:hint="eastAsia"/>
                <w:color w:val="auto"/>
                <w:sz w:val="24"/>
                <w:szCs w:val="24"/>
                <w:vertAlign w:val="superscript"/>
                <w:lang w:val="en-US" w:eastAsia="zh-CN"/>
              </w:rPr>
              <w:t>3</w:t>
            </w:r>
            <w:r>
              <w:rPr>
                <w:rFonts w:hint="eastAsia"/>
                <w:color w:val="auto"/>
              </w:rPr>
              <w:t>，排气筒高度不低于15m</w:t>
            </w:r>
            <w:r>
              <w:rPr>
                <w:rFonts w:hint="eastAsia"/>
                <w:color w:val="auto"/>
                <w:lang w:eastAsia="zh-CN"/>
              </w:rPr>
              <w:t>，且高于周边</w:t>
            </w:r>
            <w:r>
              <w:rPr>
                <w:rFonts w:hint="eastAsia"/>
                <w:color w:val="auto"/>
                <w:lang w:val="en-US" w:eastAsia="zh-CN"/>
              </w:rPr>
              <w:t>200m范围内最高建筑物5m的要求</w:t>
            </w:r>
            <w:r>
              <w:rPr>
                <w:color w:val="auto"/>
                <w:sz w:val="24"/>
                <w:szCs w:val="24"/>
              </w:rPr>
              <w:t>。</w:t>
            </w:r>
          </w:p>
          <w:p w14:paraId="35F654E9">
            <w:pPr>
              <w:bidi w:val="0"/>
              <w:rPr>
                <w:rFonts w:hint="eastAsia"/>
                <w:color w:val="auto"/>
                <w:sz w:val="24"/>
                <w:szCs w:val="24"/>
              </w:rPr>
            </w:pPr>
            <w:r>
              <w:rPr>
                <w:rFonts w:hint="eastAsia"/>
                <w:color w:val="auto"/>
                <w:sz w:val="24"/>
                <w:szCs w:val="24"/>
                <w:lang w:val="en-US" w:eastAsia="zh-CN"/>
              </w:rPr>
              <w:t>（4）</w:t>
            </w:r>
            <w:r>
              <w:rPr>
                <w:rFonts w:hint="eastAsia"/>
                <w:color w:val="auto"/>
                <w:sz w:val="24"/>
                <w:szCs w:val="24"/>
                <w:highlight w:val="none"/>
                <w:lang w:val="en-US" w:eastAsia="zh-CN"/>
              </w:rPr>
              <w:t>烘干过程使用液化石油气产生的污染物排放浓度满足《工业窑炉大气污染物排放标准》（DB13/1640-2012）中表1其他窑炉（新建窑炉）</w:t>
            </w:r>
            <w:r>
              <w:rPr>
                <w:rFonts w:hint="eastAsia"/>
                <w:color w:val="auto"/>
                <w:sz w:val="24"/>
                <w:szCs w:val="24"/>
                <w:highlight w:val="none"/>
              </w:rPr>
              <w:t>颗粒物</w:t>
            </w:r>
            <w:r>
              <w:rPr>
                <w:rFonts w:hint="eastAsia"/>
                <w:color w:val="auto"/>
                <w:sz w:val="24"/>
                <w:szCs w:val="24"/>
                <w:highlight w:val="none"/>
                <w:lang w:val="en-US" w:eastAsia="zh-CN"/>
              </w:rPr>
              <w:t>最高允许排放浓度50mg/m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，表2中SO</w:t>
            </w:r>
            <w:r>
              <w:rPr>
                <w:rFonts w:hint="eastAsia"/>
                <w:color w:val="auto"/>
                <w:sz w:val="24"/>
                <w:szCs w:val="24"/>
                <w:highlight w:val="none"/>
                <w:vertAlign w:val="subscript"/>
                <w:lang w:val="en-US" w:eastAsia="zh-CN"/>
              </w:rPr>
              <w:t>2</w:t>
            </w:r>
            <w:r>
              <w:rPr>
                <w:rFonts w:hint="eastAsia"/>
                <w:color w:val="auto"/>
                <w:sz w:val="24"/>
                <w:szCs w:val="24"/>
                <w:highlight w:val="none"/>
                <w:lang w:val="en-US" w:eastAsia="zh-CN"/>
              </w:rPr>
              <w:t>最高允许排放浓度400mg/m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，NO</w:t>
            </w:r>
            <w:r>
              <w:rPr>
                <w:rFonts w:hint="eastAsia"/>
                <w:color w:val="auto"/>
                <w:sz w:val="24"/>
                <w:szCs w:val="24"/>
                <w:highlight w:val="none"/>
                <w:vertAlign w:val="subscript"/>
                <w:lang w:val="en-US" w:eastAsia="zh-CN"/>
              </w:rPr>
              <w:t>X</w:t>
            </w:r>
            <w:r>
              <w:rPr>
                <w:rFonts w:hint="eastAsia"/>
                <w:color w:val="auto"/>
                <w:sz w:val="24"/>
                <w:szCs w:val="24"/>
                <w:highlight w:val="none"/>
                <w:lang w:val="en-US" w:eastAsia="zh-CN"/>
              </w:rPr>
              <w:t>最高允许排放浓度400mg/m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，烟气黑度小于1级（格林曼黑度）。</w:t>
            </w:r>
            <w:r>
              <w:rPr>
                <w:rFonts w:hint="default" w:ascii="Times New Roman" w:hAnsi="Times New Roman" w:eastAsia="宋体" w:cs="Times New Roman"/>
                <w:color w:val="auto"/>
                <w:sz w:val="24"/>
                <w:szCs w:val="24"/>
                <w:highlight w:val="none"/>
                <w:lang w:val="en-US" w:eastAsia="zh-CN"/>
              </w:rPr>
              <w:t>同时应满足</w:t>
            </w:r>
            <w:r>
              <w:rPr>
                <w:rFonts w:hint="default" w:ascii="Times New Roman" w:hAnsi="Times New Roman" w:cs="Times New Roman"/>
                <w:b w:val="0"/>
                <w:color w:val="auto"/>
                <w:sz w:val="24"/>
                <w:szCs w:val="24"/>
                <w:highlight w:val="none"/>
              </w:rPr>
              <w:t>中共唐山市委办公室 唐山市人民政府办公室 关于印发《2019</w:t>
            </w:r>
            <w:r>
              <w:rPr>
                <w:rFonts w:hint="eastAsia" w:ascii="宋体" w:hAnsi="宋体" w:eastAsia="宋体" w:cs="宋体"/>
                <w:b w:val="0"/>
                <w:color w:val="auto"/>
                <w:sz w:val="24"/>
                <w:szCs w:val="24"/>
                <w:highlight w:val="none"/>
              </w:rPr>
              <w:t>年“十项重点工作”</w:t>
            </w:r>
            <w:r>
              <w:rPr>
                <w:rFonts w:hint="default" w:ascii="Times New Roman" w:hAnsi="Times New Roman" w:cs="Times New Roman"/>
                <w:b w:val="0"/>
                <w:color w:val="auto"/>
                <w:sz w:val="24"/>
                <w:szCs w:val="24"/>
                <w:highlight w:val="none"/>
              </w:rPr>
              <w:t>工作方案》的通知</w:t>
            </w:r>
            <w:r>
              <w:rPr>
                <w:rFonts w:hint="default" w:ascii="Times New Roman" w:hAnsi="Times New Roman" w:cs="Times New Roman"/>
                <w:b w:val="0"/>
                <w:color w:val="auto"/>
                <w:sz w:val="24"/>
                <w:szCs w:val="24"/>
                <w:highlight w:val="none"/>
                <w:lang w:val="en-US" w:eastAsia="zh-CN"/>
              </w:rPr>
              <w:t>中</w:t>
            </w:r>
            <w:r>
              <w:rPr>
                <w:rFonts w:hint="default" w:ascii="Times New Roman" w:hAnsi="Times New Roman" w:cs="Times New Roman"/>
                <w:color w:val="auto"/>
                <w:sz w:val="24"/>
                <w:szCs w:val="24"/>
                <w:highlight w:val="none"/>
                <w:lang w:val="en-US" w:eastAsia="zh-CN"/>
              </w:rPr>
              <w:t>无行业排放标准的颗粒物、二氧化硫、氮氧化物排放浓度控制在30mg/Nm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、200mg/Nm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、300mg/Nm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以下要求</w:t>
            </w:r>
            <w:r>
              <w:rPr>
                <w:rFonts w:hint="eastAsia" w:ascii="Times New Roman" w:hAnsi="Times New Roman" w:cs="Times New Roman"/>
                <w:color w:val="auto"/>
                <w:sz w:val="24"/>
                <w:szCs w:val="24"/>
                <w:highlight w:val="none"/>
                <w:lang w:val="en-US" w:eastAsia="zh-CN"/>
              </w:rPr>
              <w:t>，</w:t>
            </w:r>
            <w:r>
              <w:rPr>
                <w:rFonts w:hint="eastAsia"/>
                <w:color w:val="auto"/>
                <w:sz w:val="24"/>
                <w:szCs w:val="24"/>
                <w:highlight w:val="none"/>
                <w:lang w:val="en-US" w:eastAsia="zh-CN"/>
              </w:rPr>
              <w:t>并且颗粒物排放浓度满足《钢铁工业大气污染物超低排放标准》（DB13/2169-2018）表1颗粒物排放限值：10mg/m</w:t>
            </w:r>
            <w:r>
              <w:rPr>
                <w:rFonts w:hint="eastAsia"/>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的要求</w:t>
            </w:r>
            <w:r>
              <w:rPr>
                <w:rFonts w:hint="eastAsia"/>
                <w:color w:val="auto"/>
                <w:sz w:val="24"/>
                <w:szCs w:val="24"/>
                <w:highlight w:val="none"/>
                <w:lang w:val="en-US" w:eastAsia="zh-CN"/>
              </w:rPr>
              <w:t>。</w:t>
            </w:r>
          </w:p>
          <w:p w14:paraId="6C7B7965">
            <w:pPr>
              <w:bidi w:val="0"/>
              <w:rPr>
                <w:rFonts w:hint="eastAsia"/>
                <w:color w:val="auto"/>
                <w:sz w:val="24"/>
                <w:szCs w:val="24"/>
                <w:lang w:val="en-US" w:eastAsia="zh-CN"/>
              </w:rPr>
            </w:pPr>
            <w:r>
              <w:rPr>
                <w:rFonts w:hint="eastAsia"/>
                <w:color w:val="auto"/>
                <w:sz w:val="24"/>
                <w:szCs w:val="24"/>
                <w:highlight w:val="none"/>
                <w:lang w:val="en-US" w:eastAsia="zh-CN"/>
              </w:rPr>
              <w:t>（5）</w:t>
            </w:r>
            <w:r>
              <w:rPr>
                <w:rFonts w:hint="eastAsia"/>
                <w:color w:val="auto"/>
                <w:sz w:val="24"/>
                <w:szCs w:val="24"/>
                <w:lang w:val="en-US" w:eastAsia="zh-CN"/>
              </w:rPr>
              <w:t>喷漆烘干（烤漆）、塑粉固化烘干有机废气</w:t>
            </w:r>
            <w:r>
              <w:rPr>
                <w:rFonts w:hint="eastAsia"/>
                <w:color w:val="auto"/>
                <w:sz w:val="24"/>
                <w:szCs w:val="24"/>
              </w:rPr>
              <w:t>无组织排放</w:t>
            </w:r>
            <w:r>
              <w:rPr>
                <w:color w:val="auto"/>
                <w:sz w:val="24"/>
                <w:szCs w:val="24"/>
              </w:rPr>
              <w:t>执行《工业企业挥发性有机物排放控制标准》（DB13/2322-2016）</w:t>
            </w:r>
            <w:r>
              <w:rPr>
                <w:rFonts w:hint="eastAsia"/>
                <w:color w:val="auto"/>
                <w:sz w:val="24"/>
                <w:szCs w:val="24"/>
              </w:rPr>
              <w:t>表</w:t>
            </w:r>
            <w:r>
              <w:rPr>
                <w:color w:val="auto"/>
                <w:sz w:val="24"/>
                <w:szCs w:val="24"/>
              </w:rPr>
              <w:t>2</w:t>
            </w:r>
            <w:r>
              <w:rPr>
                <w:rFonts w:hint="eastAsia"/>
                <w:color w:val="auto"/>
                <w:sz w:val="24"/>
                <w:szCs w:val="24"/>
              </w:rPr>
              <w:t>企业边界大气污染物浓度限值中其他企业：</w:t>
            </w:r>
            <w:r>
              <w:rPr>
                <w:rFonts w:hint="eastAsia"/>
                <w:color w:val="auto"/>
              </w:rPr>
              <w:t>非甲烷总烃</w:t>
            </w:r>
            <w:r>
              <w:rPr>
                <w:color w:val="auto"/>
              </w:rPr>
              <w:t>2.0mg/m</w:t>
            </w:r>
            <w:r>
              <w:rPr>
                <w:color w:val="auto"/>
                <w:vertAlign w:val="superscript"/>
              </w:rPr>
              <w:t>3</w:t>
            </w:r>
            <w:r>
              <w:rPr>
                <w:rFonts w:hint="eastAsia"/>
                <w:color w:val="auto"/>
              </w:rPr>
              <w:t>，</w:t>
            </w:r>
            <w:r>
              <w:rPr>
                <w:rFonts w:hint="eastAsia"/>
                <w:color w:val="auto"/>
                <w:lang w:val="en-US" w:eastAsia="zh-CN"/>
              </w:rPr>
              <w:t>苯0.1</w:t>
            </w:r>
            <w:r>
              <w:rPr>
                <w:color w:val="auto"/>
              </w:rPr>
              <w:t>mg/m</w:t>
            </w:r>
            <w:r>
              <w:rPr>
                <w:color w:val="auto"/>
                <w:vertAlign w:val="superscript"/>
              </w:rPr>
              <w:t>3</w:t>
            </w:r>
            <w:r>
              <w:rPr>
                <w:rFonts w:hint="eastAsia"/>
                <w:color w:val="auto"/>
              </w:rPr>
              <w:t>，甲苯0.6</w:t>
            </w:r>
            <w:r>
              <w:rPr>
                <w:color w:val="auto"/>
              </w:rPr>
              <w:t>mg/m</w:t>
            </w:r>
            <w:r>
              <w:rPr>
                <w:color w:val="auto"/>
                <w:vertAlign w:val="superscript"/>
              </w:rPr>
              <w:t>3</w:t>
            </w:r>
            <w:r>
              <w:rPr>
                <w:rFonts w:hint="eastAsia"/>
                <w:color w:val="auto"/>
              </w:rPr>
              <w:t>，二甲苯0.2</w:t>
            </w:r>
            <w:r>
              <w:rPr>
                <w:color w:val="auto"/>
              </w:rPr>
              <w:t>mg/m</w:t>
            </w:r>
            <w:r>
              <w:rPr>
                <w:color w:val="auto"/>
                <w:vertAlign w:val="superscript"/>
              </w:rPr>
              <w:t>3</w:t>
            </w:r>
            <w:r>
              <w:rPr>
                <w:rFonts w:hint="eastAsia"/>
                <w:color w:val="auto"/>
                <w:lang w:eastAsia="zh-CN"/>
              </w:rPr>
              <w:t>，</w:t>
            </w:r>
            <w:r>
              <w:rPr>
                <w:rFonts w:hint="eastAsia"/>
                <w:color w:val="auto"/>
                <w:lang w:val="en-US" w:eastAsia="zh-CN"/>
              </w:rPr>
              <w:t>车间界：</w:t>
            </w:r>
            <w:r>
              <w:rPr>
                <w:rFonts w:hint="eastAsia"/>
                <w:color w:val="auto"/>
              </w:rPr>
              <w:t>非甲烷总烃</w:t>
            </w:r>
            <w:r>
              <w:rPr>
                <w:rFonts w:hint="eastAsia"/>
                <w:color w:val="auto"/>
                <w:lang w:val="en-US" w:eastAsia="zh-CN"/>
              </w:rPr>
              <w:t>4</w:t>
            </w:r>
            <w:r>
              <w:rPr>
                <w:color w:val="auto"/>
              </w:rPr>
              <w:t>.0mg/m</w:t>
            </w:r>
            <w:r>
              <w:rPr>
                <w:color w:val="auto"/>
                <w:vertAlign w:val="superscript"/>
              </w:rPr>
              <w:t>3</w:t>
            </w:r>
            <w:r>
              <w:rPr>
                <w:rFonts w:hint="eastAsia"/>
                <w:color w:val="auto"/>
              </w:rPr>
              <w:t>，</w:t>
            </w:r>
            <w:r>
              <w:rPr>
                <w:rFonts w:hint="eastAsia"/>
                <w:color w:val="auto"/>
                <w:lang w:val="en-US" w:eastAsia="zh-CN"/>
              </w:rPr>
              <w:t>苯0.4</w:t>
            </w:r>
            <w:r>
              <w:rPr>
                <w:color w:val="auto"/>
              </w:rPr>
              <w:t>mg/m</w:t>
            </w:r>
            <w:r>
              <w:rPr>
                <w:color w:val="auto"/>
                <w:vertAlign w:val="superscript"/>
              </w:rPr>
              <w:t>3</w:t>
            </w:r>
            <w:r>
              <w:rPr>
                <w:rFonts w:hint="eastAsia"/>
                <w:color w:val="auto"/>
              </w:rPr>
              <w:t>，甲苯</w:t>
            </w:r>
            <w:r>
              <w:rPr>
                <w:rFonts w:hint="eastAsia"/>
                <w:color w:val="auto"/>
                <w:lang w:val="en-US" w:eastAsia="zh-CN"/>
              </w:rPr>
              <w:t>1.0</w:t>
            </w:r>
            <w:r>
              <w:rPr>
                <w:color w:val="auto"/>
              </w:rPr>
              <w:t>mg/m</w:t>
            </w:r>
            <w:r>
              <w:rPr>
                <w:color w:val="auto"/>
                <w:vertAlign w:val="superscript"/>
              </w:rPr>
              <w:t>3</w:t>
            </w:r>
            <w:r>
              <w:rPr>
                <w:rFonts w:hint="eastAsia"/>
                <w:color w:val="auto"/>
              </w:rPr>
              <w:t>，二甲苯</w:t>
            </w:r>
            <w:r>
              <w:rPr>
                <w:rFonts w:hint="eastAsia"/>
                <w:color w:val="auto"/>
                <w:lang w:val="en-US" w:eastAsia="zh-CN"/>
              </w:rPr>
              <w:t>1.2</w:t>
            </w:r>
            <w:r>
              <w:rPr>
                <w:color w:val="auto"/>
              </w:rPr>
              <w:t>mg/m</w:t>
            </w:r>
            <w:r>
              <w:rPr>
                <w:color w:val="auto"/>
                <w:vertAlign w:val="superscript"/>
              </w:rPr>
              <w:t>3</w:t>
            </w:r>
            <w:r>
              <w:rPr>
                <w:rFonts w:hint="eastAsia"/>
                <w:color w:val="auto"/>
              </w:rPr>
              <w:t>的要求</w:t>
            </w:r>
            <w:r>
              <w:rPr>
                <w:rFonts w:hint="eastAsia"/>
                <w:color w:val="auto"/>
                <w:lang w:eastAsia="zh-CN"/>
              </w:rPr>
              <w:t>，</w:t>
            </w:r>
            <w:r>
              <w:rPr>
                <w:rFonts w:hint="eastAsia"/>
                <w:color w:val="auto"/>
                <w:lang w:val="en-US" w:eastAsia="zh-CN"/>
              </w:rPr>
              <w:t>同时满足</w:t>
            </w:r>
            <w:r>
              <w:rPr>
                <w:rFonts w:hint="eastAsia"/>
                <w:color w:val="auto"/>
                <w:lang w:eastAsia="zh-CN"/>
              </w:rPr>
              <w:t>《</w:t>
            </w:r>
            <w:r>
              <w:rPr>
                <w:rFonts w:hint="eastAsia"/>
                <w:color w:val="auto"/>
                <w:lang w:val="en-US" w:eastAsia="zh-CN"/>
              </w:rPr>
              <w:t>挥发性有机物无组织排放控制标准</w:t>
            </w:r>
            <w:r>
              <w:rPr>
                <w:rFonts w:hint="eastAsia"/>
                <w:color w:val="auto"/>
                <w:lang w:eastAsia="zh-CN"/>
              </w:rPr>
              <w:t>》（</w:t>
            </w:r>
            <w:r>
              <w:rPr>
                <w:rFonts w:hint="eastAsia"/>
                <w:color w:val="auto"/>
                <w:lang w:val="en-US" w:eastAsia="zh-CN"/>
              </w:rPr>
              <w:t>GB37822-2019</w:t>
            </w:r>
            <w:r>
              <w:rPr>
                <w:rFonts w:hint="eastAsia"/>
                <w:color w:val="auto"/>
                <w:lang w:eastAsia="zh-CN"/>
              </w:rPr>
              <w:t>）</w:t>
            </w:r>
            <w:r>
              <w:rPr>
                <w:rFonts w:hint="eastAsia"/>
                <w:color w:val="auto"/>
                <w:lang w:val="en-US" w:eastAsia="zh-CN"/>
              </w:rPr>
              <w:t>附录A表A.1 厂区内VOC</w:t>
            </w:r>
            <w:r>
              <w:rPr>
                <w:rFonts w:hint="eastAsia"/>
                <w:color w:val="auto"/>
                <w:vertAlign w:val="subscript"/>
                <w:lang w:val="en-US" w:eastAsia="zh-CN"/>
              </w:rPr>
              <w:t>S</w:t>
            </w:r>
            <w:r>
              <w:rPr>
                <w:rFonts w:hint="eastAsia"/>
                <w:color w:val="auto"/>
                <w:lang w:val="en-US" w:eastAsia="zh-CN"/>
              </w:rPr>
              <w:t>无组织排放限值中厂房外监控点1h平均浓度限值：非甲烷总烃6mg</w:t>
            </w:r>
            <w:r>
              <w:rPr>
                <w:rFonts w:hint="default"/>
                <w:color w:val="auto"/>
              </w:rPr>
              <w:t>/m</w:t>
            </w:r>
            <w:r>
              <w:rPr>
                <w:rFonts w:hint="default"/>
                <w:color w:val="auto"/>
                <w:vertAlign w:val="superscript"/>
              </w:rPr>
              <w:t>3</w:t>
            </w:r>
            <w:r>
              <w:rPr>
                <w:rFonts w:hint="eastAsia"/>
                <w:color w:val="auto"/>
                <w:lang w:eastAsia="zh-CN"/>
              </w:rPr>
              <w:t>，</w:t>
            </w:r>
            <w:r>
              <w:rPr>
                <w:rFonts w:hint="eastAsia"/>
                <w:color w:val="auto"/>
                <w:lang w:val="en-US" w:eastAsia="zh-CN"/>
              </w:rPr>
              <w:t>任意一次浓度限值：非甲烷总烃20mg</w:t>
            </w:r>
            <w:r>
              <w:rPr>
                <w:rFonts w:hint="default"/>
                <w:color w:val="auto"/>
              </w:rPr>
              <w:t>/m</w:t>
            </w:r>
            <w:r>
              <w:rPr>
                <w:rFonts w:hint="default"/>
                <w:color w:val="auto"/>
                <w:vertAlign w:val="superscript"/>
              </w:rPr>
              <w:t>3</w:t>
            </w:r>
            <w:r>
              <w:rPr>
                <w:rFonts w:hint="eastAsia"/>
                <w:color w:val="auto"/>
                <w:vertAlign w:val="baseline"/>
                <w:lang w:val="en-US" w:eastAsia="zh-CN"/>
              </w:rPr>
              <w:t>的要求</w:t>
            </w:r>
            <w:r>
              <w:rPr>
                <w:rFonts w:hint="eastAsia"/>
                <w:color w:val="auto"/>
                <w:sz w:val="24"/>
                <w:szCs w:val="24"/>
              </w:rPr>
              <w:t>。</w:t>
            </w:r>
          </w:p>
          <w:p w14:paraId="718EC5B2">
            <w:pPr>
              <w:bidi w:val="0"/>
              <w:rPr>
                <w:rFonts w:hint="eastAsia"/>
                <w:color w:val="auto"/>
                <w:sz w:val="24"/>
                <w:szCs w:val="24"/>
              </w:rPr>
            </w:pPr>
            <w:r>
              <w:rPr>
                <w:rFonts w:hint="eastAsia"/>
                <w:color w:val="auto"/>
                <w:sz w:val="24"/>
                <w:szCs w:val="24"/>
                <w:lang w:val="en-US" w:eastAsia="zh-CN"/>
              </w:rPr>
              <w:t>（6）焊接颗粒物</w:t>
            </w:r>
            <w:r>
              <w:rPr>
                <w:rFonts w:hint="eastAsia"/>
                <w:color w:val="auto"/>
                <w:sz w:val="24"/>
                <w:szCs w:val="24"/>
              </w:rPr>
              <w:t>无组织排放厂界浓度</w:t>
            </w:r>
            <w:r>
              <w:rPr>
                <w:rFonts w:hint="eastAsia"/>
                <w:color w:val="auto"/>
                <w:sz w:val="24"/>
                <w:szCs w:val="24"/>
                <w:lang w:val="en-US" w:eastAsia="zh-CN"/>
              </w:rPr>
              <w:t>执行</w:t>
            </w:r>
            <w:r>
              <w:rPr>
                <w:rFonts w:hint="eastAsia"/>
                <w:color w:val="auto"/>
                <w:sz w:val="24"/>
                <w:szCs w:val="24"/>
              </w:rPr>
              <w:t>《大气污染物综合排放标准》（</w:t>
            </w:r>
            <w:r>
              <w:rPr>
                <w:color w:val="auto"/>
                <w:sz w:val="24"/>
                <w:szCs w:val="24"/>
              </w:rPr>
              <w:t>GB16297-1996</w:t>
            </w:r>
            <w:r>
              <w:rPr>
                <w:rFonts w:hint="eastAsia"/>
                <w:color w:val="auto"/>
                <w:sz w:val="24"/>
                <w:szCs w:val="24"/>
              </w:rPr>
              <w:t>）表</w:t>
            </w:r>
            <w:r>
              <w:rPr>
                <w:color w:val="auto"/>
                <w:sz w:val="24"/>
                <w:szCs w:val="24"/>
              </w:rPr>
              <w:t>2</w:t>
            </w:r>
            <w:r>
              <w:rPr>
                <w:rFonts w:hint="eastAsia"/>
                <w:color w:val="auto"/>
                <w:sz w:val="24"/>
                <w:szCs w:val="24"/>
              </w:rPr>
              <w:t>中</w:t>
            </w:r>
            <w:r>
              <w:rPr>
                <w:rFonts w:hint="eastAsia"/>
                <w:color w:val="auto"/>
                <w:sz w:val="24"/>
                <w:szCs w:val="24"/>
                <w:lang w:val="en-US" w:eastAsia="zh-CN"/>
              </w:rPr>
              <w:t>颗粒物</w:t>
            </w:r>
            <w:r>
              <w:rPr>
                <w:rFonts w:hint="eastAsia"/>
                <w:color w:val="auto"/>
                <w:sz w:val="24"/>
                <w:szCs w:val="24"/>
              </w:rPr>
              <w:t>无组织排放浓度限值</w:t>
            </w:r>
            <w:r>
              <w:rPr>
                <w:rFonts w:hint="eastAsia"/>
                <w:color w:val="auto"/>
                <w:sz w:val="24"/>
                <w:szCs w:val="24"/>
                <w:lang w:val="en-US" w:eastAsia="zh-CN"/>
              </w:rPr>
              <w:t>1.0</w:t>
            </w:r>
            <w:r>
              <w:rPr>
                <w:color w:val="auto"/>
                <w:sz w:val="24"/>
                <w:szCs w:val="24"/>
              </w:rPr>
              <w:t>mg/m</w:t>
            </w:r>
            <w:r>
              <w:rPr>
                <w:color w:val="auto"/>
                <w:sz w:val="24"/>
                <w:szCs w:val="24"/>
                <w:vertAlign w:val="superscript"/>
              </w:rPr>
              <w:t>3</w:t>
            </w:r>
            <w:r>
              <w:rPr>
                <w:rFonts w:hint="eastAsia"/>
                <w:color w:val="auto"/>
                <w:sz w:val="24"/>
                <w:szCs w:val="24"/>
                <w:lang w:val="en-US" w:eastAsia="zh-CN"/>
              </w:rPr>
              <w:t>的要求，车间无组织颗粒物参照执行《钢铁工业大气污染物超低排放标准》（DB13/2169-2018）表5企业大气污染物无组织排放浓度限值有厂房车间8mg/m</w:t>
            </w:r>
            <w:r>
              <w:rPr>
                <w:rFonts w:hint="eastAsia"/>
                <w:color w:val="auto"/>
                <w:sz w:val="24"/>
                <w:szCs w:val="24"/>
                <w:vertAlign w:val="superscript"/>
                <w:lang w:val="en-US" w:eastAsia="zh-CN"/>
              </w:rPr>
              <w:t>3</w:t>
            </w:r>
            <w:r>
              <w:rPr>
                <w:color w:val="auto"/>
                <w:sz w:val="24"/>
                <w:szCs w:val="24"/>
              </w:rPr>
              <w:t>。</w:t>
            </w:r>
          </w:p>
          <w:p w14:paraId="0938CF69">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color w:val="auto"/>
                <w:sz w:val="24"/>
                <w:szCs w:val="24"/>
                <w:highlight w:val="none"/>
                <w:lang w:eastAsia="zh-CN"/>
              </w:rPr>
            </w:pPr>
            <w:r>
              <w:rPr>
                <w:rFonts w:hint="eastAsia"/>
                <w:color w:val="auto"/>
                <w:sz w:val="24"/>
                <w:szCs w:val="24"/>
                <w:highlight w:val="none"/>
                <w:lang w:val="en-US" w:eastAsia="zh-CN"/>
              </w:rPr>
              <w:t>（7）</w:t>
            </w:r>
            <w:r>
              <w:rPr>
                <w:color w:val="auto"/>
                <w:sz w:val="24"/>
                <w:szCs w:val="24"/>
                <w:highlight w:val="none"/>
              </w:rPr>
              <w:t>厂界噪声执行《工业企业厂界环境噪声排放标准》（GB12348-2008）</w:t>
            </w:r>
            <w:r>
              <w:rPr>
                <w:rFonts w:hint="eastAsia"/>
                <w:color w:val="auto"/>
                <w:sz w:val="24"/>
                <w:szCs w:val="24"/>
                <w:highlight w:val="none"/>
                <w:lang w:val="en-US" w:eastAsia="zh-CN"/>
              </w:rPr>
              <w:t>2</w:t>
            </w:r>
            <w:r>
              <w:rPr>
                <w:color w:val="auto"/>
                <w:sz w:val="24"/>
                <w:szCs w:val="24"/>
                <w:highlight w:val="none"/>
              </w:rPr>
              <w:t>类标准</w:t>
            </w:r>
            <w:r>
              <w:rPr>
                <w:rFonts w:hint="eastAsia"/>
                <w:color w:val="auto"/>
                <w:sz w:val="24"/>
                <w:szCs w:val="24"/>
                <w:highlight w:val="none"/>
                <w:lang w:val="en-US" w:eastAsia="zh-CN"/>
              </w:rPr>
              <w:t>：昼间60dB（A），夜间50dB（A）</w:t>
            </w:r>
            <w:r>
              <w:rPr>
                <w:rFonts w:hint="eastAsia"/>
                <w:color w:val="auto"/>
                <w:sz w:val="24"/>
                <w:szCs w:val="24"/>
                <w:highlight w:val="none"/>
                <w:lang w:eastAsia="zh-CN"/>
              </w:rPr>
              <w:t>。</w:t>
            </w:r>
          </w:p>
          <w:p w14:paraId="7EB72ACD">
            <w:pPr>
              <w:bidi w:val="0"/>
              <w:ind w:firstLine="480" w:firstLineChars="200"/>
              <w:rPr>
                <w:rFonts w:hint="eastAsia" w:ascii="Times New Roman" w:hAnsi="Times New Roman" w:eastAsia="宋体"/>
                <w:b w:val="0"/>
                <w:bCs w:val="0"/>
                <w:color w:val="auto"/>
                <w:sz w:val="24"/>
                <w:szCs w:val="24"/>
                <w:lang w:val="en-US" w:eastAsia="zh-CN"/>
              </w:rPr>
            </w:pPr>
            <w:r>
              <w:rPr>
                <w:rFonts w:hint="eastAsia"/>
                <w:color w:val="auto"/>
                <w:sz w:val="24"/>
                <w:szCs w:val="24"/>
                <w:highlight w:val="none"/>
                <w:lang w:val="en-US" w:eastAsia="zh-CN"/>
              </w:rPr>
              <w:t>（8）</w:t>
            </w:r>
            <w:r>
              <w:rPr>
                <w:rFonts w:hint="eastAsia"/>
                <w:color w:val="auto"/>
                <w:sz w:val="24"/>
                <w:szCs w:val="24"/>
              </w:rPr>
              <w:t>危险废物执行《危险废物贮存污染控制标准》（GB18597-2001）及其修改单中的标准。</w:t>
            </w:r>
          </w:p>
        </w:tc>
      </w:tr>
      <w:tr w14:paraId="054345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800" w:type="dxa"/>
            <w:noWrap w:val="0"/>
            <w:vAlign w:val="center"/>
          </w:tcPr>
          <w:p w14:paraId="0BD3DDD2">
            <w:pPr>
              <w:pStyle w:val="27"/>
              <w:bidi w:val="0"/>
              <w:rPr>
                <w:rFonts w:hint="eastAsia"/>
                <w:color w:val="auto"/>
              </w:rPr>
            </w:pPr>
            <w:r>
              <w:rPr>
                <w:rFonts w:hint="eastAsia"/>
                <w:color w:val="auto"/>
              </w:rPr>
              <w:t>总量</w:t>
            </w:r>
          </w:p>
          <w:p w14:paraId="7FA419E6">
            <w:pPr>
              <w:pStyle w:val="27"/>
              <w:bidi w:val="0"/>
              <w:rPr>
                <w:rFonts w:hint="eastAsia"/>
                <w:color w:val="auto"/>
              </w:rPr>
            </w:pPr>
            <w:r>
              <w:rPr>
                <w:rFonts w:hint="eastAsia"/>
                <w:color w:val="auto"/>
              </w:rPr>
              <w:t>控制</w:t>
            </w:r>
          </w:p>
          <w:p w14:paraId="2C3D1534">
            <w:pPr>
              <w:pStyle w:val="27"/>
              <w:bidi w:val="0"/>
              <w:ind w:firstLine="0" w:firstLineChars="0"/>
              <w:rPr>
                <w:rFonts w:hint="eastAsia"/>
                <w:color w:val="auto"/>
              </w:rPr>
            </w:pPr>
            <w:r>
              <w:rPr>
                <w:rFonts w:hint="eastAsia"/>
                <w:color w:val="auto"/>
              </w:rPr>
              <w:t>指标</w:t>
            </w:r>
          </w:p>
        </w:tc>
        <w:tc>
          <w:tcPr>
            <w:tcW w:w="8510" w:type="dxa"/>
            <w:noWrap w:val="0"/>
            <w:vAlign w:val="center"/>
          </w:tcPr>
          <w:p w14:paraId="54774879">
            <w:pPr>
              <w:bidi w:val="0"/>
              <w:rPr>
                <w:rFonts w:hint="default"/>
                <w:color w:val="auto"/>
                <w:sz w:val="24"/>
                <w:szCs w:val="24"/>
              </w:rPr>
            </w:pPr>
            <w:r>
              <w:rPr>
                <w:rFonts w:hint="default"/>
                <w:color w:val="auto"/>
                <w:sz w:val="24"/>
                <w:szCs w:val="24"/>
              </w:rPr>
              <w:t>根据《国家环境保护</w:t>
            </w:r>
            <w:r>
              <w:rPr>
                <w:rFonts w:hint="eastAsia"/>
                <w:color w:val="auto"/>
                <w:sz w:val="24"/>
                <w:szCs w:val="24"/>
                <w:lang w:eastAsia="zh-CN"/>
              </w:rPr>
              <w:t>“</w:t>
            </w:r>
            <w:r>
              <w:rPr>
                <w:rFonts w:hint="default"/>
                <w:color w:val="auto"/>
                <w:sz w:val="24"/>
                <w:szCs w:val="24"/>
              </w:rPr>
              <w:t>十三五</w:t>
            </w:r>
            <w:r>
              <w:rPr>
                <w:rFonts w:hint="eastAsia"/>
                <w:color w:val="auto"/>
                <w:sz w:val="24"/>
                <w:szCs w:val="24"/>
                <w:lang w:eastAsia="zh-CN"/>
              </w:rPr>
              <w:t>”</w:t>
            </w:r>
            <w:r>
              <w:rPr>
                <w:rFonts w:hint="default"/>
                <w:color w:val="auto"/>
                <w:sz w:val="24"/>
                <w:szCs w:val="24"/>
              </w:rPr>
              <w:t>规划》中实行污染物排放总量控制的污染物种类，同时根据</w:t>
            </w:r>
            <w:r>
              <w:rPr>
                <w:rFonts w:hint="default"/>
                <w:color w:val="auto"/>
                <w:sz w:val="24"/>
                <w:szCs w:val="24"/>
                <w:lang w:eastAsia="zh-CN"/>
              </w:rPr>
              <w:t>河北</w:t>
            </w:r>
            <w:r>
              <w:rPr>
                <w:rFonts w:hint="default"/>
                <w:color w:val="auto"/>
                <w:sz w:val="24"/>
                <w:szCs w:val="24"/>
              </w:rPr>
              <w:t>省环保厅的要求，以及项目厂址区域环境质量现状、外排污染物特征，确定总量控制因子为：</w:t>
            </w:r>
          </w:p>
          <w:p w14:paraId="6F62F82D">
            <w:pPr>
              <w:bidi w:val="0"/>
              <w:rPr>
                <w:rFonts w:hint="default"/>
                <w:color w:val="auto"/>
                <w:sz w:val="24"/>
                <w:szCs w:val="24"/>
              </w:rPr>
            </w:pPr>
            <w:r>
              <w:rPr>
                <w:rFonts w:hint="default"/>
                <w:color w:val="auto"/>
                <w:sz w:val="24"/>
                <w:szCs w:val="24"/>
              </w:rPr>
              <w:t>废气：SO</w:t>
            </w:r>
            <w:r>
              <w:rPr>
                <w:rFonts w:hint="default"/>
                <w:color w:val="auto"/>
                <w:sz w:val="24"/>
                <w:szCs w:val="24"/>
                <w:vertAlign w:val="subscript"/>
              </w:rPr>
              <w:t>2</w:t>
            </w:r>
            <w:r>
              <w:rPr>
                <w:rFonts w:hint="default"/>
                <w:color w:val="auto"/>
                <w:sz w:val="24"/>
                <w:szCs w:val="24"/>
              </w:rPr>
              <w:t>、NO</w:t>
            </w:r>
            <w:r>
              <w:rPr>
                <w:rFonts w:hint="default"/>
                <w:color w:val="auto"/>
                <w:sz w:val="24"/>
                <w:szCs w:val="24"/>
                <w:vertAlign w:val="subscript"/>
              </w:rPr>
              <w:t>X</w:t>
            </w:r>
            <w:r>
              <w:rPr>
                <w:rFonts w:hint="default"/>
                <w:color w:val="auto"/>
                <w:sz w:val="24"/>
                <w:szCs w:val="24"/>
              </w:rPr>
              <w:t>；</w:t>
            </w:r>
          </w:p>
          <w:p w14:paraId="0FEF20C8">
            <w:pPr>
              <w:bidi w:val="0"/>
              <w:rPr>
                <w:rFonts w:hint="default"/>
                <w:color w:val="auto"/>
                <w:sz w:val="24"/>
                <w:szCs w:val="24"/>
              </w:rPr>
            </w:pPr>
            <w:r>
              <w:rPr>
                <w:rFonts w:hint="default"/>
                <w:color w:val="auto"/>
                <w:sz w:val="24"/>
                <w:szCs w:val="24"/>
              </w:rPr>
              <w:t>废水：COD、氨氮</w:t>
            </w:r>
            <w:r>
              <w:rPr>
                <w:rFonts w:hint="eastAsia"/>
                <w:color w:val="auto"/>
                <w:sz w:val="24"/>
                <w:szCs w:val="24"/>
                <w:lang w:eastAsia="zh-CN"/>
              </w:rPr>
              <w:t>、</w:t>
            </w:r>
            <w:r>
              <w:rPr>
                <w:rFonts w:hint="eastAsia"/>
                <w:color w:val="auto"/>
                <w:sz w:val="24"/>
                <w:szCs w:val="24"/>
                <w:lang w:val="en-US" w:eastAsia="zh-CN"/>
              </w:rPr>
              <w:t>总氮</w:t>
            </w:r>
            <w:r>
              <w:rPr>
                <w:rFonts w:hint="default"/>
                <w:color w:val="auto"/>
                <w:sz w:val="24"/>
                <w:szCs w:val="24"/>
              </w:rPr>
              <w:t>；</w:t>
            </w:r>
          </w:p>
          <w:p w14:paraId="285748C7">
            <w:pPr>
              <w:bidi w:val="0"/>
              <w:rPr>
                <w:rFonts w:hint="default"/>
                <w:color w:val="auto"/>
                <w:sz w:val="24"/>
                <w:szCs w:val="24"/>
                <w:lang w:val="en-US"/>
              </w:rPr>
            </w:pPr>
            <w:r>
              <w:rPr>
                <w:rFonts w:hint="default"/>
                <w:color w:val="auto"/>
                <w:sz w:val="24"/>
                <w:szCs w:val="24"/>
                <w:lang w:eastAsia="zh-CN"/>
              </w:rPr>
              <w:t>其他</w:t>
            </w:r>
            <w:r>
              <w:rPr>
                <w:rFonts w:hint="default"/>
                <w:color w:val="auto"/>
                <w:sz w:val="24"/>
                <w:szCs w:val="24"/>
              </w:rPr>
              <w:t>污染物：</w:t>
            </w:r>
            <w:r>
              <w:rPr>
                <w:rFonts w:hint="eastAsia"/>
                <w:color w:val="auto"/>
                <w:sz w:val="24"/>
                <w:szCs w:val="24"/>
                <w:lang w:val="en-US" w:eastAsia="zh-CN"/>
              </w:rPr>
              <w:t>颗粒物、</w:t>
            </w:r>
            <w:r>
              <w:rPr>
                <w:rFonts w:hint="default"/>
                <w:color w:val="auto"/>
                <w:sz w:val="24"/>
                <w:szCs w:val="24"/>
                <w:lang w:eastAsia="zh-CN"/>
              </w:rPr>
              <w:t>非甲烷总烃</w:t>
            </w:r>
            <w:r>
              <w:rPr>
                <w:rFonts w:hint="eastAsia"/>
                <w:color w:val="auto"/>
                <w:sz w:val="24"/>
                <w:szCs w:val="24"/>
                <w:lang w:eastAsia="zh-CN"/>
              </w:rPr>
              <w:t>、</w:t>
            </w:r>
            <w:r>
              <w:rPr>
                <w:rFonts w:hint="eastAsia"/>
                <w:color w:val="auto"/>
                <w:sz w:val="24"/>
                <w:szCs w:val="24"/>
                <w:lang w:val="en-US" w:eastAsia="zh-CN"/>
              </w:rPr>
              <w:t>苯、甲苯、二甲苯。</w:t>
            </w:r>
          </w:p>
          <w:p w14:paraId="30A4F523">
            <w:pPr>
              <w:bidi w:val="0"/>
              <w:rPr>
                <w:rFonts w:hint="eastAsia"/>
                <w:color w:val="auto"/>
                <w:sz w:val="24"/>
                <w:szCs w:val="24"/>
                <w:lang w:eastAsia="zh-CN"/>
              </w:rPr>
            </w:pPr>
            <w:r>
              <w:rPr>
                <w:rFonts w:hint="default"/>
                <w:color w:val="auto"/>
                <w:sz w:val="24"/>
                <w:szCs w:val="24"/>
              </w:rPr>
              <w:t>根据排放的污染物种类和特点</w:t>
            </w:r>
            <w:r>
              <w:rPr>
                <w:rFonts w:hint="eastAsia"/>
                <w:color w:val="auto"/>
                <w:sz w:val="24"/>
                <w:szCs w:val="24"/>
                <w:lang w:eastAsia="zh-CN"/>
              </w:rPr>
              <w:t>，</w:t>
            </w:r>
            <w:r>
              <w:rPr>
                <w:rFonts w:hint="eastAsia"/>
                <w:color w:val="auto"/>
                <w:sz w:val="24"/>
                <w:szCs w:val="24"/>
                <w:lang w:val="en-US" w:eastAsia="zh-CN"/>
              </w:rPr>
              <w:t>本项目建成后，全厂污染物总量控制指标为</w:t>
            </w:r>
            <w:r>
              <w:rPr>
                <w:rFonts w:hint="eastAsia"/>
                <w:color w:val="auto"/>
                <w:sz w:val="24"/>
                <w:szCs w:val="24"/>
                <w:lang w:eastAsia="zh-CN"/>
              </w:rPr>
              <w:t>：</w:t>
            </w:r>
          </w:p>
          <w:p w14:paraId="3D620831">
            <w:pPr>
              <w:bidi w:val="0"/>
              <w:rPr>
                <w:rFonts w:hint="eastAsia"/>
                <w:color w:val="auto"/>
                <w:sz w:val="24"/>
                <w:szCs w:val="24"/>
                <w:highlight w:val="none"/>
                <w:lang w:val="en-US" w:eastAsia="zh-CN"/>
              </w:rPr>
            </w:pPr>
            <w:r>
              <w:rPr>
                <w:rFonts w:hint="eastAsia"/>
                <w:color w:val="auto"/>
                <w:sz w:val="24"/>
                <w:szCs w:val="24"/>
                <w:highlight w:val="none"/>
                <w:lang w:val="en-US" w:eastAsia="zh-CN"/>
              </w:rPr>
              <w:t>（1）废水</w:t>
            </w:r>
          </w:p>
          <w:p w14:paraId="1D88191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b/>
                <w:bCs/>
                <w:color w:val="auto"/>
                <w:lang w:val="en-US" w:eastAsia="zh-CN"/>
              </w:rPr>
            </w:pPr>
            <w:r>
              <w:rPr>
                <w:rFonts w:hint="eastAsia" w:ascii="Times New Roman" w:hAnsi="Times New Roman" w:eastAsia="宋体" w:cs="Times New Roman"/>
                <w:color w:val="auto"/>
                <w:highlight w:val="none"/>
                <w:lang w:val="en-US" w:eastAsia="zh-CN"/>
              </w:rPr>
              <w:t>本项目生产过程不用水，不涉及生产废水外排。职工盥洗废水产生量为</w:t>
            </w:r>
            <w:r>
              <w:rPr>
                <w:rFonts w:hint="eastAsia"/>
                <w:color w:val="auto"/>
                <w:highlight w:val="none"/>
                <w:lang w:val="en-US" w:eastAsia="zh-CN"/>
              </w:rPr>
              <w:t>0.1</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30</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ascii="Times New Roman" w:hAnsi="Times New Roman" w:eastAsia="宋体" w:cs="Times New Roman"/>
                <w:color w:val="auto"/>
                <w:highlight w:val="none"/>
                <w:lang w:val="en-US" w:eastAsia="zh-CN"/>
              </w:rPr>
              <w:t>，有少量的COD、SS等，水质简单，用于厂区泼洒地面抑尘。</w:t>
            </w:r>
          </w:p>
          <w:p w14:paraId="7ABC75F5">
            <w:pPr>
              <w:bidi w:val="0"/>
              <w:rPr>
                <w:rFonts w:hint="default"/>
                <w:color w:val="auto"/>
                <w:sz w:val="24"/>
                <w:szCs w:val="24"/>
              </w:rPr>
            </w:pPr>
            <w:r>
              <w:rPr>
                <w:rFonts w:hint="eastAsia"/>
                <w:color w:val="auto"/>
                <w:sz w:val="24"/>
                <w:szCs w:val="24"/>
              </w:rPr>
              <w:t>（2）</w:t>
            </w:r>
            <w:r>
              <w:rPr>
                <w:rFonts w:hint="default"/>
                <w:color w:val="auto"/>
                <w:sz w:val="24"/>
                <w:szCs w:val="24"/>
              </w:rPr>
              <w:t>废气</w:t>
            </w:r>
          </w:p>
          <w:p w14:paraId="7E8157A4">
            <w:pPr>
              <w:bidi w:val="0"/>
              <w:rPr>
                <w:rFonts w:hint="default" w:eastAsia="宋体"/>
                <w:color w:val="auto"/>
                <w:sz w:val="24"/>
                <w:szCs w:val="24"/>
                <w:lang w:val="en-US" w:eastAsia="zh-CN"/>
              </w:rPr>
            </w:pPr>
            <w:r>
              <w:rPr>
                <w:rFonts w:hint="eastAsia"/>
                <w:color w:val="auto"/>
                <w:sz w:val="24"/>
                <w:szCs w:val="24"/>
                <w:lang w:val="en-US" w:eastAsia="zh-CN"/>
              </w:rPr>
              <w:t>本项目取暖采用空调，厂区不设锅炉等燃煤设施</w:t>
            </w:r>
            <w:r>
              <w:rPr>
                <w:rFonts w:hint="eastAsia"/>
                <w:color w:val="auto"/>
                <w:sz w:val="24"/>
                <w:szCs w:val="24"/>
              </w:rPr>
              <w:t>。</w:t>
            </w:r>
            <w:r>
              <w:rPr>
                <w:rFonts w:hint="eastAsia"/>
                <w:color w:val="auto"/>
                <w:sz w:val="24"/>
                <w:szCs w:val="24"/>
                <w:lang w:val="en-US" w:eastAsia="zh-CN"/>
              </w:rPr>
              <w:t>烘干过程使用液化石油气为原料，年使用量为200m</w:t>
            </w:r>
            <w:r>
              <w:rPr>
                <w:rFonts w:hint="eastAsia"/>
                <w:color w:val="auto"/>
                <w:sz w:val="24"/>
                <w:szCs w:val="24"/>
                <w:vertAlign w:val="superscript"/>
                <w:lang w:val="en-US" w:eastAsia="zh-CN"/>
              </w:rPr>
              <w:t>3</w:t>
            </w:r>
            <w:r>
              <w:rPr>
                <w:rFonts w:hint="eastAsia"/>
                <w:color w:val="auto"/>
                <w:sz w:val="24"/>
                <w:szCs w:val="24"/>
                <w:lang w:val="en-US" w:eastAsia="zh-CN"/>
              </w:rPr>
              <w:t>。根据</w:t>
            </w:r>
            <w:r>
              <w:rPr>
                <w:rFonts w:hint="eastAsia"/>
                <w:color w:val="auto"/>
                <w:sz w:val="24"/>
                <w:szCs w:val="24"/>
                <w:highlight w:val="none"/>
                <w:lang w:eastAsia="zh-CN"/>
              </w:rPr>
              <w:t>《排放源统计调查产排污核算方法和系数手册》</w:t>
            </w:r>
            <w:r>
              <w:rPr>
                <w:rFonts w:hint="eastAsia"/>
                <w:color w:val="auto"/>
                <w:sz w:val="24"/>
                <w:szCs w:val="24"/>
                <w:highlight w:val="none"/>
                <w:lang w:val="en-US" w:eastAsia="zh-CN"/>
              </w:rPr>
              <w:t>“34通用设备制造业—14涂装核算环节-液化石油气”工业废气量为33.4立方米/立方米-原料，所以废气量为6680m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/a。则SO</w:t>
            </w:r>
            <w:r>
              <w:rPr>
                <w:rFonts w:hint="eastAsia"/>
                <w:color w:val="auto"/>
                <w:sz w:val="24"/>
                <w:szCs w:val="24"/>
                <w:highlight w:val="none"/>
                <w:vertAlign w:val="subscript"/>
                <w:lang w:val="en-US" w:eastAsia="zh-CN"/>
              </w:rPr>
              <w:t>2</w:t>
            </w:r>
            <w:r>
              <w:rPr>
                <w:rFonts w:hint="eastAsia"/>
                <w:color w:val="auto"/>
                <w:sz w:val="24"/>
                <w:szCs w:val="24"/>
                <w:highlight w:val="none"/>
                <w:lang w:val="en-US" w:eastAsia="zh-CN"/>
              </w:rPr>
              <w:t>、NO</w:t>
            </w:r>
            <w:r>
              <w:rPr>
                <w:rFonts w:hint="eastAsia"/>
                <w:color w:val="auto"/>
                <w:sz w:val="24"/>
                <w:szCs w:val="24"/>
                <w:highlight w:val="none"/>
                <w:vertAlign w:val="subscript"/>
                <w:lang w:val="en-US" w:eastAsia="zh-CN"/>
              </w:rPr>
              <w:t>X</w:t>
            </w:r>
            <w:r>
              <w:rPr>
                <w:rFonts w:hint="eastAsia"/>
                <w:color w:val="auto"/>
                <w:sz w:val="24"/>
                <w:szCs w:val="24"/>
                <w:highlight w:val="none"/>
                <w:lang w:val="en-US" w:eastAsia="zh-CN"/>
              </w:rPr>
              <w:t>的总量控制指标为：</w:t>
            </w:r>
          </w:p>
          <w:p w14:paraId="30D128C6">
            <w:pPr>
              <w:bidi w:val="0"/>
              <w:rPr>
                <w:rFonts w:hint="default" w:eastAsia="宋体"/>
                <w:color w:val="auto"/>
                <w:sz w:val="24"/>
                <w:szCs w:val="24"/>
                <w:highlight w:val="none"/>
                <w:lang w:val="en-US" w:eastAsia="zh-CN"/>
              </w:rPr>
            </w:pPr>
            <w:r>
              <w:rPr>
                <w:rFonts w:hint="eastAsia"/>
                <w:color w:val="auto"/>
                <w:sz w:val="24"/>
                <w:szCs w:val="24"/>
                <w:highlight w:val="none"/>
                <w:lang w:val="en-US" w:eastAsia="zh-CN"/>
              </w:rPr>
              <w:t>SO</w:t>
            </w:r>
            <w:r>
              <w:rPr>
                <w:rFonts w:hint="eastAsia"/>
                <w:color w:val="auto"/>
                <w:sz w:val="24"/>
                <w:szCs w:val="24"/>
                <w:highlight w:val="none"/>
                <w:vertAlign w:val="subscript"/>
                <w:lang w:val="en-US" w:eastAsia="zh-CN"/>
              </w:rPr>
              <w:t>2</w:t>
            </w:r>
            <w:r>
              <w:rPr>
                <w:rFonts w:hint="default"/>
                <w:color w:val="auto"/>
                <w:spacing w:val="-3"/>
                <w:sz w:val="24"/>
                <w:szCs w:val="24"/>
                <w:highlight w:val="none"/>
              </w:rPr>
              <w:t>总量控制指</w:t>
            </w:r>
            <w:r>
              <w:rPr>
                <w:rFonts w:hint="eastAsia"/>
                <w:color w:val="auto"/>
                <w:spacing w:val="-3"/>
                <w:sz w:val="24"/>
                <w:szCs w:val="24"/>
                <w:highlight w:val="none"/>
                <w:lang w:val="en-US" w:eastAsia="zh-CN"/>
              </w:rPr>
              <w:t>标</w:t>
            </w:r>
            <w:r>
              <w:rPr>
                <w:rFonts w:hint="default"/>
                <w:color w:val="auto"/>
                <w:spacing w:val="-3"/>
                <w:sz w:val="24"/>
                <w:szCs w:val="24"/>
                <w:highlight w:val="none"/>
              </w:rPr>
              <w:t>=</w:t>
            </w:r>
            <w:r>
              <w:rPr>
                <w:rFonts w:hint="eastAsia"/>
                <w:color w:val="auto"/>
                <w:sz w:val="24"/>
                <w:szCs w:val="24"/>
                <w:highlight w:val="none"/>
                <w:lang w:val="en-US" w:eastAsia="zh-CN"/>
              </w:rPr>
              <w:t>200mg/m</w:t>
            </w:r>
            <w:r>
              <w:rPr>
                <w:rFonts w:hint="eastAsia"/>
                <w:color w:val="auto"/>
                <w:sz w:val="24"/>
                <w:szCs w:val="24"/>
                <w:highlight w:val="none"/>
                <w:vertAlign w:val="superscript"/>
                <w:lang w:val="en-US" w:eastAsia="zh-CN"/>
              </w:rPr>
              <w:t>3</w:t>
            </w:r>
            <w:r>
              <w:rPr>
                <w:rFonts w:hint="default"/>
                <w:color w:val="auto"/>
                <w:sz w:val="24"/>
                <w:szCs w:val="24"/>
                <w:highlight w:val="none"/>
              </w:rPr>
              <w:t>×</w:t>
            </w:r>
            <w:r>
              <w:rPr>
                <w:rFonts w:hint="eastAsia"/>
                <w:color w:val="auto"/>
                <w:sz w:val="24"/>
                <w:szCs w:val="24"/>
                <w:highlight w:val="none"/>
                <w:lang w:val="en-US" w:eastAsia="zh-CN"/>
              </w:rPr>
              <w:t>6680m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/a</w:t>
            </w:r>
            <w:r>
              <w:rPr>
                <w:rFonts w:hint="default"/>
                <w:color w:val="auto"/>
                <w:sz w:val="24"/>
                <w:szCs w:val="24"/>
                <w:highlight w:val="none"/>
              </w:rPr>
              <w:t>×10</w:t>
            </w:r>
            <w:r>
              <w:rPr>
                <w:rFonts w:hint="default"/>
                <w:color w:val="auto"/>
                <w:sz w:val="24"/>
                <w:szCs w:val="24"/>
                <w:highlight w:val="none"/>
                <w:vertAlign w:val="superscript"/>
              </w:rPr>
              <w:t>-9</w:t>
            </w:r>
            <w:r>
              <w:rPr>
                <w:rFonts w:hint="default"/>
                <w:color w:val="auto"/>
                <w:sz w:val="24"/>
                <w:szCs w:val="24"/>
                <w:highlight w:val="none"/>
              </w:rPr>
              <w:t>=</w:t>
            </w:r>
            <w:r>
              <w:rPr>
                <w:rFonts w:hint="eastAsia"/>
                <w:color w:val="auto"/>
                <w:sz w:val="24"/>
                <w:szCs w:val="24"/>
                <w:highlight w:val="none"/>
                <w:lang w:val="en-US" w:eastAsia="zh-CN"/>
              </w:rPr>
              <w:t>0.001336</w:t>
            </w:r>
            <w:r>
              <w:rPr>
                <w:rFonts w:hint="default"/>
                <w:color w:val="auto"/>
                <w:sz w:val="24"/>
                <w:szCs w:val="24"/>
                <w:highlight w:val="none"/>
              </w:rPr>
              <w:t>t/a</w:t>
            </w:r>
            <w:r>
              <w:rPr>
                <w:rFonts w:hint="eastAsia"/>
                <w:color w:val="auto"/>
                <w:spacing w:val="-3"/>
                <w:sz w:val="24"/>
                <w:szCs w:val="24"/>
                <w:highlight w:val="none"/>
                <w:lang w:eastAsia="zh-CN"/>
              </w:rPr>
              <w:t>；</w:t>
            </w:r>
          </w:p>
          <w:p w14:paraId="7F7F135C">
            <w:pPr>
              <w:bidi w:val="0"/>
              <w:rPr>
                <w:rFonts w:hint="eastAsia" w:eastAsia="宋体"/>
                <w:color w:val="auto"/>
                <w:sz w:val="24"/>
                <w:szCs w:val="24"/>
                <w:highlight w:val="yellow"/>
                <w:lang w:val="en-US" w:eastAsia="zh-CN"/>
              </w:rPr>
            </w:pPr>
            <w:r>
              <w:rPr>
                <w:rFonts w:hint="eastAsia"/>
                <w:color w:val="auto"/>
                <w:sz w:val="24"/>
                <w:szCs w:val="24"/>
                <w:highlight w:val="none"/>
                <w:lang w:val="en-US" w:eastAsia="zh-CN"/>
              </w:rPr>
              <w:t>NO</w:t>
            </w:r>
            <w:r>
              <w:rPr>
                <w:rFonts w:hint="eastAsia"/>
                <w:color w:val="auto"/>
                <w:sz w:val="24"/>
                <w:szCs w:val="24"/>
                <w:highlight w:val="none"/>
                <w:vertAlign w:val="subscript"/>
                <w:lang w:val="en-US" w:eastAsia="zh-CN"/>
              </w:rPr>
              <w:t>X</w:t>
            </w:r>
            <w:r>
              <w:rPr>
                <w:rFonts w:hint="default"/>
                <w:color w:val="auto"/>
                <w:spacing w:val="-3"/>
                <w:sz w:val="24"/>
                <w:szCs w:val="24"/>
                <w:highlight w:val="none"/>
              </w:rPr>
              <w:t>总量控制指</w:t>
            </w:r>
            <w:r>
              <w:rPr>
                <w:rFonts w:hint="eastAsia"/>
                <w:color w:val="auto"/>
                <w:spacing w:val="-3"/>
                <w:sz w:val="24"/>
                <w:szCs w:val="24"/>
                <w:highlight w:val="none"/>
                <w:lang w:val="en-US" w:eastAsia="zh-CN"/>
              </w:rPr>
              <w:t>标</w:t>
            </w:r>
            <w:r>
              <w:rPr>
                <w:rFonts w:hint="default"/>
                <w:color w:val="auto"/>
                <w:spacing w:val="-3"/>
                <w:sz w:val="24"/>
                <w:szCs w:val="24"/>
                <w:highlight w:val="none"/>
              </w:rPr>
              <w:t>=</w:t>
            </w:r>
            <w:r>
              <w:rPr>
                <w:rFonts w:hint="eastAsia"/>
                <w:color w:val="auto"/>
                <w:sz w:val="24"/>
                <w:szCs w:val="24"/>
                <w:highlight w:val="none"/>
                <w:lang w:val="en-US" w:eastAsia="zh-CN"/>
              </w:rPr>
              <w:t>300mg/m</w:t>
            </w:r>
            <w:r>
              <w:rPr>
                <w:rFonts w:hint="eastAsia"/>
                <w:color w:val="auto"/>
                <w:sz w:val="24"/>
                <w:szCs w:val="24"/>
                <w:highlight w:val="none"/>
                <w:vertAlign w:val="superscript"/>
                <w:lang w:val="en-US" w:eastAsia="zh-CN"/>
              </w:rPr>
              <w:t>3</w:t>
            </w:r>
            <w:r>
              <w:rPr>
                <w:rFonts w:hint="default"/>
                <w:color w:val="auto"/>
                <w:sz w:val="24"/>
                <w:szCs w:val="24"/>
                <w:highlight w:val="none"/>
              </w:rPr>
              <w:t>×</w:t>
            </w:r>
            <w:r>
              <w:rPr>
                <w:rFonts w:hint="eastAsia"/>
                <w:color w:val="auto"/>
                <w:sz w:val="24"/>
                <w:szCs w:val="24"/>
                <w:highlight w:val="none"/>
                <w:lang w:val="en-US" w:eastAsia="zh-CN"/>
              </w:rPr>
              <w:t>6680m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/a</w:t>
            </w:r>
            <w:r>
              <w:rPr>
                <w:rFonts w:hint="default"/>
                <w:color w:val="auto"/>
                <w:sz w:val="24"/>
                <w:szCs w:val="24"/>
                <w:highlight w:val="none"/>
              </w:rPr>
              <w:t>×10</w:t>
            </w:r>
            <w:r>
              <w:rPr>
                <w:rFonts w:hint="default"/>
                <w:color w:val="auto"/>
                <w:sz w:val="24"/>
                <w:szCs w:val="24"/>
                <w:highlight w:val="none"/>
                <w:vertAlign w:val="superscript"/>
              </w:rPr>
              <w:t>-9</w:t>
            </w:r>
            <w:r>
              <w:rPr>
                <w:rFonts w:hint="default"/>
                <w:color w:val="auto"/>
                <w:sz w:val="24"/>
                <w:szCs w:val="24"/>
                <w:highlight w:val="none"/>
              </w:rPr>
              <w:t>=</w:t>
            </w:r>
            <w:r>
              <w:rPr>
                <w:rFonts w:hint="eastAsia"/>
                <w:color w:val="auto"/>
                <w:sz w:val="24"/>
                <w:szCs w:val="24"/>
                <w:highlight w:val="none"/>
                <w:lang w:val="en-US" w:eastAsia="zh-CN"/>
              </w:rPr>
              <w:t>0.002004</w:t>
            </w:r>
            <w:r>
              <w:rPr>
                <w:rFonts w:hint="default"/>
                <w:color w:val="auto"/>
                <w:sz w:val="24"/>
                <w:szCs w:val="24"/>
                <w:highlight w:val="none"/>
              </w:rPr>
              <w:t>t/a</w:t>
            </w:r>
            <w:r>
              <w:rPr>
                <w:rFonts w:hint="eastAsia"/>
                <w:color w:val="auto"/>
                <w:sz w:val="24"/>
                <w:szCs w:val="24"/>
                <w:highlight w:val="none"/>
                <w:lang w:eastAsia="zh-CN"/>
              </w:rPr>
              <w:t>。</w:t>
            </w:r>
          </w:p>
          <w:p w14:paraId="48299DD7">
            <w:pPr>
              <w:bidi w:val="0"/>
              <w:rPr>
                <w:rFonts w:hint="default"/>
                <w:color w:val="auto"/>
                <w:sz w:val="24"/>
                <w:szCs w:val="24"/>
              </w:rPr>
            </w:pPr>
            <w:r>
              <w:rPr>
                <w:rFonts w:hint="eastAsia"/>
                <w:color w:val="auto"/>
                <w:sz w:val="24"/>
                <w:szCs w:val="24"/>
              </w:rPr>
              <w:t>（3）其他污染物</w:t>
            </w:r>
          </w:p>
          <w:p w14:paraId="4A698E76">
            <w:pPr>
              <w:bidi w:val="0"/>
              <w:rPr>
                <w:rFonts w:hint="default"/>
                <w:color w:val="auto"/>
                <w:sz w:val="24"/>
                <w:szCs w:val="24"/>
              </w:rPr>
            </w:pPr>
            <w:r>
              <w:rPr>
                <w:rFonts w:hint="default"/>
                <w:color w:val="auto"/>
                <w:sz w:val="24"/>
                <w:szCs w:val="24"/>
              </w:rPr>
              <w:t>本项目</w:t>
            </w:r>
            <w:r>
              <w:rPr>
                <w:rFonts w:hint="eastAsia"/>
                <w:color w:val="auto"/>
                <w:sz w:val="24"/>
                <w:szCs w:val="24"/>
              </w:rPr>
              <w:t>其他污染物</w:t>
            </w:r>
            <w:r>
              <w:rPr>
                <w:rFonts w:hint="default"/>
                <w:color w:val="auto"/>
                <w:sz w:val="24"/>
                <w:szCs w:val="24"/>
              </w:rPr>
              <w:t>主要为</w:t>
            </w:r>
            <w:r>
              <w:rPr>
                <w:rFonts w:hint="eastAsia"/>
                <w:color w:val="auto"/>
                <w:sz w:val="24"/>
                <w:szCs w:val="24"/>
                <w:lang w:val="en-US" w:eastAsia="zh-CN"/>
              </w:rPr>
              <w:t>颗粒物、非甲烷总烃</w:t>
            </w:r>
            <w:r>
              <w:rPr>
                <w:rFonts w:hint="eastAsia"/>
                <w:color w:val="auto"/>
                <w:sz w:val="24"/>
                <w:szCs w:val="24"/>
                <w:lang w:eastAsia="zh-CN"/>
              </w:rPr>
              <w:t>、</w:t>
            </w:r>
            <w:r>
              <w:rPr>
                <w:rFonts w:hint="eastAsia"/>
                <w:color w:val="auto"/>
                <w:sz w:val="24"/>
                <w:szCs w:val="24"/>
                <w:lang w:val="en-US" w:eastAsia="zh-CN"/>
              </w:rPr>
              <w:t>苯、甲苯与二甲苯合计</w:t>
            </w:r>
            <w:r>
              <w:rPr>
                <w:rFonts w:hint="default"/>
                <w:color w:val="auto"/>
                <w:sz w:val="24"/>
                <w:szCs w:val="24"/>
              </w:rPr>
              <w:t>，根据执行标准核算总量。</w:t>
            </w:r>
          </w:p>
          <w:p w14:paraId="70C33E70">
            <w:pPr>
              <w:bidi w:val="0"/>
              <w:rPr>
                <w:rFonts w:hint="eastAsia" w:eastAsia="宋体"/>
                <w:color w:val="auto"/>
                <w:sz w:val="24"/>
                <w:szCs w:val="24"/>
                <w:highlight w:val="yellow"/>
                <w:lang w:val="en-US" w:eastAsia="zh-CN"/>
              </w:rPr>
            </w:pPr>
            <w:r>
              <w:rPr>
                <w:rFonts w:hint="eastAsia"/>
                <w:color w:val="auto"/>
                <w:sz w:val="24"/>
                <w:szCs w:val="24"/>
                <w:highlight w:val="none"/>
                <w:lang w:val="en-US" w:eastAsia="zh-CN"/>
              </w:rPr>
              <w:t>颗粒物</w:t>
            </w:r>
            <w:r>
              <w:rPr>
                <w:rFonts w:hint="eastAsia"/>
                <w:color w:val="auto"/>
                <w:sz w:val="24"/>
                <w:szCs w:val="24"/>
                <w:highlight w:val="none"/>
                <w:vertAlign w:val="baseline"/>
                <w:lang w:val="en-US" w:eastAsia="zh-CN"/>
              </w:rPr>
              <w:t>总量控制指标=（</w:t>
            </w:r>
            <w:r>
              <w:rPr>
                <w:rFonts w:hint="eastAsia"/>
                <w:color w:val="auto"/>
                <w:sz w:val="24"/>
                <w:szCs w:val="24"/>
                <w:highlight w:val="none"/>
                <w:lang w:val="en-US" w:eastAsia="zh-CN"/>
              </w:rPr>
              <w:t>18</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30000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900</w:t>
            </w:r>
            <w:r>
              <w:rPr>
                <w:rFonts w:hint="default"/>
                <w:color w:val="auto"/>
                <w:spacing w:val="-3"/>
                <w:sz w:val="24"/>
                <w:szCs w:val="24"/>
                <w:highlight w:val="none"/>
              </w:rPr>
              <w:t>h/a</w:t>
            </w:r>
            <w:r>
              <w:rPr>
                <w:rFonts w:hint="eastAsia"/>
                <w:color w:val="auto"/>
                <w:spacing w:val="-3"/>
                <w:sz w:val="24"/>
                <w:szCs w:val="24"/>
                <w:highlight w:val="none"/>
                <w:lang w:val="en-US" w:eastAsia="zh-CN"/>
              </w:rPr>
              <w:t>+</w:t>
            </w:r>
            <w:r>
              <w:rPr>
                <w:rFonts w:hint="eastAsia"/>
                <w:color w:val="auto"/>
                <w:sz w:val="24"/>
                <w:szCs w:val="24"/>
                <w:highlight w:val="none"/>
                <w:lang w:val="en-US" w:eastAsia="zh-CN"/>
              </w:rPr>
              <w:t>18</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9900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1200</w:t>
            </w:r>
            <w:r>
              <w:rPr>
                <w:rFonts w:hint="default"/>
                <w:color w:val="auto"/>
                <w:spacing w:val="-3"/>
                <w:sz w:val="24"/>
                <w:szCs w:val="24"/>
                <w:highlight w:val="none"/>
              </w:rPr>
              <w:t>h/a</w:t>
            </w:r>
            <w:r>
              <w:rPr>
                <w:rFonts w:hint="eastAsia"/>
                <w:color w:val="auto"/>
                <w:spacing w:val="-3"/>
                <w:sz w:val="24"/>
                <w:szCs w:val="24"/>
                <w:highlight w:val="none"/>
                <w:lang w:val="en-US" w:eastAsia="zh-CN"/>
              </w:rPr>
              <w:t>+</w:t>
            </w:r>
            <w:r>
              <w:rPr>
                <w:rFonts w:hint="eastAsia"/>
                <w:color w:val="auto"/>
                <w:sz w:val="24"/>
                <w:szCs w:val="24"/>
                <w:highlight w:val="none"/>
                <w:lang w:val="en-US" w:eastAsia="zh-CN"/>
              </w:rPr>
              <w:t>10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33000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1200</w:t>
            </w:r>
            <w:r>
              <w:rPr>
                <w:rFonts w:hint="default"/>
                <w:color w:val="auto"/>
                <w:spacing w:val="-3"/>
                <w:sz w:val="24"/>
                <w:szCs w:val="24"/>
                <w:highlight w:val="none"/>
              </w:rPr>
              <w:t>h/a</w:t>
            </w:r>
            <w:r>
              <w:rPr>
                <w:rFonts w:hint="eastAsia"/>
                <w:color w:val="auto"/>
                <w:spacing w:val="-3"/>
                <w:sz w:val="24"/>
                <w:szCs w:val="24"/>
                <w:highlight w:val="none"/>
                <w:lang w:val="en-US" w:eastAsia="zh-CN"/>
              </w:rPr>
              <w:t>+</w:t>
            </w:r>
            <w:r>
              <w:rPr>
                <w:rFonts w:hint="eastAsia"/>
                <w:color w:val="auto"/>
                <w:sz w:val="24"/>
                <w:szCs w:val="24"/>
                <w:highlight w:val="none"/>
                <w:lang w:val="en-US" w:eastAsia="zh-CN"/>
              </w:rPr>
              <w:t>10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1200</w:t>
            </w:r>
            <w:r>
              <w:rPr>
                <w:rFonts w:hint="default"/>
                <w:color w:val="auto"/>
                <w:spacing w:val="-3"/>
                <w:sz w:val="24"/>
                <w:szCs w:val="24"/>
                <w:highlight w:val="none"/>
              </w:rPr>
              <w:t>h/a</w:t>
            </w:r>
            <w:r>
              <w:rPr>
                <w:rFonts w:hint="eastAsia"/>
                <w:color w:val="auto"/>
                <w:sz w:val="24"/>
                <w:szCs w:val="24"/>
                <w:highlight w:val="none"/>
                <w:vertAlign w:val="baseline"/>
                <w:lang w:val="en-US" w:eastAsia="zh-CN"/>
              </w:rPr>
              <w:t>）</w:t>
            </w:r>
            <w:r>
              <w:rPr>
                <w:rFonts w:hint="default"/>
                <w:color w:val="auto"/>
                <w:sz w:val="24"/>
                <w:szCs w:val="24"/>
                <w:highlight w:val="none"/>
              </w:rPr>
              <w:t>×10</w:t>
            </w:r>
            <w:r>
              <w:rPr>
                <w:rFonts w:hint="default"/>
                <w:color w:val="auto"/>
                <w:sz w:val="24"/>
                <w:szCs w:val="24"/>
                <w:highlight w:val="none"/>
                <w:vertAlign w:val="superscript"/>
              </w:rPr>
              <w:t>-9</w:t>
            </w:r>
            <w:r>
              <w:rPr>
                <w:rFonts w:hint="eastAsia"/>
                <w:color w:val="auto"/>
                <w:sz w:val="24"/>
                <w:szCs w:val="24"/>
                <w:highlight w:val="none"/>
                <w:lang w:val="en-US" w:eastAsia="zh-CN"/>
              </w:rPr>
              <w:t>=1.13184</w:t>
            </w:r>
            <w:r>
              <w:rPr>
                <w:rFonts w:hint="default"/>
                <w:color w:val="auto"/>
                <w:sz w:val="24"/>
                <w:szCs w:val="24"/>
                <w:highlight w:val="none"/>
              </w:rPr>
              <w:t>t/a</w:t>
            </w:r>
            <w:r>
              <w:rPr>
                <w:rFonts w:hint="eastAsia"/>
                <w:color w:val="auto"/>
                <w:sz w:val="24"/>
                <w:szCs w:val="24"/>
                <w:highlight w:val="none"/>
                <w:lang w:eastAsia="zh-CN"/>
              </w:rPr>
              <w:t>；</w:t>
            </w:r>
          </w:p>
          <w:p w14:paraId="3942247F">
            <w:pPr>
              <w:bidi w:val="0"/>
              <w:rPr>
                <w:rFonts w:hint="eastAsia"/>
                <w:color w:val="auto"/>
                <w:sz w:val="24"/>
                <w:szCs w:val="24"/>
                <w:highlight w:val="yellow"/>
                <w:lang w:eastAsia="zh-CN"/>
              </w:rPr>
            </w:pPr>
            <w:r>
              <w:rPr>
                <w:rFonts w:hint="eastAsia"/>
                <w:color w:val="auto"/>
                <w:sz w:val="24"/>
                <w:szCs w:val="24"/>
                <w:highlight w:val="none"/>
                <w:lang w:val="en-US" w:eastAsia="zh-CN"/>
              </w:rPr>
              <w:t>非甲烷总烃</w:t>
            </w:r>
            <w:r>
              <w:rPr>
                <w:rFonts w:hint="default"/>
                <w:color w:val="auto"/>
                <w:sz w:val="24"/>
                <w:szCs w:val="24"/>
                <w:highlight w:val="none"/>
              </w:rPr>
              <w:t>总量控制指</w:t>
            </w:r>
            <w:r>
              <w:rPr>
                <w:rFonts w:hint="eastAsia"/>
                <w:color w:val="auto"/>
                <w:sz w:val="24"/>
                <w:szCs w:val="24"/>
                <w:highlight w:val="none"/>
                <w:lang w:val="en-US" w:eastAsia="zh-CN"/>
              </w:rPr>
              <w:t>标</w:t>
            </w:r>
            <w:r>
              <w:rPr>
                <w:rFonts w:hint="default"/>
                <w:color w:val="auto"/>
                <w:sz w:val="24"/>
                <w:szCs w:val="24"/>
                <w:highlight w:val="none"/>
              </w:rPr>
              <w:t>=</w:t>
            </w:r>
            <w:r>
              <w:rPr>
                <w:rFonts w:hint="eastAsia"/>
                <w:color w:val="auto"/>
                <w:sz w:val="24"/>
                <w:szCs w:val="24"/>
                <w:highlight w:val="none"/>
                <w:lang w:eastAsia="zh-CN"/>
              </w:rPr>
              <w:t>（</w:t>
            </w:r>
            <w:r>
              <w:rPr>
                <w:rFonts w:hint="eastAsia"/>
                <w:color w:val="auto"/>
                <w:sz w:val="24"/>
                <w:szCs w:val="24"/>
                <w:highlight w:val="none"/>
                <w:lang w:val="en-US" w:eastAsia="zh-CN"/>
              </w:rPr>
              <w:t>60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30000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900</w:t>
            </w:r>
            <w:r>
              <w:rPr>
                <w:rFonts w:hint="default"/>
                <w:color w:val="auto"/>
                <w:sz w:val="24"/>
                <w:szCs w:val="24"/>
                <w:highlight w:val="none"/>
              </w:rPr>
              <w:t>h/a</w:t>
            </w:r>
            <w:r>
              <w:rPr>
                <w:rFonts w:hint="eastAsia"/>
                <w:color w:val="auto"/>
                <w:spacing w:val="-3"/>
                <w:sz w:val="24"/>
                <w:szCs w:val="24"/>
                <w:highlight w:val="none"/>
                <w:lang w:val="en-US" w:eastAsia="zh-CN"/>
              </w:rPr>
              <w:t>+</w:t>
            </w:r>
            <w:r>
              <w:rPr>
                <w:rFonts w:hint="eastAsia"/>
                <w:color w:val="auto"/>
                <w:sz w:val="24"/>
                <w:szCs w:val="24"/>
                <w:highlight w:val="none"/>
                <w:lang w:val="en-US" w:eastAsia="zh-CN"/>
              </w:rPr>
              <w:t>60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240</w:t>
            </w:r>
            <w:r>
              <w:rPr>
                <w:rFonts w:hint="default"/>
                <w:color w:val="auto"/>
                <w:spacing w:val="-3"/>
                <w:sz w:val="24"/>
                <w:szCs w:val="24"/>
                <w:highlight w:val="none"/>
              </w:rPr>
              <w:t>h/a</w:t>
            </w:r>
            <w:r>
              <w:rPr>
                <w:rFonts w:hint="eastAsia"/>
                <w:color w:val="auto"/>
                <w:sz w:val="24"/>
                <w:szCs w:val="24"/>
                <w:highlight w:val="none"/>
                <w:lang w:eastAsia="zh-CN"/>
              </w:rPr>
              <w:t>）</w:t>
            </w:r>
            <w:r>
              <w:rPr>
                <w:rFonts w:hint="default"/>
                <w:color w:val="auto"/>
                <w:sz w:val="24"/>
                <w:szCs w:val="24"/>
                <w:highlight w:val="none"/>
              </w:rPr>
              <w:t>×10</w:t>
            </w:r>
            <w:r>
              <w:rPr>
                <w:rFonts w:hint="default"/>
                <w:color w:val="auto"/>
                <w:sz w:val="24"/>
                <w:szCs w:val="24"/>
                <w:highlight w:val="none"/>
                <w:vertAlign w:val="superscript"/>
              </w:rPr>
              <w:t>-9</w:t>
            </w:r>
            <w:r>
              <w:rPr>
                <w:rFonts w:hint="default"/>
                <w:color w:val="auto"/>
                <w:sz w:val="24"/>
                <w:szCs w:val="24"/>
                <w:highlight w:val="none"/>
              </w:rPr>
              <w:t>=</w:t>
            </w:r>
            <w:r>
              <w:rPr>
                <w:rFonts w:hint="eastAsia"/>
                <w:color w:val="auto"/>
                <w:sz w:val="24"/>
                <w:szCs w:val="24"/>
                <w:highlight w:val="none"/>
                <w:lang w:val="en-US" w:eastAsia="zh-CN"/>
              </w:rPr>
              <w:t>1.6632</w:t>
            </w:r>
            <w:r>
              <w:rPr>
                <w:rFonts w:hint="default"/>
                <w:color w:val="auto"/>
                <w:sz w:val="24"/>
                <w:szCs w:val="24"/>
                <w:highlight w:val="none"/>
              </w:rPr>
              <w:t>t/a</w:t>
            </w:r>
            <w:r>
              <w:rPr>
                <w:rFonts w:hint="eastAsia"/>
                <w:color w:val="auto"/>
                <w:sz w:val="24"/>
                <w:szCs w:val="24"/>
                <w:highlight w:val="none"/>
                <w:lang w:eastAsia="zh-CN"/>
              </w:rPr>
              <w:t>；</w:t>
            </w:r>
          </w:p>
          <w:p w14:paraId="73C55E81">
            <w:pPr>
              <w:bidi w:val="0"/>
              <w:rPr>
                <w:rFonts w:hint="eastAsia"/>
                <w:color w:val="auto"/>
                <w:sz w:val="24"/>
                <w:szCs w:val="24"/>
                <w:highlight w:val="none"/>
                <w:lang w:eastAsia="zh-CN"/>
              </w:rPr>
            </w:pPr>
            <w:r>
              <w:rPr>
                <w:rFonts w:hint="eastAsia"/>
                <w:color w:val="auto"/>
                <w:sz w:val="24"/>
                <w:szCs w:val="24"/>
                <w:highlight w:val="none"/>
                <w:lang w:val="en-US" w:eastAsia="zh-CN"/>
              </w:rPr>
              <w:t>苯</w:t>
            </w:r>
            <w:r>
              <w:rPr>
                <w:rFonts w:hint="default"/>
                <w:color w:val="auto"/>
                <w:sz w:val="24"/>
                <w:szCs w:val="24"/>
                <w:highlight w:val="none"/>
              </w:rPr>
              <w:t>总量控制指标=</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30000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900</w:t>
            </w:r>
            <w:r>
              <w:rPr>
                <w:rFonts w:hint="default"/>
                <w:color w:val="auto"/>
                <w:sz w:val="24"/>
                <w:szCs w:val="24"/>
                <w:highlight w:val="none"/>
              </w:rPr>
              <w:t>h/a</w:t>
            </w:r>
            <w:r>
              <w:rPr>
                <w:rFonts w:hint="eastAsia"/>
                <w:color w:val="auto"/>
                <w:spacing w:val="-3"/>
                <w:sz w:val="24"/>
                <w:szCs w:val="24"/>
                <w:highlight w:val="none"/>
                <w:lang w:val="en-US" w:eastAsia="zh-CN"/>
              </w:rPr>
              <w:t>+</w:t>
            </w:r>
            <w:r>
              <w:rPr>
                <w:rFonts w:hint="eastAsia"/>
                <w:color w:val="auto"/>
                <w:sz w:val="24"/>
                <w:szCs w:val="24"/>
                <w:highlight w:val="none"/>
                <w:lang w:val="en-US" w:eastAsia="zh-CN"/>
              </w:rPr>
              <w:t>1</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240</w:t>
            </w:r>
            <w:r>
              <w:rPr>
                <w:rFonts w:hint="default"/>
                <w:color w:val="auto"/>
                <w:spacing w:val="-3"/>
                <w:sz w:val="24"/>
                <w:szCs w:val="24"/>
                <w:highlight w:val="none"/>
              </w:rPr>
              <w:t>h/a</w:t>
            </w:r>
            <w:r>
              <w:rPr>
                <w:rFonts w:hint="eastAsia"/>
                <w:color w:val="auto"/>
                <w:sz w:val="24"/>
                <w:szCs w:val="24"/>
                <w:highlight w:val="none"/>
                <w:lang w:eastAsia="zh-CN"/>
              </w:rPr>
              <w:t>）</w:t>
            </w:r>
            <w:r>
              <w:rPr>
                <w:rFonts w:hint="default"/>
                <w:color w:val="auto"/>
                <w:sz w:val="24"/>
                <w:szCs w:val="24"/>
                <w:highlight w:val="none"/>
              </w:rPr>
              <w:t>×10</w:t>
            </w:r>
            <w:r>
              <w:rPr>
                <w:rFonts w:hint="default"/>
                <w:color w:val="auto"/>
                <w:sz w:val="24"/>
                <w:szCs w:val="24"/>
                <w:highlight w:val="none"/>
                <w:vertAlign w:val="superscript"/>
              </w:rPr>
              <w:t>-9</w:t>
            </w:r>
            <w:r>
              <w:rPr>
                <w:rFonts w:hint="default"/>
                <w:color w:val="auto"/>
                <w:sz w:val="24"/>
                <w:szCs w:val="24"/>
                <w:highlight w:val="none"/>
              </w:rPr>
              <w:t>=</w:t>
            </w:r>
            <w:r>
              <w:rPr>
                <w:rFonts w:hint="eastAsia"/>
                <w:color w:val="auto"/>
                <w:sz w:val="24"/>
                <w:szCs w:val="24"/>
                <w:highlight w:val="none"/>
                <w:lang w:val="en-US" w:eastAsia="zh-CN"/>
              </w:rPr>
              <w:t>0.02772</w:t>
            </w:r>
            <w:r>
              <w:rPr>
                <w:rFonts w:hint="default"/>
                <w:color w:val="auto"/>
                <w:sz w:val="24"/>
                <w:szCs w:val="24"/>
                <w:highlight w:val="none"/>
              </w:rPr>
              <w:t>t/a</w:t>
            </w:r>
            <w:r>
              <w:rPr>
                <w:rFonts w:hint="eastAsia"/>
                <w:color w:val="auto"/>
                <w:sz w:val="24"/>
                <w:szCs w:val="24"/>
                <w:highlight w:val="none"/>
                <w:lang w:eastAsia="zh-CN"/>
              </w:rPr>
              <w:t>；</w:t>
            </w:r>
          </w:p>
          <w:p w14:paraId="05AFCAFC">
            <w:pPr>
              <w:bidi w:val="0"/>
              <w:rPr>
                <w:rFonts w:hint="eastAsia"/>
                <w:color w:val="auto"/>
                <w:sz w:val="24"/>
                <w:szCs w:val="24"/>
                <w:highlight w:val="none"/>
                <w:lang w:eastAsia="zh-CN"/>
              </w:rPr>
            </w:pPr>
            <w:r>
              <w:rPr>
                <w:rFonts w:hint="eastAsia"/>
                <w:color w:val="auto"/>
                <w:sz w:val="24"/>
                <w:szCs w:val="24"/>
                <w:highlight w:val="none"/>
                <w:lang w:val="en-US" w:eastAsia="zh-CN"/>
              </w:rPr>
              <w:t>甲苯与二甲苯合计</w:t>
            </w:r>
            <w:r>
              <w:rPr>
                <w:rFonts w:hint="default"/>
                <w:color w:val="auto"/>
                <w:sz w:val="24"/>
                <w:szCs w:val="24"/>
                <w:highlight w:val="none"/>
              </w:rPr>
              <w:t>总量控制指标=</w:t>
            </w:r>
            <w:r>
              <w:rPr>
                <w:rFonts w:hint="eastAsia"/>
                <w:color w:val="auto"/>
                <w:sz w:val="24"/>
                <w:szCs w:val="24"/>
                <w:highlight w:val="none"/>
                <w:lang w:eastAsia="zh-CN"/>
              </w:rPr>
              <w:t>（</w:t>
            </w:r>
            <w:r>
              <w:rPr>
                <w:rFonts w:hint="eastAsia"/>
                <w:color w:val="auto"/>
                <w:sz w:val="24"/>
                <w:szCs w:val="24"/>
                <w:highlight w:val="none"/>
                <w:lang w:val="en-US" w:eastAsia="zh-CN"/>
              </w:rPr>
              <w:t>20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30000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900</w:t>
            </w:r>
            <w:r>
              <w:rPr>
                <w:rFonts w:hint="default"/>
                <w:color w:val="auto"/>
                <w:sz w:val="24"/>
                <w:szCs w:val="24"/>
                <w:highlight w:val="none"/>
              </w:rPr>
              <w:t>h/a</w:t>
            </w:r>
            <w:r>
              <w:rPr>
                <w:rFonts w:hint="eastAsia"/>
                <w:color w:val="auto"/>
                <w:spacing w:val="-3"/>
                <w:sz w:val="24"/>
                <w:szCs w:val="24"/>
                <w:highlight w:val="none"/>
                <w:lang w:val="en-US" w:eastAsia="zh-CN"/>
              </w:rPr>
              <w:t>+</w:t>
            </w:r>
            <w:r>
              <w:rPr>
                <w:rFonts w:hint="eastAsia"/>
                <w:color w:val="auto"/>
                <w:sz w:val="24"/>
                <w:szCs w:val="24"/>
                <w:highlight w:val="none"/>
                <w:lang w:val="en-US" w:eastAsia="zh-CN"/>
              </w:rPr>
              <w:t>20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240</w:t>
            </w:r>
            <w:r>
              <w:rPr>
                <w:rFonts w:hint="default"/>
                <w:color w:val="auto"/>
                <w:spacing w:val="-3"/>
                <w:sz w:val="24"/>
                <w:szCs w:val="24"/>
                <w:highlight w:val="none"/>
              </w:rPr>
              <w:t>h/a</w:t>
            </w:r>
            <w:r>
              <w:rPr>
                <w:rFonts w:hint="eastAsia"/>
                <w:color w:val="auto"/>
                <w:sz w:val="24"/>
                <w:szCs w:val="24"/>
                <w:highlight w:val="none"/>
                <w:lang w:eastAsia="zh-CN"/>
              </w:rPr>
              <w:t>）</w:t>
            </w:r>
            <w:r>
              <w:rPr>
                <w:rFonts w:hint="default"/>
                <w:color w:val="auto"/>
                <w:sz w:val="24"/>
                <w:szCs w:val="24"/>
                <w:highlight w:val="none"/>
              </w:rPr>
              <w:t>×10</w:t>
            </w:r>
            <w:r>
              <w:rPr>
                <w:rFonts w:hint="default"/>
                <w:color w:val="auto"/>
                <w:sz w:val="24"/>
                <w:szCs w:val="24"/>
                <w:highlight w:val="none"/>
                <w:vertAlign w:val="superscript"/>
              </w:rPr>
              <w:t>-9</w:t>
            </w:r>
            <w:r>
              <w:rPr>
                <w:rFonts w:hint="default"/>
                <w:color w:val="auto"/>
                <w:sz w:val="24"/>
                <w:szCs w:val="24"/>
                <w:highlight w:val="none"/>
              </w:rPr>
              <w:t>=</w:t>
            </w:r>
            <w:r>
              <w:rPr>
                <w:rFonts w:hint="eastAsia"/>
                <w:color w:val="auto"/>
                <w:sz w:val="24"/>
                <w:szCs w:val="24"/>
                <w:highlight w:val="none"/>
                <w:lang w:val="en-US" w:eastAsia="zh-CN"/>
              </w:rPr>
              <w:t>0.5544</w:t>
            </w:r>
            <w:r>
              <w:rPr>
                <w:rFonts w:hint="default"/>
                <w:color w:val="auto"/>
                <w:sz w:val="24"/>
                <w:szCs w:val="24"/>
                <w:highlight w:val="none"/>
              </w:rPr>
              <w:t>t/a</w:t>
            </w:r>
            <w:r>
              <w:rPr>
                <w:rFonts w:hint="eastAsia"/>
                <w:color w:val="auto"/>
                <w:sz w:val="24"/>
                <w:szCs w:val="24"/>
                <w:highlight w:val="none"/>
                <w:lang w:eastAsia="zh-CN"/>
              </w:rPr>
              <w:t>；</w:t>
            </w:r>
          </w:p>
          <w:p w14:paraId="404A9C40">
            <w:pPr>
              <w:bidi w:val="0"/>
              <w:rPr>
                <w:rFonts w:hint="default"/>
                <w:color w:val="auto"/>
                <w:sz w:val="24"/>
                <w:szCs w:val="24"/>
                <w:highlight w:val="none"/>
              </w:rPr>
            </w:pPr>
            <w:r>
              <w:rPr>
                <w:rFonts w:hint="default"/>
                <w:color w:val="auto"/>
                <w:sz w:val="24"/>
                <w:szCs w:val="24"/>
                <w:highlight w:val="none"/>
              </w:rPr>
              <w:t>因此，确定本项目总量控制指标为：</w:t>
            </w:r>
          </w:p>
          <w:p w14:paraId="5DDDA21A">
            <w:pPr>
              <w:bidi w:val="0"/>
              <w:rPr>
                <w:rFonts w:hint="default"/>
                <w:color w:val="auto"/>
                <w:sz w:val="24"/>
                <w:szCs w:val="24"/>
                <w:highlight w:val="none"/>
              </w:rPr>
            </w:pPr>
            <w:r>
              <w:rPr>
                <w:rFonts w:hint="default"/>
                <w:color w:val="auto"/>
                <w:sz w:val="24"/>
                <w:szCs w:val="24"/>
                <w:highlight w:val="none"/>
              </w:rPr>
              <w:t>SO</w:t>
            </w:r>
            <w:r>
              <w:rPr>
                <w:rFonts w:hint="default"/>
                <w:color w:val="auto"/>
                <w:sz w:val="24"/>
                <w:szCs w:val="24"/>
                <w:highlight w:val="none"/>
                <w:vertAlign w:val="subscript"/>
              </w:rPr>
              <w:t>2</w:t>
            </w:r>
            <w:r>
              <w:rPr>
                <w:rFonts w:hint="default"/>
                <w:color w:val="auto"/>
                <w:sz w:val="24"/>
                <w:szCs w:val="24"/>
                <w:highlight w:val="none"/>
              </w:rPr>
              <w:t>：</w:t>
            </w:r>
            <w:r>
              <w:rPr>
                <w:rFonts w:hint="eastAsia"/>
                <w:color w:val="auto"/>
                <w:sz w:val="24"/>
                <w:szCs w:val="24"/>
                <w:highlight w:val="none"/>
                <w:lang w:val="en-US" w:eastAsia="zh-CN"/>
              </w:rPr>
              <w:t>0.001336</w:t>
            </w:r>
            <w:r>
              <w:rPr>
                <w:rFonts w:hint="default"/>
                <w:color w:val="auto"/>
                <w:sz w:val="24"/>
                <w:szCs w:val="24"/>
                <w:highlight w:val="none"/>
              </w:rPr>
              <w:t>t/a，NO</w:t>
            </w:r>
            <w:r>
              <w:rPr>
                <w:rFonts w:hint="default"/>
                <w:color w:val="auto"/>
                <w:sz w:val="24"/>
                <w:szCs w:val="24"/>
                <w:highlight w:val="none"/>
                <w:vertAlign w:val="subscript"/>
              </w:rPr>
              <w:t>X</w:t>
            </w:r>
            <w:r>
              <w:rPr>
                <w:rFonts w:hint="default"/>
                <w:color w:val="auto"/>
                <w:sz w:val="24"/>
                <w:szCs w:val="24"/>
                <w:highlight w:val="none"/>
              </w:rPr>
              <w:t>：</w:t>
            </w:r>
            <w:r>
              <w:rPr>
                <w:rFonts w:hint="eastAsia"/>
                <w:color w:val="auto"/>
                <w:sz w:val="24"/>
                <w:szCs w:val="24"/>
                <w:highlight w:val="none"/>
                <w:lang w:val="en-US" w:eastAsia="zh-CN"/>
              </w:rPr>
              <w:t>0.002004</w:t>
            </w:r>
            <w:r>
              <w:rPr>
                <w:rFonts w:hint="default"/>
                <w:color w:val="auto"/>
                <w:sz w:val="24"/>
                <w:szCs w:val="24"/>
                <w:highlight w:val="none"/>
              </w:rPr>
              <w:t>t/a，COD：0t/a，氨氮：0t/a</w:t>
            </w:r>
            <w:r>
              <w:rPr>
                <w:rFonts w:hint="eastAsia"/>
                <w:color w:val="auto"/>
                <w:sz w:val="24"/>
                <w:szCs w:val="24"/>
                <w:highlight w:val="none"/>
                <w:lang w:eastAsia="zh-CN"/>
              </w:rPr>
              <w:t>，</w:t>
            </w:r>
            <w:r>
              <w:rPr>
                <w:rFonts w:hint="eastAsia"/>
                <w:color w:val="auto"/>
                <w:sz w:val="24"/>
                <w:szCs w:val="24"/>
                <w:highlight w:val="none"/>
                <w:lang w:val="en-US" w:eastAsia="zh-CN"/>
              </w:rPr>
              <w:t>总氮0</w:t>
            </w:r>
            <w:r>
              <w:rPr>
                <w:rFonts w:hint="default"/>
                <w:color w:val="auto"/>
                <w:sz w:val="24"/>
                <w:szCs w:val="24"/>
                <w:highlight w:val="none"/>
              </w:rPr>
              <w:t>t/a</w:t>
            </w:r>
            <w:r>
              <w:rPr>
                <w:rFonts w:hint="eastAsia"/>
                <w:color w:val="auto"/>
                <w:sz w:val="24"/>
                <w:szCs w:val="24"/>
                <w:highlight w:val="none"/>
              </w:rPr>
              <w:t>。</w:t>
            </w:r>
          </w:p>
          <w:p w14:paraId="3170D163">
            <w:pPr>
              <w:bidi w:val="0"/>
              <w:rPr>
                <w:rFonts w:hint="eastAsia" w:eastAsia="宋体"/>
                <w:color w:val="auto"/>
                <w:sz w:val="24"/>
                <w:szCs w:val="24"/>
                <w:highlight w:val="none"/>
                <w:lang w:eastAsia="zh-CN"/>
              </w:rPr>
            </w:pPr>
            <w:r>
              <w:rPr>
                <w:rFonts w:hint="eastAsia"/>
                <w:color w:val="auto"/>
                <w:sz w:val="24"/>
                <w:szCs w:val="24"/>
                <w:highlight w:val="none"/>
              </w:rPr>
              <w:t>其他污染物</w:t>
            </w:r>
            <w:r>
              <w:rPr>
                <w:rFonts w:hint="default"/>
                <w:color w:val="auto"/>
                <w:sz w:val="24"/>
                <w:szCs w:val="24"/>
                <w:highlight w:val="none"/>
              </w:rPr>
              <w:t>：</w:t>
            </w:r>
            <w:r>
              <w:rPr>
                <w:rFonts w:hint="eastAsia"/>
                <w:color w:val="auto"/>
                <w:sz w:val="24"/>
                <w:szCs w:val="24"/>
                <w:highlight w:val="none"/>
                <w:lang w:val="en-US" w:eastAsia="zh-CN"/>
              </w:rPr>
              <w:t>颗粒物：1.13184</w:t>
            </w:r>
            <w:r>
              <w:rPr>
                <w:rFonts w:hint="default"/>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lang w:val="en-US" w:eastAsia="zh-CN"/>
              </w:rPr>
              <w:t>非甲烷总烃：1.6632</w:t>
            </w:r>
            <w:r>
              <w:rPr>
                <w:rFonts w:hint="default"/>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lang w:val="en-US" w:eastAsia="zh-CN"/>
              </w:rPr>
              <w:t>苯：0.02772</w:t>
            </w:r>
            <w:r>
              <w:rPr>
                <w:rFonts w:hint="default"/>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lang w:val="en-US" w:eastAsia="zh-CN"/>
              </w:rPr>
              <w:t>甲苯与二甲苯合计：0.5544</w:t>
            </w:r>
            <w:r>
              <w:rPr>
                <w:rFonts w:hint="default"/>
                <w:color w:val="auto"/>
                <w:sz w:val="24"/>
                <w:szCs w:val="24"/>
                <w:highlight w:val="none"/>
              </w:rPr>
              <w:t>t/a</w:t>
            </w:r>
            <w:r>
              <w:rPr>
                <w:rFonts w:hint="eastAsia"/>
                <w:color w:val="auto"/>
                <w:sz w:val="24"/>
                <w:szCs w:val="24"/>
                <w:highlight w:val="none"/>
                <w:lang w:eastAsia="zh-CN"/>
              </w:rPr>
              <w:t>。</w:t>
            </w:r>
          </w:p>
          <w:p w14:paraId="68DAA621">
            <w:pPr>
              <w:bidi w:val="0"/>
              <w:rPr>
                <w:rFonts w:hint="default"/>
                <w:color w:val="auto"/>
                <w:sz w:val="24"/>
                <w:szCs w:val="24"/>
                <w:highlight w:val="none"/>
              </w:rPr>
            </w:pPr>
          </w:p>
          <w:p w14:paraId="5A167DFD">
            <w:pPr>
              <w:bidi w:val="0"/>
              <w:rPr>
                <w:rFonts w:hint="default"/>
                <w:color w:val="auto"/>
                <w:sz w:val="24"/>
                <w:szCs w:val="24"/>
                <w:highlight w:val="none"/>
              </w:rPr>
            </w:pPr>
          </w:p>
          <w:p w14:paraId="742CCE0E">
            <w:pPr>
              <w:bidi w:val="0"/>
              <w:rPr>
                <w:rFonts w:hint="default"/>
                <w:color w:val="auto"/>
                <w:sz w:val="24"/>
                <w:szCs w:val="24"/>
                <w:highlight w:val="none"/>
              </w:rPr>
            </w:pPr>
          </w:p>
          <w:p w14:paraId="7DC0F156">
            <w:pPr>
              <w:bidi w:val="0"/>
              <w:rPr>
                <w:rFonts w:hint="default"/>
                <w:color w:val="auto"/>
                <w:sz w:val="24"/>
                <w:szCs w:val="24"/>
                <w:highlight w:val="none"/>
              </w:rPr>
            </w:pPr>
          </w:p>
          <w:p w14:paraId="08AE0940">
            <w:pPr>
              <w:bidi w:val="0"/>
              <w:rPr>
                <w:rFonts w:hint="default"/>
                <w:color w:val="auto"/>
                <w:sz w:val="24"/>
                <w:szCs w:val="24"/>
                <w:highlight w:val="none"/>
              </w:rPr>
            </w:pPr>
          </w:p>
          <w:p w14:paraId="68D6FE6D">
            <w:pPr>
              <w:bidi w:val="0"/>
              <w:rPr>
                <w:rFonts w:hint="default"/>
                <w:color w:val="auto"/>
                <w:sz w:val="24"/>
                <w:szCs w:val="24"/>
                <w:highlight w:val="none"/>
              </w:rPr>
            </w:pPr>
          </w:p>
          <w:p w14:paraId="76825A9C">
            <w:pPr>
              <w:bidi w:val="0"/>
              <w:rPr>
                <w:rFonts w:hint="default"/>
                <w:color w:val="auto"/>
                <w:sz w:val="24"/>
                <w:szCs w:val="24"/>
                <w:highlight w:val="none"/>
              </w:rPr>
            </w:pPr>
          </w:p>
          <w:p w14:paraId="02D1B36B">
            <w:pPr>
              <w:bidi w:val="0"/>
              <w:rPr>
                <w:rFonts w:hint="default"/>
                <w:color w:val="auto"/>
                <w:sz w:val="24"/>
                <w:szCs w:val="24"/>
                <w:highlight w:val="none"/>
              </w:rPr>
            </w:pPr>
          </w:p>
          <w:p w14:paraId="6DDD57B5">
            <w:pPr>
              <w:bidi w:val="0"/>
              <w:rPr>
                <w:rFonts w:hint="default"/>
                <w:color w:val="auto"/>
                <w:sz w:val="24"/>
                <w:szCs w:val="24"/>
                <w:highlight w:val="none"/>
              </w:rPr>
            </w:pPr>
          </w:p>
          <w:p w14:paraId="75387D8A">
            <w:pPr>
              <w:bidi w:val="0"/>
              <w:rPr>
                <w:rFonts w:hint="default"/>
                <w:color w:val="auto"/>
                <w:sz w:val="24"/>
                <w:szCs w:val="24"/>
                <w:highlight w:val="none"/>
              </w:rPr>
            </w:pPr>
          </w:p>
          <w:p w14:paraId="1074DFE8">
            <w:pPr>
              <w:bidi w:val="0"/>
              <w:rPr>
                <w:rFonts w:hint="default"/>
                <w:color w:val="auto"/>
                <w:sz w:val="24"/>
                <w:szCs w:val="24"/>
                <w:highlight w:val="none"/>
              </w:rPr>
            </w:pPr>
          </w:p>
          <w:p w14:paraId="7A32EFBA">
            <w:pPr>
              <w:bidi w:val="0"/>
              <w:rPr>
                <w:rFonts w:hint="default"/>
                <w:color w:val="auto"/>
                <w:sz w:val="24"/>
                <w:szCs w:val="24"/>
                <w:highlight w:val="none"/>
              </w:rPr>
            </w:pPr>
          </w:p>
          <w:p w14:paraId="7B0A6C4F">
            <w:pPr>
              <w:bidi w:val="0"/>
              <w:rPr>
                <w:rFonts w:hint="default"/>
                <w:color w:val="auto"/>
                <w:sz w:val="24"/>
                <w:szCs w:val="24"/>
                <w:highlight w:val="none"/>
              </w:rPr>
            </w:pPr>
          </w:p>
          <w:p w14:paraId="4BB4084D">
            <w:pPr>
              <w:bidi w:val="0"/>
              <w:rPr>
                <w:rFonts w:hint="default"/>
                <w:color w:val="auto"/>
                <w:sz w:val="24"/>
                <w:szCs w:val="24"/>
                <w:highlight w:val="none"/>
              </w:rPr>
            </w:pPr>
          </w:p>
          <w:p w14:paraId="0592949B">
            <w:pPr>
              <w:bidi w:val="0"/>
              <w:rPr>
                <w:rFonts w:hint="default"/>
                <w:color w:val="auto"/>
                <w:sz w:val="24"/>
                <w:szCs w:val="24"/>
                <w:highlight w:val="none"/>
              </w:rPr>
            </w:pPr>
          </w:p>
          <w:p w14:paraId="0969C462">
            <w:pPr>
              <w:bidi w:val="0"/>
              <w:rPr>
                <w:rFonts w:hint="default"/>
                <w:color w:val="auto"/>
                <w:sz w:val="24"/>
                <w:szCs w:val="24"/>
                <w:highlight w:val="none"/>
              </w:rPr>
            </w:pPr>
          </w:p>
          <w:p w14:paraId="3B934FCB">
            <w:pPr>
              <w:bidi w:val="0"/>
              <w:rPr>
                <w:rFonts w:hint="default"/>
                <w:color w:val="auto"/>
                <w:sz w:val="24"/>
                <w:szCs w:val="24"/>
                <w:highlight w:val="none"/>
              </w:rPr>
            </w:pPr>
          </w:p>
          <w:p w14:paraId="1657C37C">
            <w:pPr>
              <w:bidi w:val="0"/>
              <w:rPr>
                <w:rFonts w:hint="default"/>
                <w:color w:val="auto"/>
                <w:sz w:val="24"/>
                <w:szCs w:val="24"/>
                <w:highlight w:val="none"/>
              </w:rPr>
            </w:pPr>
          </w:p>
          <w:p w14:paraId="4CA67C79">
            <w:pPr>
              <w:bidi w:val="0"/>
              <w:rPr>
                <w:rFonts w:hint="default"/>
                <w:color w:val="auto"/>
                <w:sz w:val="24"/>
                <w:szCs w:val="24"/>
                <w:highlight w:val="none"/>
              </w:rPr>
            </w:pPr>
          </w:p>
          <w:p w14:paraId="5C92B78E">
            <w:pPr>
              <w:bidi w:val="0"/>
              <w:rPr>
                <w:rFonts w:hint="default"/>
                <w:color w:val="auto"/>
                <w:sz w:val="24"/>
                <w:szCs w:val="24"/>
                <w:highlight w:val="none"/>
              </w:rPr>
            </w:pPr>
          </w:p>
          <w:p w14:paraId="0F9EAF20">
            <w:pPr>
              <w:bidi w:val="0"/>
              <w:rPr>
                <w:rFonts w:hint="default"/>
                <w:color w:val="auto"/>
                <w:sz w:val="24"/>
                <w:szCs w:val="24"/>
                <w:highlight w:val="none"/>
              </w:rPr>
            </w:pPr>
          </w:p>
          <w:p w14:paraId="48E270BE">
            <w:pPr>
              <w:bidi w:val="0"/>
              <w:rPr>
                <w:rFonts w:hint="eastAsia"/>
                <w:color w:val="auto"/>
                <w:sz w:val="24"/>
                <w:szCs w:val="24"/>
                <w:highlight w:val="yellow"/>
                <w:lang w:eastAsia="zh-CN"/>
              </w:rPr>
            </w:pPr>
          </w:p>
          <w:p w14:paraId="4BCAFF95">
            <w:pPr>
              <w:bidi w:val="0"/>
              <w:rPr>
                <w:rFonts w:hint="eastAsia"/>
                <w:color w:val="auto"/>
                <w:lang w:val="en-US" w:eastAsia="zh-CN"/>
              </w:rPr>
            </w:pPr>
          </w:p>
        </w:tc>
      </w:tr>
    </w:tbl>
    <w:p w14:paraId="38F16C29">
      <w:pPr>
        <w:rPr>
          <w:rFonts w:hint="eastAsia" w:ascii="黑体" w:hAnsi="黑体" w:eastAsia="黑体"/>
          <w:snapToGrid w:val="0"/>
          <w:color w:val="auto"/>
          <w:sz w:val="30"/>
          <w:szCs w:val="30"/>
        </w:rPr>
      </w:pPr>
      <w:r>
        <w:rPr>
          <w:rFonts w:hint="eastAsia" w:ascii="黑体" w:hAnsi="黑体" w:eastAsia="黑体"/>
          <w:snapToGrid w:val="0"/>
          <w:color w:val="auto"/>
          <w:sz w:val="30"/>
          <w:szCs w:val="30"/>
        </w:rPr>
        <w:br w:type="page"/>
      </w:r>
    </w:p>
    <w:p w14:paraId="2AF3DE42">
      <w:pPr>
        <w:pStyle w:val="18"/>
        <w:jc w:val="center"/>
        <w:outlineLvl w:val="0"/>
        <w:rPr>
          <w:rFonts w:ascii="黑体" w:hAnsi="黑体" w:eastAsia="黑体"/>
          <w:snapToGrid w:val="0"/>
          <w:color w:val="0070C0"/>
          <w:sz w:val="30"/>
          <w:szCs w:val="30"/>
        </w:rPr>
      </w:pPr>
      <w:r>
        <w:rPr>
          <w:rFonts w:hint="eastAsia" w:ascii="黑体" w:hAnsi="黑体" w:eastAsia="黑体"/>
          <w:snapToGrid w:val="0"/>
          <w:color w:val="auto"/>
          <w:sz w:val="30"/>
          <w:szCs w:val="30"/>
        </w:rPr>
        <w:t>四、主要环境影响和保护措施</w:t>
      </w:r>
    </w:p>
    <w:tbl>
      <w:tblPr>
        <w:tblStyle w:val="20"/>
        <w:tblW w:w="93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6"/>
        <w:gridCol w:w="8601"/>
      </w:tblGrid>
      <w:tr w14:paraId="7391C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4" w:hRule="atLeast"/>
          <w:jc w:val="center"/>
        </w:trPr>
        <w:tc>
          <w:tcPr>
            <w:tcW w:w="746" w:type="dxa"/>
            <w:tcBorders>
              <w:top w:val="single" w:color="000000" w:sz="8" w:space="0"/>
              <w:left w:val="single" w:color="000000" w:sz="8" w:space="0"/>
              <w:bottom w:val="single" w:color="000000" w:sz="8" w:space="0"/>
              <w:right w:val="single" w:color="000000" w:sz="8" w:space="0"/>
            </w:tcBorders>
            <w:shd w:val="clear" w:color="auto" w:fill="auto"/>
            <w:noWrap w:val="0"/>
            <w:tcMar>
              <w:left w:w="28" w:type="dxa"/>
              <w:right w:w="28" w:type="dxa"/>
            </w:tcMar>
            <w:vAlign w:val="center"/>
          </w:tcPr>
          <w:p w14:paraId="052D27C7">
            <w:pPr>
              <w:pStyle w:val="27"/>
              <w:bidi w:val="0"/>
              <w:rPr>
                <w:rFonts w:hint="eastAsia"/>
                <w:color w:val="auto"/>
              </w:rPr>
            </w:pPr>
            <w:r>
              <w:rPr>
                <w:rFonts w:hint="eastAsia"/>
                <w:color w:val="auto"/>
              </w:rPr>
              <w:t>施工</w:t>
            </w:r>
          </w:p>
          <w:p w14:paraId="61DDA83D">
            <w:pPr>
              <w:pStyle w:val="27"/>
              <w:bidi w:val="0"/>
              <w:rPr>
                <w:rFonts w:hint="eastAsia"/>
                <w:color w:val="auto"/>
              </w:rPr>
            </w:pPr>
            <w:r>
              <w:rPr>
                <w:rFonts w:hint="eastAsia"/>
                <w:color w:val="auto"/>
              </w:rPr>
              <w:t>期环</w:t>
            </w:r>
          </w:p>
          <w:p w14:paraId="0928181C">
            <w:pPr>
              <w:pStyle w:val="27"/>
              <w:bidi w:val="0"/>
              <w:rPr>
                <w:rFonts w:hint="eastAsia"/>
                <w:color w:val="auto"/>
              </w:rPr>
            </w:pPr>
            <w:r>
              <w:rPr>
                <w:rFonts w:hint="eastAsia"/>
                <w:color w:val="auto"/>
              </w:rPr>
              <w:t>境保</w:t>
            </w:r>
          </w:p>
          <w:p w14:paraId="081CD41F">
            <w:pPr>
              <w:pStyle w:val="27"/>
              <w:bidi w:val="0"/>
              <w:rPr>
                <w:rFonts w:hint="eastAsia"/>
                <w:color w:val="auto"/>
              </w:rPr>
            </w:pPr>
            <w:r>
              <w:rPr>
                <w:rFonts w:hint="eastAsia"/>
                <w:color w:val="auto"/>
              </w:rPr>
              <w:t>护措</w:t>
            </w:r>
          </w:p>
          <w:p w14:paraId="5B4C6726">
            <w:pPr>
              <w:pStyle w:val="27"/>
              <w:bidi w:val="0"/>
              <w:rPr>
                <w:rFonts w:hint="eastAsia" w:cs="宋体"/>
                <w:bCs/>
                <w:color w:val="0070C0"/>
                <w:kern w:val="2"/>
                <w:szCs w:val="21"/>
              </w:rPr>
            </w:pPr>
            <w:r>
              <w:rPr>
                <w:rFonts w:hint="eastAsia"/>
                <w:color w:val="auto"/>
              </w:rPr>
              <w:t>施</w:t>
            </w:r>
          </w:p>
        </w:tc>
        <w:tc>
          <w:tcPr>
            <w:tcW w:w="860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FE6ED9E">
            <w:pPr>
              <w:keepNext w:val="0"/>
              <w:keepLines w:val="0"/>
              <w:pageBreakBefore w:val="0"/>
              <w:widowControl w:val="0"/>
              <w:kinsoku/>
              <w:wordWrap/>
              <w:overflowPunct/>
              <w:topLinePunct w:val="0"/>
              <w:bidi w:val="0"/>
              <w:snapToGrid/>
              <w:spacing w:line="480" w:lineRule="exact"/>
              <w:ind w:left="0" w:leftChars="0" w:firstLine="0" w:firstLineChars="0"/>
              <w:textAlignment w:val="auto"/>
              <w:rPr>
                <w:b/>
                <w:bCs/>
                <w:color w:val="000000"/>
              </w:rPr>
            </w:pPr>
            <w:r>
              <w:rPr>
                <w:b/>
                <w:bCs/>
                <w:color w:val="000000"/>
              </w:rPr>
              <w:t>施工期环境影响简要分析：</w:t>
            </w:r>
          </w:p>
          <w:p w14:paraId="13E98B25">
            <w:pPr>
              <w:bidi w:val="0"/>
              <w:rPr>
                <w:rFonts w:hint="eastAsia"/>
              </w:rPr>
            </w:pPr>
            <w:r>
              <w:rPr>
                <w:rFonts w:hint="eastAsia"/>
                <w:color w:val="000000"/>
                <w:lang w:val="en-US" w:eastAsia="zh-CN"/>
              </w:rPr>
              <w:t>本项目</w:t>
            </w:r>
            <w:r>
              <w:rPr>
                <w:rFonts w:hint="eastAsia" w:ascii="Times New Roman" w:hAnsi="Times New Roman" w:eastAsia="宋体" w:cs="Times New Roman"/>
                <w:highlight w:val="none"/>
                <w:lang w:val="en-US" w:eastAsia="zh-CN"/>
              </w:rPr>
              <w:t>租用唐山市高新区</w:t>
            </w:r>
            <w:r>
              <w:rPr>
                <w:rFonts w:hint="eastAsia" w:cs="Times New Roman"/>
                <w:highlight w:val="none"/>
                <w:lang w:val="en-US" w:eastAsia="zh-CN"/>
              </w:rPr>
              <w:t>梁各庄村</w:t>
            </w:r>
            <w:r>
              <w:rPr>
                <w:rFonts w:hint="eastAsia" w:ascii="Times New Roman" w:hAnsi="Times New Roman" w:eastAsia="宋体" w:cs="Times New Roman"/>
                <w:highlight w:val="none"/>
                <w:lang w:val="en-US" w:eastAsia="zh-CN"/>
              </w:rPr>
              <w:t>的</w:t>
            </w:r>
            <w:r>
              <w:rPr>
                <w:rFonts w:hint="eastAsia" w:cs="Times New Roman"/>
                <w:highlight w:val="none"/>
                <w:lang w:val="en-US" w:eastAsia="zh-CN"/>
              </w:rPr>
              <w:t>闲置</w:t>
            </w:r>
            <w:r>
              <w:rPr>
                <w:rFonts w:hint="eastAsia" w:ascii="Times New Roman" w:hAnsi="Times New Roman" w:eastAsia="宋体" w:cs="Times New Roman"/>
                <w:highlight w:val="none"/>
                <w:lang w:val="en-US" w:eastAsia="zh-CN"/>
              </w:rPr>
              <w:t>厂房</w:t>
            </w:r>
            <w:r>
              <w:rPr>
                <w:rFonts w:hint="eastAsia"/>
                <w:color w:val="auto"/>
                <w:sz w:val="24"/>
                <w:szCs w:val="24"/>
                <w:shd w:val="clear" w:color="auto" w:fill="auto"/>
                <w:lang w:val="en-US" w:eastAsia="zh-CN"/>
              </w:rPr>
              <w:t>，对现有厂房进行改造</w:t>
            </w:r>
            <w:r>
              <w:rPr>
                <w:rFonts w:hint="eastAsia"/>
                <w:color w:val="000000"/>
                <w:lang w:val="en-US" w:eastAsia="zh-CN"/>
              </w:rPr>
              <w:t>，施工期主要为设备安装及调试</w:t>
            </w:r>
            <w:r>
              <w:rPr>
                <w:rFonts w:hint="default"/>
                <w:color w:val="000000"/>
                <w:lang w:val="en-US" w:eastAsia="zh-CN"/>
              </w:rPr>
              <w:t>，</w:t>
            </w:r>
            <w:r>
              <w:rPr>
                <w:rFonts w:hint="eastAsia"/>
                <w:color w:val="000000"/>
                <w:lang w:val="en-US" w:eastAsia="zh-CN"/>
              </w:rPr>
              <w:t>施工过程产生的环境影响主要为设备安装和调试产生的噪声，</w:t>
            </w:r>
            <w:r>
              <w:rPr>
                <w:rFonts w:hint="default"/>
                <w:color w:val="000000"/>
                <w:lang w:val="en-US" w:eastAsia="zh-CN"/>
              </w:rPr>
              <w:t>项目施工期较短，其影响是暂时的、局部的，且其影响会随着施工期的结束而消失。故项目施工阶段的短暂环境影响不会造成周边环境的影响。</w:t>
            </w:r>
          </w:p>
        </w:tc>
      </w:tr>
      <w:tr w14:paraId="7BDE5C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9" w:hRule="atLeast"/>
          <w:jc w:val="center"/>
        </w:trPr>
        <w:tc>
          <w:tcPr>
            <w:tcW w:w="746" w:type="dxa"/>
            <w:tcBorders>
              <w:top w:val="single" w:color="000000" w:sz="8" w:space="0"/>
              <w:left w:val="single" w:color="000000" w:sz="8" w:space="0"/>
              <w:bottom w:val="single" w:color="000000" w:sz="8" w:space="0"/>
              <w:right w:val="single" w:color="000000" w:sz="8" w:space="0"/>
            </w:tcBorders>
            <w:shd w:val="clear" w:color="auto" w:fill="auto"/>
            <w:noWrap w:val="0"/>
            <w:tcMar>
              <w:left w:w="28" w:type="dxa"/>
              <w:right w:w="28" w:type="dxa"/>
            </w:tcMar>
            <w:vAlign w:val="center"/>
          </w:tcPr>
          <w:p w14:paraId="4BA9CB89">
            <w:pPr>
              <w:pStyle w:val="27"/>
              <w:bidi w:val="0"/>
              <w:rPr>
                <w:rFonts w:hint="eastAsia"/>
                <w:color w:val="auto"/>
              </w:rPr>
            </w:pPr>
            <w:r>
              <w:rPr>
                <w:rFonts w:hint="eastAsia"/>
                <w:color w:val="auto"/>
              </w:rPr>
              <w:t>运营</w:t>
            </w:r>
          </w:p>
          <w:p w14:paraId="6731ACC5">
            <w:pPr>
              <w:pStyle w:val="27"/>
              <w:bidi w:val="0"/>
              <w:rPr>
                <w:rFonts w:hint="eastAsia"/>
                <w:color w:val="auto"/>
              </w:rPr>
            </w:pPr>
            <w:r>
              <w:rPr>
                <w:rFonts w:hint="eastAsia"/>
                <w:color w:val="auto"/>
              </w:rPr>
              <w:t>期环</w:t>
            </w:r>
          </w:p>
          <w:p w14:paraId="7D6F35A0">
            <w:pPr>
              <w:pStyle w:val="27"/>
              <w:bidi w:val="0"/>
              <w:rPr>
                <w:rFonts w:hint="eastAsia"/>
                <w:color w:val="auto"/>
              </w:rPr>
            </w:pPr>
            <w:r>
              <w:rPr>
                <w:rFonts w:hint="eastAsia"/>
                <w:color w:val="auto"/>
              </w:rPr>
              <w:t>境影</w:t>
            </w:r>
          </w:p>
          <w:p w14:paraId="28A93F50">
            <w:pPr>
              <w:pStyle w:val="27"/>
              <w:bidi w:val="0"/>
              <w:rPr>
                <w:rFonts w:hint="eastAsia"/>
                <w:color w:val="auto"/>
              </w:rPr>
            </w:pPr>
            <w:r>
              <w:rPr>
                <w:rFonts w:hint="eastAsia"/>
                <w:color w:val="auto"/>
              </w:rPr>
              <w:t>响和</w:t>
            </w:r>
          </w:p>
          <w:p w14:paraId="7EC57F0A">
            <w:pPr>
              <w:pStyle w:val="27"/>
              <w:bidi w:val="0"/>
              <w:rPr>
                <w:rFonts w:hint="eastAsia"/>
                <w:color w:val="auto"/>
              </w:rPr>
            </w:pPr>
            <w:r>
              <w:rPr>
                <w:rFonts w:hint="eastAsia"/>
                <w:color w:val="auto"/>
              </w:rPr>
              <w:t>保护</w:t>
            </w:r>
          </w:p>
          <w:p w14:paraId="19B2D7E8">
            <w:pPr>
              <w:pStyle w:val="27"/>
              <w:bidi w:val="0"/>
              <w:ind w:firstLine="0" w:firstLineChars="0"/>
              <w:rPr>
                <w:rFonts w:hint="eastAsia"/>
                <w:color w:val="auto"/>
              </w:rPr>
            </w:pPr>
            <w:r>
              <w:rPr>
                <w:rFonts w:hint="eastAsia"/>
                <w:color w:val="auto"/>
              </w:rPr>
              <w:t>措施</w:t>
            </w:r>
          </w:p>
        </w:tc>
        <w:tc>
          <w:tcPr>
            <w:tcW w:w="8601"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068D99A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leftChars="0" w:right="0" w:firstLine="0" w:firstLineChars="0"/>
              <w:textAlignment w:val="auto"/>
              <w:rPr>
                <w:rFonts w:hint="default"/>
                <w:b/>
                <w:bCs/>
                <w:color w:val="auto"/>
                <w:highlight w:val="none"/>
                <w:lang w:val="en-US" w:eastAsia="zh-CN"/>
              </w:rPr>
            </w:pPr>
            <w:r>
              <w:rPr>
                <w:rFonts w:hint="default"/>
                <w:b/>
                <w:bCs/>
                <w:color w:val="auto"/>
                <w:highlight w:val="none"/>
              </w:rPr>
              <w:t>1</w:t>
            </w:r>
            <w:r>
              <w:rPr>
                <w:rFonts w:hint="eastAsia"/>
                <w:b/>
                <w:bCs/>
                <w:color w:val="auto"/>
                <w:highlight w:val="none"/>
                <w:lang w:eastAsia="zh-CN"/>
              </w:rPr>
              <w:t>、</w:t>
            </w:r>
            <w:r>
              <w:rPr>
                <w:rFonts w:hint="eastAsia"/>
                <w:b/>
                <w:bCs/>
                <w:color w:val="auto"/>
                <w:highlight w:val="none"/>
                <w:lang w:val="en-US" w:eastAsia="zh-CN"/>
              </w:rPr>
              <w:t>废气</w:t>
            </w:r>
          </w:p>
          <w:p w14:paraId="3C329FC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00" w:lineRule="exact"/>
              <w:ind w:left="0" w:right="0" w:firstLine="482" w:firstLineChars="200"/>
              <w:textAlignment w:val="auto"/>
              <w:rPr>
                <w:rFonts w:hint="default"/>
                <w:b/>
                <w:bCs/>
                <w:color w:val="auto"/>
                <w:highlight w:val="none"/>
              </w:rPr>
            </w:pPr>
            <w:r>
              <w:rPr>
                <w:rFonts w:hint="eastAsia"/>
                <w:b/>
                <w:bCs/>
                <w:color w:val="auto"/>
                <w:highlight w:val="none"/>
                <w:lang w:val="en-US" w:eastAsia="zh-CN"/>
              </w:rPr>
              <w:t>1.1</w:t>
            </w:r>
            <w:r>
              <w:rPr>
                <w:rFonts w:hint="eastAsia"/>
                <w:b/>
                <w:bCs/>
                <w:color w:val="auto"/>
                <w:highlight w:val="none"/>
                <w:lang w:eastAsia="zh-CN"/>
              </w:rPr>
              <w:t>废气源强及治理措施</w:t>
            </w:r>
          </w:p>
          <w:p w14:paraId="389AC2D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lang w:val="en-US" w:eastAsia="zh-CN"/>
              </w:rPr>
            </w:pPr>
            <w:r>
              <w:rPr>
                <w:rFonts w:hint="default"/>
                <w:color w:val="auto"/>
              </w:rPr>
              <w:t>本项目废气污染源主要为</w:t>
            </w:r>
            <w:r>
              <w:rPr>
                <w:rFonts w:hint="eastAsia"/>
                <w:color w:val="auto"/>
                <w:lang w:val="en-US" w:eastAsia="zh-CN"/>
              </w:rPr>
              <w:t>调漆、喷漆、烤漆、塑粉固化过程产生</w:t>
            </w:r>
            <w:r>
              <w:rPr>
                <w:rFonts w:hint="default"/>
                <w:color w:val="auto"/>
              </w:rPr>
              <w:t>的</w:t>
            </w:r>
            <w:r>
              <w:rPr>
                <w:rFonts w:hint="eastAsia"/>
                <w:color w:val="auto"/>
                <w:lang w:val="en-US" w:eastAsia="zh-CN"/>
              </w:rPr>
              <w:t>有机废气</w:t>
            </w:r>
            <w:r>
              <w:rPr>
                <w:rFonts w:hint="default"/>
                <w:color w:val="auto"/>
              </w:rPr>
              <w:t>，</w:t>
            </w:r>
            <w:r>
              <w:rPr>
                <w:rFonts w:hint="eastAsia"/>
                <w:color w:val="auto"/>
                <w:lang w:val="en-US" w:eastAsia="zh-CN"/>
              </w:rPr>
              <w:t>喷塑、打磨、打砂、抛丸、焊接、腻子打磨过程产生的颗粒物，烘干过程燃料燃烧产生的颗粒物、SO</w:t>
            </w:r>
            <w:r>
              <w:rPr>
                <w:rFonts w:hint="eastAsia"/>
                <w:color w:val="auto"/>
                <w:vertAlign w:val="subscript"/>
                <w:lang w:val="en-US" w:eastAsia="zh-CN"/>
              </w:rPr>
              <w:t>2</w:t>
            </w:r>
            <w:r>
              <w:rPr>
                <w:rFonts w:hint="eastAsia"/>
                <w:color w:val="auto"/>
                <w:lang w:val="en-US" w:eastAsia="zh-CN"/>
              </w:rPr>
              <w:t>、NO</w:t>
            </w:r>
            <w:r>
              <w:rPr>
                <w:rFonts w:hint="eastAsia"/>
                <w:color w:val="auto"/>
                <w:vertAlign w:val="subscript"/>
                <w:lang w:val="en-US" w:eastAsia="zh-CN"/>
              </w:rPr>
              <w:t>X</w:t>
            </w:r>
            <w:r>
              <w:rPr>
                <w:rFonts w:hint="eastAsia"/>
                <w:color w:val="auto"/>
                <w:lang w:val="en-US" w:eastAsia="zh-CN"/>
              </w:rPr>
              <w:t>、烟气黑度</w:t>
            </w:r>
            <w:r>
              <w:rPr>
                <w:rFonts w:hint="default"/>
                <w:color w:val="auto"/>
              </w:rPr>
              <w:t>。</w:t>
            </w:r>
            <w:r>
              <w:rPr>
                <w:rFonts w:hint="eastAsia"/>
                <w:color w:val="auto"/>
                <w:lang w:val="en-US" w:eastAsia="zh-CN"/>
              </w:rPr>
              <w:t>废气源强及治理措施情况见下表。</w:t>
            </w:r>
          </w:p>
          <w:p w14:paraId="57E77488">
            <w:pPr>
              <w:pStyle w:val="34"/>
              <w:bidi w:val="0"/>
              <w:rPr>
                <w:rFonts w:hint="eastAsia"/>
                <w:color w:val="auto"/>
                <w:sz w:val="21"/>
                <w:szCs w:val="21"/>
                <w:highlight w:val="none"/>
                <w:lang w:val="en-US" w:eastAsia="zh-CN"/>
              </w:rPr>
            </w:pPr>
            <w:r>
              <w:rPr>
                <w:rFonts w:hint="eastAsia"/>
                <w:color w:val="auto"/>
                <w:sz w:val="21"/>
                <w:szCs w:val="21"/>
                <w:highlight w:val="none"/>
                <w:lang w:eastAsia="zh-CN"/>
              </w:rPr>
              <w:t>表</w:t>
            </w:r>
            <w:r>
              <w:rPr>
                <w:rFonts w:hint="eastAsia"/>
                <w:color w:val="auto"/>
                <w:sz w:val="21"/>
                <w:szCs w:val="21"/>
                <w:highlight w:val="none"/>
                <w:lang w:val="en-US" w:eastAsia="zh-CN"/>
              </w:rPr>
              <w:t>21  废气源强、治理措施一览表</w:t>
            </w:r>
          </w:p>
          <w:tbl>
            <w:tblPr>
              <w:tblStyle w:val="20"/>
              <w:tblW w:w="846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64"/>
              <w:gridCol w:w="483"/>
              <w:gridCol w:w="1093"/>
              <w:gridCol w:w="495"/>
              <w:gridCol w:w="556"/>
              <w:gridCol w:w="376"/>
              <w:gridCol w:w="503"/>
              <w:gridCol w:w="390"/>
              <w:gridCol w:w="916"/>
              <w:gridCol w:w="555"/>
              <w:gridCol w:w="375"/>
              <w:gridCol w:w="465"/>
              <w:gridCol w:w="495"/>
              <w:gridCol w:w="585"/>
              <w:gridCol w:w="516"/>
            </w:tblGrid>
            <w:tr w14:paraId="623AF0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vMerge w:val="restart"/>
                  <w:tcBorders>
                    <w:tl2br w:val="nil"/>
                    <w:tr2bl w:val="nil"/>
                  </w:tcBorders>
                  <w:noWrap w:val="0"/>
                  <w:vAlign w:val="center"/>
                </w:tcPr>
                <w:p w14:paraId="4EF9C4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产排污环节</w:t>
                  </w:r>
                </w:p>
              </w:tc>
              <w:tc>
                <w:tcPr>
                  <w:tcW w:w="1576" w:type="dxa"/>
                  <w:gridSpan w:val="2"/>
                  <w:vMerge w:val="restart"/>
                  <w:tcBorders>
                    <w:tl2br w:val="nil"/>
                    <w:tr2bl w:val="nil"/>
                  </w:tcBorders>
                  <w:noWrap w:val="0"/>
                  <w:vAlign w:val="center"/>
                </w:tcPr>
                <w:p w14:paraId="4810C1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rPr>
                    <w:t>污染物</w:t>
                  </w:r>
                  <w:r>
                    <w:rPr>
                      <w:rFonts w:hint="default" w:ascii="Times New Roman" w:hAnsi="Times New Roman" w:eastAsia="宋体" w:cs="Times New Roman"/>
                      <w:bCs/>
                      <w:caps w:val="0"/>
                      <w:color w:val="auto"/>
                      <w:spacing w:val="0"/>
                      <w:position w:val="0"/>
                      <w:sz w:val="21"/>
                      <w:szCs w:val="21"/>
                      <w:highlight w:val="none"/>
                      <w:lang w:eastAsia="zh-CN"/>
                    </w:rPr>
                    <w:t>种类</w:t>
                  </w:r>
                </w:p>
              </w:tc>
              <w:tc>
                <w:tcPr>
                  <w:tcW w:w="1051" w:type="dxa"/>
                  <w:gridSpan w:val="2"/>
                  <w:tcBorders>
                    <w:tl2br w:val="nil"/>
                    <w:tr2bl w:val="nil"/>
                  </w:tcBorders>
                  <w:noWrap w:val="0"/>
                  <w:vAlign w:val="center"/>
                </w:tcPr>
                <w:p w14:paraId="4ABDC5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产生情况</w:t>
                  </w:r>
                </w:p>
              </w:tc>
              <w:tc>
                <w:tcPr>
                  <w:tcW w:w="376" w:type="dxa"/>
                  <w:vMerge w:val="restart"/>
                  <w:tcBorders>
                    <w:tl2br w:val="nil"/>
                    <w:tr2bl w:val="nil"/>
                  </w:tcBorders>
                  <w:noWrap w:val="0"/>
                  <w:vAlign w:val="center"/>
                </w:tcPr>
                <w:p w14:paraId="2AC9BD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排放形式</w:t>
                  </w:r>
                </w:p>
              </w:tc>
              <w:tc>
                <w:tcPr>
                  <w:tcW w:w="2739" w:type="dxa"/>
                  <w:gridSpan w:val="5"/>
                  <w:tcBorders>
                    <w:tl2br w:val="nil"/>
                    <w:tr2bl w:val="nil"/>
                  </w:tcBorders>
                  <w:noWrap w:val="0"/>
                  <w:vAlign w:val="center"/>
                </w:tcPr>
                <w:p w14:paraId="328700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治理措施</w:t>
                  </w:r>
                </w:p>
              </w:tc>
              <w:tc>
                <w:tcPr>
                  <w:tcW w:w="2061" w:type="dxa"/>
                  <w:gridSpan w:val="4"/>
                  <w:tcBorders>
                    <w:tl2br w:val="nil"/>
                    <w:tr2bl w:val="nil"/>
                  </w:tcBorders>
                  <w:noWrap w:val="0"/>
                  <w:vAlign w:val="center"/>
                </w:tcPr>
                <w:p w14:paraId="437DBE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排放</w:t>
                  </w:r>
                  <w:r>
                    <w:rPr>
                      <w:rFonts w:hint="default" w:ascii="Times New Roman" w:hAnsi="Times New Roman" w:eastAsia="宋体" w:cs="Times New Roman"/>
                      <w:bCs/>
                      <w:caps w:val="0"/>
                      <w:color w:val="auto"/>
                      <w:spacing w:val="0"/>
                      <w:position w:val="0"/>
                      <w:sz w:val="21"/>
                      <w:szCs w:val="21"/>
                      <w:highlight w:val="none"/>
                      <w:lang w:eastAsia="zh-CN"/>
                    </w:rPr>
                    <w:t>情况</w:t>
                  </w:r>
                </w:p>
              </w:tc>
            </w:tr>
            <w:tr w14:paraId="355AF7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vMerge w:val="continue"/>
                  <w:tcBorders>
                    <w:tl2br w:val="nil"/>
                    <w:tr2bl w:val="nil"/>
                  </w:tcBorders>
                  <w:noWrap w:val="0"/>
                  <w:vAlign w:val="center"/>
                </w:tcPr>
                <w:p w14:paraId="25C283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1576" w:type="dxa"/>
                  <w:gridSpan w:val="2"/>
                  <w:vMerge w:val="continue"/>
                  <w:tcBorders>
                    <w:tl2br w:val="nil"/>
                    <w:tr2bl w:val="nil"/>
                  </w:tcBorders>
                  <w:noWrap w:val="0"/>
                  <w:vAlign w:val="center"/>
                </w:tcPr>
                <w:p w14:paraId="6F8422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95" w:type="dxa"/>
                  <w:tcBorders>
                    <w:tl2br w:val="nil"/>
                    <w:tr2bl w:val="nil"/>
                  </w:tcBorders>
                  <w:noWrap w:val="0"/>
                  <w:vAlign w:val="center"/>
                </w:tcPr>
                <w:p w14:paraId="4FC3FA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产生量</w:t>
                  </w:r>
                  <w:r>
                    <w:rPr>
                      <w:rFonts w:hint="default"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eastAsia="宋体" w:cs="Times New Roman"/>
                      <w:caps w:val="0"/>
                      <w:color w:val="auto"/>
                      <w:spacing w:val="0"/>
                      <w:position w:val="0"/>
                      <w:sz w:val="21"/>
                      <w:szCs w:val="21"/>
                      <w:highlight w:val="none"/>
                      <w:lang w:val="en-US" w:eastAsia="zh-CN"/>
                    </w:rPr>
                    <w:t>t</w:t>
                  </w:r>
                  <w:r>
                    <w:rPr>
                      <w:rFonts w:hint="default" w:ascii="Times New Roman" w:hAnsi="Times New Roman" w:eastAsia="宋体" w:cs="Times New Roman"/>
                      <w:caps w:val="0"/>
                      <w:color w:val="auto"/>
                      <w:spacing w:val="0"/>
                      <w:position w:val="0"/>
                      <w:sz w:val="21"/>
                      <w:szCs w:val="21"/>
                      <w:highlight w:val="none"/>
                    </w:rPr>
                    <w:t>/</w:t>
                  </w:r>
                  <w:r>
                    <w:rPr>
                      <w:rFonts w:hint="default" w:ascii="Times New Roman" w:hAnsi="Times New Roman" w:eastAsia="宋体" w:cs="Times New Roman"/>
                      <w:caps w:val="0"/>
                      <w:color w:val="auto"/>
                      <w:spacing w:val="0"/>
                      <w:position w:val="0"/>
                      <w:sz w:val="21"/>
                      <w:szCs w:val="21"/>
                      <w:highlight w:val="none"/>
                      <w:lang w:val="en-US" w:eastAsia="zh-CN"/>
                    </w:rPr>
                    <w:t>a</w:t>
                  </w:r>
                  <w:r>
                    <w:rPr>
                      <w:rFonts w:hint="default" w:ascii="Times New Roman" w:hAnsi="Times New Roman" w:eastAsia="宋体" w:cs="Times New Roman"/>
                      <w:bCs/>
                      <w:caps w:val="0"/>
                      <w:color w:val="auto"/>
                      <w:spacing w:val="0"/>
                      <w:position w:val="0"/>
                      <w:sz w:val="21"/>
                      <w:szCs w:val="21"/>
                      <w:highlight w:val="none"/>
                      <w:lang w:val="en-US" w:eastAsia="zh-CN"/>
                    </w:rPr>
                    <w:t>）</w:t>
                  </w:r>
                </w:p>
              </w:tc>
              <w:tc>
                <w:tcPr>
                  <w:tcW w:w="556" w:type="dxa"/>
                  <w:tcBorders>
                    <w:tl2br w:val="nil"/>
                    <w:tr2bl w:val="nil"/>
                  </w:tcBorders>
                  <w:noWrap w:val="0"/>
                  <w:vAlign w:val="center"/>
                </w:tcPr>
                <w:p w14:paraId="4128EA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eastAsia="zh-CN"/>
                    </w:rPr>
                    <w:t>产生浓度</w:t>
                  </w:r>
                  <w:r>
                    <w:rPr>
                      <w:rFonts w:hint="default" w:ascii="Times New Roman" w:hAnsi="Times New Roman" w:eastAsia="宋体" w:cs="Times New Roman"/>
                      <w:bCs/>
                      <w:caps w:val="0"/>
                      <w:color w:val="auto"/>
                      <w:spacing w:val="0"/>
                      <w:position w:val="0"/>
                      <w:sz w:val="21"/>
                      <w:szCs w:val="21"/>
                      <w:highlight w:val="none"/>
                      <w:lang w:val="en-US" w:eastAsia="zh-CN"/>
                    </w:rPr>
                    <w:t>(mg/m</w:t>
                  </w:r>
                  <w:r>
                    <w:rPr>
                      <w:rFonts w:hint="default" w:ascii="Times New Roman" w:hAnsi="Times New Roman" w:eastAsia="宋体" w:cs="Times New Roman"/>
                      <w:bCs/>
                      <w:caps w:val="0"/>
                      <w:color w:val="auto"/>
                      <w:spacing w:val="0"/>
                      <w:position w:val="0"/>
                      <w:sz w:val="21"/>
                      <w:szCs w:val="21"/>
                      <w:highlight w:val="none"/>
                      <w:vertAlign w:val="superscript"/>
                      <w:lang w:val="en-US" w:eastAsia="zh-CN"/>
                    </w:rPr>
                    <w:t>3</w:t>
                  </w:r>
                  <w:r>
                    <w:rPr>
                      <w:rFonts w:hint="default" w:ascii="Times New Roman" w:hAnsi="Times New Roman" w:eastAsia="宋体" w:cs="Times New Roman"/>
                      <w:bCs/>
                      <w:caps w:val="0"/>
                      <w:color w:val="auto"/>
                      <w:spacing w:val="0"/>
                      <w:position w:val="0"/>
                      <w:sz w:val="21"/>
                      <w:szCs w:val="21"/>
                      <w:highlight w:val="none"/>
                      <w:lang w:val="en-US" w:eastAsia="zh-CN"/>
                    </w:rPr>
                    <w:t>)</w:t>
                  </w:r>
                </w:p>
              </w:tc>
              <w:tc>
                <w:tcPr>
                  <w:tcW w:w="376" w:type="dxa"/>
                  <w:vMerge w:val="continue"/>
                  <w:tcBorders>
                    <w:tl2br w:val="nil"/>
                    <w:tr2bl w:val="nil"/>
                  </w:tcBorders>
                  <w:noWrap w:val="0"/>
                  <w:vAlign w:val="center"/>
                </w:tcPr>
                <w:p w14:paraId="62A9D9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p>
              </w:tc>
              <w:tc>
                <w:tcPr>
                  <w:tcW w:w="503" w:type="dxa"/>
                  <w:tcBorders>
                    <w:tl2br w:val="nil"/>
                    <w:tr2bl w:val="nil"/>
                  </w:tcBorders>
                  <w:noWrap w:val="0"/>
                  <w:vAlign w:val="center"/>
                </w:tcPr>
                <w:p w14:paraId="7777C2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处理能力(</w:t>
                  </w:r>
                  <w:r>
                    <w:rPr>
                      <w:rFonts w:hint="default" w:ascii="Times New Roman" w:hAnsi="Times New Roman" w:eastAsia="宋体" w:cs="Times New Roman"/>
                      <w:caps w:val="0"/>
                      <w:color w:val="auto"/>
                      <w:spacing w:val="0"/>
                      <w:position w:val="0"/>
                      <w:sz w:val="21"/>
                      <w:szCs w:val="21"/>
                      <w:highlight w:val="none"/>
                    </w:rPr>
                    <w:t>m</w:t>
                  </w:r>
                  <w:r>
                    <w:rPr>
                      <w:rFonts w:hint="default" w:ascii="Times New Roman" w:hAnsi="Times New Roman" w:eastAsia="宋体" w:cs="Times New Roman"/>
                      <w:caps w:val="0"/>
                      <w:color w:val="auto"/>
                      <w:spacing w:val="0"/>
                      <w:position w:val="0"/>
                      <w:sz w:val="21"/>
                      <w:szCs w:val="21"/>
                      <w:highlight w:val="none"/>
                      <w:vertAlign w:val="superscript"/>
                    </w:rPr>
                    <w:t>3</w:t>
                  </w:r>
                  <w:r>
                    <w:rPr>
                      <w:rFonts w:hint="default" w:ascii="Times New Roman" w:hAnsi="Times New Roman" w:eastAsia="宋体" w:cs="Times New Roman"/>
                      <w:caps w:val="0"/>
                      <w:color w:val="auto"/>
                      <w:spacing w:val="0"/>
                      <w:position w:val="0"/>
                      <w:sz w:val="21"/>
                      <w:szCs w:val="21"/>
                      <w:highlight w:val="none"/>
                    </w:rPr>
                    <w:t>/h</w:t>
                  </w:r>
                  <w:r>
                    <w:rPr>
                      <w:rFonts w:hint="default" w:ascii="Times New Roman" w:hAnsi="Times New Roman" w:eastAsia="宋体" w:cs="Times New Roman"/>
                      <w:caps w:val="0"/>
                      <w:color w:val="auto"/>
                      <w:spacing w:val="0"/>
                      <w:position w:val="0"/>
                      <w:sz w:val="21"/>
                      <w:szCs w:val="21"/>
                      <w:highlight w:val="none"/>
                      <w:lang w:val="en-US" w:eastAsia="zh-CN"/>
                    </w:rPr>
                    <w:t>)</w:t>
                  </w:r>
                </w:p>
              </w:tc>
              <w:tc>
                <w:tcPr>
                  <w:tcW w:w="390" w:type="dxa"/>
                  <w:tcBorders>
                    <w:tl2br w:val="nil"/>
                    <w:tr2bl w:val="nil"/>
                  </w:tcBorders>
                  <w:noWrap w:val="0"/>
                  <w:vAlign w:val="center"/>
                </w:tcPr>
                <w:p w14:paraId="408875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lang w:eastAsia="zh-CN"/>
                    </w:rPr>
                    <w:t>收集效率</w:t>
                  </w:r>
                  <w:r>
                    <w:rPr>
                      <w:rFonts w:hint="default" w:ascii="Times New Roman" w:hAnsi="Times New Roman" w:eastAsia="宋体" w:cs="Times New Roman"/>
                      <w:bCs/>
                      <w:caps w:val="0"/>
                      <w:color w:val="auto"/>
                      <w:spacing w:val="0"/>
                      <w:position w:val="0"/>
                      <w:sz w:val="21"/>
                      <w:szCs w:val="21"/>
                      <w:highlight w:val="none"/>
                      <w:lang w:val="en-US" w:eastAsia="zh-CN"/>
                    </w:rPr>
                    <w:t>(%)</w:t>
                  </w:r>
                </w:p>
              </w:tc>
              <w:tc>
                <w:tcPr>
                  <w:tcW w:w="916" w:type="dxa"/>
                  <w:tcBorders>
                    <w:tl2br w:val="nil"/>
                    <w:tr2bl w:val="nil"/>
                  </w:tcBorders>
                  <w:noWrap w:val="0"/>
                  <w:vAlign w:val="center"/>
                </w:tcPr>
                <w:p w14:paraId="78080B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rPr>
                    <w:t>工艺</w:t>
                  </w:r>
                </w:p>
              </w:tc>
              <w:tc>
                <w:tcPr>
                  <w:tcW w:w="555" w:type="dxa"/>
                  <w:tcBorders>
                    <w:tl2br w:val="nil"/>
                    <w:tr2bl w:val="nil"/>
                  </w:tcBorders>
                  <w:noWrap w:val="0"/>
                  <w:vAlign w:val="center"/>
                </w:tcPr>
                <w:p w14:paraId="086FEA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rPr>
                  </w:pPr>
                  <w:r>
                    <w:rPr>
                      <w:rFonts w:hint="default" w:ascii="Times New Roman" w:hAnsi="Times New Roman" w:eastAsia="宋体" w:cs="Times New Roman"/>
                      <w:bCs/>
                      <w:caps w:val="0"/>
                      <w:color w:val="auto"/>
                      <w:spacing w:val="0"/>
                      <w:position w:val="0"/>
                      <w:sz w:val="21"/>
                      <w:szCs w:val="21"/>
                      <w:highlight w:val="none"/>
                      <w:lang w:eastAsia="zh-CN"/>
                    </w:rPr>
                    <w:t>去除率</w:t>
                  </w:r>
                  <w:r>
                    <w:rPr>
                      <w:rFonts w:hint="default" w:ascii="Times New Roman" w:hAnsi="Times New Roman" w:eastAsia="宋体" w:cs="Times New Roman"/>
                      <w:bCs/>
                      <w:caps w:val="0"/>
                      <w:color w:val="auto"/>
                      <w:spacing w:val="0"/>
                      <w:position w:val="0"/>
                      <w:sz w:val="21"/>
                      <w:szCs w:val="21"/>
                      <w:highlight w:val="none"/>
                      <w:lang w:val="en-US" w:eastAsia="zh-CN"/>
                    </w:rPr>
                    <w:t>(%)</w:t>
                  </w:r>
                </w:p>
                <w:p w14:paraId="71CC2C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p>
              </w:tc>
              <w:tc>
                <w:tcPr>
                  <w:tcW w:w="375" w:type="dxa"/>
                  <w:tcBorders>
                    <w:tl2br w:val="nil"/>
                    <w:tr2bl w:val="nil"/>
                  </w:tcBorders>
                  <w:noWrap w:val="0"/>
                  <w:vAlign w:val="center"/>
                </w:tcPr>
                <w:p w14:paraId="53784D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是否为可行性技术</w:t>
                  </w:r>
                </w:p>
              </w:tc>
              <w:tc>
                <w:tcPr>
                  <w:tcW w:w="465" w:type="dxa"/>
                  <w:tcBorders>
                    <w:tl2br w:val="nil"/>
                    <w:tr2bl w:val="nil"/>
                  </w:tcBorders>
                  <w:noWrap w:val="0"/>
                  <w:vAlign w:val="center"/>
                </w:tcPr>
                <w:p w14:paraId="6D1160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rPr>
                    <w:t>排放浓度</w:t>
                  </w:r>
                  <w:r>
                    <w:rPr>
                      <w:rFonts w:hint="default"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eastAsia="宋体" w:cs="Times New Roman"/>
                      <w:bCs/>
                      <w:caps w:val="0"/>
                      <w:color w:val="auto"/>
                      <w:spacing w:val="0"/>
                      <w:position w:val="0"/>
                      <w:sz w:val="21"/>
                      <w:szCs w:val="21"/>
                      <w:highlight w:val="none"/>
                    </w:rPr>
                    <w:t>mg/m</w:t>
                  </w:r>
                  <w:r>
                    <w:rPr>
                      <w:rFonts w:hint="default" w:ascii="Times New Roman" w:hAnsi="Times New Roman" w:eastAsia="宋体" w:cs="Times New Roman"/>
                      <w:bCs/>
                      <w:caps w:val="0"/>
                      <w:color w:val="auto"/>
                      <w:spacing w:val="0"/>
                      <w:position w:val="0"/>
                      <w:sz w:val="21"/>
                      <w:szCs w:val="21"/>
                      <w:highlight w:val="none"/>
                      <w:vertAlign w:val="superscript"/>
                    </w:rPr>
                    <w:t>3</w:t>
                  </w:r>
                  <w:r>
                    <w:rPr>
                      <w:rFonts w:hint="default" w:ascii="Times New Roman" w:hAnsi="Times New Roman" w:eastAsia="宋体" w:cs="Times New Roman"/>
                      <w:bCs/>
                      <w:caps w:val="0"/>
                      <w:color w:val="auto"/>
                      <w:spacing w:val="0"/>
                      <w:position w:val="0"/>
                      <w:sz w:val="21"/>
                      <w:szCs w:val="21"/>
                      <w:highlight w:val="none"/>
                      <w:lang w:val="en-US" w:eastAsia="zh-CN"/>
                    </w:rPr>
                    <w:t>)</w:t>
                  </w:r>
                </w:p>
              </w:tc>
              <w:tc>
                <w:tcPr>
                  <w:tcW w:w="495" w:type="dxa"/>
                  <w:tcBorders>
                    <w:tl2br w:val="nil"/>
                    <w:tr2bl w:val="nil"/>
                  </w:tcBorders>
                  <w:noWrap w:val="0"/>
                  <w:vAlign w:val="center"/>
                </w:tcPr>
                <w:p w14:paraId="11EE6E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eastAsia="zh-CN"/>
                    </w:rPr>
                    <w:t>排放速率</w:t>
                  </w:r>
                  <w:r>
                    <w:rPr>
                      <w:rFonts w:hint="default" w:ascii="Times New Roman" w:hAnsi="Times New Roman" w:eastAsia="宋体" w:cs="Times New Roman"/>
                      <w:bCs/>
                      <w:caps w:val="0"/>
                      <w:color w:val="auto"/>
                      <w:spacing w:val="0"/>
                      <w:position w:val="0"/>
                      <w:sz w:val="21"/>
                      <w:szCs w:val="21"/>
                      <w:highlight w:val="none"/>
                      <w:lang w:val="en-US" w:eastAsia="zh-CN"/>
                    </w:rPr>
                    <w:t>(kg/h)</w:t>
                  </w:r>
                </w:p>
              </w:tc>
              <w:tc>
                <w:tcPr>
                  <w:tcW w:w="585" w:type="dxa"/>
                  <w:tcBorders>
                    <w:tl2br w:val="nil"/>
                    <w:tr2bl w:val="nil"/>
                  </w:tcBorders>
                  <w:noWrap w:val="0"/>
                  <w:vAlign w:val="center"/>
                </w:tcPr>
                <w:p w14:paraId="191F7C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rPr>
                  </w:pPr>
                  <w:r>
                    <w:rPr>
                      <w:rFonts w:hint="default" w:ascii="Times New Roman" w:hAnsi="Times New Roman" w:eastAsia="宋体" w:cs="Times New Roman"/>
                      <w:bCs/>
                      <w:caps w:val="0"/>
                      <w:color w:val="auto"/>
                      <w:spacing w:val="0"/>
                      <w:position w:val="0"/>
                      <w:sz w:val="21"/>
                      <w:szCs w:val="21"/>
                      <w:highlight w:val="none"/>
                      <w:lang w:eastAsia="zh-CN"/>
                    </w:rPr>
                    <w:t>有组织</w:t>
                  </w:r>
                  <w:r>
                    <w:rPr>
                      <w:rFonts w:hint="default" w:ascii="Times New Roman" w:hAnsi="Times New Roman" w:eastAsia="宋体" w:cs="Times New Roman"/>
                      <w:bCs/>
                      <w:caps w:val="0"/>
                      <w:color w:val="auto"/>
                      <w:spacing w:val="0"/>
                      <w:position w:val="0"/>
                      <w:sz w:val="21"/>
                      <w:szCs w:val="21"/>
                      <w:highlight w:val="none"/>
                    </w:rPr>
                    <w:t>排放量</w:t>
                  </w:r>
                  <w:r>
                    <w:rPr>
                      <w:rFonts w:hint="default" w:ascii="Times New Roman" w:hAnsi="Times New Roman" w:eastAsia="宋体" w:cs="Times New Roman"/>
                      <w:bCs/>
                      <w:caps w:val="0"/>
                      <w:color w:val="auto"/>
                      <w:spacing w:val="0"/>
                      <w:position w:val="0"/>
                      <w:sz w:val="21"/>
                      <w:szCs w:val="21"/>
                      <w:highlight w:val="none"/>
                      <w:lang w:val="en-US" w:eastAsia="zh-CN"/>
                    </w:rPr>
                    <w:t>(</w:t>
                  </w:r>
                  <w:r>
                    <w:rPr>
                      <w:rFonts w:hint="default" w:ascii="Times New Roman" w:hAnsi="Times New Roman" w:eastAsia="宋体" w:cs="Times New Roman"/>
                      <w:caps w:val="0"/>
                      <w:color w:val="auto"/>
                      <w:spacing w:val="0"/>
                      <w:position w:val="0"/>
                      <w:sz w:val="21"/>
                      <w:szCs w:val="21"/>
                      <w:highlight w:val="none"/>
                      <w:lang w:val="en-US" w:eastAsia="zh-CN"/>
                    </w:rPr>
                    <w:t>t</w:t>
                  </w:r>
                  <w:r>
                    <w:rPr>
                      <w:rFonts w:hint="default" w:ascii="Times New Roman" w:hAnsi="Times New Roman" w:eastAsia="宋体" w:cs="Times New Roman"/>
                      <w:caps w:val="0"/>
                      <w:color w:val="auto"/>
                      <w:spacing w:val="0"/>
                      <w:position w:val="0"/>
                      <w:sz w:val="21"/>
                      <w:szCs w:val="21"/>
                      <w:highlight w:val="none"/>
                    </w:rPr>
                    <w:t>/</w:t>
                  </w:r>
                  <w:r>
                    <w:rPr>
                      <w:rFonts w:hint="default" w:ascii="Times New Roman" w:hAnsi="Times New Roman" w:eastAsia="宋体" w:cs="Times New Roman"/>
                      <w:caps w:val="0"/>
                      <w:color w:val="auto"/>
                      <w:spacing w:val="0"/>
                      <w:position w:val="0"/>
                      <w:sz w:val="21"/>
                      <w:szCs w:val="21"/>
                      <w:highlight w:val="none"/>
                      <w:lang w:val="en-US" w:eastAsia="zh-CN"/>
                    </w:rPr>
                    <w:t>a)</w:t>
                  </w:r>
                </w:p>
              </w:tc>
              <w:tc>
                <w:tcPr>
                  <w:tcW w:w="516" w:type="dxa"/>
                  <w:tcBorders>
                    <w:tl2br w:val="nil"/>
                    <w:tr2bl w:val="nil"/>
                  </w:tcBorders>
                  <w:noWrap w:val="0"/>
                  <w:vAlign w:val="center"/>
                </w:tcPr>
                <w:p w14:paraId="05EDE2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eastAsia="zh-CN"/>
                    </w:rPr>
                    <w:t>无组织排放量</w:t>
                  </w:r>
                  <w:r>
                    <w:rPr>
                      <w:rFonts w:hint="default" w:ascii="Times New Roman" w:hAnsi="Times New Roman" w:eastAsia="宋体" w:cs="Times New Roman"/>
                      <w:bCs/>
                      <w:caps w:val="0"/>
                      <w:color w:val="auto"/>
                      <w:spacing w:val="0"/>
                      <w:position w:val="0"/>
                      <w:sz w:val="21"/>
                      <w:szCs w:val="21"/>
                      <w:highlight w:val="none"/>
                      <w:lang w:val="en-US" w:eastAsia="zh-CN"/>
                    </w:rPr>
                    <w:t>(t/a)</w:t>
                  </w:r>
                </w:p>
              </w:tc>
            </w:tr>
            <w:tr w14:paraId="1CCD4D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vMerge w:val="restart"/>
                  <w:tcBorders>
                    <w:tl2br w:val="nil"/>
                    <w:tr2bl w:val="nil"/>
                  </w:tcBorders>
                  <w:noWrap w:val="0"/>
                  <w:vAlign w:val="center"/>
                </w:tcPr>
                <w:p w14:paraId="603C61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yellow"/>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调漆、喷漆、烘干、塑粉固化过程</w:t>
                  </w:r>
                </w:p>
              </w:tc>
              <w:tc>
                <w:tcPr>
                  <w:tcW w:w="1576" w:type="dxa"/>
                  <w:gridSpan w:val="2"/>
                  <w:tcBorders>
                    <w:tl2br w:val="nil"/>
                    <w:tr2bl w:val="nil"/>
                  </w:tcBorders>
                  <w:noWrap w:val="0"/>
                  <w:vAlign w:val="center"/>
                </w:tcPr>
                <w:p w14:paraId="6FFBDB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color w:val="auto"/>
                      <w:sz w:val="21"/>
                      <w:szCs w:val="21"/>
                      <w:lang w:val="en-US" w:eastAsia="zh-CN"/>
                    </w:rPr>
                    <w:t>颗粒物</w:t>
                  </w:r>
                </w:p>
              </w:tc>
              <w:tc>
                <w:tcPr>
                  <w:tcW w:w="495" w:type="dxa"/>
                  <w:tcBorders>
                    <w:tl2br w:val="nil"/>
                    <w:tr2bl w:val="nil"/>
                  </w:tcBorders>
                  <w:noWrap w:val="0"/>
                  <w:vAlign w:val="center"/>
                </w:tcPr>
                <w:p w14:paraId="624288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0.56</w:t>
                  </w:r>
                </w:p>
              </w:tc>
              <w:tc>
                <w:tcPr>
                  <w:tcW w:w="556" w:type="dxa"/>
                  <w:tcBorders>
                    <w:tl2br w:val="nil"/>
                    <w:tr2bl w:val="nil"/>
                  </w:tcBorders>
                  <w:noWrap w:val="0"/>
                  <w:vAlign w:val="center"/>
                </w:tcPr>
                <w:p w14:paraId="2F88E1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20.7</w:t>
                  </w:r>
                </w:p>
              </w:tc>
              <w:tc>
                <w:tcPr>
                  <w:tcW w:w="376" w:type="dxa"/>
                  <w:vMerge w:val="restart"/>
                  <w:tcBorders>
                    <w:tl2br w:val="nil"/>
                    <w:tr2bl w:val="nil"/>
                  </w:tcBorders>
                  <w:noWrap w:val="0"/>
                  <w:vAlign w:val="center"/>
                </w:tcPr>
                <w:p w14:paraId="18813D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有组织</w:t>
                  </w:r>
                </w:p>
              </w:tc>
              <w:tc>
                <w:tcPr>
                  <w:tcW w:w="503" w:type="dxa"/>
                  <w:vMerge w:val="restart"/>
                  <w:tcBorders>
                    <w:tl2br w:val="nil"/>
                    <w:tr2bl w:val="nil"/>
                  </w:tcBorders>
                  <w:noWrap w:val="0"/>
                  <w:vAlign w:val="center"/>
                </w:tcPr>
                <w:p w14:paraId="0A5489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引风机风量30000</w:t>
                  </w:r>
                  <w:r>
                    <w:rPr>
                      <w:rFonts w:hint="default" w:ascii="Times New Roman" w:hAnsi="Times New Roman" w:eastAsia="宋体" w:cs="Times New Roman"/>
                      <w:caps w:val="0"/>
                      <w:color w:val="auto"/>
                      <w:spacing w:val="0"/>
                      <w:position w:val="0"/>
                      <w:sz w:val="21"/>
                      <w:szCs w:val="21"/>
                      <w:highlight w:val="none"/>
                    </w:rPr>
                    <w:t>m</w:t>
                  </w:r>
                  <w:r>
                    <w:rPr>
                      <w:rFonts w:hint="default" w:ascii="Times New Roman" w:hAnsi="Times New Roman" w:eastAsia="宋体" w:cs="Times New Roman"/>
                      <w:caps w:val="0"/>
                      <w:color w:val="auto"/>
                      <w:spacing w:val="0"/>
                      <w:position w:val="0"/>
                      <w:sz w:val="21"/>
                      <w:szCs w:val="21"/>
                      <w:highlight w:val="none"/>
                      <w:vertAlign w:val="superscript"/>
                    </w:rPr>
                    <w:t>3</w:t>
                  </w:r>
                  <w:r>
                    <w:rPr>
                      <w:rFonts w:hint="default" w:ascii="Times New Roman" w:hAnsi="Times New Roman" w:eastAsia="宋体" w:cs="Times New Roman"/>
                      <w:caps w:val="0"/>
                      <w:color w:val="auto"/>
                      <w:spacing w:val="0"/>
                      <w:position w:val="0"/>
                      <w:sz w:val="21"/>
                      <w:szCs w:val="21"/>
                      <w:highlight w:val="none"/>
                    </w:rPr>
                    <w:t>/h</w:t>
                  </w:r>
                  <w:r>
                    <w:rPr>
                      <w:rFonts w:hint="default" w:ascii="Times New Roman" w:hAnsi="Times New Roman" w:eastAsia="宋体" w:cs="Times New Roman"/>
                      <w:caps w:val="0"/>
                      <w:color w:val="auto"/>
                      <w:spacing w:val="0"/>
                      <w:position w:val="0"/>
                      <w:sz w:val="21"/>
                      <w:szCs w:val="21"/>
                      <w:highlight w:val="none"/>
                      <w:lang w:eastAsia="zh-CN"/>
                    </w:rPr>
                    <w:t>，</w:t>
                  </w:r>
                  <w:r>
                    <w:rPr>
                      <w:rFonts w:hint="default" w:ascii="Times New Roman" w:hAnsi="Times New Roman" w:eastAsia="宋体" w:cs="Times New Roman"/>
                      <w:caps w:val="0"/>
                      <w:color w:val="auto"/>
                      <w:spacing w:val="0"/>
                      <w:position w:val="0"/>
                      <w:sz w:val="21"/>
                      <w:szCs w:val="21"/>
                      <w:highlight w:val="none"/>
                      <w:lang w:val="en-US" w:eastAsia="zh-CN"/>
                    </w:rPr>
                    <w:t>活性炭脱附风机风量3</w:t>
                  </w:r>
                  <w:r>
                    <w:rPr>
                      <w:rFonts w:hint="default" w:ascii="Times New Roman" w:hAnsi="Times New Roman" w:eastAsia="宋体" w:cs="Times New Roman"/>
                      <w:bCs/>
                      <w:caps w:val="0"/>
                      <w:color w:val="auto"/>
                      <w:spacing w:val="0"/>
                      <w:position w:val="0"/>
                      <w:sz w:val="21"/>
                      <w:szCs w:val="21"/>
                      <w:highlight w:val="none"/>
                      <w:lang w:val="en-US" w:eastAsia="zh-CN"/>
                    </w:rPr>
                    <w:t>000</w:t>
                  </w:r>
                  <w:r>
                    <w:rPr>
                      <w:rFonts w:hint="default" w:ascii="Times New Roman" w:hAnsi="Times New Roman" w:eastAsia="宋体" w:cs="Times New Roman"/>
                      <w:caps w:val="0"/>
                      <w:color w:val="auto"/>
                      <w:spacing w:val="0"/>
                      <w:position w:val="0"/>
                      <w:sz w:val="21"/>
                      <w:szCs w:val="21"/>
                      <w:highlight w:val="none"/>
                    </w:rPr>
                    <w:t>m</w:t>
                  </w:r>
                  <w:r>
                    <w:rPr>
                      <w:rFonts w:hint="default" w:ascii="Times New Roman" w:hAnsi="Times New Roman" w:eastAsia="宋体" w:cs="Times New Roman"/>
                      <w:caps w:val="0"/>
                      <w:color w:val="auto"/>
                      <w:spacing w:val="0"/>
                      <w:position w:val="0"/>
                      <w:sz w:val="21"/>
                      <w:szCs w:val="21"/>
                      <w:highlight w:val="none"/>
                      <w:vertAlign w:val="superscript"/>
                    </w:rPr>
                    <w:t>3</w:t>
                  </w:r>
                  <w:r>
                    <w:rPr>
                      <w:rFonts w:hint="default" w:ascii="Times New Roman" w:hAnsi="Times New Roman" w:eastAsia="宋体" w:cs="Times New Roman"/>
                      <w:caps w:val="0"/>
                      <w:color w:val="auto"/>
                      <w:spacing w:val="0"/>
                      <w:position w:val="0"/>
                      <w:sz w:val="21"/>
                      <w:szCs w:val="21"/>
                      <w:highlight w:val="none"/>
                    </w:rPr>
                    <w:t>/h</w:t>
                  </w:r>
                </w:p>
              </w:tc>
              <w:tc>
                <w:tcPr>
                  <w:tcW w:w="390" w:type="dxa"/>
                  <w:vMerge w:val="restart"/>
                  <w:tcBorders>
                    <w:tl2br w:val="nil"/>
                    <w:tr2bl w:val="nil"/>
                  </w:tcBorders>
                  <w:noWrap w:val="0"/>
                  <w:vAlign w:val="center"/>
                </w:tcPr>
                <w:p w14:paraId="350B8D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98</w:t>
                  </w:r>
                </w:p>
              </w:tc>
              <w:tc>
                <w:tcPr>
                  <w:tcW w:w="916" w:type="dxa"/>
                  <w:vMerge w:val="restart"/>
                  <w:tcBorders>
                    <w:tl2br w:val="nil"/>
                    <w:tr2bl w:val="nil"/>
                  </w:tcBorders>
                  <w:noWrap w:val="0"/>
                  <w:vAlign w:val="center"/>
                </w:tcPr>
                <w:p w14:paraId="23655B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密闭空间，送排风方式均为上送下吸，底部设置过滤棉，采用风机将调漆、喷漆、烤漆、固化过程产生的废气引入1套过滤棉+活性炭吸附/脱附+催化燃烧装置处理</w:t>
                  </w:r>
                </w:p>
              </w:tc>
              <w:tc>
                <w:tcPr>
                  <w:tcW w:w="555" w:type="dxa"/>
                  <w:vMerge w:val="restart"/>
                  <w:tcBorders>
                    <w:tl2br w:val="nil"/>
                    <w:tr2bl w:val="nil"/>
                  </w:tcBorders>
                  <w:noWrap w:val="0"/>
                  <w:vAlign w:val="center"/>
                </w:tcPr>
                <w:p w14:paraId="5D0806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活性炭吸附去除效率90%，催化燃烧去除效率98%</w:t>
                  </w:r>
                </w:p>
              </w:tc>
              <w:tc>
                <w:tcPr>
                  <w:tcW w:w="375" w:type="dxa"/>
                  <w:vMerge w:val="restart"/>
                  <w:tcBorders>
                    <w:tl2br w:val="nil"/>
                    <w:tr2bl w:val="nil"/>
                  </w:tcBorders>
                  <w:noWrap w:val="0"/>
                  <w:vAlign w:val="center"/>
                </w:tcPr>
                <w:p w14:paraId="451867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是</w:t>
                  </w:r>
                </w:p>
              </w:tc>
              <w:tc>
                <w:tcPr>
                  <w:tcW w:w="465" w:type="dxa"/>
                  <w:tcBorders>
                    <w:tl2br w:val="nil"/>
                    <w:tr2bl w:val="nil"/>
                  </w:tcBorders>
                  <w:noWrap w:val="0"/>
                  <w:vAlign w:val="center"/>
                </w:tcPr>
                <w:p w14:paraId="72E2C6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2.033</w:t>
                  </w:r>
                </w:p>
              </w:tc>
              <w:tc>
                <w:tcPr>
                  <w:tcW w:w="495" w:type="dxa"/>
                  <w:tcBorders>
                    <w:tl2br w:val="nil"/>
                    <w:tr2bl w:val="nil"/>
                  </w:tcBorders>
                  <w:noWrap w:val="0"/>
                  <w:vAlign w:val="center"/>
                </w:tcPr>
                <w:p w14:paraId="0CD831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0.061</w:t>
                  </w:r>
                </w:p>
              </w:tc>
              <w:tc>
                <w:tcPr>
                  <w:tcW w:w="585" w:type="dxa"/>
                  <w:tcBorders>
                    <w:tl2br w:val="nil"/>
                    <w:tr2bl w:val="nil"/>
                  </w:tcBorders>
                  <w:noWrap w:val="0"/>
                  <w:vAlign w:val="center"/>
                </w:tcPr>
                <w:p w14:paraId="518435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0.055</w:t>
                  </w:r>
                </w:p>
              </w:tc>
              <w:tc>
                <w:tcPr>
                  <w:tcW w:w="516" w:type="dxa"/>
                  <w:tcBorders>
                    <w:tl2br w:val="nil"/>
                    <w:tr2bl w:val="nil"/>
                  </w:tcBorders>
                  <w:noWrap w:val="0"/>
                  <w:vAlign w:val="center"/>
                </w:tcPr>
                <w:p w14:paraId="3EE63A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0.0112</w:t>
                  </w:r>
                </w:p>
              </w:tc>
            </w:tr>
            <w:tr w14:paraId="0251F1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vMerge w:val="continue"/>
                  <w:tcBorders>
                    <w:tl2br w:val="nil"/>
                    <w:tr2bl w:val="nil"/>
                  </w:tcBorders>
                  <w:noWrap w:val="0"/>
                  <w:vAlign w:val="center"/>
                </w:tcPr>
                <w:p w14:paraId="378D98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yellow"/>
                    </w:rPr>
                  </w:pPr>
                </w:p>
              </w:tc>
              <w:tc>
                <w:tcPr>
                  <w:tcW w:w="483" w:type="dxa"/>
                  <w:vMerge w:val="restart"/>
                  <w:tcBorders>
                    <w:tl2br w:val="nil"/>
                    <w:tr2bl w:val="nil"/>
                  </w:tcBorders>
                  <w:noWrap w:val="0"/>
                  <w:vAlign w:val="center"/>
                </w:tcPr>
                <w:p w14:paraId="39F6DAEB">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Cs/>
                      <w:caps w:val="0"/>
                      <w:color w:val="auto"/>
                      <w:spacing w:val="0"/>
                      <w:position w:val="0"/>
                      <w:sz w:val="21"/>
                      <w:szCs w:val="21"/>
                      <w:highlight w:val="none"/>
                      <w:lang w:val="en-US"/>
                    </w:rPr>
                  </w:pPr>
                  <w:r>
                    <w:rPr>
                      <w:rFonts w:hint="default" w:ascii="Times New Roman" w:hAnsi="Times New Roman" w:eastAsia="宋体" w:cs="Times New Roman"/>
                      <w:color w:val="auto"/>
                      <w:sz w:val="21"/>
                      <w:szCs w:val="21"/>
                      <w:lang w:val="en-US" w:eastAsia="zh-CN"/>
                    </w:rPr>
                    <w:t>非甲烷总烃</w:t>
                  </w:r>
                </w:p>
              </w:tc>
              <w:tc>
                <w:tcPr>
                  <w:tcW w:w="1093" w:type="dxa"/>
                  <w:tcBorders>
                    <w:tl2br w:val="nil"/>
                    <w:tr2bl w:val="nil"/>
                  </w:tcBorders>
                  <w:noWrap w:val="0"/>
                  <w:vAlign w:val="center"/>
                </w:tcPr>
                <w:p w14:paraId="79AF1F6D">
                  <w:pPr>
                    <w:pStyle w:val="27"/>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活性炭吸附</w:t>
                  </w:r>
                </w:p>
              </w:tc>
              <w:tc>
                <w:tcPr>
                  <w:tcW w:w="495" w:type="dxa"/>
                  <w:vMerge w:val="restart"/>
                  <w:tcBorders>
                    <w:tl2br w:val="nil"/>
                    <w:tr2bl w:val="nil"/>
                  </w:tcBorders>
                  <w:noWrap w:val="0"/>
                  <w:vAlign w:val="center"/>
                </w:tcPr>
                <w:p w14:paraId="4194D9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1.894</w:t>
                  </w:r>
                </w:p>
              </w:tc>
              <w:tc>
                <w:tcPr>
                  <w:tcW w:w="556" w:type="dxa"/>
                  <w:tcBorders>
                    <w:tl2br w:val="nil"/>
                    <w:tr2bl w:val="nil"/>
                  </w:tcBorders>
                  <w:noWrap w:val="0"/>
                  <w:vAlign w:val="center"/>
                </w:tcPr>
                <w:p w14:paraId="3FCD71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68.7</w:t>
                  </w:r>
                </w:p>
              </w:tc>
              <w:tc>
                <w:tcPr>
                  <w:tcW w:w="376" w:type="dxa"/>
                  <w:vMerge w:val="continue"/>
                  <w:tcBorders>
                    <w:tl2br w:val="nil"/>
                    <w:tr2bl w:val="nil"/>
                  </w:tcBorders>
                  <w:noWrap w:val="0"/>
                  <w:vAlign w:val="center"/>
                </w:tcPr>
                <w:p w14:paraId="481F26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03" w:type="dxa"/>
                  <w:vMerge w:val="continue"/>
                  <w:tcBorders>
                    <w:tl2br w:val="nil"/>
                    <w:tr2bl w:val="nil"/>
                  </w:tcBorders>
                  <w:noWrap w:val="0"/>
                  <w:vAlign w:val="center"/>
                </w:tcPr>
                <w:p w14:paraId="253897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390" w:type="dxa"/>
                  <w:vMerge w:val="continue"/>
                  <w:tcBorders>
                    <w:tl2br w:val="nil"/>
                    <w:tr2bl w:val="nil"/>
                  </w:tcBorders>
                  <w:noWrap w:val="0"/>
                  <w:vAlign w:val="center"/>
                </w:tcPr>
                <w:p w14:paraId="612765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916" w:type="dxa"/>
                  <w:vMerge w:val="continue"/>
                  <w:tcBorders>
                    <w:tl2br w:val="nil"/>
                    <w:tr2bl w:val="nil"/>
                  </w:tcBorders>
                  <w:noWrap w:val="0"/>
                  <w:vAlign w:val="center"/>
                </w:tcPr>
                <w:p w14:paraId="18D6AC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55" w:type="dxa"/>
                  <w:vMerge w:val="continue"/>
                  <w:tcBorders>
                    <w:tl2br w:val="nil"/>
                    <w:tr2bl w:val="nil"/>
                  </w:tcBorders>
                  <w:noWrap w:val="0"/>
                  <w:vAlign w:val="center"/>
                </w:tcPr>
                <w:p w14:paraId="0BCB53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375" w:type="dxa"/>
                  <w:vMerge w:val="continue"/>
                  <w:tcBorders>
                    <w:tl2br w:val="nil"/>
                    <w:tr2bl w:val="nil"/>
                  </w:tcBorders>
                  <w:noWrap w:val="0"/>
                  <w:vAlign w:val="center"/>
                </w:tcPr>
                <w:p w14:paraId="1E19E7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65" w:type="dxa"/>
                  <w:tcBorders>
                    <w:tl2br w:val="nil"/>
                    <w:tr2bl w:val="nil"/>
                  </w:tcBorders>
                  <w:noWrap w:val="0"/>
                  <w:vAlign w:val="center"/>
                </w:tcPr>
                <w:p w14:paraId="372CFF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6.875</w:t>
                  </w:r>
                </w:p>
              </w:tc>
              <w:tc>
                <w:tcPr>
                  <w:tcW w:w="495" w:type="dxa"/>
                  <w:tcBorders>
                    <w:tl2br w:val="nil"/>
                    <w:tr2bl w:val="nil"/>
                  </w:tcBorders>
                  <w:noWrap w:val="0"/>
                  <w:vAlign w:val="center"/>
                </w:tcPr>
                <w:p w14:paraId="47448B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0.21</w:t>
                  </w:r>
                </w:p>
              </w:tc>
              <w:tc>
                <w:tcPr>
                  <w:tcW w:w="585" w:type="dxa"/>
                  <w:vMerge w:val="restart"/>
                  <w:tcBorders>
                    <w:tl2br w:val="nil"/>
                    <w:tr2bl w:val="nil"/>
                  </w:tcBorders>
                  <w:noWrap w:val="0"/>
                  <w:vAlign w:val="center"/>
                </w:tcPr>
                <w:p w14:paraId="6EC0FC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0.219</w:t>
                  </w:r>
                </w:p>
              </w:tc>
              <w:tc>
                <w:tcPr>
                  <w:tcW w:w="516" w:type="dxa"/>
                  <w:vMerge w:val="restart"/>
                  <w:tcBorders>
                    <w:tl2br w:val="nil"/>
                    <w:tr2bl w:val="nil"/>
                  </w:tcBorders>
                  <w:noWrap w:val="0"/>
                  <w:vAlign w:val="center"/>
                </w:tcPr>
                <w:p w14:paraId="7600B5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0.03788</w:t>
                  </w:r>
                </w:p>
              </w:tc>
            </w:tr>
            <w:tr w14:paraId="40D596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vMerge w:val="continue"/>
                  <w:tcBorders>
                    <w:tl2br w:val="nil"/>
                    <w:tr2bl w:val="nil"/>
                  </w:tcBorders>
                  <w:noWrap w:val="0"/>
                  <w:vAlign w:val="center"/>
                </w:tcPr>
                <w:p w14:paraId="02E88B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yellow"/>
                    </w:rPr>
                  </w:pPr>
                </w:p>
              </w:tc>
              <w:tc>
                <w:tcPr>
                  <w:tcW w:w="483" w:type="dxa"/>
                  <w:vMerge w:val="continue"/>
                  <w:tcBorders>
                    <w:tl2br w:val="nil"/>
                    <w:tr2bl w:val="nil"/>
                  </w:tcBorders>
                  <w:noWrap w:val="0"/>
                  <w:vAlign w:val="center"/>
                </w:tcPr>
                <w:p w14:paraId="24CA4870">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rPr>
                  </w:pPr>
                </w:p>
              </w:tc>
              <w:tc>
                <w:tcPr>
                  <w:tcW w:w="1093" w:type="dxa"/>
                  <w:tcBorders>
                    <w:tl2br w:val="nil"/>
                    <w:tr2bl w:val="nil"/>
                  </w:tcBorders>
                  <w:noWrap w:val="0"/>
                  <w:vAlign w:val="center"/>
                </w:tcPr>
                <w:p w14:paraId="545DEFB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活性炭脱附+催化燃烧</w:t>
                  </w:r>
                </w:p>
              </w:tc>
              <w:tc>
                <w:tcPr>
                  <w:tcW w:w="495" w:type="dxa"/>
                  <w:vMerge w:val="continue"/>
                  <w:tcBorders>
                    <w:tl2br w:val="nil"/>
                    <w:tr2bl w:val="nil"/>
                  </w:tcBorders>
                  <w:noWrap w:val="0"/>
                  <w:vAlign w:val="center"/>
                </w:tcPr>
                <w:p w14:paraId="4AE6AD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556" w:type="dxa"/>
                  <w:tcBorders>
                    <w:tl2br w:val="nil"/>
                    <w:tr2bl w:val="nil"/>
                  </w:tcBorders>
                  <w:noWrap w:val="0"/>
                  <w:vAlign w:val="center"/>
                </w:tcPr>
                <w:p w14:paraId="44020F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2321</w:t>
                  </w:r>
                </w:p>
              </w:tc>
              <w:tc>
                <w:tcPr>
                  <w:tcW w:w="376" w:type="dxa"/>
                  <w:vMerge w:val="continue"/>
                  <w:tcBorders>
                    <w:tl2br w:val="nil"/>
                    <w:tr2bl w:val="nil"/>
                  </w:tcBorders>
                  <w:noWrap w:val="0"/>
                  <w:vAlign w:val="center"/>
                </w:tcPr>
                <w:p w14:paraId="257A1F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03" w:type="dxa"/>
                  <w:vMerge w:val="continue"/>
                  <w:tcBorders>
                    <w:tl2br w:val="nil"/>
                    <w:tr2bl w:val="nil"/>
                  </w:tcBorders>
                  <w:noWrap w:val="0"/>
                  <w:vAlign w:val="center"/>
                </w:tcPr>
                <w:p w14:paraId="265DD0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390" w:type="dxa"/>
                  <w:vMerge w:val="continue"/>
                  <w:tcBorders>
                    <w:tl2br w:val="nil"/>
                    <w:tr2bl w:val="nil"/>
                  </w:tcBorders>
                  <w:noWrap w:val="0"/>
                  <w:vAlign w:val="center"/>
                </w:tcPr>
                <w:p w14:paraId="7F12E6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916" w:type="dxa"/>
                  <w:vMerge w:val="continue"/>
                  <w:tcBorders>
                    <w:tl2br w:val="nil"/>
                    <w:tr2bl w:val="nil"/>
                  </w:tcBorders>
                  <w:noWrap w:val="0"/>
                  <w:vAlign w:val="center"/>
                </w:tcPr>
                <w:p w14:paraId="3C5081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55" w:type="dxa"/>
                  <w:vMerge w:val="continue"/>
                  <w:tcBorders>
                    <w:tl2br w:val="nil"/>
                    <w:tr2bl w:val="nil"/>
                  </w:tcBorders>
                  <w:noWrap w:val="0"/>
                  <w:vAlign w:val="center"/>
                </w:tcPr>
                <w:p w14:paraId="182CC8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375" w:type="dxa"/>
                  <w:vMerge w:val="continue"/>
                  <w:tcBorders>
                    <w:tl2br w:val="nil"/>
                    <w:tr2bl w:val="nil"/>
                  </w:tcBorders>
                  <w:noWrap w:val="0"/>
                  <w:vAlign w:val="center"/>
                </w:tcPr>
                <w:p w14:paraId="4D5488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65" w:type="dxa"/>
                  <w:tcBorders>
                    <w:tl2br w:val="nil"/>
                    <w:tr2bl w:val="nil"/>
                  </w:tcBorders>
                  <w:noWrap w:val="0"/>
                  <w:vAlign w:val="center"/>
                </w:tcPr>
                <w:p w14:paraId="04D9E3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45.8</w:t>
                  </w:r>
                </w:p>
              </w:tc>
              <w:tc>
                <w:tcPr>
                  <w:tcW w:w="495" w:type="dxa"/>
                  <w:tcBorders>
                    <w:tl2br w:val="nil"/>
                    <w:tr2bl w:val="nil"/>
                  </w:tcBorders>
                  <w:noWrap w:val="0"/>
                  <w:vAlign w:val="center"/>
                </w:tcPr>
                <w:p w14:paraId="638F83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0.1375</w:t>
                  </w:r>
                </w:p>
              </w:tc>
              <w:tc>
                <w:tcPr>
                  <w:tcW w:w="585" w:type="dxa"/>
                  <w:vMerge w:val="continue"/>
                  <w:tcBorders>
                    <w:tl2br w:val="nil"/>
                    <w:tr2bl w:val="nil"/>
                  </w:tcBorders>
                  <w:noWrap w:val="0"/>
                  <w:vAlign w:val="center"/>
                </w:tcPr>
                <w:p w14:paraId="6E1765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516" w:type="dxa"/>
                  <w:vMerge w:val="continue"/>
                  <w:tcBorders>
                    <w:tl2br w:val="nil"/>
                    <w:tr2bl w:val="nil"/>
                  </w:tcBorders>
                  <w:noWrap w:val="0"/>
                  <w:vAlign w:val="center"/>
                </w:tcPr>
                <w:p w14:paraId="73AF98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r>
            <w:tr w14:paraId="23CB43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vMerge w:val="continue"/>
                  <w:tcBorders>
                    <w:tl2br w:val="nil"/>
                    <w:tr2bl w:val="nil"/>
                  </w:tcBorders>
                  <w:noWrap w:val="0"/>
                  <w:vAlign w:val="center"/>
                </w:tcPr>
                <w:p w14:paraId="560AEC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yellow"/>
                    </w:rPr>
                  </w:pPr>
                </w:p>
              </w:tc>
              <w:tc>
                <w:tcPr>
                  <w:tcW w:w="483" w:type="dxa"/>
                  <w:vMerge w:val="restart"/>
                  <w:tcBorders>
                    <w:tl2br w:val="nil"/>
                    <w:tr2bl w:val="nil"/>
                  </w:tcBorders>
                  <w:noWrap w:val="0"/>
                  <w:vAlign w:val="center"/>
                </w:tcPr>
                <w:p w14:paraId="1A816214">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苯</w:t>
                  </w:r>
                </w:p>
              </w:tc>
              <w:tc>
                <w:tcPr>
                  <w:tcW w:w="1093" w:type="dxa"/>
                  <w:tcBorders>
                    <w:tl2br w:val="nil"/>
                    <w:tr2bl w:val="nil"/>
                  </w:tcBorders>
                  <w:noWrap w:val="0"/>
                  <w:vAlign w:val="center"/>
                </w:tcPr>
                <w:p w14:paraId="2C20DF3E">
                  <w:pPr>
                    <w:pStyle w:val="27"/>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活性炭吸附</w:t>
                  </w:r>
                </w:p>
              </w:tc>
              <w:tc>
                <w:tcPr>
                  <w:tcW w:w="495" w:type="dxa"/>
                  <w:vMerge w:val="restart"/>
                  <w:tcBorders>
                    <w:tl2br w:val="nil"/>
                    <w:tr2bl w:val="nil"/>
                  </w:tcBorders>
                  <w:noWrap w:val="0"/>
                  <w:vAlign w:val="center"/>
                </w:tcPr>
                <w:p w14:paraId="0A6318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0.04</w:t>
                  </w:r>
                </w:p>
              </w:tc>
              <w:tc>
                <w:tcPr>
                  <w:tcW w:w="556" w:type="dxa"/>
                  <w:tcBorders>
                    <w:tl2br w:val="nil"/>
                    <w:tr2bl w:val="nil"/>
                  </w:tcBorders>
                  <w:noWrap w:val="0"/>
                  <w:vAlign w:val="center"/>
                </w:tcPr>
                <w:p w14:paraId="62F7C9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1.452</w:t>
                  </w:r>
                </w:p>
              </w:tc>
              <w:tc>
                <w:tcPr>
                  <w:tcW w:w="376" w:type="dxa"/>
                  <w:vMerge w:val="continue"/>
                  <w:tcBorders>
                    <w:tl2br w:val="nil"/>
                    <w:tr2bl w:val="nil"/>
                  </w:tcBorders>
                  <w:noWrap w:val="0"/>
                  <w:vAlign w:val="center"/>
                </w:tcPr>
                <w:p w14:paraId="54A495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03" w:type="dxa"/>
                  <w:vMerge w:val="continue"/>
                  <w:tcBorders>
                    <w:tl2br w:val="nil"/>
                    <w:tr2bl w:val="nil"/>
                  </w:tcBorders>
                  <w:noWrap w:val="0"/>
                  <w:vAlign w:val="center"/>
                </w:tcPr>
                <w:p w14:paraId="3290B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390" w:type="dxa"/>
                  <w:vMerge w:val="continue"/>
                  <w:tcBorders>
                    <w:tl2br w:val="nil"/>
                    <w:tr2bl w:val="nil"/>
                  </w:tcBorders>
                  <w:noWrap w:val="0"/>
                  <w:vAlign w:val="center"/>
                </w:tcPr>
                <w:p w14:paraId="670CD9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916" w:type="dxa"/>
                  <w:vMerge w:val="continue"/>
                  <w:tcBorders>
                    <w:tl2br w:val="nil"/>
                    <w:tr2bl w:val="nil"/>
                  </w:tcBorders>
                  <w:noWrap w:val="0"/>
                  <w:vAlign w:val="center"/>
                </w:tcPr>
                <w:p w14:paraId="62F877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55" w:type="dxa"/>
                  <w:vMerge w:val="continue"/>
                  <w:tcBorders>
                    <w:tl2br w:val="nil"/>
                    <w:tr2bl w:val="nil"/>
                  </w:tcBorders>
                  <w:noWrap w:val="0"/>
                  <w:vAlign w:val="center"/>
                </w:tcPr>
                <w:p w14:paraId="38B604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375" w:type="dxa"/>
                  <w:vMerge w:val="continue"/>
                  <w:tcBorders>
                    <w:tl2br w:val="nil"/>
                    <w:tr2bl w:val="nil"/>
                  </w:tcBorders>
                  <w:noWrap w:val="0"/>
                  <w:vAlign w:val="center"/>
                </w:tcPr>
                <w:p w14:paraId="628D41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65" w:type="dxa"/>
                  <w:tcBorders>
                    <w:tl2br w:val="nil"/>
                    <w:tr2bl w:val="nil"/>
                  </w:tcBorders>
                  <w:noWrap w:val="0"/>
                  <w:vAlign w:val="center"/>
                </w:tcPr>
                <w:p w14:paraId="0B98D8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0.145</w:t>
                  </w:r>
                </w:p>
              </w:tc>
              <w:tc>
                <w:tcPr>
                  <w:tcW w:w="495" w:type="dxa"/>
                  <w:tcBorders>
                    <w:tl2br w:val="nil"/>
                    <w:tr2bl w:val="nil"/>
                  </w:tcBorders>
                  <w:noWrap w:val="0"/>
                  <w:vAlign w:val="center"/>
                </w:tcPr>
                <w:p w14:paraId="3C937E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0.0044</w:t>
                  </w:r>
                </w:p>
              </w:tc>
              <w:tc>
                <w:tcPr>
                  <w:tcW w:w="585" w:type="dxa"/>
                  <w:vMerge w:val="restart"/>
                  <w:tcBorders>
                    <w:tl2br w:val="nil"/>
                    <w:tr2bl w:val="nil"/>
                  </w:tcBorders>
                  <w:noWrap w:val="0"/>
                  <w:vAlign w:val="center"/>
                </w:tcPr>
                <w:p w14:paraId="4EB69B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0.0046</w:t>
                  </w:r>
                </w:p>
              </w:tc>
              <w:tc>
                <w:tcPr>
                  <w:tcW w:w="516" w:type="dxa"/>
                  <w:vMerge w:val="restart"/>
                  <w:tcBorders>
                    <w:tl2br w:val="nil"/>
                    <w:tr2bl w:val="nil"/>
                  </w:tcBorders>
                  <w:noWrap w:val="0"/>
                  <w:vAlign w:val="center"/>
                </w:tcPr>
                <w:p w14:paraId="09802E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0.0008</w:t>
                  </w:r>
                </w:p>
              </w:tc>
            </w:tr>
            <w:tr w14:paraId="1E28A8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vMerge w:val="continue"/>
                  <w:tcBorders>
                    <w:tl2br w:val="nil"/>
                    <w:tr2bl w:val="nil"/>
                  </w:tcBorders>
                  <w:noWrap w:val="0"/>
                  <w:vAlign w:val="center"/>
                </w:tcPr>
                <w:p w14:paraId="3C49D9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yellow"/>
                    </w:rPr>
                  </w:pPr>
                </w:p>
              </w:tc>
              <w:tc>
                <w:tcPr>
                  <w:tcW w:w="483" w:type="dxa"/>
                  <w:vMerge w:val="continue"/>
                  <w:tcBorders>
                    <w:tl2br w:val="nil"/>
                    <w:tr2bl w:val="nil"/>
                  </w:tcBorders>
                  <w:noWrap w:val="0"/>
                  <w:vAlign w:val="center"/>
                </w:tcPr>
                <w:p w14:paraId="07407FF3">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rPr>
                  </w:pPr>
                </w:p>
              </w:tc>
              <w:tc>
                <w:tcPr>
                  <w:tcW w:w="1093" w:type="dxa"/>
                  <w:tcBorders>
                    <w:tl2br w:val="nil"/>
                    <w:tr2bl w:val="nil"/>
                  </w:tcBorders>
                  <w:noWrap w:val="0"/>
                  <w:vAlign w:val="center"/>
                </w:tcPr>
                <w:p w14:paraId="61A704E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活性炭脱附+催化燃烧</w:t>
                  </w:r>
                </w:p>
              </w:tc>
              <w:tc>
                <w:tcPr>
                  <w:tcW w:w="495" w:type="dxa"/>
                  <w:vMerge w:val="continue"/>
                  <w:tcBorders>
                    <w:tl2br w:val="nil"/>
                    <w:tr2bl w:val="nil"/>
                  </w:tcBorders>
                  <w:noWrap w:val="0"/>
                  <w:vAlign w:val="center"/>
                </w:tcPr>
                <w:p w14:paraId="3BB9B7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556" w:type="dxa"/>
                  <w:tcBorders>
                    <w:tl2br w:val="nil"/>
                    <w:tr2bl w:val="nil"/>
                  </w:tcBorders>
                  <w:noWrap w:val="0"/>
                  <w:vAlign w:val="center"/>
                </w:tcPr>
                <w:p w14:paraId="260484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49</w:t>
                  </w:r>
                </w:p>
              </w:tc>
              <w:tc>
                <w:tcPr>
                  <w:tcW w:w="376" w:type="dxa"/>
                  <w:vMerge w:val="continue"/>
                  <w:tcBorders>
                    <w:tl2br w:val="nil"/>
                    <w:tr2bl w:val="nil"/>
                  </w:tcBorders>
                  <w:noWrap w:val="0"/>
                  <w:vAlign w:val="center"/>
                </w:tcPr>
                <w:p w14:paraId="4DF389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03" w:type="dxa"/>
                  <w:vMerge w:val="continue"/>
                  <w:tcBorders>
                    <w:tl2br w:val="nil"/>
                    <w:tr2bl w:val="nil"/>
                  </w:tcBorders>
                  <w:noWrap w:val="0"/>
                  <w:vAlign w:val="center"/>
                </w:tcPr>
                <w:p w14:paraId="00EB57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390" w:type="dxa"/>
                  <w:vMerge w:val="continue"/>
                  <w:tcBorders>
                    <w:tl2br w:val="nil"/>
                    <w:tr2bl w:val="nil"/>
                  </w:tcBorders>
                  <w:noWrap w:val="0"/>
                  <w:vAlign w:val="center"/>
                </w:tcPr>
                <w:p w14:paraId="711595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916" w:type="dxa"/>
                  <w:vMerge w:val="continue"/>
                  <w:tcBorders>
                    <w:tl2br w:val="nil"/>
                    <w:tr2bl w:val="nil"/>
                  </w:tcBorders>
                  <w:noWrap w:val="0"/>
                  <w:vAlign w:val="center"/>
                </w:tcPr>
                <w:p w14:paraId="50147F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55" w:type="dxa"/>
                  <w:vMerge w:val="continue"/>
                  <w:tcBorders>
                    <w:tl2br w:val="nil"/>
                    <w:tr2bl w:val="nil"/>
                  </w:tcBorders>
                  <w:noWrap w:val="0"/>
                  <w:vAlign w:val="center"/>
                </w:tcPr>
                <w:p w14:paraId="60168D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375" w:type="dxa"/>
                  <w:vMerge w:val="continue"/>
                  <w:tcBorders>
                    <w:tl2br w:val="nil"/>
                    <w:tr2bl w:val="nil"/>
                  </w:tcBorders>
                  <w:noWrap w:val="0"/>
                  <w:vAlign w:val="center"/>
                </w:tcPr>
                <w:p w14:paraId="5A3D67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65" w:type="dxa"/>
                  <w:tcBorders>
                    <w:tl2br w:val="nil"/>
                    <w:tr2bl w:val="nil"/>
                  </w:tcBorders>
                  <w:noWrap w:val="0"/>
                  <w:vAlign w:val="center"/>
                </w:tcPr>
                <w:p w14:paraId="587A49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0.94</w:t>
                  </w:r>
                </w:p>
              </w:tc>
              <w:tc>
                <w:tcPr>
                  <w:tcW w:w="495" w:type="dxa"/>
                  <w:tcBorders>
                    <w:tl2br w:val="nil"/>
                    <w:tr2bl w:val="nil"/>
                  </w:tcBorders>
                  <w:noWrap w:val="0"/>
                  <w:vAlign w:val="center"/>
                </w:tcPr>
                <w:p w14:paraId="2548BB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0.00283</w:t>
                  </w:r>
                </w:p>
              </w:tc>
              <w:tc>
                <w:tcPr>
                  <w:tcW w:w="585" w:type="dxa"/>
                  <w:vMerge w:val="continue"/>
                  <w:tcBorders>
                    <w:tl2br w:val="nil"/>
                    <w:tr2bl w:val="nil"/>
                  </w:tcBorders>
                  <w:noWrap w:val="0"/>
                  <w:vAlign w:val="center"/>
                </w:tcPr>
                <w:p w14:paraId="559C5D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516" w:type="dxa"/>
                  <w:vMerge w:val="continue"/>
                  <w:tcBorders>
                    <w:tl2br w:val="nil"/>
                    <w:tr2bl w:val="nil"/>
                  </w:tcBorders>
                  <w:noWrap w:val="0"/>
                  <w:vAlign w:val="center"/>
                </w:tcPr>
                <w:p w14:paraId="427796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r>
            <w:tr w14:paraId="2AA134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vMerge w:val="continue"/>
                  <w:tcBorders>
                    <w:tl2br w:val="nil"/>
                    <w:tr2bl w:val="nil"/>
                  </w:tcBorders>
                  <w:noWrap w:val="0"/>
                  <w:vAlign w:val="center"/>
                </w:tcPr>
                <w:p w14:paraId="33E93C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yellow"/>
                    </w:rPr>
                  </w:pPr>
                </w:p>
              </w:tc>
              <w:tc>
                <w:tcPr>
                  <w:tcW w:w="483" w:type="dxa"/>
                  <w:vMerge w:val="restart"/>
                  <w:tcBorders>
                    <w:tl2br w:val="nil"/>
                    <w:tr2bl w:val="nil"/>
                  </w:tcBorders>
                  <w:noWrap w:val="0"/>
                  <w:vAlign w:val="center"/>
                </w:tcPr>
                <w:p w14:paraId="23DB2373">
                  <w:pPr>
                    <w:pStyle w:val="27"/>
                    <w:bidi w:val="0"/>
                    <w:ind w:firstLine="0" w:firstLineChars="0"/>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甲苯与</w:t>
                  </w:r>
                </w:p>
                <w:p w14:paraId="2819FAE4">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二甲苯合计</w:t>
                  </w:r>
                </w:p>
              </w:tc>
              <w:tc>
                <w:tcPr>
                  <w:tcW w:w="1093" w:type="dxa"/>
                  <w:tcBorders>
                    <w:tl2br w:val="nil"/>
                    <w:tr2bl w:val="nil"/>
                  </w:tcBorders>
                  <w:noWrap w:val="0"/>
                  <w:vAlign w:val="center"/>
                </w:tcPr>
                <w:p w14:paraId="5BA60B18">
                  <w:pPr>
                    <w:pStyle w:val="27"/>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活性炭吸附</w:t>
                  </w:r>
                </w:p>
              </w:tc>
              <w:tc>
                <w:tcPr>
                  <w:tcW w:w="495" w:type="dxa"/>
                  <w:vMerge w:val="restart"/>
                  <w:tcBorders>
                    <w:tl2br w:val="nil"/>
                    <w:tr2bl w:val="nil"/>
                  </w:tcBorders>
                  <w:noWrap w:val="0"/>
                  <w:vAlign w:val="center"/>
                </w:tcPr>
                <w:p w14:paraId="6DC5F8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0.388</w:t>
                  </w:r>
                </w:p>
              </w:tc>
              <w:tc>
                <w:tcPr>
                  <w:tcW w:w="556" w:type="dxa"/>
                  <w:tcBorders>
                    <w:tl2br w:val="nil"/>
                    <w:tr2bl w:val="nil"/>
                  </w:tcBorders>
                  <w:noWrap w:val="0"/>
                  <w:vAlign w:val="center"/>
                </w:tcPr>
                <w:p w14:paraId="7D90C9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14.4</w:t>
                  </w:r>
                </w:p>
              </w:tc>
              <w:tc>
                <w:tcPr>
                  <w:tcW w:w="376" w:type="dxa"/>
                  <w:vMerge w:val="continue"/>
                  <w:tcBorders>
                    <w:tl2br w:val="nil"/>
                    <w:tr2bl w:val="nil"/>
                  </w:tcBorders>
                  <w:noWrap w:val="0"/>
                  <w:vAlign w:val="center"/>
                </w:tcPr>
                <w:p w14:paraId="407F8E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03" w:type="dxa"/>
                  <w:vMerge w:val="continue"/>
                  <w:tcBorders>
                    <w:tl2br w:val="nil"/>
                    <w:tr2bl w:val="nil"/>
                  </w:tcBorders>
                  <w:noWrap w:val="0"/>
                  <w:vAlign w:val="center"/>
                </w:tcPr>
                <w:p w14:paraId="7CB932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390" w:type="dxa"/>
                  <w:vMerge w:val="continue"/>
                  <w:tcBorders>
                    <w:tl2br w:val="nil"/>
                    <w:tr2bl w:val="nil"/>
                  </w:tcBorders>
                  <w:noWrap w:val="0"/>
                  <w:vAlign w:val="center"/>
                </w:tcPr>
                <w:p w14:paraId="0CF318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916" w:type="dxa"/>
                  <w:vMerge w:val="continue"/>
                  <w:tcBorders>
                    <w:tl2br w:val="nil"/>
                    <w:tr2bl w:val="nil"/>
                  </w:tcBorders>
                  <w:noWrap w:val="0"/>
                  <w:vAlign w:val="center"/>
                </w:tcPr>
                <w:p w14:paraId="795922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55" w:type="dxa"/>
                  <w:vMerge w:val="continue"/>
                  <w:tcBorders>
                    <w:tl2br w:val="nil"/>
                    <w:tr2bl w:val="nil"/>
                  </w:tcBorders>
                  <w:noWrap w:val="0"/>
                  <w:vAlign w:val="center"/>
                </w:tcPr>
                <w:p w14:paraId="607D5D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375" w:type="dxa"/>
                  <w:vMerge w:val="continue"/>
                  <w:tcBorders>
                    <w:tl2br w:val="nil"/>
                    <w:tr2bl w:val="nil"/>
                  </w:tcBorders>
                  <w:noWrap w:val="0"/>
                  <w:vAlign w:val="center"/>
                </w:tcPr>
                <w:p w14:paraId="6DA0B9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65" w:type="dxa"/>
                  <w:tcBorders>
                    <w:tl2br w:val="nil"/>
                    <w:tr2bl w:val="nil"/>
                  </w:tcBorders>
                  <w:noWrap w:val="0"/>
                  <w:vAlign w:val="center"/>
                </w:tcPr>
                <w:p w14:paraId="179656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1.408</w:t>
                  </w:r>
                </w:p>
              </w:tc>
              <w:tc>
                <w:tcPr>
                  <w:tcW w:w="495" w:type="dxa"/>
                  <w:tcBorders>
                    <w:tl2br w:val="nil"/>
                    <w:tr2bl w:val="nil"/>
                  </w:tcBorders>
                  <w:noWrap w:val="0"/>
                  <w:vAlign w:val="center"/>
                </w:tcPr>
                <w:p w14:paraId="4882C9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0.042</w:t>
                  </w:r>
                </w:p>
              </w:tc>
              <w:tc>
                <w:tcPr>
                  <w:tcW w:w="585" w:type="dxa"/>
                  <w:vMerge w:val="restart"/>
                  <w:tcBorders>
                    <w:tl2br w:val="nil"/>
                    <w:tr2bl w:val="nil"/>
                  </w:tcBorders>
                  <w:noWrap w:val="0"/>
                  <w:vAlign w:val="center"/>
                </w:tcPr>
                <w:p w14:paraId="7A12DA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0.0448</w:t>
                  </w:r>
                </w:p>
              </w:tc>
              <w:tc>
                <w:tcPr>
                  <w:tcW w:w="516" w:type="dxa"/>
                  <w:vMerge w:val="restart"/>
                  <w:tcBorders>
                    <w:tl2br w:val="nil"/>
                    <w:tr2bl w:val="nil"/>
                  </w:tcBorders>
                  <w:noWrap w:val="0"/>
                  <w:vAlign w:val="center"/>
                </w:tcPr>
                <w:p w14:paraId="356FCA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0.00776</w:t>
                  </w:r>
                </w:p>
              </w:tc>
            </w:tr>
            <w:tr w14:paraId="3C9B7D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vMerge w:val="continue"/>
                  <w:tcBorders>
                    <w:tl2br w:val="nil"/>
                    <w:tr2bl w:val="nil"/>
                  </w:tcBorders>
                  <w:noWrap w:val="0"/>
                  <w:vAlign w:val="center"/>
                </w:tcPr>
                <w:p w14:paraId="721C64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yellow"/>
                    </w:rPr>
                  </w:pPr>
                </w:p>
              </w:tc>
              <w:tc>
                <w:tcPr>
                  <w:tcW w:w="483" w:type="dxa"/>
                  <w:vMerge w:val="continue"/>
                  <w:tcBorders>
                    <w:tl2br w:val="nil"/>
                    <w:tr2bl w:val="nil"/>
                  </w:tcBorders>
                  <w:noWrap w:val="0"/>
                  <w:vAlign w:val="center"/>
                </w:tcPr>
                <w:p w14:paraId="653A7A66">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1093" w:type="dxa"/>
                  <w:tcBorders>
                    <w:tl2br w:val="nil"/>
                    <w:tr2bl w:val="nil"/>
                  </w:tcBorders>
                  <w:noWrap w:val="0"/>
                  <w:vAlign w:val="center"/>
                </w:tcPr>
                <w:p w14:paraId="369F778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活性炭脱附+催化燃烧</w:t>
                  </w:r>
                </w:p>
              </w:tc>
              <w:tc>
                <w:tcPr>
                  <w:tcW w:w="495" w:type="dxa"/>
                  <w:vMerge w:val="continue"/>
                  <w:tcBorders>
                    <w:tl2br w:val="nil"/>
                    <w:tr2bl w:val="nil"/>
                  </w:tcBorders>
                  <w:noWrap w:val="0"/>
                  <w:vAlign w:val="center"/>
                </w:tcPr>
                <w:p w14:paraId="3ADF94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556" w:type="dxa"/>
                  <w:tcBorders>
                    <w:tl2br w:val="nil"/>
                    <w:tr2bl w:val="nil"/>
                  </w:tcBorders>
                  <w:noWrap w:val="0"/>
                  <w:vAlign w:val="center"/>
                </w:tcPr>
                <w:p w14:paraId="138D0F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yellow"/>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475</w:t>
                  </w:r>
                </w:p>
              </w:tc>
              <w:tc>
                <w:tcPr>
                  <w:tcW w:w="376" w:type="dxa"/>
                  <w:vMerge w:val="continue"/>
                  <w:tcBorders>
                    <w:tl2br w:val="nil"/>
                    <w:tr2bl w:val="nil"/>
                  </w:tcBorders>
                  <w:noWrap w:val="0"/>
                  <w:vAlign w:val="center"/>
                </w:tcPr>
                <w:p w14:paraId="6AA847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03" w:type="dxa"/>
                  <w:vMerge w:val="continue"/>
                  <w:tcBorders>
                    <w:tl2br w:val="nil"/>
                    <w:tr2bl w:val="nil"/>
                  </w:tcBorders>
                  <w:noWrap w:val="0"/>
                  <w:vAlign w:val="center"/>
                </w:tcPr>
                <w:p w14:paraId="610DA5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390" w:type="dxa"/>
                  <w:vMerge w:val="continue"/>
                  <w:tcBorders>
                    <w:tl2br w:val="nil"/>
                    <w:tr2bl w:val="nil"/>
                  </w:tcBorders>
                  <w:noWrap w:val="0"/>
                  <w:vAlign w:val="center"/>
                </w:tcPr>
                <w:p w14:paraId="04DB7D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916" w:type="dxa"/>
                  <w:vMerge w:val="continue"/>
                  <w:tcBorders>
                    <w:tl2br w:val="nil"/>
                    <w:tr2bl w:val="nil"/>
                  </w:tcBorders>
                  <w:noWrap w:val="0"/>
                  <w:vAlign w:val="center"/>
                </w:tcPr>
                <w:p w14:paraId="214BE3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555" w:type="dxa"/>
                  <w:vMerge w:val="continue"/>
                  <w:tcBorders>
                    <w:tl2br w:val="nil"/>
                    <w:tr2bl w:val="nil"/>
                  </w:tcBorders>
                  <w:noWrap w:val="0"/>
                  <w:vAlign w:val="center"/>
                </w:tcPr>
                <w:p w14:paraId="1DD5CA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375" w:type="dxa"/>
                  <w:vMerge w:val="continue"/>
                  <w:tcBorders>
                    <w:tl2br w:val="nil"/>
                    <w:tr2bl w:val="nil"/>
                  </w:tcBorders>
                  <w:noWrap w:val="0"/>
                  <w:vAlign w:val="center"/>
                </w:tcPr>
                <w:p w14:paraId="292C2C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p>
              </w:tc>
              <w:tc>
                <w:tcPr>
                  <w:tcW w:w="465" w:type="dxa"/>
                  <w:tcBorders>
                    <w:tl2br w:val="nil"/>
                    <w:tr2bl w:val="nil"/>
                  </w:tcBorders>
                  <w:noWrap w:val="0"/>
                  <w:vAlign w:val="center"/>
                </w:tcPr>
                <w:p w14:paraId="4BDE68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9.4</w:t>
                  </w:r>
                </w:p>
              </w:tc>
              <w:tc>
                <w:tcPr>
                  <w:tcW w:w="495" w:type="dxa"/>
                  <w:tcBorders>
                    <w:tl2br w:val="nil"/>
                    <w:tr2bl w:val="nil"/>
                  </w:tcBorders>
                  <w:noWrap w:val="0"/>
                  <w:vAlign w:val="center"/>
                </w:tcPr>
                <w:p w14:paraId="688D72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0.0283</w:t>
                  </w:r>
                </w:p>
              </w:tc>
              <w:tc>
                <w:tcPr>
                  <w:tcW w:w="585" w:type="dxa"/>
                  <w:vMerge w:val="continue"/>
                  <w:tcBorders>
                    <w:tl2br w:val="nil"/>
                    <w:tr2bl w:val="nil"/>
                  </w:tcBorders>
                  <w:noWrap w:val="0"/>
                  <w:vAlign w:val="center"/>
                </w:tcPr>
                <w:p w14:paraId="2987EA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yellow"/>
                      <w:lang w:val="en-US" w:eastAsia="zh-CN"/>
                    </w:rPr>
                  </w:pPr>
                </w:p>
              </w:tc>
              <w:tc>
                <w:tcPr>
                  <w:tcW w:w="516" w:type="dxa"/>
                  <w:vMerge w:val="continue"/>
                  <w:tcBorders>
                    <w:tl2br w:val="nil"/>
                    <w:tr2bl w:val="nil"/>
                  </w:tcBorders>
                  <w:noWrap w:val="0"/>
                  <w:vAlign w:val="center"/>
                </w:tcPr>
                <w:p w14:paraId="6A34DF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r>
            <w:tr w14:paraId="195D46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tcBorders>
                    <w:tl2br w:val="nil"/>
                    <w:tr2bl w:val="nil"/>
                  </w:tcBorders>
                  <w:noWrap w:val="0"/>
                  <w:vAlign w:val="center"/>
                </w:tcPr>
                <w:p w14:paraId="144948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yellow"/>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喷塑过程</w:t>
                  </w:r>
                </w:p>
              </w:tc>
              <w:tc>
                <w:tcPr>
                  <w:tcW w:w="1576" w:type="dxa"/>
                  <w:gridSpan w:val="2"/>
                  <w:tcBorders>
                    <w:tl2br w:val="nil"/>
                    <w:tr2bl w:val="nil"/>
                  </w:tcBorders>
                  <w:noWrap w:val="0"/>
                  <w:vAlign w:val="center"/>
                </w:tcPr>
                <w:p w14:paraId="26FE19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color w:val="auto"/>
                      <w:sz w:val="21"/>
                      <w:szCs w:val="21"/>
                      <w:lang w:val="en-US" w:eastAsia="zh-CN"/>
                    </w:rPr>
                    <w:t>颗粒物</w:t>
                  </w:r>
                </w:p>
              </w:tc>
              <w:tc>
                <w:tcPr>
                  <w:tcW w:w="495" w:type="dxa"/>
                  <w:tcBorders>
                    <w:tl2br w:val="nil"/>
                    <w:tr2bl w:val="nil"/>
                  </w:tcBorders>
                  <w:noWrap w:val="0"/>
                  <w:vAlign w:val="center"/>
                </w:tcPr>
                <w:p w14:paraId="53BFE9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1.5</w:t>
                  </w:r>
                </w:p>
              </w:tc>
              <w:tc>
                <w:tcPr>
                  <w:tcW w:w="556" w:type="dxa"/>
                  <w:tcBorders>
                    <w:tl2br w:val="nil"/>
                    <w:tr2bl w:val="nil"/>
                  </w:tcBorders>
                  <w:noWrap w:val="0"/>
                  <w:vAlign w:val="center"/>
                </w:tcPr>
                <w:p w14:paraId="2F8245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126.26</w:t>
                  </w:r>
                </w:p>
              </w:tc>
              <w:tc>
                <w:tcPr>
                  <w:tcW w:w="376" w:type="dxa"/>
                  <w:tcBorders>
                    <w:tl2br w:val="nil"/>
                    <w:tr2bl w:val="nil"/>
                  </w:tcBorders>
                  <w:noWrap w:val="0"/>
                  <w:vAlign w:val="center"/>
                </w:tcPr>
                <w:p w14:paraId="366F8C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有组织</w:t>
                  </w:r>
                </w:p>
              </w:tc>
              <w:tc>
                <w:tcPr>
                  <w:tcW w:w="503" w:type="dxa"/>
                  <w:tcBorders>
                    <w:tl2br w:val="nil"/>
                    <w:tr2bl w:val="nil"/>
                  </w:tcBorders>
                  <w:noWrap w:val="0"/>
                  <w:vAlign w:val="center"/>
                </w:tcPr>
                <w:p w14:paraId="06E43F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vertAlign w:val="baseline"/>
                      <w:lang w:val="en-US" w:eastAsia="zh-CN"/>
                    </w:rPr>
                  </w:pPr>
                  <w:r>
                    <w:rPr>
                      <w:rFonts w:hint="default" w:ascii="Times New Roman" w:hAnsi="Times New Roman" w:eastAsia="宋体" w:cs="Times New Roman"/>
                      <w:bCs/>
                      <w:caps w:val="0"/>
                      <w:color w:val="auto"/>
                      <w:spacing w:val="0"/>
                      <w:position w:val="0"/>
                      <w:sz w:val="21"/>
                      <w:szCs w:val="21"/>
                      <w:highlight w:val="none"/>
                      <w:vertAlign w:val="baseline"/>
                      <w:lang w:val="en-US" w:eastAsia="zh-CN"/>
                    </w:rPr>
                    <w:t>9900</w:t>
                  </w:r>
                </w:p>
              </w:tc>
              <w:tc>
                <w:tcPr>
                  <w:tcW w:w="390" w:type="dxa"/>
                  <w:tcBorders>
                    <w:tl2br w:val="nil"/>
                    <w:tr2bl w:val="nil"/>
                  </w:tcBorders>
                  <w:noWrap w:val="0"/>
                  <w:vAlign w:val="center"/>
                </w:tcPr>
                <w:p w14:paraId="6F5955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99</w:t>
                  </w:r>
                </w:p>
              </w:tc>
              <w:tc>
                <w:tcPr>
                  <w:tcW w:w="916" w:type="dxa"/>
                  <w:tcBorders>
                    <w:tl2br w:val="nil"/>
                    <w:tr2bl w:val="nil"/>
                  </w:tcBorders>
                  <w:noWrap w:val="0"/>
                  <w:vAlign w:val="center"/>
                </w:tcPr>
                <w:p w14:paraId="315D16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袋式除尘器处理后达标排放</w:t>
                  </w:r>
                </w:p>
              </w:tc>
              <w:tc>
                <w:tcPr>
                  <w:tcW w:w="555" w:type="dxa"/>
                  <w:tcBorders>
                    <w:tl2br w:val="nil"/>
                    <w:tr2bl w:val="nil"/>
                  </w:tcBorders>
                  <w:noWrap w:val="0"/>
                  <w:vAlign w:val="center"/>
                </w:tcPr>
                <w:p w14:paraId="17881E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95</w:t>
                  </w:r>
                </w:p>
              </w:tc>
              <w:tc>
                <w:tcPr>
                  <w:tcW w:w="375" w:type="dxa"/>
                  <w:tcBorders>
                    <w:tl2br w:val="nil"/>
                    <w:tr2bl w:val="nil"/>
                  </w:tcBorders>
                  <w:noWrap w:val="0"/>
                  <w:vAlign w:val="center"/>
                </w:tcPr>
                <w:p w14:paraId="52C405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是</w:t>
                  </w:r>
                </w:p>
              </w:tc>
              <w:tc>
                <w:tcPr>
                  <w:tcW w:w="465" w:type="dxa"/>
                  <w:tcBorders>
                    <w:tl2br w:val="nil"/>
                    <w:tr2bl w:val="nil"/>
                  </w:tcBorders>
                  <w:noWrap w:val="0"/>
                  <w:vAlign w:val="center"/>
                </w:tcPr>
                <w:p w14:paraId="36EF8D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6.25</w:t>
                  </w:r>
                </w:p>
              </w:tc>
              <w:tc>
                <w:tcPr>
                  <w:tcW w:w="495" w:type="dxa"/>
                  <w:tcBorders>
                    <w:tl2br w:val="nil"/>
                    <w:tr2bl w:val="nil"/>
                  </w:tcBorders>
                  <w:noWrap w:val="0"/>
                  <w:vAlign w:val="center"/>
                </w:tcPr>
                <w:p w14:paraId="4BB5A4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0.062</w:t>
                  </w:r>
                </w:p>
              </w:tc>
              <w:tc>
                <w:tcPr>
                  <w:tcW w:w="585" w:type="dxa"/>
                  <w:tcBorders>
                    <w:tl2br w:val="nil"/>
                    <w:tr2bl w:val="nil"/>
                  </w:tcBorders>
                  <w:noWrap w:val="0"/>
                  <w:vAlign w:val="center"/>
                </w:tcPr>
                <w:p w14:paraId="2B10FC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color w:val="auto"/>
                      <w:sz w:val="21"/>
                      <w:szCs w:val="21"/>
                      <w:lang w:val="en-US" w:eastAsia="zh-CN"/>
                    </w:rPr>
                    <w:t>0.07425</w:t>
                  </w:r>
                </w:p>
              </w:tc>
              <w:tc>
                <w:tcPr>
                  <w:tcW w:w="516" w:type="dxa"/>
                  <w:tcBorders>
                    <w:tl2br w:val="nil"/>
                    <w:tr2bl w:val="nil"/>
                  </w:tcBorders>
                  <w:noWrap w:val="0"/>
                  <w:vAlign w:val="center"/>
                </w:tcPr>
                <w:p w14:paraId="0AB520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0.015</w:t>
                  </w:r>
                </w:p>
              </w:tc>
            </w:tr>
            <w:tr w14:paraId="27BF57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tcBorders>
                    <w:tl2br w:val="nil"/>
                    <w:tr2bl w:val="nil"/>
                  </w:tcBorders>
                  <w:noWrap w:val="0"/>
                  <w:vAlign w:val="center"/>
                </w:tcPr>
                <w:p w14:paraId="5CA83E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打磨、</w:t>
                  </w:r>
                  <w:r>
                    <w:rPr>
                      <w:rFonts w:hint="default" w:ascii="Times New Roman" w:hAnsi="Times New Roman" w:eastAsia="宋体" w:cs="Times New Roman"/>
                      <w:color w:val="auto"/>
                      <w:sz w:val="21"/>
                      <w:szCs w:val="21"/>
                      <w:lang w:val="en-US" w:eastAsia="zh-CN"/>
                    </w:rPr>
                    <w:t>腻子打磨、打砂</w:t>
                  </w:r>
                  <w:r>
                    <w:rPr>
                      <w:rFonts w:hint="default" w:ascii="Times New Roman" w:hAnsi="Times New Roman" w:eastAsia="宋体" w:cs="Times New Roman"/>
                      <w:bCs/>
                      <w:caps w:val="0"/>
                      <w:color w:val="auto"/>
                      <w:spacing w:val="0"/>
                      <w:position w:val="0"/>
                      <w:sz w:val="21"/>
                      <w:szCs w:val="21"/>
                      <w:highlight w:val="none"/>
                      <w:lang w:val="en-US" w:eastAsia="zh-CN"/>
                    </w:rPr>
                    <w:t>过程</w:t>
                  </w:r>
                </w:p>
              </w:tc>
              <w:tc>
                <w:tcPr>
                  <w:tcW w:w="1576" w:type="dxa"/>
                  <w:gridSpan w:val="2"/>
                  <w:tcBorders>
                    <w:tl2br w:val="nil"/>
                    <w:tr2bl w:val="nil"/>
                  </w:tcBorders>
                  <w:noWrap w:val="0"/>
                  <w:vAlign w:val="center"/>
                </w:tcPr>
                <w:p w14:paraId="101DF5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color w:val="auto"/>
                      <w:sz w:val="21"/>
                      <w:szCs w:val="21"/>
                      <w:lang w:val="en-US" w:eastAsia="zh-CN"/>
                    </w:rPr>
                    <w:t>颗粒物</w:t>
                  </w:r>
                </w:p>
              </w:tc>
              <w:tc>
                <w:tcPr>
                  <w:tcW w:w="495" w:type="dxa"/>
                  <w:tcBorders>
                    <w:tl2br w:val="nil"/>
                    <w:tr2bl w:val="nil"/>
                  </w:tcBorders>
                  <w:noWrap w:val="0"/>
                  <w:vAlign w:val="center"/>
                </w:tcPr>
                <w:p w14:paraId="659A5D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4.3996</w:t>
                  </w:r>
                </w:p>
              </w:tc>
              <w:tc>
                <w:tcPr>
                  <w:tcW w:w="556" w:type="dxa"/>
                  <w:tcBorders>
                    <w:tl2br w:val="nil"/>
                    <w:tr2bl w:val="nil"/>
                  </w:tcBorders>
                  <w:noWrap w:val="0"/>
                  <w:vAlign w:val="center"/>
                </w:tcPr>
                <w:p w14:paraId="2469E0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111</w:t>
                  </w:r>
                </w:p>
              </w:tc>
              <w:tc>
                <w:tcPr>
                  <w:tcW w:w="376" w:type="dxa"/>
                  <w:tcBorders>
                    <w:tl2br w:val="nil"/>
                    <w:tr2bl w:val="nil"/>
                  </w:tcBorders>
                  <w:noWrap w:val="0"/>
                  <w:vAlign w:val="center"/>
                </w:tcPr>
                <w:p w14:paraId="48BB64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有组织</w:t>
                  </w:r>
                </w:p>
              </w:tc>
              <w:tc>
                <w:tcPr>
                  <w:tcW w:w="503" w:type="dxa"/>
                  <w:tcBorders>
                    <w:tl2br w:val="nil"/>
                    <w:tr2bl w:val="nil"/>
                  </w:tcBorders>
                  <w:noWrap w:val="0"/>
                  <w:vAlign w:val="center"/>
                </w:tcPr>
                <w:p w14:paraId="5459CD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vertAlign w:val="baseline"/>
                      <w:lang w:val="en-US" w:eastAsia="zh-CN"/>
                    </w:rPr>
                  </w:pPr>
                  <w:r>
                    <w:rPr>
                      <w:rFonts w:hint="default" w:ascii="Times New Roman" w:hAnsi="Times New Roman" w:eastAsia="宋体" w:cs="Times New Roman"/>
                      <w:bCs/>
                      <w:caps w:val="0"/>
                      <w:color w:val="auto"/>
                      <w:spacing w:val="0"/>
                      <w:position w:val="0"/>
                      <w:sz w:val="21"/>
                      <w:szCs w:val="21"/>
                      <w:highlight w:val="none"/>
                      <w:vertAlign w:val="baseline"/>
                      <w:lang w:val="en-US" w:eastAsia="zh-CN"/>
                    </w:rPr>
                    <w:t>33000</w:t>
                  </w:r>
                </w:p>
              </w:tc>
              <w:tc>
                <w:tcPr>
                  <w:tcW w:w="390" w:type="dxa"/>
                  <w:tcBorders>
                    <w:tl2br w:val="nil"/>
                    <w:tr2bl w:val="nil"/>
                  </w:tcBorders>
                  <w:noWrap w:val="0"/>
                  <w:vAlign w:val="center"/>
                </w:tcPr>
                <w:p w14:paraId="68FD38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90</w:t>
                  </w:r>
                </w:p>
              </w:tc>
              <w:tc>
                <w:tcPr>
                  <w:tcW w:w="916" w:type="dxa"/>
                  <w:tcBorders>
                    <w:tl2br w:val="nil"/>
                    <w:tr2bl w:val="nil"/>
                  </w:tcBorders>
                  <w:noWrap w:val="0"/>
                  <w:vAlign w:val="center"/>
                </w:tcPr>
                <w:p w14:paraId="7F99FE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袋式除尘器处理后达标排放</w:t>
                  </w:r>
                </w:p>
              </w:tc>
              <w:tc>
                <w:tcPr>
                  <w:tcW w:w="555" w:type="dxa"/>
                  <w:tcBorders>
                    <w:tl2br w:val="nil"/>
                    <w:tr2bl w:val="nil"/>
                  </w:tcBorders>
                  <w:noWrap w:val="0"/>
                  <w:vAlign w:val="center"/>
                </w:tcPr>
                <w:p w14:paraId="2853AA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95</w:t>
                  </w:r>
                </w:p>
              </w:tc>
              <w:tc>
                <w:tcPr>
                  <w:tcW w:w="375" w:type="dxa"/>
                  <w:tcBorders>
                    <w:tl2br w:val="nil"/>
                    <w:tr2bl w:val="nil"/>
                  </w:tcBorders>
                  <w:noWrap w:val="0"/>
                  <w:vAlign w:val="center"/>
                </w:tcPr>
                <w:p w14:paraId="6F816C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是</w:t>
                  </w:r>
                </w:p>
              </w:tc>
              <w:tc>
                <w:tcPr>
                  <w:tcW w:w="465" w:type="dxa"/>
                  <w:vMerge w:val="restart"/>
                  <w:tcBorders>
                    <w:tl2br w:val="nil"/>
                    <w:tr2bl w:val="nil"/>
                  </w:tcBorders>
                  <w:noWrap w:val="0"/>
                  <w:vAlign w:val="center"/>
                </w:tcPr>
                <w:p w14:paraId="6EF92D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8.02</w:t>
                  </w:r>
                </w:p>
              </w:tc>
              <w:tc>
                <w:tcPr>
                  <w:tcW w:w="495" w:type="dxa"/>
                  <w:vMerge w:val="restart"/>
                  <w:tcBorders>
                    <w:tl2br w:val="nil"/>
                    <w:tr2bl w:val="nil"/>
                  </w:tcBorders>
                  <w:noWrap w:val="0"/>
                  <w:vAlign w:val="center"/>
                </w:tcPr>
                <w:p w14:paraId="773EAE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0.1822</w:t>
                  </w:r>
                </w:p>
              </w:tc>
              <w:tc>
                <w:tcPr>
                  <w:tcW w:w="585" w:type="dxa"/>
                  <w:vMerge w:val="restart"/>
                  <w:tcBorders>
                    <w:tl2br w:val="nil"/>
                    <w:tr2bl w:val="nil"/>
                  </w:tcBorders>
                  <w:noWrap w:val="0"/>
                  <w:vAlign w:val="center"/>
                </w:tcPr>
                <w:p w14:paraId="2ECB28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0.219</w:t>
                  </w:r>
                </w:p>
              </w:tc>
              <w:tc>
                <w:tcPr>
                  <w:tcW w:w="516" w:type="dxa"/>
                  <w:vMerge w:val="restart"/>
                  <w:tcBorders>
                    <w:tl2br w:val="nil"/>
                    <w:tr2bl w:val="nil"/>
                  </w:tcBorders>
                  <w:noWrap w:val="0"/>
                  <w:vAlign w:val="center"/>
                </w:tcPr>
                <w:p w14:paraId="5CD7E8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0.242</w:t>
                  </w:r>
                </w:p>
              </w:tc>
            </w:tr>
            <w:tr w14:paraId="466F0B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tcBorders>
                    <w:tl2br w:val="nil"/>
                    <w:tr2bl w:val="nil"/>
                  </w:tcBorders>
                  <w:noWrap w:val="0"/>
                  <w:vAlign w:val="center"/>
                </w:tcPr>
                <w:p w14:paraId="0E27A0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抛丸过程</w:t>
                  </w:r>
                </w:p>
              </w:tc>
              <w:tc>
                <w:tcPr>
                  <w:tcW w:w="1576" w:type="dxa"/>
                  <w:gridSpan w:val="2"/>
                  <w:tcBorders>
                    <w:tl2br w:val="nil"/>
                    <w:tr2bl w:val="nil"/>
                  </w:tcBorders>
                  <w:noWrap w:val="0"/>
                  <w:vAlign w:val="center"/>
                </w:tcPr>
                <w:p w14:paraId="14B848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color w:val="auto"/>
                      <w:sz w:val="21"/>
                      <w:szCs w:val="21"/>
                      <w:lang w:val="en-US" w:eastAsia="zh-CN"/>
                    </w:rPr>
                    <w:t>颗粒物</w:t>
                  </w:r>
                </w:p>
              </w:tc>
              <w:tc>
                <w:tcPr>
                  <w:tcW w:w="495" w:type="dxa"/>
                  <w:tcBorders>
                    <w:tl2br w:val="nil"/>
                    <w:tr2bl w:val="nil"/>
                  </w:tcBorders>
                  <w:noWrap w:val="0"/>
                  <w:vAlign w:val="center"/>
                </w:tcPr>
                <w:p w14:paraId="392285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0.219</w:t>
                  </w:r>
                </w:p>
              </w:tc>
              <w:tc>
                <w:tcPr>
                  <w:tcW w:w="556" w:type="dxa"/>
                  <w:tcBorders>
                    <w:tl2br w:val="nil"/>
                    <w:tr2bl w:val="nil"/>
                  </w:tcBorders>
                  <w:noWrap w:val="0"/>
                  <w:vAlign w:val="center"/>
                </w:tcPr>
                <w:p w14:paraId="402348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60.83</w:t>
                  </w:r>
                </w:p>
              </w:tc>
              <w:tc>
                <w:tcPr>
                  <w:tcW w:w="376" w:type="dxa"/>
                  <w:tcBorders>
                    <w:tl2br w:val="nil"/>
                    <w:tr2bl w:val="nil"/>
                  </w:tcBorders>
                  <w:noWrap w:val="0"/>
                  <w:vAlign w:val="center"/>
                </w:tcPr>
                <w:p w14:paraId="76D182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有组织</w:t>
                  </w:r>
                </w:p>
              </w:tc>
              <w:tc>
                <w:tcPr>
                  <w:tcW w:w="503" w:type="dxa"/>
                  <w:tcBorders>
                    <w:tl2br w:val="nil"/>
                    <w:tr2bl w:val="nil"/>
                  </w:tcBorders>
                  <w:noWrap w:val="0"/>
                  <w:vAlign w:val="center"/>
                </w:tcPr>
                <w:p w14:paraId="65F446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bCs/>
                      <w:caps w:val="0"/>
                      <w:color w:val="auto"/>
                      <w:spacing w:val="0"/>
                      <w:position w:val="0"/>
                      <w:sz w:val="21"/>
                      <w:szCs w:val="21"/>
                      <w:highlight w:val="none"/>
                      <w:vertAlign w:val="baseline"/>
                      <w:lang w:val="en-US" w:eastAsia="zh-CN"/>
                    </w:rPr>
                    <w:t>3000</w:t>
                  </w:r>
                </w:p>
              </w:tc>
              <w:tc>
                <w:tcPr>
                  <w:tcW w:w="390" w:type="dxa"/>
                  <w:tcBorders>
                    <w:tl2br w:val="nil"/>
                    <w:tr2bl w:val="nil"/>
                  </w:tcBorders>
                  <w:noWrap w:val="0"/>
                  <w:vAlign w:val="center"/>
                </w:tcPr>
                <w:p w14:paraId="17B1FB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90</w:t>
                  </w:r>
                </w:p>
              </w:tc>
              <w:tc>
                <w:tcPr>
                  <w:tcW w:w="916" w:type="dxa"/>
                  <w:tcBorders>
                    <w:tl2br w:val="nil"/>
                    <w:tr2bl w:val="nil"/>
                  </w:tcBorders>
                  <w:noWrap w:val="0"/>
                  <w:vAlign w:val="center"/>
                </w:tcPr>
                <w:p w14:paraId="751A14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自带除尘装置处理后达标排放</w:t>
                  </w:r>
                </w:p>
              </w:tc>
              <w:tc>
                <w:tcPr>
                  <w:tcW w:w="555" w:type="dxa"/>
                  <w:tcBorders>
                    <w:tl2br w:val="nil"/>
                    <w:tr2bl w:val="nil"/>
                  </w:tcBorders>
                  <w:noWrap w:val="0"/>
                  <w:vAlign w:val="center"/>
                </w:tcPr>
                <w:p w14:paraId="36CA36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95</w:t>
                  </w:r>
                </w:p>
              </w:tc>
              <w:tc>
                <w:tcPr>
                  <w:tcW w:w="375" w:type="dxa"/>
                  <w:tcBorders>
                    <w:tl2br w:val="nil"/>
                    <w:tr2bl w:val="nil"/>
                  </w:tcBorders>
                  <w:noWrap w:val="0"/>
                  <w:vAlign w:val="center"/>
                </w:tcPr>
                <w:p w14:paraId="625220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是</w:t>
                  </w:r>
                </w:p>
              </w:tc>
              <w:tc>
                <w:tcPr>
                  <w:tcW w:w="465" w:type="dxa"/>
                  <w:vMerge w:val="continue"/>
                  <w:tcBorders>
                    <w:tl2br w:val="nil"/>
                    <w:tr2bl w:val="nil"/>
                  </w:tcBorders>
                  <w:noWrap w:val="0"/>
                  <w:vAlign w:val="center"/>
                </w:tcPr>
                <w:p w14:paraId="45D12F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p>
              </w:tc>
              <w:tc>
                <w:tcPr>
                  <w:tcW w:w="495" w:type="dxa"/>
                  <w:vMerge w:val="continue"/>
                  <w:tcBorders>
                    <w:tl2br w:val="nil"/>
                    <w:tr2bl w:val="nil"/>
                  </w:tcBorders>
                  <w:noWrap w:val="0"/>
                  <w:vAlign w:val="center"/>
                </w:tcPr>
                <w:p w14:paraId="533884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p>
              </w:tc>
              <w:tc>
                <w:tcPr>
                  <w:tcW w:w="585" w:type="dxa"/>
                  <w:vMerge w:val="continue"/>
                  <w:tcBorders>
                    <w:tl2br w:val="nil"/>
                    <w:tr2bl w:val="nil"/>
                  </w:tcBorders>
                  <w:noWrap w:val="0"/>
                  <w:vAlign w:val="center"/>
                </w:tcPr>
                <w:p w14:paraId="6DB2D2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p>
              </w:tc>
              <w:tc>
                <w:tcPr>
                  <w:tcW w:w="516" w:type="dxa"/>
                  <w:vMerge w:val="continue"/>
                  <w:tcBorders>
                    <w:tl2br w:val="nil"/>
                    <w:tr2bl w:val="nil"/>
                  </w:tcBorders>
                  <w:noWrap w:val="0"/>
                  <w:vAlign w:val="center"/>
                </w:tcPr>
                <w:p w14:paraId="2A6EFD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p>
              </w:tc>
            </w:tr>
            <w:tr w14:paraId="6F59B5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vMerge w:val="restart"/>
                  <w:tcBorders>
                    <w:tl2br w:val="nil"/>
                    <w:tr2bl w:val="nil"/>
                  </w:tcBorders>
                  <w:noWrap w:val="0"/>
                  <w:vAlign w:val="center"/>
                </w:tcPr>
                <w:p w14:paraId="6E108B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烘干液化石油气使用过程</w:t>
                  </w:r>
                </w:p>
              </w:tc>
              <w:tc>
                <w:tcPr>
                  <w:tcW w:w="1576" w:type="dxa"/>
                  <w:gridSpan w:val="2"/>
                  <w:tcBorders>
                    <w:tl2br w:val="nil"/>
                    <w:tr2bl w:val="nil"/>
                  </w:tcBorders>
                  <w:noWrap w:val="0"/>
                  <w:vAlign w:val="center"/>
                </w:tcPr>
                <w:p w14:paraId="3F9E9684">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颗粒物</w:t>
                  </w:r>
                </w:p>
              </w:tc>
              <w:tc>
                <w:tcPr>
                  <w:tcW w:w="495" w:type="dxa"/>
                  <w:tcBorders>
                    <w:tl2br w:val="nil"/>
                    <w:tr2bl w:val="nil"/>
                  </w:tcBorders>
                  <w:noWrap w:val="0"/>
                  <w:vAlign w:val="center"/>
                </w:tcPr>
                <w:p w14:paraId="53F4BABA">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highlight w:val="none"/>
                      <w:lang w:val="en-US" w:eastAsia="zh-CN"/>
                    </w:rPr>
                    <w:t>0.000044</w:t>
                  </w:r>
                </w:p>
              </w:tc>
              <w:tc>
                <w:tcPr>
                  <w:tcW w:w="556" w:type="dxa"/>
                  <w:tcBorders>
                    <w:tl2br w:val="nil"/>
                    <w:tr2bl w:val="nil"/>
                  </w:tcBorders>
                  <w:noWrap w:val="0"/>
                  <w:vAlign w:val="center"/>
                </w:tcPr>
                <w:p w14:paraId="7045F67E">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0.0012</w:t>
                  </w:r>
                </w:p>
              </w:tc>
              <w:tc>
                <w:tcPr>
                  <w:tcW w:w="376" w:type="dxa"/>
                  <w:vMerge w:val="restart"/>
                  <w:tcBorders>
                    <w:tl2br w:val="nil"/>
                    <w:tr2bl w:val="nil"/>
                  </w:tcBorders>
                  <w:noWrap w:val="0"/>
                  <w:vAlign w:val="center"/>
                </w:tcPr>
                <w:p w14:paraId="77D3C1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有组织</w:t>
                  </w:r>
                </w:p>
              </w:tc>
              <w:tc>
                <w:tcPr>
                  <w:tcW w:w="503" w:type="dxa"/>
                  <w:vMerge w:val="restart"/>
                  <w:tcBorders>
                    <w:tl2br w:val="nil"/>
                    <w:tr2bl w:val="nil"/>
                  </w:tcBorders>
                  <w:noWrap w:val="0"/>
                  <w:vAlign w:val="center"/>
                </w:tcPr>
                <w:p w14:paraId="2D2080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bCs/>
                      <w:caps w:val="0"/>
                      <w:color w:val="auto"/>
                      <w:spacing w:val="0"/>
                      <w:kern w:val="2"/>
                      <w:position w:val="0"/>
                      <w:sz w:val="21"/>
                      <w:szCs w:val="21"/>
                      <w:highlight w:val="none"/>
                      <w:vertAlign w:val="baseline"/>
                      <w:lang w:val="en-US" w:eastAsia="zh-CN" w:bidi="ar-SA"/>
                    </w:rPr>
                    <w:t>30000</w:t>
                  </w:r>
                </w:p>
              </w:tc>
              <w:tc>
                <w:tcPr>
                  <w:tcW w:w="390" w:type="dxa"/>
                  <w:vMerge w:val="restart"/>
                  <w:tcBorders>
                    <w:tl2br w:val="nil"/>
                    <w:tr2bl w:val="nil"/>
                  </w:tcBorders>
                  <w:noWrap w:val="0"/>
                  <w:vAlign w:val="center"/>
                </w:tcPr>
                <w:p w14:paraId="1C1A5A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w:t>
                  </w:r>
                </w:p>
              </w:tc>
              <w:tc>
                <w:tcPr>
                  <w:tcW w:w="916" w:type="dxa"/>
                  <w:vMerge w:val="restart"/>
                  <w:tcBorders>
                    <w:tl2br w:val="nil"/>
                    <w:tr2bl w:val="nil"/>
                  </w:tcBorders>
                  <w:noWrap w:val="0"/>
                  <w:vAlign w:val="center"/>
                </w:tcPr>
                <w:p w14:paraId="28FB2A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经烘干房进入过滤棉+活性炭吸附/脱附+催化燃烧装置处理</w:t>
                  </w:r>
                </w:p>
              </w:tc>
              <w:tc>
                <w:tcPr>
                  <w:tcW w:w="555" w:type="dxa"/>
                  <w:vMerge w:val="restart"/>
                  <w:tcBorders>
                    <w:tl2br w:val="nil"/>
                    <w:tr2bl w:val="nil"/>
                  </w:tcBorders>
                  <w:noWrap w:val="0"/>
                  <w:vAlign w:val="center"/>
                </w:tcPr>
                <w:p w14:paraId="265C74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w:t>
                  </w:r>
                </w:p>
              </w:tc>
              <w:tc>
                <w:tcPr>
                  <w:tcW w:w="375" w:type="dxa"/>
                  <w:vMerge w:val="restart"/>
                  <w:tcBorders>
                    <w:tl2br w:val="nil"/>
                    <w:tr2bl w:val="nil"/>
                  </w:tcBorders>
                  <w:noWrap w:val="0"/>
                  <w:vAlign w:val="center"/>
                </w:tcPr>
                <w:p w14:paraId="2F974B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是</w:t>
                  </w:r>
                </w:p>
              </w:tc>
              <w:tc>
                <w:tcPr>
                  <w:tcW w:w="465" w:type="dxa"/>
                  <w:tcBorders>
                    <w:tl2br w:val="nil"/>
                    <w:tr2bl w:val="nil"/>
                  </w:tcBorders>
                  <w:noWrap w:val="0"/>
                  <w:vAlign w:val="center"/>
                </w:tcPr>
                <w:p w14:paraId="7027BF93">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0.0012</w:t>
                  </w:r>
                </w:p>
              </w:tc>
              <w:tc>
                <w:tcPr>
                  <w:tcW w:w="495" w:type="dxa"/>
                  <w:tcBorders>
                    <w:tl2br w:val="nil"/>
                    <w:tr2bl w:val="nil"/>
                  </w:tcBorders>
                  <w:noWrap w:val="0"/>
                  <w:vAlign w:val="center"/>
                </w:tcPr>
                <w:p w14:paraId="21AA0716">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0.00004</w:t>
                  </w:r>
                </w:p>
              </w:tc>
              <w:tc>
                <w:tcPr>
                  <w:tcW w:w="585" w:type="dxa"/>
                  <w:tcBorders>
                    <w:tl2br w:val="nil"/>
                    <w:tr2bl w:val="nil"/>
                  </w:tcBorders>
                  <w:noWrap w:val="0"/>
                  <w:vAlign w:val="center"/>
                </w:tcPr>
                <w:p w14:paraId="5FDD22C2">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highlight w:val="none"/>
                      <w:lang w:val="en-US" w:eastAsia="zh-CN"/>
                    </w:rPr>
                    <w:t>0.000044</w:t>
                  </w:r>
                </w:p>
              </w:tc>
              <w:tc>
                <w:tcPr>
                  <w:tcW w:w="516" w:type="dxa"/>
                  <w:tcBorders>
                    <w:tl2br w:val="nil"/>
                    <w:tr2bl w:val="nil"/>
                  </w:tcBorders>
                  <w:noWrap w:val="0"/>
                  <w:vAlign w:val="center"/>
                </w:tcPr>
                <w:p w14:paraId="0DC791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kern w:val="2"/>
                      <w:position w:val="0"/>
                      <w:sz w:val="21"/>
                      <w:szCs w:val="21"/>
                      <w:highlight w:val="none"/>
                      <w:lang w:val="en-US" w:eastAsia="zh-CN" w:bidi="ar-SA"/>
                    </w:rPr>
                    <w:t>/</w:t>
                  </w:r>
                </w:p>
              </w:tc>
            </w:tr>
            <w:tr w14:paraId="285C21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vMerge w:val="continue"/>
                  <w:tcBorders>
                    <w:tl2br w:val="nil"/>
                    <w:tr2bl w:val="nil"/>
                  </w:tcBorders>
                  <w:noWrap w:val="0"/>
                  <w:vAlign w:val="center"/>
                </w:tcPr>
                <w:p w14:paraId="6332D9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1576" w:type="dxa"/>
                  <w:gridSpan w:val="2"/>
                  <w:tcBorders>
                    <w:tl2br w:val="nil"/>
                    <w:tr2bl w:val="nil"/>
                  </w:tcBorders>
                  <w:noWrap w:val="0"/>
                  <w:vAlign w:val="center"/>
                </w:tcPr>
                <w:p w14:paraId="1C2015E9">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SO</w:t>
                  </w:r>
                  <w:r>
                    <w:rPr>
                      <w:rFonts w:hint="default" w:ascii="Times New Roman" w:hAnsi="Times New Roman" w:eastAsia="宋体" w:cs="Times New Roman"/>
                      <w:color w:val="auto"/>
                      <w:sz w:val="21"/>
                      <w:szCs w:val="21"/>
                      <w:vertAlign w:val="subscript"/>
                      <w:lang w:val="en-US" w:eastAsia="zh-CN"/>
                    </w:rPr>
                    <w:t>2</w:t>
                  </w:r>
                </w:p>
              </w:tc>
              <w:tc>
                <w:tcPr>
                  <w:tcW w:w="495" w:type="dxa"/>
                  <w:tcBorders>
                    <w:tl2br w:val="nil"/>
                    <w:tr2bl w:val="nil"/>
                  </w:tcBorders>
                  <w:noWrap w:val="0"/>
                  <w:vAlign w:val="center"/>
                </w:tcPr>
                <w:p w14:paraId="329D5D21">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highlight w:val="none"/>
                      <w:lang w:val="en-US" w:eastAsia="zh-CN"/>
                    </w:rPr>
                    <w:t>0.0000004</w:t>
                  </w:r>
                </w:p>
              </w:tc>
              <w:tc>
                <w:tcPr>
                  <w:tcW w:w="556" w:type="dxa"/>
                  <w:tcBorders>
                    <w:tl2br w:val="nil"/>
                    <w:tr2bl w:val="nil"/>
                  </w:tcBorders>
                  <w:noWrap w:val="0"/>
                  <w:vAlign w:val="center"/>
                </w:tcPr>
                <w:p w14:paraId="32C471C5">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0.000011</w:t>
                  </w:r>
                </w:p>
              </w:tc>
              <w:tc>
                <w:tcPr>
                  <w:tcW w:w="376" w:type="dxa"/>
                  <w:vMerge w:val="continue"/>
                  <w:tcBorders>
                    <w:tl2br w:val="nil"/>
                    <w:tr2bl w:val="nil"/>
                  </w:tcBorders>
                  <w:noWrap w:val="0"/>
                  <w:vAlign w:val="center"/>
                </w:tcPr>
                <w:p w14:paraId="3682ED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503" w:type="dxa"/>
                  <w:vMerge w:val="continue"/>
                  <w:tcBorders>
                    <w:tl2br w:val="nil"/>
                    <w:tr2bl w:val="nil"/>
                  </w:tcBorders>
                  <w:noWrap w:val="0"/>
                  <w:vAlign w:val="center"/>
                </w:tcPr>
                <w:p w14:paraId="32ABC2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vertAlign w:val="baseline"/>
                      <w:lang w:val="en-US" w:eastAsia="zh-CN" w:bidi="ar-SA"/>
                    </w:rPr>
                  </w:pPr>
                </w:p>
              </w:tc>
              <w:tc>
                <w:tcPr>
                  <w:tcW w:w="390" w:type="dxa"/>
                  <w:vMerge w:val="continue"/>
                  <w:tcBorders>
                    <w:tl2br w:val="nil"/>
                    <w:tr2bl w:val="nil"/>
                  </w:tcBorders>
                  <w:noWrap w:val="0"/>
                  <w:vAlign w:val="center"/>
                </w:tcPr>
                <w:p w14:paraId="450321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916" w:type="dxa"/>
                  <w:vMerge w:val="continue"/>
                  <w:tcBorders>
                    <w:tl2br w:val="nil"/>
                    <w:tr2bl w:val="nil"/>
                  </w:tcBorders>
                  <w:noWrap w:val="0"/>
                  <w:vAlign w:val="center"/>
                </w:tcPr>
                <w:p w14:paraId="7B06C3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555" w:type="dxa"/>
                  <w:vMerge w:val="continue"/>
                  <w:tcBorders>
                    <w:tl2br w:val="nil"/>
                    <w:tr2bl w:val="nil"/>
                  </w:tcBorders>
                  <w:noWrap w:val="0"/>
                  <w:vAlign w:val="center"/>
                </w:tcPr>
                <w:p w14:paraId="37D9D9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375" w:type="dxa"/>
                  <w:vMerge w:val="continue"/>
                  <w:tcBorders>
                    <w:tl2br w:val="nil"/>
                    <w:tr2bl w:val="nil"/>
                  </w:tcBorders>
                  <w:noWrap w:val="0"/>
                  <w:vAlign w:val="center"/>
                </w:tcPr>
                <w:p w14:paraId="663607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465" w:type="dxa"/>
                  <w:tcBorders>
                    <w:tl2br w:val="nil"/>
                    <w:tr2bl w:val="nil"/>
                  </w:tcBorders>
                  <w:noWrap w:val="0"/>
                  <w:vAlign w:val="center"/>
                </w:tcPr>
                <w:p w14:paraId="16FA07B4">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0.000011</w:t>
                  </w:r>
                </w:p>
              </w:tc>
              <w:tc>
                <w:tcPr>
                  <w:tcW w:w="495" w:type="dxa"/>
                  <w:tcBorders>
                    <w:tl2br w:val="nil"/>
                    <w:tr2bl w:val="nil"/>
                  </w:tcBorders>
                  <w:noWrap w:val="0"/>
                  <w:vAlign w:val="center"/>
                </w:tcPr>
                <w:p w14:paraId="2B45846A">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0.00000033</w:t>
                  </w:r>
                </w:p>
              </w:tc>
              <w:tc>
                <w:tcPr>
                  <w:tcW w:w="585" w:type="dxa"/>
                  <w:tcBorders>
                    <w:tl2br w:val="nil"/>
                    <w:tr2bl w:val="nil"/>
                  </w:tcBorders>
                  <w:noWrap w:val="0"/>
                  <w:vAlign w:val="center"/>
                </w:tcPr>
                <w:p w14:paraId="151F6FB8">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highlight w:val="none"/>
                      <w:lang w:val="en-US" w:eastAsia="zh-CN"/>
                    </w:rPr>
                    <w:t>0.0000004</w:t>
                  </w:r>
                </w:p>
              </w:tc>
              <w:tc>
                <w:tcPr>
                  <w:tcW w:w="516" w:type="dxa"/>
                  <w:tcBorders>
                    <w:tl2br w:val="nil"/>
                    <w:tr2bl w:val="nil"/>
                  </w:tcBorders>
                  <w:noWrap w:val="0"/>
                  <w:vAlign w:val="center"/>
                </w:tcPr>
                <w:p w14:paraId="0A77FE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kern w:val="2"/>
                      <w:position w:val="0"/>
                      <w:sz w:val="21"/>
                      <w:szCs w:val="21"/>
                      <w:highlight w:val="none"/>
                      <w:lang w:val="en-US" w:eastAsia="zh-CN" w:bidi="ar-SA"/>
                    </w:rPr>
                    <w:t>/</w:t>
                  </w:r>
                </w:p>
              </w:tc>
            </w:tr>
            <w:tr w14:paraId="5F11B5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vMerge w:val="continue"/>
                  <w:tcBorders>
                    <w:tl2br w:val="nil"/>
                    <w:tr2bl w:val="nil"/>
                  </w:tcBorders>
                  <w:noWrap w:val="0"/>
                  <w:vAlign w:val="center"/>
                </w:tcPr>
                <w:p w14:paraId="417018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1576" w:type="dxa"/>
                  <w:gridSpan w:val="2"/>
                  <w:tcBorders>
                    <w:tl2br w:val="nil"/>
                    <w:tr2bl w:val="nil"/>
                  </w:tcBorders>
                  <w:noWrap w:val="0"/>
                  <w:vAlign w:val="center"/>
                </w:tcPr>
                <w:p w14:paraId="0FD580CF">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NO</w:t>
                  </w:r>
                  <w:r>
                    <w:rPr>
                      <w:rFonts w:hint="default" w:ascii="Times New Roman" w:hAnsi="Times New Roman" w:eastAsia="宋体" w:cs="Times New Roman"/>
                      <w:color w:val="auto"/>
                      <w:sz w:val="21"/>
                      <w:szCs w:val="21"/>
                      <w:vertAlign w:val="subscript"/>
                      <w:lang w:val="en-US" w:eastAsia="zh-CN"/>
                    </w:rPr>
                    <w:t>X</w:t>
                  </w:r>
                </w:p>
              </w:tc>
              <w:tc>
                <w:tcPr>
                  <w:tcW w:w="495" w:type="dxa"/>
                  <w:tcBorders>
                    <w:tl2br w:val="nil"/>
                    <w:tr2bl w:val="nil"/>
                  </w:tcBorders>
                  <w:noWrap w:val="0"/>
                  <w:vAlign w:val="center"/>
                </w:tcPr>
                <w:p w14:paraId="4B097999">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highlight w:val="none"/>
                      <w:lang w:val="en-US" w:eastAsia="zh-CN"/>
                    </w:rPr>
                    <w:t>0.001192</w:t>
                  </w:r>
                </w:p>
              </w:tc>
              <w:tc>
                <w:tcPr>
                  <w:tcW w:w="556" w:type="dxa"/>
                  <w:tcBorders>
                    <w:tl2br w:val="nil"/>
                    <w:tr2bl w:val="nil"/>
                  </w:tcBorders>
                  <w:noWrap w:val="0"/>
                  <w:vAlign w:val="center"/>
                </w:tcPr>
                <w:p w14:paraId="22372E7E">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0.0333</w:t>
                  </w:r>
                </w:p>
              </w:tc>
              <w:tc>
                <w:tcPr>
                  <w:tcW w:w="376" w:type="dxa"/>
                  <w:vMerge w:val="continue"/>
                  <w:tcBorders>
                    <w:tl2br w:val="nil"/>
                    <w:tr2bl w:val="nil"/>
                  </w:tcBorders>
                  <w:noWrap w:val="0"/>
                  <w:vAlign w:val="center"/>
                </w:tcPr>
                <w:p w14:paraId="163551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503" w:type="dxa"/>
                  <w:vMerge w:val="continue"/>
                  <w:tcBorders>
                    <w:tl2br w:val="nil"/>
                    <w:tr2bl w:val="nil"/>
                  </w:tcBorders>
                  <w:noWrap w:val="0"/>
                  <w:vAlign w:val="center"/>
                </w:tcPr>
                <w:p w14:paraId="27C56C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vertAlign w:val="baseline"/>
                      <w:lang w:val="en-US" w:eastAsia="zh-CN" w:bidi="ar-SA"/>
                    </w:rPr>
                  </w:pPr>
                </w:p>
              </w:tc>
              <w:tc>
                <w:tcPr>
                  <w:tcW w:w="390" w:type="dxa"/>
                  <w:vMerge w:val="continue"/>
                  <w:tcBorders>
                    <w:tl2br w:val="nil"/>
                    <w:tr2bl w:val="nil"/>
                  </w:tcBorders>
                  <w:noWrap w:val="0"/>
                  <w:vAlign w:val="center"/>
                </w:tcPr>
                <w:p w14:paraId="3C4726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916" w:type="dxa"/>
                  <w:vMerge w:val="continue"/>
                  <w:tcBorders>
                    <w:tl2br w:val="nil"/>
                    <w:tr2bl w:val="nil"/>
                  </w:tcBorders>
                  <w:noWrap w:val="0"/>
                  <w:vAlign w:val="center"/>
                </w:tcPr>
                <w:p w14:paraId="596E3B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555" w:type="dxa"/>
                  <w:vMerge w:val="continue"/>
                  <w:tcBorders>
                    <w:tl2br w:val="nil"/>
                    <w:tr2bl w:val="nil"/>
                  </w:tcBorders>
                  <w:noWrap w:val="0"/>
                  <w:vAlign w:val="center"/>
                </w:tcPr>
                <w:p w14:paraId="1CDC2B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375" w:type="dxa"/>
                  <w:vMerge w:val="continue"/>
                  <w:tcBorders>
                    <w:tl2br w:val="nil"/>
                    <w:tr2bl w:val="nil"/>
                  </w:tcBorders>
                  <w:noWrap w:val="0"/>
                  <w:vAlign w:val="center"/>
                </w:tcPr>
                <w:p w14:paraId="6A9AE0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465" w:type="dxa"/>
                  <w:tcBorders>
                    <w:tl2br w:val="nil"/>
                    <w:tr2bl w:val="nil"/>
                  </w:tcBorders>
                  <w:noWrap w:val="0"/>
                  <w:vAlign w:val="center"/>
                </w:tcPr>
                <w:p w14:paraId="56812936">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0.0333</w:t>
                  </w:r>
                </w:p>
              </w:tc>
              <w:tc>
                <w:tcPr>
                  <w:tcW w:w="495" w:type="dxa"/>
                  <w:tcBorders>
                    <w:tl2br w:val="nil"/>
                    <w:tr2bl w:val="nil"/>
                  </w:tcBorders>
                  <w:noWrap w:val="0"/>
                  <w:vAlign w:val="center"/>
                </w:tcPr>
                <w:p w14:paraId="3FF5C68E">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0.001</w:t>
                  </w:r>
                </w:p>
              </w:tc>
              <w:tc>
                <w:tcPr>
                  <w:tcW w:w="585" w:type="dxa"/>
                  <w:tcBorders>
                    <w:tl2br w:val="nil"/>
                    <w:tr2bl w:val="nil"/>
                  </w:tcBorders>
                  <w:noWrap w:val="0"/>
                  <w:vAlign w:val="center"/>
                </w:tcPr>
                <w:p w14:paraId="3A8C6798">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highlight w:val="none"/>
                      <w:lang w:val="en-US" w:eastAsia="zh-CN"/>
                    </w:rPr>
                    <w:t>0.001192</w:t>
                  </w:r>
                </w:p>
              </w:tc>
              <w:tc>
                <w:tcPr>
                  <w:tcW w:w="516" w:type="dxa"/>
                  <w:tcBorders>
                    <w:tl2br w:val="nil"/>
                    <w:tr2bl w:val="nil"/>
                  </w:tcBorders>
                  <w:noWrap w:val="0"/>
                  <w:vAlign w:val="center"/>
                </w:tcPr>
                <w:p w14:paraId="566216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kern w:val="2"/>
                      <w:position w:val="0"/>
                      <w:sz w:val="21"/>
                      <w:szCs w:val="21"/>
                      <w:highlight w:val="none"/>
                      <w:lang w:val="en-US" w:eastAsia="zh-CN" w:bidi="ar-SA"/>
                    </w:rPr>
                    <w:t>/</w:t>
                  </w:r>
                </w:p>
              </w:tc>
            </w:tr>
            <w:tr w14:paraId="70D53D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vMerge w:val="continue"/>
                  <w:tcBorders>
                    <w:tl2br w:val="nil"/>
                    <w:tr2bl w:val="nil"/>
                  </w:tcBorders>
                  <w:noWrap w:val="0"/>
                  <w:vAlign w:val="center"/>
                </w:tcPr>
                <w:p w14:paraId="50FCB2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p>
              </w:tc>
              <w:tc>
                <w:tcPr>
                  <w:tcW w:w="1576" w:type="dxa"/>
                  <w:gridSpan w:val="2"/>
                  <w:tcBorders>
                    <w:tl2br w:val="nil"/>
                    <w:tr2bl w:val="nil"/>
                  </w:tcBorders>
                  <w:noWrap w:val="0"/>
                  <w:vAlign w:val="center"/>
                </w:tcPr>
                <w:p w14:paraId="70C5A9B5">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烟气黑度</w:t>
                  </w:r>
                </w:p>
              </w:tc>
              <w:tc>
                <w:tcPr>
                  <w:tcW w:w="6227" w:type="dxa"/>
                  <w:gridSpan w:val="12"/>
                  <w:tcBorders>
                    <w:tl2br w:val="nil"/>
                    <w:tr2bl w:val="nil"/>
                  </w:tcBorders>
                  <w:noWrap w:val="0"/>
                  <w:vAlign w:val="center"/>
                </w:tcPr>
                <w:p w14:paraId="186767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kern w:val="2"/>
                      <w:position w:val="0"/>
                      <w:sz w:val="21"/>
                      <w:szCs w:val="21"/>
                      <w:highlight w:val="none"/>
                      <w:lang w:val="en-US" w:eastAsia="zh-CN" w:bidi="ar-SA"/>
                    </w:rPr>
                    <w:t>﹤1</w:t>
                  </w:r>
                </w:p>
              </w:tc>
            </w:tr>
            <w:tr w14:paraId="28B1FE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664" w:type="dxa"/>
                  <w:tcBorders>
                    <w:tl2br w:val="nil"/>
                    <w:tr2bl w:val="nil"/>
                  </w:tcBorders>
                  <w:noWrap w:val="0"/>
                  <w:vAlign w:val="center"/>
                </w:tcPr>
                <w:p w14:paraId="2F9DDF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焊接过程</w:t>
                  </w:r>
                </w:p>
              </w:tc>
              <w:tc>
                <w:tcPr>
                  <w:tcW w:w="1576" w:type="dxa"/>
                  <w:gridSpan w:val="2"/>
                  <w:tcBorders>
                    <w:tl2br w:val="nil"/>
                    <w:tr2bl w:val="nil"/>
                  </w:tcBorders>
                  <w:noWrap w:val="0"/>
                  <w:vAlign w:val="center"/>
                </w:tcPr>
                <w:p w14:paraId="79D2C7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color w:val="auto"/>
                      <w:sz w:val="21"/>
                      <w:szCs w:val="21"/>
                      <w:lang w:val="en-US" w:eastAsia="zh-CN"/>
                    </w:rPr>
                    <w:t>颗粒物</w:t>
                  </w:r>
                </w:p>
              </w:tc>
              <w:tc>
                <w:tcPr>
                  <w:tcW w:w="495" w:type="dxa"/>
                  <w:tcBorders>
                    <w:tl2br w:val="nil"/>
                    <w:tr2bl w:val="nil"/>
                  </w:tcBorders>
                  <w:noWrap w:val="0"/>
                  <w:vAlign w:val="center"/>
                </w:tcPr>
                <w:p w14:paraId="1DC06D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kern w:val="2"/>
                      <w:position w:val="0"/>
                      <w:sz w:val="21"/>
                      <w:szCs w:val="21"/>
                      <w:highlight w:val="none"/>
                      <w:lang w:val="en-US" w:eastAsia="zh-CN" w:bidi="ar-SA"/>
                    </w:rPr>
                    <w:t>0.00105</w:t>
                  </w:r>
                </w:p>
              </w:tc>
              <w:tc>
                <w:tcPr>
                  <w:tcW w:w="556" w:type="dxa"/>
                  <w:tcBorders>
                    <w:tl2br w:val="nil"/>
                    <w:tr2bl w:val="nil"/>
                  </w:tcBorders>
                  <w:noWrap w:val="0"/>
                  <w:vAlign w:val="center"/>
                </w:tcPr>
                <w:p w14:paraId="337B65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w:t>
                  </w:r>
                </w:p>
              </w:tc>
              <w:tc>
                <w:tcPr>
                  <w:tcW w:w="376" w:type="dxa"/>
                  <w:tcBorders>
                    <w:tl2br w:val="nil"/>
                    <w:tr2bl w:val="nil"/>
                  </w:tcBorders>
                  <w:noWrap w:val="0"/>
                  <w:vAlign w:val="center"/>
                </w:tcPr>
                <w:p w14:paraId="3EB1A1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无组织</w:t>
                  </w:r>
                </w:p>
              </w:tc>
              <w:tc>
                <w:tcPr>
                  <w:tcW w:w="503" w:type="dxa"/>
                  <w:tcBorders>
                    <w:tl2br w:val="nil"/>
                    <w:tr2bl w:val="nil"/>
                  </w:tcBorders>
                  <w:noWrap w:val="0"/>
                  <w:vAlign w:val="center"/>
                </w:tcPr>
                <w:p w14:paraId="373258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vertAlign w:val="baseline"/>
                      <w:lang w:val="en-US" w:eastAsia="zh-CN" w:bidi="ar-SA"/>
                    </w:rPr>
                  </w:pPr>
                  <w:r>
                    <w:rPr>
                      <w:rFonts w:hint="default" w:ascii="Times New Roman" w:hAnsi="Times New Roman" w:eastAsia="宋体" w:cs="Times New Roman"/>
                      <w:bCs/>
                      <w:caps w:val="0"/>
                      <w:color w:val="auto"/>
                      <w:spacing w:val="0"/>
                      <w:kern w:val="2"/>
                      <w:position w:val="0"/>
                      <w:sz w:val="21"/>
                      <w:szCs w:val="21"/>
                      <w:highlight w:val="none"/>
                      <w:vertAlign w:val="baseline"/>
                      <w:lang w:val="en-US" w:eastAsia="zh-CN" w:bidi="ar-SA"/>
                    </w:rPr>
                    <w:t>3000</w:t>
                  </w:r>
                </w:p>
              </w:tc>
              <w:tc>
                <w:tcPr>
                  <w:tcW w:w="390" w:type="dxa"/>
                  <w:tcBorders>
                    <w:tl2br w:val="nil"/>
                    <w:tr2bl w:val="nil"/>
                  </w:tcBorders>
                  <w:noWrap w:val="0"/>
                  <w:vAlign w:val="center"/>
                </w:tcPr>
                <w:p w14:paraId="34EF9D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90</w:t>
                  </w:r>
                </w:p>
              </w:tc>
              <w:tc>
                <w:tcPr>
                  <w:tcW w:w="916" w:type="dxa"/>
                  <w:tcBorders>
                    <w:tl2br w:val="nil"/>
                    <w:tr2bl w:val="nil"/>
                  </w:tcBorders>
                  <w:noWrap w:val="0"/>
                  <w:vAlign w:val="center"/>
                </w:tcPr>
                <w:p w14:paraId="65A157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移动式烟尘净化器</w:t>
                  </w:r>
                  <w:r>
                    <w:rPr>
                      <w:rFonts w:hint="default" w:ascii="Times New Roman" w:hAnsi="Times New Roman" w:eastAsia="宋体" w:cs="Times New Roman"/>
                      <w:color w:val="auto"/>
                      <w:sz w:val="21"/>
                      <w:szCs w:val="21"/>
                      <w:lang w:val="en-US" w:eastAsia="zh-CN"/>
                    </w:rPr>
                    <w:t>处理后，无组织排放于封闭的车间内</w:t>
                  </w:r>
                </w:p>
              </w:tc>
              <w:tc>
                <w:tcPr>
                  <w:tcW w:w="555" w:type="dxa"/>
                  <w:tcBorders>
                    <w:tl2br w:val="nil"/>
                    <w:tr2bl w:val="nil"/>
                  </w:tcBorders>
                  <w:noWrap w:val="0"/>
                  <w:vAlign w:val="center"/>
                </w:tcPr>
                <w:p w14:paraId="5E3ADE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90</w:t>
                  </w:r>
                </w:p>
              </w:tc>
              <w:tc>
                <w:tcPr>
                  <w:tcW w:w="375" w:type="dxa"/>
                  <w:tcBorders>
                    <w:tl2br w:val="nil"/>
                    <w:tr2bl w:val="nil"/>
                  </w:tcBorders>
                  <w:noWrap w:val="0"/>
                  <w:vAlign w:val="center"/>
                </w:tcPr>
                <w:p w14:paraId="60A96F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是</w:t>
                  </w:r>
                </w:p>
              </w:tc>
              <w:tc>
                <w:tcPr>
                  <w:tcW w:w="465" w:type="dxa"/>
                  <w:tcBorders>
                    <w:tl2br w:val="nil"/>
                    <w:tr2bl w:val="nil"/>
                  </w:tcBorders>
                  <w:noWrap w:val="0"/>
                  <w:vAlign w:val="center"/>
                </w:tcPr>
                <w:p w14:paraId="722E2A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w:t>
                  </w:r>
                </w:p>
              </w:tc>
              <w:tc>
                <w:tcPr>
                  <w:tcW w:w="495" w:type="dxa"/>
                  <w:tcBorders>
                    <w:tl2br w:val="nil"/>
                    <w:tr2bl w:val="nil"/>
                  </w:tcBorders>
                  <w:noWrap w:val="0"/>
                  <w:vAlign w:val="center"/>
                </w:tcPr>
                <w:p w14:paraId="6ADD8F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kern w:val="2"/>
                      <w:position w:val="0"/>
                      <w:sz w:val="21"/>
                      <w:szCs w:val="21"/>
                      <w:highlight w:val="none"/>
                      <w:lang w:val="en-US" w:eastAsia="zh-CN" w:bidi="ar-SA"/>
                    </w:rPr>
                    <w:t>0.0007</w:t>
                  </w:r>
                </w:p>
              </w:tc>
              <w:tc>
                <w:tcPr>
                  <w:tcW w:w="585" w:type="dxa"/>
                  <w:tcBorders>
                    <w:tl2br w:val="nil"/>
                    <w:tr2bl w:val="nil"/>
                  </w:tcBorders>
                  <w:noWrap w:val="0"/>
                  <w:vAlign w:val="center"/>
                </w:tcPr>
                <w:p w14:paraId="3CD8AE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position w:val="0"/>
                      <w:sz w:val="21"/>
                      <w:szCs w:val="21"/>
                      <w:highlight w:val="none"/>
                      <w:lang w:val="en-US" w:eastAsia="zh-CN"/>
                    </w:rPr>
                    <w:t>/</w:t>
                  </w:r>
                </w:p>
              </w:tc>
              <w:tc>
                <w:tcPr>
                  <w:tcW w:w="516" w:type="dxa"/>
                  <w:tcBorders>
                    <w:tl2br w:val="nil"/>
                    <w:tr2bl w:val="nil"/>
                  </w:tcBorders>
                  <w:noWrap w:val="0"/>
                  <w:vAlign w:val="center"/>
                </w:tcPr>
                <w:p w14:paraId="6F57A6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eastAsia="宋体" w:cs="Times New Roman"/>
                      <w:bCs/>
                      <w:caps w:val="0"/>
                      <w:color w:val="auto"/>
                      <w:spacing w:val="0"/>
                      <w:kern w:val="2"/>
                      <w:position w:val="0"/>
                      <w:sz w:val="21"/>
                      <w:szCs w:val="21"/>
                      <w:highlight w:val="none"/>
                      <w:lang w:val="en-US" w:eastAsia="zh-CN" w:bidi="ar-SA"/>
                    </w:rPr>
                    <w:t>0.0002</w:t>
                  </w:r>
                </w:p>
              </w:tc>
            </w:tr>
          </w:tbl>
          <w:p w14:paraId="23F5D5FE">
            <w:pPr>
              <w:pStyle w:val="34"/>
              <w:bidi w:val="0"/>
              <w:rPr>
                <w:rFonts w:hint="default"/>
                <w:color w:val="auto"/>
                <w:sz w:val="21"/>
                <w:szCs w:val="21"/>
                <w:highlight w:val="none"/>
              </w:rPr>
            </w:pPr>
            <w:r>
              <w:rPr>
                <w:rFonts w:hint="default"/>
                <w:color w:val="auto"/>
                <w:sz w:val="21"/>
                <w:szCs w:val="21"/>
                <w:highlight w:val="none"/>
              </w:rPr>
              <w:t>表</w:t>
            </w:r>
            <w:r>
              <w:rPr>
                <w:rFonts w:hint="eastAsia"/>
                <w:color w:val="auto"/>
                <w:sz w:val="21"/>
                <w:szCs w:val="21"/>
                <w:highlight w:val="none"/>
                <w:lang w:val="en-US" w:eastAsia="zh-CN"/>
              </w:rPr>
              <w:t>22</w:t>
            </w:r>
            <w:r>
              <w:rPr>
                <w:rFonts w:hint="default"/>
                <w:color w:val="auto"/>
                <w:sz w:val="21"/>
                <w:szCs w:val="21"/>
                <w:highlight w:val="none"/>
              </w:rPr>
              <w:t xml:space="preserve">  </w:t>
            </w:r>
            <w:r>
              <w:rPr>
                <w:rFonts w:hint="default"/>
                <w:color w:val="auto"/>
                <w:sz w:val="21"/>
                <w:szCs w:val="21"/>
                <w:highlight w:val="none"/>
                <w:lang w:eastAsia="zh-CN"/>
              </w:rPr>
              <w:t>排放口基本情况一</w:t>
            </w:r>
            <w:r>
              <w:rPr>
                <w:rFonts w:hint="default"/>
                <w:color w:val="auto"/>
                <w:sz w:val="21"/>
                <w:szCs w:val="21"/>
                <w:highlight w:val="none"/>
              </w:rPr>
              <w:t>览表</w:t>
            </w:r>
          </w:p>
          <w:tbl>
            <w:tblPr>
              <w:tblStyle w:val="20"/>
              <w:tblW w:w="475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710"/>
              <w:gridCol w:w="645"/>
              <w:gridCol w:w="677"/>
              <w:gridCol w:w="688"/>
              <w:gridCol w:w="855"/>
              <w:gridCol w:w="1155"/>
              <w:gridCol w:w="1125"/>
              <w:gridCol w:w="1097"/>
            </w:tblGrid>
            <w:tr w14:paraId="60A0A0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1075" w:type="pct"/>
                  <w:vMerge w:val="restart"/>
                  <w:tcBorders>
                    <w:tl2br w:val="nil"/>
                    <w:tr2bl w:val="nil"/>
                  </w:tcBorders>
                  <w:noWrap w:val="0"/>
                  <w:vAlign w:val="center"/>
                </w:tcPr>
                <w:p w14:paraId="5AC15B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eastAsia="zh-CN"/>
                    </w:rPr>
                    <w:t>排</w:t>
                  </w:r>
                  <w:r>
                    <w:rPr>
                      <w:rFonts w:hint="eastAsia" w:ascii="Times New Roman" w:hAnsi="Times New Roman" w:eastAsia="宋体" w:cs="Times New Roman"/>
                      <w:bCs/>
                      <w:caps w:val="0"/>
                      <w:color w:val="auto"/>
                      <w:spacing w:val="0"/>
                      <w:position w:val="0"/>
                      <w:sz w:val="21"/>
                      <w:szCs w:val="21"/>
                      <w:highlight w:val="none"/>
                      <w:lang w:val="en-US" w:eastAsia="zh-CN"/>
                    </w:rPr>
                    <w:t>放口名称</w:t>
                  </w:r>
                </w:p>
              </w:tc>
              <w:tc>
                <w:tcPr>
                  <w:tcW w:w="405" w:type="pct"/>
                  <w:vMerge w:val="restart"/>
                  <w:tcBorders>
                    <w:tl2br w:val="nil"/>
                    <w:tr2bl w:val="nil"/>
                  </w:tcBorders>
                  <w:noWrap w:val="0"/>
                  <w:vAlign w:val="center"/>
                </w:tcPr>
                <w:p w14:paraId="19E458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高度</w:t>
                  </w:r>
                </w:p>
              </w:tc>
              <w:tc>
                <w:tcPr>
                  <w:tcW w:w="425" w:type="pct"/>
                  <w:vMerge w:val="restart"/>
                  <w:tcBorders>
                    <w:tl2br w:val="nil"/>
                    <w:tr2bl w:val="nil"/>
                  </w:tcBorders>
                  <w:noWrap w:val="0"/>
                  <w:vAlign w:val="center"/>
                </w:tcPr>
                <w:p w14:paraId="18DEC5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内径</w:t>
                  </w:r>
                </w:p>
              </w:tc>
              <w:tc>
                <w:tcPr>
                  <w:tcW w:w="432" w:type="pct"/>
                  <w:vMerge w:val="restart"/>
                  <w:tcBorders>
                    <w:tl2br w:val="nil"/>
                    <w:tr2bl w:val="nil"/>
                  </w:tcBorders>
                  <w:noWrap w:val="0"/>
                  <w:vAlign w:val="center"/>
                </w:tcPr>
                <w:p w14:paraId="3E7466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温度</w:t>
                  </w:r>
                </w:p>
              </w:tc>
              <w:tc>
                <w:tcPr>
                  <w:tcW w:w="537" w:type="pct"/>
                  <w:vMerge w:val="restart"/>
                  <w:tcBorders>
                    <w:tl2br w:val="nil"/>
                    <w:tr2bl w:val="nil"/>
                  </w:tcBorders>
                  <w:noWrap w:val="0"/>
                  <w:vAlign w:val="center"/>
                </w:tcPr>
                <w:p w14:paraId="541E08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编号</w:t>
                  </w:r>
                </w:p>
              </w:tc>
              <w:tc>
                <w:tcPr>
                  <w:tcW w:w="726" w:type="pct"/>
                  <w:vMerge w:val="restart"/>
                  <w:tcBorders>
                    <w:tl2br w:val="nil"/>
                    <w:tr2bl w:val="nil"/>
                  </w:tcBorders>
                  <w:noWrap w:val="0"/>
                  <w:vAlign w:val="center"/>
                </w:tcPr>
                <w:p w14:paraId="0F2905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类型</w:t>
                  </w:r>
                </w:p>
              </w:tc>
              <w:tc>
                <w:tcPr>
                  <w:tcW w:w="1397" w:type="pct"/>
                  <w:gridSpan w:val="2"/>
                  <w:tcBorders>
                    <w:tl2br w:val="nil"/>
                    <w:tr2bl w:val="nil"/>
                  </w:tcBorders>
                  <w:noWrap w:val="0"/>
                  <w:vAlign w:val="center"/>
                </w:tcPr>
                <w:p w14:paraId="09CFEA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rPr>
                  </w:pPr>
                  <w:r>
                    <w:rPr>
                      <w:rFonts w:hint="default" w:ascii="Times New Roman" w:hAnsi="Times New Roman" w:eastAsia="宋体" w:cs="Times New Roman"/>
                      <w:bCs/>
                      <w:caps w:val="0"/>
                      <w:color w:val="auto"/>
                      <w:spacing w:val="0"/>
                      <w:position w:val="0"/>
                      <w:sz w:val="21"/>
                      <w:szCs w:val="21"/>
                      <w:highlight w:val="none"/>
                      <w:lang w:eastAsia="zh-CN"/>
                    </w:rPr>
                    <w:t>地理坐标</w:t>
                  </w:r>
                </w:p>
              </w:tc>
            </w:tr>
            <w:tr w14:paraId="2DEEE3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40" w:hRule="atLeast"/>
                <w:jc w:val="center"/>
              </w:trPr>
              <w:tc>
                <w:tcPr>
                  <w:tcW w:w="1075" w:type="pct"/>
                  <w:vMerge w:val="continue"/>
                  <w:tcBorders>
                    <w:tl2br w:val="nil"/>
                    <w:tr2bl w:val="nil"/>
                  </w:tcBorders>
                  <w:noWrap w:val="0"/>
                  <w:vAlign w:val="center"/>
                </w:tcPr>
                <w:p w14:paraId="5556DB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405" w:type="pct"/>
                  <w:vMerge w:val="continue"/>
                  <w:tcBorders>
                    <w:tl2br w:val="nil"/>
                    <w:tr2bl w:val="nil"/>
                  </w:tcBorders>
                  <w:noWrap w:val="0"/>
                  <w:vAlign w:val="center"/>
                </w:tcPr>
                <w:p w14:paraId="44A245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425" w:type="pct"/>
                  <w:vMerge w:val="continue"/>
                  <w:tcBorders>
                    <w:tl2br w:val="nil"/>
                    <w:tr2bl w:val="nil"/>
                  </w:tcBorders>
                  <w:noWrap w:val="0"/>
                  <w:vAlign w:val="center"/>
                </w:tcPr>
                <w:p w14:paraId="0FCA65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432" w:type="pct"/>
                  <w:vMerge w:val="continue"/>
                  <w:tcBorders>
                    <w:tl2br w:val="nil"/>
                    <w:tr2bl w:val="nil"/>
                  </w:tcBorders>
                  <w:noWrap w:val="0"/>
                  <w:vAlign w:val="center"/>
                </w:tcPr>
                <w:p w14:paraId="61D778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537" w:type="pct"/>
                  <w:vMerge w:val="continue"/>
                  <w:tcBorders>
                    <w:tl2br w:val="nil"/>
                    <w:tr2bl w:val="nil"/>
                  </w:tcBorders>
                  <w:noWrap w:val="0"/>
                  <w:vAlign w:val="center"/>
                </w:tcPr>
                <w:p w14:paraId="5559DD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726" w:type="pct"/>
                  <w:vMerge w:val="continue"/>
                  <w:tcBorders>
                    <w:tl2br w:val="nil"/>
                    <w:tr2bl w:val="nil"/>
                  </w:tcBorders>
                  <w:noWrap w:val="0"/>
                  <w:vAlign w:val="center"/>
                </w:tcPr>
                <w:p w14:paraId="03209C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p>
              </w:tc>
              <w:tc>
                <w:tcPr>
                  <w:tcW w:w="707" w:type="pct"/>
                  <w:tcBorders>
                    <w:tl2br w:val="nil"/>
                    <w:tr2bl w:val="nil"/>
                  </w:tcBorders>
                  <w:noWrap w:val="0"/>
                  <w:vAlign w:val="center"/>
                </w:tcPr>
                <w:p w14:paraId="363C6D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eastAsia="zh-CN"/>
                    </w:rPr>
                    <w:t>东经</w:t>
                  </w:r>
                  <w:r>
                    <w:rPr>
                      <w:rFonts w:hint="eastAsia" w:cs="Times New Roman"/>
                      <w:bCs/>
                      <w:caps w:val="0"/>
                      <w:color w:val="auto"/>
                      <w:spacing w:val="0"/>
                      <w:position w:val="0"/>
                      <w:sz w:val="21"/>
                      <w:szCs w:val="21"/>
                      <w:highlight w:val="none"/>
                      <w:lang w:val="en-US" w:eastAsia="zh-CN"/>
                    </w:rPr>
                    <w:t>/°</w:t>
                  </w:r>
                </w:p>
              </w:tc>
              <w:tc>
                <w:tcPr>
                  <w:tcW w:w="689" w:type="pct"/>
                  <w:tcBorders>
                    <w:tl2br w:val="nil"/>
                    <w:tr2bl w:val="nil"/>
                  </w:tcBorders>
                  <w:noWrap w:val="0"/>
                  <w:vAlign w:val="center"/>
                </w:tcPr>
                <w:p w14:paraId="71EC7A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eastAsia="zh-CN"/>
                    </w:rPr>
                  </w:pPr>
                  <w:r>
                    <w:rPr>
                      <w:rFonts w:hint="default" w:ascii="Times New Roman" w:hAnsi="Times New Roman" w:eastAsia="宋体" w:cs="Times New Roman"/>
                      <w:bCs/>
                      <w:caps w:val="0"/>
                      <w:color w:val="auto"/>
                      <w:spacing w:val="0"/>
                      <w:position w:val="0"/>
                      <w:sz w:val="21"/>
                      <w:szCs w:val="21"/>
                      <w:highlight w:val="none"/>
                      <w:lang w:eastAsia="zh-CN"/>
                    </w:rPr>
                    <w:t>北纬</w:t>
                  </w:r>
                  <w:r>
                    <w:rPr>
                      <w:rFonts w:hint="eastAsia" w:cs="Times New Roman"/>
                      <w:bCs/>
                      <w:caps w:val="0"/>
                      <w:color w:val="auto"/>
                      <w:spacing w:val="0"/>
                      <w:position w:val="0"/>
                      <w:sz w:val="21"/>
                      <w:szCs w:val="21"/>
                      <w:highlight w:val="none"/>
                      <w:lang w:val="en-US" w:eastAsia="zh-CN"/>
                    </w:rPr>
                    <w:t>/°</w:t>
                  </w:r>
                </w:p>
              </w:tc>
            </w:tr>
            <w:tr w14:paraId="5E05E9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75" w:type="pct"/>
                  <w:tcBorders>
                    <w:tl2br w:val="nil"/>
                    <w:tr2bl w:val="nil"/>
                  </w:tcBorders>
                  <w:noWrap w:val="0"/>
                  <w:vAlign w:val="center"/>
                </w:tcPr>
                <w:p w14:paraId="3F24FB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调漆、喷漆、烘干、塑粉固化、燃料燃烧废气排放口（DA001）</w:t>
                  </w:r>
                </w:p>
              </w:tc>
              <w:tc>
                <w:tcPr>
                  <w:tcW w:w="405" w:type="pct"/>
                  <w:tcBorders>
                    <w:tl2br w:val="nil"/>
                    <w:tr2bl w:val="nil"/>
                  </w:tcBorders>
                  <w:noWrap w:val="0"/>
                  <w:vAlign w:val="center"/>
                </w:tcPr>
                <w:p w14:paraId="40C072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ascii="Times New Roman" w:hAnsi="Times New Roman" w:cs="Times New Roman"/>
                      <w:bCs/>
                      <w:caps w:val="0"/>
                      <w:color w:val="auto"/>
                      <w:spacing w:val="0"/>
                      <w:position w:val="0"/>
                      <w:sz w:val="21"/>
                      <w:szCs w:val="21"/>
                      <w:highlight w:val="none"/>
                      <w:lang w:val="en-US" w:eastAsia="zh-CN"/>
                    </w:rPr>
                    <w:t>1</w:t>
                  </w:r>
                  <w:r>
                    <w:rPr>
                      <w:rFonts w:hint="eastAsia" w:cs="Times New Roman"/>
                      <w:bCs/>
                      <w:caps w:val="0"/>
                      <w:color w:val="auto"/>
                      <w:spacing w:val="0"/>
                      <w:position w:val="0"/>
                      <w:sz w:val="21"/>
                      <w:szCs w:val="21"/>
                      <w:highlight w:val="none"/>
                      <w:lang w:val="en-US" w:eastAsia="zh-CN"/>
                    </w:rPr>
                    <w:t>5</w:t>
                  </w:r>
                  <w:r>
                    <w:rPr>
                      <w:rFonts w:hint="eastAsia" w:ascii="Times New Roman" w:hAnsi="Times New Roman" w:cs="Times New Roman"/>
                      <w:bCs/>
                      <w:caps w:val="0"/>
                      <w:color w:val="auto"/>
                      <w:spacing w:val="0"/>
                      <w:position w:val="0"/>
                      <w:sz w:val="21"/>
                      <w:szCs w:val="21"/>
                      <w:highlight w:val="none"/>
                      <w:lang w:val="en-US" w:eastAsia="zh-CN"/>
                    </w:rPr>
                    <w:t>m</w:t>
                  </w:r>
                </w:p>
              </w:tc>
              <w:tc>
                <w:tcPr>
                  <w:tcW w:w="425" w:type="pct"/>
                  <w:tcBorders>
                    <w:tl2br w:val="nil"/>
                    <w:tr2bl w:val="nil"/>
                  </w:tcBorders>
                  <w:noWrap w:val="0"/>
                  <w:vAlign w:val="center"/>
                </w:tcPr>
                <w:p w14:paraId="6317ED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kern w:val="2"/>
                      <w:position w:val="0"/>
                      <w:sz w:val="21"/>
                      <w:szCs w:val="21"/>
                      <w:highlight w:val="yellow"/>
                      <w:lang w:val="en-US" w:eastAsia="zh-CN" w:bidi="ar-SA"/>
                    </w:rPr>
                  </w:pPr>
                  <w:r>
                    <w:rPr>
                      <w:rFonts w:hint="eastAsia" w:cs="Times New Roman"/>
                      <w:bCs/>
                      <w:caps w:val="0"/>
                      <w:color w:val="auto"/>
                      <w:spacing w:val="0"/>
                      <w:position w:val="0"/>
                      <w:sz w:val="21"/>
                      <w:szCs w:val="21"/>
                      <w:highlight w:val="none"/>
                      <w:lang w:val="en-US" w:eastAsia="zh-CN"/>
                    </w:rPr>
                    <w:t>0.9</w:t>
                  </w:r>
                  <w:r>
                    <w:rPr>
                      <w:rFonts w:hint="default" w:ascii="Times New Roman" w:hAnsi="Times New Roman" w:cs="Times New Roman"/>
                      <w:bCs/>
                      <w:caps w:val="0"/>
                      <w:color w:val="auto"/>
                      <w:spacing w:val="0"/>
                      <w:position w:val="0"/>
                      <w:sz w:val="21"/>
                      <w:szCs w:val="21"/>
                      <w:highlight w:val="none"/>
                      <w:lang w:val="en-US" w:eastAsia="zh-CN"/>
                    </w:rPr>
                    <w:t>m</w:t>
                  </w:r>
                </w:p>
              </w:tc>
              <w:tc>
                <w:tcPr>
                  <w:tcW w:w="432" w:type="pct"/>
                  <w:tcBorders>
                    <w:tl2br w:val="nil"/>
                    <w:tr2bl w:val="nil"/>
                  </w:tcBorders>
                  <w:noWrap w:val="0"/>
                  <w:vAlign w:val="center"/>
                </w:tcPr>
                <w:p w14:paraId="60C2B0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lang w:val="en-US" w:eastAsia="zh-CN"/>
                    </w:rPr>
                  </w:pPr>
                  <w:r>
                    <w:rPr>
                      <w:rFonts w:hint="eastAsia" w:ascii="Times New Roman" w:hAnsi="Times New Roman" w:cs="Times New Roman"/>
                      <w:bCs/>
                      <w:caps w:val="0"/>
                      <w:color w:val="auto"/>
                      <w:spacing w:val="0"/>
                      <w:position w:val="0"/>
                      <w:sz w:val="21"/>
                      <w:szCs w:val="21"/>
                      <w:highlight w:val="none"/>
                      <w:lang w:val="en-US" w:eastAsia="zh-CN"/>
                    </w:rPr>
                    <w:t>45</w:t>
                  </w:r>
                  <w:r>
                    <w:rPr>
                      <w:rFonts w:hint="default" w:ascii="Times New Roman" w:hAnsi="Times New Roman" w:cs="Times New Roman"/>
                      <w:bCs/>
                      <w:caps w:val="0"/>
                      <w:color w:val="auto"/>
                      <w:spacing w:val="0"/>
                      <w:position w:val="0"/>
                      <w:sz w:val="21"/>
                      <w:szCs w:val="21"/>
                      <w:highlight w:val="none"/>
                      <w:lang w:val="en-US" w:eastAsia="zh-CN"/>
                    </w:rPr>
                    <w:t>℃</w:t>
                  </w:r>
                </w:p>
              </w:tc>
              <w:tc>
                <w:tcPr>
                  <w:tcW w:w="537" w:type="pct"/>
                  <w:tcBorders>
                    <w:tl2br w:val="nil"/>
                    <w:tr2bl w:val="nil"/>
                  </w:tcBorders>
                  <w:noWrap w:val="0"/>
                  <w:vAlign w:val="center"/>
                </w:tcPr>
                <w:p w14:paraId="699510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kern w:val="2"/>
                      <w:position w:val="0"/>
                      <w:sz w:val="21"/>
                      <w:szCs w:val="21"/>
                      <w:highlight w:val="none"/>
                      <w:lang w:val="en-US" w:eastAsia="zh-CN" w:bidi="ar-SA"/>
                    </w:rPr>
                  </w:pPr>
                  <w:r>
                    <w:rPr>
                      <w:rFonts w:hint="eastAsia" w:ascii="Times New Roman" w:hAnsi="Times New Roman" w:cs="Times New Roman"/>
                      <w:bCs/>
                      <w:caps w:val="0"/>
                      <w:color w:val="auto"/>
                      <w:spacing w:val="0"/>
                      <w:position w:val="0"/>
                      <w:sz w:val="21"/>
                      <w:szCs w:val="21"/>
                      <w:highlight w:val="none"/>
                      <w:lang w:val="en-US" w:eastAsia="zh-CN"/>
                    </w:rPr>
                    <w:t>DA001</w:t>
                  </w:r>
                </w:p>
              </w:tc>
              <w:tc>
                <w:tcPr>
                  <w:tcW w:w="726" w:type="pct"/>
                  <w:tcBorders>
                    <w:tl2br w:val="nil"/>
                    <w:tr2bl w:val="nil"/>
                  </w:tcBorders>
                  <w:noWrap w:val="0"/>
                  <w:vAlign w:val="center"/>
                </w:tcPr>
                <w:p w14:paraId="5A44BB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kern w:val="2"/>
                      <w:position w:val="0"/>
                      <w:sz w:val="21"/>
                      <w:szCs w:val="21"/>
                      <w:highlight w:val="none"/>
                      <w:lang w:val="en-US" w:eastAsia="zh-CN" w:bidi="ar-SA"/>
                    </w:rPr>
                  </w:pPr>
                  <w:r>
                    <w:rPr>
                      <w:rFonts w:hint="default" w:ascii="Times New Roman" w:hAnsi="Times New Roman" w:cs="Times New Roman"/>
                      <w:bCs/>
                      <w:caps w:val="0"/>
                      <w:color w:val="auto"/>
                      <w:spacing w:val="0"/>
                      <w:position w:val="0"/>
                      <w:sz w:val="21"/>
                      <w:szCs w:val="21"/>
                      <w:highlight w:val="none"/>
                      <w:lang w:val="en-US" w:eastAsia="zh-CN"/>
                    </w:rPr>
                    <w:t>一般排放口</w:t>
                  </w:r>
                </w:p>
              </w:tc>
              <w:tc>
                <w:tcPr>
                  <w:tcW w:w="707" w:type="pct"/>
                  <w:tcBorders>
                    <w:tl2br w:val="nil"/>
                    <w:tr2bl w:val="nil"/>
                  </w:tcBorders>
                  <w:noWrap w:val="0"/>
                  <w:vAlign w:val="center"/>
                </w:tcPr>
                <w:p w14:paraId="32562E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118.187088</w:t>
                  </w:r>
                </w:p>
              </w:tc>
              <w:tc>
                <w:tcPr>
                  <w:tcW w:w="689" w:type="pct"/>
                  <w:tcBorders>
                    <w:tl2br w:val="nil"/>
                    <w:tr2bl w:val="nil"/>
                  </w:tcBorders>
                  <w:noWrap w:val="0"/>
                  <w:vAlign w:val="center"/>
                </w:tcPr>
                <w:p w14:paraId="151969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39.725203</w:t>
                  </w:r>
                </w:p>
              </w:tc>
            </w:tr>
            <w:tr w14:paraId="79B07E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75" w:type="pct"/>
                  <w:tcBorders>
                    <w:tl2br w:val="nil"/>
                    <w:tr2bl w:val="nil"/>
                  </w:tcBorders>
                  <w:noWrap w:val="0"/>
                  <w:vAlign w:val="center"/>
                </w:tcPr>
                <w:p w14:paraId="0854D0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喷塑、打磨、腻子打磨、打砂、抛丸废气排放口（DA002）</w:t>
                  </w:r>
                </w:p>
              </w:tc>
              <w:tc>
                <w:tcPr>
                  <w:tcW w:w="405" w:type="pct"/>
                  <w:tcBorders>
                    <w:tl2br w:val="nil"/>
                    <w:tr2bl w:val="nil"/>
                  </w:tcBorders>
                  <w:noWrap w:val="0"/>
                  <w:vAlign w:val="center"/>
                </w:tcPr>
                <w:p w14:paraId="7AA7EA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position w:val="0"/>
                      <w:sz w:val="21"/>
                      <w:szCs w:val="21"/>
                      <w:highlight w:val="none"/>
                      <w:lang w:val="en-US" w:eastAsia="zh-CN"/>
                    </w:rPr>
                    <w:t>15m</w:t>
                  </w:r>
                </w:p>
              </w:tc>
              <w:tc>
                <w:tcPr>
                  <w:tcW w:w="425" w:type="pct"/>
                  <w:tcBorders>
                    <w:tl2br w:val="nil"/>
                    <w:tr2bl w:val="nil"/>
                  </w:tcBorders>
                  <w:noWrap w:val="0"/>
                  <w:vAlign w:val="center"/>
                </w:tcPr>
                <w:p w14:paraId="527EF1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cs="Times New Roman"/>
                      <w:bCs/>
                      <w:caps w:val="0"/>
                      <w:color w:val="auto"/>
                      <w:spacing w:val="0"/>
                      <w:kern w:val="2"/>
                      <w:position w:val="0"/>
                      <w:sz w:val="21"/>
                      <w:szCs w:val="21"/>
                      <w:highlight w:val="none"/>
                      <w:lang w:val="en-US" w:eastAsia="zh-CN" w:bidi="ar-SA"/>
                    </w:rPr>
                    <w:t>1.1m</w:t>
                  </w:r>
                </w:p>
              </w:tc>
              <w:tc>
                <w:tcPr>
                  <w:tcW w:w="432" w:type="pct"/>
                  <w:tcBorders>
                    <w:tl2br w:val="nil"/>
                    <w:tr2bl w:val="nil"/>
                  </w:tcBorders>
                  <w:noWrap w:val="0"/>
                  <w:vAlign w:val="center"/>
                </w:tcPr>
                <w:p w14:paraId="6EAA5C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cs="Times New Roman"/>
                      <w:bCs/>
                      <w:caps w:val="0"/>
                      <w:color w:val="auto"/>
                      <w:spacing w:val="0"/>
                      <w:position w:val="0"/>
                      <w:sz w:val="21"/>
                      <w:szCs w:val="21"/>
                      <w:highlight w:val="none"/>
                      <w:lang w:val="en-US" w:eastAsia="zh-CN"/>
                    </w:rPr>
                    <w:t>2</w:t>
                  </w:r>
                  <w:r>
                    <w:rPr>
                      <w:rFonts w:hint="eastAsia" w:cs="Times New Roman"/>
                      <w:bCs/>
                      <w:caps w:val="0"/>
                      <w:color w:val="auto"/>
                      <w:spacing w:val="0"/>
                      <w:position w:val="0"/>
                      <w:sz w:val="21"/>
                      <w:szCs w:val="21"/>
                      <w:highlight w:val="none"/>
                      <w:lang w:val="en-US" w:eastAsia="zh-CN"/>
                    </w:rPr>
                    <w:t>5</w:t>
                  </w:r>
                  <w:r>
                    <w:rPr>
                      <w:rFonts w:hint="default" w:ascii="Times New Roman" w:hAnsi="Times New Roman" w:cs="Times New Roman"/>
                      <w:bCs/>
                      <w:caps w:val="0"/>
                      <w:color w:val="auto"/>
                      <w:spacing w:val="0"/>
                      <w:position w:val="0"/>
                      <w:sz w:val="21"/>
                      <w:szCs w:val="21"/>
                      <w:highlight w:val="none"/>
                      <w:lang w:val="en-US" w:eastAsia="zh-CN"/>
                    </w:rPr>
                    <w:t>℃</w:t>
                  </w:r>
                </w:p>
              </w:tc>
              <w:tc>
                <w:tcPr>
                  <w:tcW w:w="537" w:type="pct"/>
                  <w:tcBorders>
                    <w:tl2br w:val="nil"/>
                    <w:tr2bl w:val="nil"/>
                  </w:tcBorders>
                  <w:noWrap w:val="0"/>
                  <w:vAlign w:val="center"/>
                </w:tcPr>
                <w:p w14:paraId="1704E9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eastAsia" w:ascii="Times New Roman" w:hAnsi="Times New Roman" w:cs="Times New Roman"/>
                      <w:bCs/>
                      <w:caps w:val="0"/>
                      <w:color w:val="auto"/>
                      <w:spacing w:val="0"/>
                      <w:position w:val="0"/>
                      <w:sz w:val="21"/>
                      <w:szCs w:val="21"/>
                      <w:highlight w:val="none"/>
                      <w:lang w:val="en-US" w:eastAsia="zh-CN"/>
                    </w:rPr>
                    <w:t>DA00</w:t>
                  </w:r>
                  <w:r>
                    <w:rPr>
                      <w:rFonts w:hint="eastAsia" w:cs="Times New Roman"/>
                      <w:bCs/>
                      <w:caps w:val="0"/>
                      <w:color w:val="auto"/>
                      <w:spacing w:val="0"/>
                      <w:position w:val="0"/>
                      <w:sz w:val="21"/>
                      <w:szCs w:val="21"/>
                      <w:highlight w:val="none"/>
                      <w:lang w:val="en-US" w:eastAsia="zh-CN"/>
                    </w:rPr>
                    <w:t>3</w:t>
                  </w:r>
                </w:p>
              </w:tc>
              <w:tc>
                <w:tcPr>
                  <w:tcW w:w="726" w:type="pct"/>
                  <w:tcBorders>
                    <w:tl2br w:val="nil"/>
                    <w:tr2bl w:val="nil"/>
                  </w:tcBorders>
                  <w:noWrap w:val="0"/>
                  <w:vAlign w:val="center"/>
                </w:tcPr>
                <w:p w14:paraId="6445C8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lang w:val="en-US" w:eastAsia="zh-CN" w:bidi="ar-SA"/>
                    </w:rPr>
                  </w:pPr>
                  <w:r>
                    <w:rPr>
                      <w:rFonts w:hint="default" w:ascii="Times New Roman" w:hAnsi="Times New Roman" w:cs="Times New Roman"/>
                      <w:bCs/>
                      <w:caps w:val="0"/>
                      <w:color w:val="auto"/>
                      <w:spacing w:val="0"/>
                      <w:position w:val="0"/>
                      <w:sz w:val="21"/>
                      <w:szCs w:val="21"/>
                      <w:highlight w:val="none"/>
                      <w:lang w:val="en-US" w:eastAsia="zh-CN"/>
                    </w:rPr>
                    <w:t>一般排放口</w:t>
                  </w:r>
                </w:p>
              </w:tc>
              <w:tc>
                <w:tcPr>
                  <w:tcW w:w="707" w:type="pct"/>
                  <w:tcBorders>
                    <w:tl2br w:val="nil"/>
                    <w:tr2bl w:val="nil"/>
                  </w:tcBorders>
                  <w:noWrap w:val="0"/>
                  <w:vAlign w:val="center"/>
                </w:tcPr>
                <w:p w14:paraId="05033D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118.187420</w:t>
                  </w:r>
                </w:p>
              </w:tc>
              <w:tc>
                <w:tcPr>
                  <w:tcW w:w="689" w:type="pct"/>
                  <w:tcBorders>
                    <w:tl2br w:val="nil"/>
                    <w:tr2bl w:val="nil"/>
                  </w:tcBorders>
                  <w:noWrap w:val="0"/>
                  <w:vAlign w:val="center"/>
                </w:tcPr>
                <w:p w14:paraId="6BE9D6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39.725079</w:t>
                  </w:r>
                </w:p>
              </w:tc>
            </w:tr>
          </w:tbl>
          <w:p w14:paraId="03E35F67">
            <w:pPr>
              <w:rPr>
                <w:rFonts w:hint="eastAsia"/>
                <w:b/>
                <w:bCs/>
                <w:color w:val="auto"/>
                <w:lang w:eastAsia="zh-CN"/>
              </w:rPr>
            </w:pPr>
            <w:r>
              <w:rPr>
                <w:rFonts w:hint="eastAsia"/>
                <w:b/>
                <w:bCs/>
                <w:color w:val="auto"/>
                <w:lang w:val="en-US" w:eastAsia="zh-CN"/>
              </w:rPr>
              <w:t>1.2</w:t>
            </w:r>
            <w:r>
              <w:rPr>
                <w:rFonts w:hint="eastAsia"/>
                <w:b/>
                <w:bCs/>
                <w:color w:val="auto"/>
                <w:lang w:eastAsia="zh-CN"/>
              </w:rPr>
              <w:t>源强核算分析过程</w:t>
            </w:r>
          </w:p>
          <w:p w14:paraId="497DE30B">
            <w:pPr>
              <w:bidi w:val="0"/>
              <w:rPr>
                <w:rFonts w:hint="default"/>
                <w:b/>
                <w:bCs/>
                <w:color w:val="auto"/>
                <w:highlight w:val="none"/>
                <w:lang w:val="en-US" w:eastAsia="zh-CN"/>
              </w:rPr>
            </w:pPr>
            <w:r>
              <w:rPr>
                <w:rFonts w:hint="eastAsia"/>
                <w:b/>
                <w:bCs/>
                <w:color w:val="auto"/>
                <w:highlight w:val="none"/>
                <w:lang w:val="en-US" w:eastAsia="zh-CN"/>
              </w:rPr>
              <w:t>1.2.1风量</w:t>
            </w:r>
            <w:r>
              <w:rPr>
                <w:rFonts w:hint="eastAsia"/>
                <w:b/>
                <w:bCs/>
                <w:color w:val="auto"/>
                <w:highlight w:val="none"/>
                <w:lang w:eastAsia="zh-CN"/>
              </w:rPr>
              <w:t>核算</w:t>
            </w:r>
          </w:p>
          <w:p w14:paraId="145DD728">
            <w:pPr>
              <w:keepNext w:val="0"/>
              <w:keepLines w:val="0"/>
              <w:widowControl/>
              <w:suppressLineNumbers w:val="0"/>
              <w:jc w:val="left"/>
              <w:rPr>
                <w:rFonts w:hint="default" w:ascii="Times New Roman" w:hAnsi="Times New Roman" w:eastAsia="宋体" w:cs="Times New Roman"/>
                <w:color w:val="auto"/>
                <w:sz w:val="24"/>
                <w:szCs w:val="24"/>
              </w:rPr>
            </w:pPr>
            <w:r>
              <w:rPr>
                <w:rFonts w:hint="eastAsia" w:cs="Times New Roman"/>
                <w:color w:val="auto"/>
                <w:kern w:val="0"/>
                <w:sz w:val="24"/>
                <w:szCs w:val="24"/>
                <w:lang w:val="en-US" w:eastAsia="zh-CN" w:bidi="ar"/>
              </w:rPr>
              <w:t>1</w:t>
            </w:r>
            <w:r>
              <w:rPr>
                <w:rFonts w:hint="default" w:ascii="Times New Roman" w:hAnsi="Times New Roman" w:eastAsia="宋体" w:cs="Times New Roman"/>
                <w:color w:val="auto"/>
                <w:kern w:val="0"/>
                <w:sz w:val="24"/>
                <w:szCs w:val="24"/>
                <w:lang w:val="en-US" w:eastAsia="zh-CN" w:bidi="ar"/>
              </w:rPr>
              <w:t>、打磨废气</w:t>
            </w:r>
          </w:p>
          <w:p w14:paraId="72519649">
            <w:pPr>
              <w:keepNext w:val="0"/>
              <w:keepLines w:val="0"/>
              <w:widowControl/>
              <w:suppressLineNumbers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highlight w:val="none"/>
                <w:lang w:val="en-US" w:eastAsia="zh-CN" w:bidi="ar"/>
              </w:rPr>
              <w:t>本项目</w:t>
            </w:r>
            <w:r>
              <w:rPr>
                <w:rFonts w:hint="eastAsia"/>
                <w:color w:val="auto"/>
                <w:lang w:val="en-US" w:eastAsia="zh-CN"/>
              </w:rPr>
              <w:t>设置3个移动式打磨工位，</w:t>
            </w:r>
            <w:r>
              <w:rPr>
                <w:rFonts w:hint="default" w:ascii="Times New Roman" w:hAnsi="Times New Roman" w:eastAsia="宋体" w:cs="Times New Roman"/>
                <w:color w:val="auto"/>
                <w:kern w:val="0"/>
                <w:sz w:val="24"/>
                <w:szCs w:val="24"/>
                <w:lang w:val="en-US" w:eastAsia="zh-CN" w:bidi="ar"/>
              </w:rPr>
              <w:t>在每个打磨工位上方0.5m处设置集气罩，集气罩尺寸为长0.8×宽0.5×高0.4(m)，设计罩口风速1.0m/s。单个集气罩设计风量为1440m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/h，打磨工序设计风量为</w:t>
            </w:r>
            <w:r>
              <w:rPr>
                <w:rFonts w:hint="eastAsia" w:cs="Times New Roman"/>
                <w:color w:val="auto"/>
                <w:kern w:val="0"/>
                <w:sz w:val="24"/>
                <w:szCs w:val="24"/>
                <w:lang w:val="en-US" w:eastAsia="zh-CN" w:bidi="ar"/>
              </w:rPr>
              <w:t>4320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p>
          <w:p w14:paraId="190FB9D5">
            <w:pPr>
              <w:keepNext w:val="0"/>
              <w:keepLines w:val="0"/>
              <w:widowControl/>
              <w:suppressLineNumbers w:val="0"/>
              <w:jc w:val="left"/>
              <w:rPr>
                <w:rFonts w:hint="default" w:ascii="Times New Roman" w:hAnsi="Times New Roman" w:eastAsia="宋体" w:cs="Times New Roman"/>
                <w:color w:val="auto"/>
                <w:sz w:val="24"/>
                <w:szCs w:val="24"/>
                <w:highlight w:val="none"/>
              </w:rPr>
            </w:pPr>
            <w:r>
              <w:rPr>
                <w:rFonts w:hint="eastAsia"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w:t>
            </w:r>
            <w:r>
              <w:rPr>
                <w:rFonts w:hint="eastAsia" w:cs="Times New Roman"/>
                <w:color w:val="auto"/>
                <w:kern w:val="0"/>
                <w:sz w:val="24"/>
                <w:szCs w:val="24"/>
                <w:highlight w:val="none"/>
                <w:lang w:val="en-US" w:eastAsia="zh-CN" w:bidi="ar"/>
              </w:rPr>
              <w:t>腻子</w:t>
            </w:r>
            <w:r>
              <w:rPr>
                <w:rFonts w:hint="default" w:ascii="Times New Roman" w:hAnsi="Times New Roman" w:eastAsia="宋体" w:cs="Times New Roman"/>
                <w:color w:val="auto"/>
                <w:kern w:val="0"/>
                <w:sz w:val="24"/>
                <w:szCs w:val="24"/>
                <w:highlight w:val="none"/>
                <w:lang w:val="en-US" w:eastAsia="zh-CN" w:bidi="ar"/>
              </w:rPr>
              <w:t>打磨废气</w:t>
            </w:r>
          </w:p>
          <w:p w14:paraId="4EA40F40">
            <w:pPr>
              <w:keepNext w:val="0"/>
              <w:keepLines w:val="0"/>
              <w:widowControl/>
              <w:suppressLineNumbers w:val="0"/>
              <w:jc w:val="left"/>
              <w:rPr>
                <w:color w:val="auto"/>
              </w:rPr>
            </w:pPr>
            <w:r>
              <w:rPr>
                <w:rFonts w:ascii="脣脦脤氓" w:hAnsi="脣脦脤氓" w:eastAsia="脣脦脤氓" w:cs="脣脦脤氓"/>
                <w:color w:val="auto"/>
                <w:kern w:val="0"/>
                <w:sz w:val="25"/>
                <w:szCs w:val="25"/>
                <w:lang w:val="en-US" w:eastAsia="zh-CN" w:bidi="ar"/>
              </w:rPr>
              <w:t>腻子打磨过程中粉尘产生量较少且粉尘粒径较小，废气量根据换气次数进</w:t>
            </w:r>
            <w:r>
              <w:rPr>
                <w:rFonts w:hint="default" w:ascii="脣脦脤氓" w:hAnsi="脣脦脤氓" w:eastAsia="脣脦脤氓" w:cs="脣脦脤氓"/>
                <w:color w:val="auto"/>
                <w:kern w:val="0"/>
                <w:sz w:val="25"/>
                <w:szCs w:val="25"/>
                <w:lang w:val="en-US" w:eastAsia="zh-CN" w:bidi="ar"/>
              </w:rPr>
              <w:t>行核算，核算公式为：</w:t>
            </w:r>
            <w:r>
              <w:rPr>
                <w:rFonts w:hint="eastAsia" w:cs="Times New Roman"/>
                <w:color w:val="auto"/>
                <w:kern w:val="0"/>
                <w:sz w:val="24"/>
                <w:szCs w:val="24"/>
                <w:highlight w:val="none"/>
                <w:vertAlign w:val="baseline"/>
                <w:lang w:val="en-US" w:eastAsia="zh-CN" w:bidi="ar"/>
              </w:rPr>
              <w:t>L</w:t>
            </w:r>
            <w:r>
              <w:rPr>
                <w:rFonts w:ascii="宋体" w:hAnsi="宋体" w:eastAsia="宋体" w:cs="宋体"/>
                <w:color w:val="auto"/>
                <w:kern w:val="0"/>
                <w:sz w:val="25"/>
                <w:szCs w:val="25"/>
                <w:lang w:val="en-US" w:eastAsia="zh-CN" w:bidi="ar"/>
              </w:rPr>
              <w:t>=</w:t>
            </w:r>
            <w:r>
              <w:rPr>
                <w:rFonts w:hint="default" w:ascii="脣脦脤氓" w:hAnsi="脣脦脤氓" w:eastAsia="脣脦脤氓" w:cs="脣脦脤氓"/>
                <w:color w:val="auto"/>
                <w:kern w:val="0"/>
                <w:sz w:val="25"/>
                <w:szCs w:val="25"/>
                <w:lang w:val="en-US" w:eastAsia="zh-CN" w:bidi="ar"/>
              </w:rPr>
              <w:t>室体实际容积×换气次数。</w:t>
            </w:r>
          </w:p>
          <w:p w14:paraId="03FC822C">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b w:val="0"/>
                <w:bCs w:val="0"/>
                <w:color w:val="auto"/>
                <w:highlight w:val="none"/>
                <w:lang w:val="en-US" w:eastAsia="zh-CN"/>
              </w:rPr>
            </w:pPr>
            <w:r>
              <w:rPr>
                <w:rFonts w:hint="eastAsia" w:cs="Times New Roman"/>
                <w:color w:val="auto"/>
                <w:kern w:val="0"/>
                <w:sz w:val="24"/>
                <w:szCs w:val="24"/>
                <w:highlight w:val="none"/>
                <w:vertAlign w:val="baseline"/>
                <w:lang w:val="en-US" w:eastAsia="zh-CN" w:bidi="ar"/>
              </w:rPr>
              <w:t>打磨房实际容积为：长11</w:t>
            </w:r>
            <w:r>
              <w:rPr>
                <w:rFonts w:hint="default" w:cs="Times New Roman"/>
                <w:color w:val="auto"/>
                <w:kern w:val="0"/>
                <w:sz w:val="24"/>
                <w:szCs w:val="24"/>
                <w:highlight w:val="none"/>
                <w:vertAlign w:val="baseline"/>
                <w:lang w:val="en-US" w:eastAsia="zh-CN" w:bidi="ar"/>
              </w:rPr>
              <w:t>×宽</w:t>
            </w:r>
            <w:r>
              <w:rPr>
                <w:rFonts w:hint="eastAsia" w:cs="Times New Roman"/>
                <w:color w:val="auto"/>
                <w:kern w:val="0"/>
                <w:sz w:val="24"/>
                <w:szCs w:val="24"/>
                <w:highlight w:val="none"/>
                <w:vertAlign w:val="baseline"/>
                <w:lang w:val="en-US" w:eastAsia="zh-CN" w:bidi="ar"/>
              </w:rPr>
              <w:t>5</w:t>
            </w:r>
            <w:r>
              <w:rPr>
                <w:rFonts w:hint="default" w:cs="Times New Roman"/>
                <w:color w:val="auto"/>
                <w:kern w:val="0"/>
                <w:sz w:val="24"/>
                <w:szCs w:val="24"/>
                <w:highlight w:val="none"/>
                <w:vertAlign w:val="baseline"/>
                <w:lang w:val="en-US" w:eastAsia="zh-CN" w:bidi="ar"/>
              </w:rPr>
              <w:t>×高</w:t>
            </w:r>
            <w:r>
              <w:rPr>
                <w:rFonts w:hint="eastAsia" w:cs="Times New Roman"/>
                <w:color w:val="auto"/>
                <w:kern w:val="0"/>
                <w:sz w:val="24"/>
                <w:szCs w:val="24"/>
                <w:highlight w:val="none"/>
                <w:vertAlign w:val="baseline"/>
                <w:lang w:val="en-US" w:eastAsia="zh-CN" w:bidi="ar"/>
              </w:rPr>
              <w:t>2.5(m)=137.5m</w:t>
            </w:r>
            <w:r>
              <w:rPr>
                <w:rFonts w:hint="eastAsia" w:cs="Times New Roman"/>
                <w:color w:val="auto"/>
                <w:kern w:val="0"/>
                <w:sz w:val="24"/>
                <w:szCs w:val="24"/>
                <w:highlight w:val="none"/>
                <w:vertAlign w:val="superscript"/>
                <w:lang w:val="en-US" w:eastAsia="zh-CN" w:bidi="ar"/>
              </w:rPr>
              <w:t>3</w:t>
            </w:r>
            <w:r>
              <w:rPr>
                <w:rFonts w:hint="default" w:cs="Times New Roman"/>
                <w:color w:val="auto"/>
                <w:kern w:val="0"/>
                <w:sz w:val="24"/>
                <w:szCs w:val="24"/>
                <w:highlight w:val="none"/>
                <w:vertAlign w:val="baseline"/>
                <w:lang w:val="en-US" w:eastAsia="zh-CN" w:bidi="ar"/>
              </w:rPr>
              <w:t>，根据经验值换气次数取</w:t>
            </w:r>
            <w:r>
              <w:rPr>
                <w:rFonts w:hint="eastAsia" w:cs="Times New Roman"/>
                <w:color w:val="auto"/>
                <w:kern w:val="0"/>
                <w:sz w:val="24"/>
                <w:szCs w:val="24"/>
                <w:highlight w:val="none"/>
                <w:vertAlign w:val="baseline"/>
                <w:lang w:val="en-US" w:eastAsia="zh-CN" w:bidi="ar"/>
              </w:rPr>
              <w:t>35</w:t>
            </w:r>
            <w:r>
              <w:rPr>
                <w:rFonts w:hint="default" w:cs="Times New Roman"/>
                <w:color w:val="auto"/>
                <w:kern w:val="0"/>
                <w:sz w:val="24"/>
                <w:szCs w:val="24"/>
                <w:highlight w:val="none"/>
                <w:vertAlign w:val="baseline"/>
                <w:lang w:val="en-US" w:eastAsia="zh-CN" w:bidi="ar"/>
              </w:rPr>
              <w:t>次</w:t>
            </w:r>
            <w:r>
              <w:rPr>
                <w:rFonts w:hint="eastAsia" w:cs="Times New Roman"/>
                <w:color w:val="auto"/>
                <w:kern w:val="0"/>
                <w:sz w:val="24"/>
                <w:szCs w:val="24"/>
                <w:highlight w:val="none"/>
                <w:vertAlign w:val="baseline"/>
                <w:lang w:val="en-US" w:eastAsia="zh-CN" w:bidi="ar"/>
              </w:rPr>
              <w:t>/h</w:t>
            </w:r>
            <w:r>
              <w:rPr>
                <w:rFonts w:hint="default" w:cs="Times New Roman"/>
                <w:color w:val="auto"/>
                <w:kern w:val="0"/>
                <w:sz w:val="24"/>
                <w:szCs w:val="24"/>
                <w:highlight w:val="none"/>
                <w:vertAlign w:val="baseline"/>
                <w:lang w:val="en-US" w:eastAsia="zh-CN" w:bidi="ar"/>
              </w:rPr>
              <w:t>，则打磨废气量为</w:t>
            </w:r>
            <w:r>
              <w:rPr>
                <w:rFonts w:hint="eastAsia" w:cs="Times New Roman"/>
                <w:color w:val="auto"/>
                <w:kern w:val="0"/>
                <w:sz w:val="24"/>
                <w:szCs w:val="24"/>
                <w:highlight w:val="none"/>
                <w:vertAlign w:val="baseline"/>
                <w:lang w:val="en-US" w:eastAsia="zh-CN" w:bidi="ar"/>
              </w:rPr>
              <w:t>137.5</w:t>
            </w:r>
            <w:r>
              <w:rPr>
                <w:rFonts w:hint="default" w:cs="Times New Roman"/>
                <w:color w:val="auto"/>
                <w:kern w:val="0"/>
                <w:sz w:val="24"/>
                <w:szCs w:val="24"/>
                <w:highlight w:val="none"/>
                <w:vertAlign w:val="baseline"/>
                <w:lang w:val="en-US" w:eastAsia="zh-CN" w:bidi="ar"/>
              </w:rPr>
              <w:t>×</w:t>
            </w:r>
            <w:r>
              <w:rPr>
                <w:rFonts w:hint="eastAsia" w:cs="Times New Roman"/>
                <w:color w:val="auto"/>
                <w:kern w:val="0"/>
                <w:sz w:val="24"/>
                <w:szCs w:val="24"/>
                <w:highlight w:val="none"/>
                <w:vertAlign w:val="baseline"/>
                <w:lang w:val="en-US" w:eastAsia="zh-CN" w:bidi="ar"/>
              </w:rPr>
              <w:t>35</w:t>
            </w:r>
            <w:r>
              <w:rPr>
                <w:rFonts w:hint="eastAsia" w:cs="Times New Roman"/>
                <w:color w:val="auto"/>
                <w:kern w:val="0"/>
                <w:sz w:val="24"/>
                <w:szCs w:val="24"/>
                <w:highlight w:val="none"/>
                <w:lang w:val="en-US" w:eastAsia="zh-CN" w:bidi="ar"/>
              </w:rPr>
              <w:t>=4812.5</w:t>
            </w:r>
            <w:r>
              <w:rPr>
                <w:rFonts w:hint="eastAsia" w:cs="Times New Roman"/>
                <w:color w:val="auto"/>
                <w:kern w:val="0"/>
                <w:sz w:val="24"/>
                <w:szCs w:val="24"/>
                <w:highlight w:val="none"/>
                <w:vertAlign w:val="baseline"/>
                <w:lang w:val="en-US" w:eastAsia="zh-CN" w:bidi="ar"/>
              </w:rPr>
              <w:t>m</w:t>
            </w:r>
            <w:r>
              <w:rPr>
                <w:rFonts w:hint="eastAsia" w:cs="Times New Roman"/>
                <w:color w:val="auto"/>
                <w:kern w:val="0"/>
                <w:sz w:val="24"/>
                <w:szCs w:val="24"/>
                <w:highlight w:val="none"/>
                <w:vertAlign w:val="superscript"/>
                <w:lang w:val="en-US" w:eastAsia="zh-CN" w:bidi="ar"/>
              </w:rPr>
              <w:t>3</w:t>
            </w:r>
            <w:r>
              <w:rPr>
                <w:rFonts w:hint="eastAsia" w:cs="Times New Roman"/>
                <w:color w:val="auto"/>
                <w:kern w:val="0"/>
                <w:sz w:val="24"/>
                <w:szCs w:val="24"/>
                <w:highlight w:val="none"/>
                <w:vertAlign w:val="baseline"/>
                <w:lang w:val="en-US" w:eastAsia="zh-CN" w:bidi="ar"/>
              </w:rPr>
              <w:t>/h。</w:t>
            </w:r>
          </w:p>
          <w:p w14:paraId="21D3F720">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both"/>
              <w:textAlignment w:val="auto"/>
              <w:rPr>
                <w:rFonts w:hint="default" w:ascii="Times New Roman" w:hAnsi="Times New Roman" w:eastAsia="宋体" w:cs="Times New Roman"/>
                <w:color w:val="auto"/>
                <w:sz w:val="24"/>
                <w:szCs w:val="24"/>
                <w:highlight w:val="none"/>
                <w:lang w:val="en-US"/>
              </w:rPr>
            </w:pPr>
            <w:r>
              <w:rPr>
                <w:rFonts w:hint="eastAsia"/>
                <w:b w:val="0"/>
                <w:bCs w:val="0"/>
                <w:color w:val="auto"/>
                <w:highlight w:val="none"/>
                <w:lang w:val="en-US" w:eastAsia="zh-CN"/>
              </w:rPr>
              <w:t>3、</w:t>
            </w:r>
            <w:r>
              <w:rPr>
                <w:rFonts w:hint="eastAsia" w:cs="Times New Roman"/>
                <w:color w:val="auto"/>
                <w:kern w:val="0"/>
                <w:sz w:val="24"/>
                <w:szCs w:val="24"/>
                <w:highlight w:val="none"/>
                <w:lang w:val="en-US" w:eastAsia="zh-CN" w:bidi="ar"/>
              </w:rPr>
              <w:t>打砂</w:t>
            </w:r>
            <w:r>
              <w:rPr>
                <w:rFonts w:hint="default" w:ascii="Times New Roman" w:hAnsi="Times New Roman" w:eastAsia="宋体" w:cs="Times New Roman"/>
                <w:color w:val="auto"/>
                <w:kern w:val="0"/>
                <w:sz w:val="24"/>
                <w:szCs w:val="24"/>
                <w:highlight w:val="none"/>
                <w:lang w:val="en-US" w:eastAsia="zh-CN" w:bidi="ar"/>
              </w:rPr>
              <w:t>废气</w:t>
            </w:r>
          </w:p>
          <w:p w14:paraId="1898CF19">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w:t>
            </w:r>
            <w:r>
              <w:rPr>
                <w:rFonts w:hint="eastAsia" w:cs="Times New Roman"/>
                <w:color w:val="auto"/>
                <w:kern w:val="0"/>
                <w:sz w:val="24"/>
                <w:szCs w:val="24"/>
                <w:lang w:val="en-US" w:eastAsia="zh-CN" w:bidi="ar"/>
              </w:rPr>
              <w:t>打砂</w:t>
            </w:r>
            <w:r>
              <w:rPr>
                <w:rFonts w:hint="default" w:ascii="Times New Roman" w:hAnsi="Times New Roman" w:eastAsia="宋体" w:cs="Times New Roman"/>
                <w:color w:val="auto"/>
                <w:kern w:val="0"/>
                <w:sz w:val="24"/>
                <w:szCs w:val="24"/>
                <w:lang w:val="en-US" w:eastAsia="zh-CN" w:bidi="ar"/>
              </w:rPr>
              <w:t>过程在</w:t>
            </w:r>
            <w:r>
              <w:rPr>
                <w:rFonts w:hint="eastAsia" w:cs="Times New Roman"/>
                <w:color w:val="auto"/>
                <w:kern w:val="0"/>
                <w:sz w:val="24"/>
                <w:szCs w:val="24"/>
                <w:lang w:val="en-US" w:eastAsia="zh-CN" w:bidi="ar"/>
              </w:rPr>
              <w:t>打砂</w:t>
            </w:r>
            <w:r>
              <w:rPr>
                <w:rFonts w:hint="default" w:ascii="Times New Roman" w:hAnsi="Times New Roman" w:eastAsia="宋体" w:cs="Times New Roman"/>
                <w:color w:val="auto"/>
                <w:kern w:val="0"/>
                <w:sz w:val="24"/>
                <w:szCs w:val="24"/>
                <w:lang w:val="en-US" w:eastAsia="zh-CN" w:bidi="ar"/>
              </w:rPr>
              <w:t>房内进行，为密闭空间。考虑到</w:t>
            </w:r>
            <w:r>
              <w:rPr>
                <w:rFonts w:hint="eastAsia" w:cs="Times New Roman"/>
                <w:color w:val="auto"/>
                <w:kern w:val="0"/>
                <w:sz w:val="24"/>
                <w:szCs w:val="24"/>
                <w:lang w:val="en-US" w:eastAsia="zh-CN" w:bidi="ar"/>
              </w:rPr>
              <w:t>打砂</w:t>
            </w:r>
            <w:r>
              <w:rPr>
                <w:rFonts w:hint="default" w:ascii="Times New Roman" w:hAnsi="Times New Roman" w:eastAsia="宋体" w:cs="Times New Roman"/>
                <w:color w:val="auto"/>
                <w:kern w:val="0"/>
                <w:sz w:val="24"/>
                <w:szCs w:val="24"/>
                <w:lang w:val="en-US" w:eastAsia="zh-CN" w:bidi="ar"/>
              </w:rPr>
              <w:t>过程中粉尘产生量较大，且粉尘粒径较大，为了更好的对废气进行收集，废气量参照《通风除尘设备设计手册》中全密封罩设计参数进行核算，核算公式为L=250×S。</w:t>
            </w:r>
          </w:p>
          <w:p w14:paraId="601AF793">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式中L—风量，m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p>
          <w:p w14:paraId="4FCC11FB">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S—密闭空间有效容积，指扣除密闭空间墙体厚度以及内部过道的容积，m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w:t>
            </w:r>
          </w:p>
          <w:p w14:paraId="2C6B4011">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cs="Times New Roman"/>
                <w:color w:val="auto"/>
                <w:kern w:val="0"/>
                <w:sz w:val="24"/>
                <w:szCs w:val="24"/>
                <w:highlight w:val="yellow"/>
                <w:lang w:val="en-US" w:eastAsia="zh-CN" w:bidi="ar"/>
              </w:rPr>
            </w:pPr>
            <w:r>
              <w:rPr>
                <w:rFonts w:hint="eastAsia" w:cs="Times New Roman"/>
                <w:color w:val="auto"/>
                <w:kern w:val="0"/>
                <w:sz w:val="24"/>
                <w:szCs w:val="24"/>
                <w:lang w:val="en-US" w:eastAsia="zh-CN" w:bidi="ar"/>
              </w:rPr>
              <w:t>打砂</w:t>
            </w:r>
            <w:r>
              <w:rPr>
                <w:rFonts w:hint="default" w:ascii="Times New Roman" w:hAnsi="Times New Roman" w:eastAsia="宋体" w:cs="Times New Roman"/>
                <w:color w:val="auto"/>
                <w:kern w:val="0"/>
                <w:sz w:val="24"/>
                <w:szCs w:val="24"/>
                <w:lang w:val="en-US" w:eastAsia="zh-CN" w:bidi="ar"/>
              </w:rPr>
              <w:t>房有效容积为</w:t>
            </w:r>
            <w:r>
              <w:rPr>
                <w:rFonts w:hint="eastAsia" w:cs="Times New Roman"/>
                <w:color w:val="auto"/>
                <w:kern w:val="0"/>
                <w:sz w:val="24"/>
                <w:szCs w:val="24"/>
                <w:lang w:val="en-US" w:eastAsia="zh-CN" w:bidi="ar"/>
              </w:rPr>
              <w:t>5</w:t>
            </w:r>
            <w:r>
              <w:rPr>
                <w:rFonts w:hint="eastAsia"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vertAlign w:val="baseline"/>
                <w:lang w:val="en-US" w:eastAsia="zh-CN" w:bidi="ar"/>
              </w:rPr>
              <w:t>，</w:t>
            </w:r>
            <w:r>
              <w:rPr>
                <w:rFonts w:hint="default" w:ascii="Times New Roman" w:hAnsi="Times New Roman" w:eastAsia="宋体" w:cs="Times New Roman"/>
                <w:color w:val="auto"/>
                <w:kern w:val="0"/>
                <w:sz w:val="24"/>
                <w:szCs w:val="24"/>
                <w:lang w:val="en-US" w:eastAsia="zh-CN" w:bidi="ar"/>
              </w:rPr>
              <w:t>则</w:t>
            </w:r>
            <w:r>
              <w:rPr>
                <w:rFonts w:hint="eastAsia" w:cs="Times New Roman"/>
                <w:color w:val="auto"/>
                <w:kern w:val="0"/>
                <w:sz w:val="24"/>
                <w:szCs w:val="24"/>
                <w:lang w:val="en-US" w:eastAsia="zh-CN" w:bidi="ar"/>
              </w:rPr>
              <w:t>打砂</w:t>
            </w:r>
            <w:r>
              <w:rPr>
                <w:rFonts w:hint="default" w:ascii="Times New Roman" w:hAnsi="Times New Roman" w:eastAsia="宋体" w:cs="Times New Roman"/>
                <w:color w:val="auto"/>
                <w:kern w:val="0"/>
                <w:sz w:val="24"/>
                <w:szCs w:val="24"/>
                <w:lang w:val="en-US" w:eastAsia="zh-CN" w:bidi="ar"/>
              </w:rPr>
              <w:t>废气量为：250×</w:t>
            </w:r>
            <w:r>
              <w:rPr>
                <w:rFonts w:hint="eastAsia" w:cs="Times New Roman"/>
                <w:color w:val="auto"/>
                <w:kern w:val="0"/>
                <w:sz w:val="24"/>
                <w:szCs w:val="24"/>
                <w:lang w:val="en-US" w:eastAsia="zh-CN" w:bidi="ar"/>
              </w:rPr>
              <w:t>5</w:t>
            </w:r>
            <w:r>
              <w:rPr>
                <w:rFonts w:hint="eastAsia"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20000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default" w:ascii="Times New Roman" w:hAnsi="Times New Roman" w:eastAsia="宋体" w:cs="Times New Roman"/>
                <w:color w:val="auto"/>
                <w:kern w:val="0"/>
                <w:sz w:val="24"/>
                <w:szCs w:val="24"/>
                <w:highlight w:val="none"/>
                <w:lang w:val="en-US" w:eastAsia="zh-CN" w:bidi="ar"/>
              </w:rPr>
              <w:t>。</w:t>
            </w:r>
          </w:p>
          <w:p w14:paraId="2DCDDE91">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bidi="ar"/>
              </w:rPr>
              <w:t>打磨</w:t>
            </w:r>
            <w:r>
              <w:rPr>
                <w:rFonts w:hint="eastAsia" w:cs="Times New Roman"/>
                <w:color w:val="auto"/>
                <w:kern w:val="0"/>
                <w:sz w:val="24"/>
                <w:szCs w:val="24"/>
                <w:highlight w:val="none"/>
                <w:lang w:val="en-US" w:eastAsia="zh-CN" w:bidi="ar"/>
              </w:rPr>
              <w:t>、腻子打磨</w:t>
            </w:r>
            <w:r>
              <w:rPr>
                <w:rFonts w:hint="eastAsia"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打砂</w:t>
            </w:r>
            <w:r>
              <w:rPr>
                <w:rFonts w:hint="default" w:ascii="Times New Roman" w:hAnsi="Times New Roman" w:eastAsia="宋体" w:cs="Times New Roman"/>
                <w:color w:val="auto"/>
                <w:kern w:val="0"/>
                <w:sz w:val="24"/>
                <w:szCs w:val="24"/>
                <w:highlight w:val="none"/>
                <w:lang w:val="en-US" w:eastAsia="zh-CN" w:bidi="ar"/>
              </w:rPr>
              <w:t>废气为多股废气共用一个排气筒，考虑到集气管道长度、走向、变径、封口阻力等因素，设计风量考虑</w:t>
            </w:r>
            <w:r>
              <w:rPr>
                <w:rFonts w:hint="eastAsia"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0%的风量损失，则</w:t>
            </w:r>
            <w:r>
              <w:rPr>
                <w:rFonts w:hint="eastAsia" w:ascii="Times New Roman" w:hAnsi="Times New Roman" w:eastAsia="宋体" w:cs="Times New Roman"/>
                <w:color w:val="auto"/>
                <w:kern w:val="0"/>
                <w:sz w:val="24"/>
                <w:szCs w:val="24"/>
                <w:highlight w:val="none"/>
                <w:lang w:val="en-US" w:eastAsia="zh-CN" w:bidi="ar"/>
              </w:rPr>
              <w:t>打磨</w:t>
            </w:r>
            <w:r>
              <w:rPr>
                <w:rFonts w:hint="eastAsia" w:cs="Times New Roman"/>
                <w:color w:val="auto"/>
                <w:kern w:val="0"/>
                <w:sz w:val="24"/>
                <w:szCs w:val="24"/>
                <w:highlight w:val="none"/>
                <w:lang w:val="en-US" w:eastAsia="zh-CN" w:bidi="ar"/>
              </w:rPr>
              <w:t>、腻子打磨</w:t>
            </w:r>
            <w:r>
              <w:rPr>
                <w:rFonts w:hint="eastAsia"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打砂</w:t>
            </w:r>
            <w:r>
              <w:rPr>
                <w:rFonts w:hint="default" w:ascii="Times New Roman" w:hAnsi="Times New Roman" w:eastAsia="宋体" w:cs="Times New Roman"/>
                <w:color w:val="auto"/>
                <w:kern w:val="0"/>
                <w:sz w:val="24"/>
                <w:szCs w:val="24"/>
                <w:highlight w:val="none"/>
                <w:lang w:val="en-US" w:eastAsia="zh-CN" w:bidi="ar"/>
              </w:rPr>
              <w:t>设计风量为</w:t>
            </w:r>
            <w:r>
              <w:rPr>
                <w:rFonts w:hint="eastAsia" w:ascii="宋体" w:hAnsi="宋体" w:eastAsia="宋体" w:cs="宋体"/>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4320+4812.5</w:t>
            </w:r>
            <w:r>
              <w:rPr>
                <w:rFonts w:hint="eastAsia"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20000</w:t>
            </w: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×1.</w:t>
            </w:r>
            <w:r>
              <w:rPr>
                <w:rFonts w:hint="eastAsia"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33000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p>
          <w:p w14:paraId="0494BE1D">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4</w:t>
            </w:r>
            <w:r>
              <w:rPr>
                <w:rFonts w:hint="default" w:ascii="Times New Roman" w:hAnsi="Times New Roman" w:eastAsia="宋体" w:cs="Times New Roman"/>
                <w:color w:val="auto"/>
                <w:kern w:val="0"/>
                <w:sz w:val="24"/>
                <w:szCs w:val="24"/>
                <w:highlight w:val="none"/>
                <w:lang w:val="en-US" w:eastAsia="zh-CN" w:bidi="ar"/>
              </w:rPr>
              <w:t>、喷塑废气</w:t>
            </w:r>
          </w:p>
          <w:p w14:paraId="6CF28193">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highlight w:val="none"/>
                <w:lang w:val="en-US" w:eastAsia="zh-CN" w:bidi="ar"/>
              </w:rPr>
              <w:t>喷塑工序</w:t>
            </w:r>
            <w:r>
              <w:rPr>
                <w:rFonts w:hint="default" w:ascii="Times New Roman" w:hAnsi="Times New Roman" w:eastAsia="宋体" w:cs="Times New Roman"/>
                <w:color w:val="auto"/>
                <w:kern w:val="0"/>
                <w:sz w:val="24"/>
                <w:szCs w:val="24"/>
                <w:highlight w:val="none"/>
                <w:lang w:val="en-US" w:eastAsia="zh-CN" w:bidi="ar"/>
              </w:rPr>
              <w:t>在</w:t>
            </w:r>
            <w:r>
              <w:rPr>
                <w:rFonts w:hint="eastAsia" w:ascii="Times New Roman" w:hAnsi="Times New Roman" w:eastAsia="宋体" w:cs="Times New Roman"/>
                <w:color w:val="auto"/>
                <w:kern w:val="0"/>
                <w:sz w:val="24"/>
                <w:szCs w:val="24"/>
                <w:highlight w:val="none"/>
                <w:lang w:val="en-US" w:eastAsia="zh-CN" w:bidi="ar"/>
              </w:rPr>
              <w:t>喷塑房</w:t>
            </w:r>
            <w:r>
              <w:rPr>
                <w:rFonts w:hint="default" w:ascii="Times New Roman" w:hAnsi="Times New Roman" w:eastAsia="宋体" w:cs="Times New Roman"/>
                <w:color w:val="auto"/>
                <w:kern w:val="0"/>
                <w:sz w:val="24"/>
                <w:szCs w:val="24"/>
                <w:highlight w:val="none"/>
                <w:lang w:val="en-US" w:eastAsia="zh-CN" w:bidi="ar"/>
              </w:rPr>
              <w:t>内进行，为密闭空间。</w:t>
            </w:r>
            <w:r>
              <w:rPr>
                <w:rFonts w:hint="default" w:ascii="Times New Roman" w:hAnsi="Times New Roman" w:eastAsia="宋体" w:cs="Times New Roman"/>
                <w:color w:val="auto"/>
                <w:kern w:val="0"/>
                <w:sz w:val="24"/>
                <w:szCs w:val="24"/>
                <w:lang w:val="en-US" w:eastAsia="zh-CN" w:bidi="ar"/>
              </w:rPr>
              <w:t>废气量根据换气次数进行核算，核算公式为：L=室体实际容积×换气次数。</w:t>
            </w:r>
          </w:p>
          <w:p w14:paraId="4BBBCAEE">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cs="Times New Roman"/>
                <w:color w:val="auto"/>
                <w:kern w:val="0"/>
                <w:sz w:val="24"/>
                <w:szCs w:val="24"/>
                <w:lang w:val="en-US" w:eastAsia="zh-CN" w:bidi="ar"/>
              </w:rPr>
              <w:t>喷塑</w:t>
            </w:r>
            <w:r>
              <w:rPr>
                <w:rFonts w:hint="default" w:ascii="Times New Roman" w:hAnsi="Times New Roman" w:eastAsia="宋体" w:cs="Times New Roman"/>
                <w:color w:val="auto"/>
                <w:kern w:val="0"/>
                <w:sz w:val="24"/>
                <w:szCs w:val="24"/>
                <w:lang w:val="en-US" w:eastAsia="zh-CN" w:bidi="ar"/>
              </w:rPr>
              <w:t>房实际容积为：长</w:t>
            </w:r>
            <w:r>
              <w:rPr>
                <w:rFonts w:hint="eastAsia" w:cs="Times New Roman"/>
                <w:color w:val="auto"/>
                <w:kern w:val="0"/>
                <w:sz w:val="24"/>
                <w:szCs w:val="24"/>
                <w:lang w:val="en-US" w:eastAsia="zh-CN" w:bidi="ar"/>
              </w:rPr>
              <w:t>11</w:t>
            </w:r>
            <w:r>
              <w:rPr>
                <w:rFonts w:hint="default" w:ascii="Times New Roman" w:hAnsi="Times New Roman" w:eastAsia="宋体" w:cs="Times New Roman"/>
                <w:color w:val="auto"/>
                <w:kern w:val="0"/>
                <w:sz w:val="24"/>
                <w:szCs w:val="24"/>
                <w:lang w:val="en-US" w:eastAsia="zh-CN" w:bidi="ar"/>
              </w:rPr>
              <w:t>×宽</w:t>
            </w:r>
            <w:r>
              <w:rPr>
                <w:rFonts w:hint="eastAsia"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×高</w:t>
            </w:r>
            <w:r>
              <w:rPr>
                <w:rFonts w:hint="eastAsia" w:cs="Times New Roman"/>
                <w:color w:val="auto"/>
                <w:kern w:val="0"/>
                <w:sz w:val="24"/>
                <w:szCs w:val="24"/>
                <w:lang w:val="en-US" w:eastAsia="zh-CN" w:bidi="ar"/>
              </w:rPr>
              <w:t>3</w:t>
            </w:r>
            <w:r>
              <w:rPr>
                <w:rFonts w:hint="default" w:ascii="Times New Roman" w:hAnsi="Times New Roman" w:eastAsia="宋体" w:cs="Times New Roman"/>
                <w:color w:val="auto"/>
                <w:kern w:val="0"/>
                <w:sz w:val="24"/>
                <w:szCs w:val="24"/>
                <w:lang w:val="en-US" w:eastAsia="zh-CN" w:bidi="ar"/>
              </w:rPr>
              <w:t>(m)=</w:t>
            </w:r>
            <w:r>
              <w:rPr>
                <w:rFonts w:hint="eastAsia" w:cs="Times New Roman"/>
                <w:color w:val="auto"/>
                <w:kern w:val="0"/>
                <w:sz w:val="24"/>
                <w:szCs w:val="24"/>
                <w:lang w:val="en-US" w:eastAsia="zh-CN" w:bidi="ar"/>
              </w:rPr>
              <w:t>165</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，根据经验值换气次数取</w:t>
            </w:r>
            <w:r>
              <w:rPr>
                <w:rFonts w:hint="eastAsia" w:cs="Times New Roman"/>
                <w:color w:val="auto"/>
                <w:kern w:val="0"/>
                <w:sz w:val="24"/>
                <w:szCs w:val="24"/>
                <w:lang w:val="en-US" w:eastAsia="zh-CN" w:bidi="ar"/>
              </w:rPr>
              <w:t>60</w:t>
            </w:r>
            <w:r>
              <w:rPr>
                <w:rFonts w:hint="default" w:ascii="Times New Roman" w:hAnsi="Times New Roman" w:eastAsia="宋体" w:cs="Times New Roman"/>
                <w:color w:val="auto"/>
                <w:kern w:val="0"/>
                <w:sz w:val="24"/>
                <w:szCs w:val="24"/>
                <w:lang w:val="en-US" w:eastAsia="zh-CN" w:bidi="ar"/>
              </w:rPr>
              <w:t>次/h，则</w:t>
            </w:r>
            <w:r>
              <w:rPr>
                <w:rFonts w:hint="eastAsia" w:cs="Times New Roman"/>
                <w:color w:val="auto"/>
                <w:kern w:val="0"/>
                <w:sz w:val="24"/>
                <w:szCs w:val="24"/>
                <w:lang w:val="en-US" w:eastAsia="zh-CN" w:bidi="ar"/>
              </w:rPr>
              <w:t>喷塑</w:t>
            </w:r>
            <w:r>
              <w:rPr>
                <w:rFonts w:hint="default" w:ascii="Times New Roman" w:hAnsi="Times New Roman" w:eastAsia="宋体" w:cs="Times New Roman"/>
                <w:color w:val="auto"/>
                <w:kern w:val="0"/>
                <w:sz w:val="24"/>
                <w:szCs w:val="24"/>
                <w:lang w:val="en-US" w:eastAsia="zh-CN" w:bidi="ar"/>
              </w:rPr>
              <w:t>废气量为</w:t>
            </w:r>
            <w:r>
              <w:rPr>
                <w:rFonts w:hint="eastAsia" w:cs="Times New Roman"/>
                <w:color w:val="auto"/>
                <w:kern w:val="0"/>
                <w:sz w:val="24"/>
                <w:szCs w:val="24"/>
                <w:lang w:val="en-US" w:eastAsia="zh-CN" w:bidi="ar"/>
              </w:rPr>
              <w:t>165</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60</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9900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eastAsia" w:cs="Times New Roman"/>
                <w:color w:val="auto"/>
                <w:kern w:val="0"/>
                <w:sz w:val="24"/>
                <w:szCs w:val="24"/>
                <w:lang w:val="en-US" w:eastAsia="zh-CN" w:bidi="ar"/>
              </w:rPr>
              <w:t>。</w:t>
            </w:r>
          </w:p>
          <w:p w14:paraId="197302BE">
            <w:pPr>
              <w:pStyle w:val="16"/>
              <w:spacing w:line="480" w:lineRule="exact"/>
              <w:rPr>
                <w:rFonts w:hint="eastAsia" w:ascii="Times New Roman" w:hAnsi="Times New Roman" w:eastAsia="宋体"/>
                <w:b/>
                <w:color w:val="auto"/>
                <w:highlight w:val="none"/>
                <w:lang w:val="en-US" w:eastAsia="zh-CN"/>
              </w:rPr>
            </w:pPr>
            <w:r>
              <w:rPr>
                <w:rFonts w:hint="eastAsia" w:ascii="Times New Roman" w:hAnsi="Times New Roman" w:eastAsia="宋体"/>
                <w:b/>
                <w:color w:val="auto"/>
                <w:highlight w:val="none"/>
              </w:rPr>
              <w:t>表</w:t>
            </w:r>
            <w:r>
              <w:rPr>
                <w:rFonts w:hint="eastAsia"/>
                <w:b/>
                <w:color w:val="auto"/>
                <w:highlight w:val="none"/>
                <w:lang w:val="en-US" w:eastAsia="zh-CN"/>
              </w:rPr>
              <w:t>23</w:t>
            </w:r>
            <w:r>
              <w:rPr>
                <w:rFonts w:hint="eastAsia" w:ascii="Times New Roman" w:hAnsi="Times New Roman" w:eastAsia="宋体"/>
                <w:b/>
                <w:color w:val="auto"/>
                <w:highlight w:val="none"/>
              </w:rPr>
              <w:t xml:space="preserve">  </w:t>
            </w:r>
            <w:r>
              <w:rPr>
                <w:rFonts w:hint="eastAsia" w:cs="Times New Roman"/>
                <w:color w:val="auto"/>
                <w:kern w:val="0"/>
                <w:sz w:val="21"/>
                <w:szCs w:val="21"/>
                <w:highlight w:val="none"/>
                <w:lang w:val="en-US" w:eastAsia="zh-CN" w:bidi="ar"/>
              </w:rPr>
              <w:t>打磨</w:t>
            </w:r>
            <w:r>
              <w:rPr>
                <w:rFonts w:hint="default" w:ascii="Times New Roman" w:hAnsi="Times New Roman" w:eastAsia="宋体" w:cs="Times New Roman"/>
                <w:color w:val="auto"/>
                <w:kern w:val="0"/>
                <w:sz w:val="21"/>
                <w:szCs w:val="21"/>
                <w:highlight w:val="none"/>
                <w:lang w:val="en-US" w:eastAsia="zh-CN" w:bidi="ar"/>
              </w:rPr>
              <w:t>、</w:t>
            </w:r>
            <w:r>
              <w:rPr>
                <w:rFonts w:hint="eastAsia" w:cs="Times New Roman"/>
                <w:color w:val="auto"/>
                <w:kern w:val="0"/>
                <w:sz w:val="21"/>
                <w:szCs w:val="21"/>
                <w:highlight w:val="none"/>
                <w:lang w:val="en-US" w:eastAsia="zh-CN" w:bidi="ar"/>
              </w:rPr>
              <w:t>腻子打磨、打砂、喷塑</w:t>
            </w:r>
            <w:r>
              <w:rPr>
                <w:rFonts w:hint="default" w:ascii="Times New Roman" w:hAnsi="Times New Roman" w:eastAsia="宋体" w:cs="Times New Roman"/>
                <w:color w:val="auto"/>
                <w:kern w:val="0"/>
                <w:sz w:val="21"/>
                <w:szCs w:val="21"/>
                <w:highlight w:val="none"/>
                <w:lang w:val="en-US" w:eastAsia="zh-CN" w:bidi="ar"/>
              </w:rPr>
              <w:t>设计风量</w:t>
            </w:r>
            <w:r>
              <w:rPr>
                <w:rFonts w:hint="eastAsia"/>
                <w:b/>
                <w:color w:val="auto"/>
                <w:sz w:val="21"/>
                <w:szCs w:val="21"/>
                <w:highlight w:val="none"/>
                <w:lang w:val="en-US" w:eastAsia="zh-CN"/>
              </w:rPr>
              <w:t>一览表</w:t>
            </w:r>
          </w:p>
          <w:tbl>
            <w:tblPr>
              <w:tblStyle w:val="20"/>
              <w:tblW w:w="68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97"/>
              <w:gridCol w:w="1480"/>
              <w:gridCol w:w="2820"/>
              <w:gridCol w:w="1625"/>
            </w:tblGrid>
            <w:tr w14:paraId="123E3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7" w:type="dxa"/>
                  <w:noWrap w:val="0"/>
                  <w:vAlign w:val="center"/>
                </w:tcPr>
                <w:p w14:paraId="4267ED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序号</w:t>
                  </w:r>
                </w:p>
              </w:tc>
              <w:tc>
                <w:tcPr>
                  <w:tcW w:w="1480" w:type="dxa"/>
                  <w:noWrap w:val="0"/>
                  <w:vAlign w:val="center"/>
                </w:tcPr>
                <w:p w14:paraId="23338D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污染源</w:t>
                  </w:r>
                </w:p>
              </w:tc>
              <w:tc>
                <w:tcPr>
                  <w:tcW w:w="2820" w:type="dxa"/>
                  <w:noWrap w:val="0"/>
                  <w:vAlign w:val="center"/>
                </w:tcPr>
                <w:p w14:paraId="48B11A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参数</w:t>
                  </w:r>
                </w:p>
              </w:tc>
              <w:tc>
                <w:tcPr>
                  <w:tcW w:w="1625" w:type="dxa"/>
                  <w:noWrap w:val="0"/>
                  <w:vAlign w:val="center"/>
                </w:tcPr>
                <w:p w14:paraId="50AC0D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设计风量</w:t>
                  </w:r>
                </w:p>
              </w:tc>
            </w:tr>
            <w:tr w14:paraId="5D61C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7" w:type="dxa"/>
                  <w:noWrap w:val="0"/>
                  <w:vAlign w:val="center"/>
                </w:tcPr>
                <w:p w14:paraId="524C71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480" w:type="dxa"/>
                  <w:noWrap w:val="0"/>
                  <w:vAlign w:val="center"/>
                </w:tcPr>
                <w:p w14:paraId="130CE9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0"/>
                      <w:sz w:val="21"/>
                      <w:szCs w:val="21"/>
                      <w:lang w:val="en-US" w:eastAsia="zh-CN" w:bidi="ar"/>
                    </w:rPr>
                    <w:t>打磨废气</w:t>
                  </w:r>
                </w:p>
              </w:tc>
              <w:tc>
                <w:tcPr>
                  <w:tcW w:w="2820" w:type="dxa"/>
                  <w:noWrap w:val="0"/>
                  <w:vAlign w:val="center"/>
                </w:tcPr>
                <w:p w14:paraId="0C7861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集气罩尺寸：</w:t>
                  </w:r>
                </w:p>
                <w:p w14:paraId="108A5C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长0.8×宽0.5×高0.4(m)×</w:t>
                  </w:r>
                  <w:r>
                    <w:rPr>
                      <w:rFonts w:hint="eastAsia" w:cs="Times New Roman"/>
                      <w:color w:val="auto"/>
                      <w:kern w:val="0"/>
                      <w:sz w:val="21"/>
                      <w:szCs w:val="21"/>
                      <w:lang w:val="en-US" w:eastAsia="zh-CN" w:bidi="ar"/>
                    </w:rPr>
                    <w:t>4</w:t>
                  </w:r>
                </w:p>
              </w:tc>
              <w:tc>
                <w:tcPr>
                  <w:tcW w:w="1625" w:type="dxa"/>
                  <w:vMerge w:val="restart"/>
                  <w:noWrap w:val="0"/>
                  <w:vAlign w:val="center"/>
                </w:tcPr>
                <w:p w14:paraId="16E732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33</w:t>
                  </w:r>
                  <w:r>
                    <w:rPr>
                      <w:rFonts w:hint="eastAsia" w:ascii="Times New Roman" w:hAnsi="Times New Roman" w:eastAsia="宋体" w:cs="Times New Roman"/>
                      <w:color w:val="auto"/>
                      <w:kern w:val="0"/>
                      <w:sz w:val="21"/>
                      <w:szCs w:val="21"/>
                      <w:lang w:val="en-US" w:eastAsia="zh-CN" w:bidi="ar"/>
                    </w:rPr>
                    <w:t>0</w:t>
                  </w:r>
                  <w:r>
                    <w:rPr>
                      <w:rFonts w:hint="eastAsia" w:cs="Times New Roman"/>
                      <w:color w:val="auto"/>
                      <w:kern w:val="0"/>
                      <w:sz w:val="21"/>
                      <w:szCs w:val="21"/>
                      <w:lang w:val="en-US" w:eastAsia="zh-CN" w:bidi="ar"/>
                    </w:rPr>
                    <w:t>0</w:t>
                  </w:r>
                  <w:r>
                    <w:rPr>
                      <w:rFonts w:hint="eastAsia" w:ascii="Times New Roman" w:hAnsi="Times New Roman" w:eastAsia="宋体" w:cs="Times New Roman"/>
                      <w:color w:val="auto"/>
                      <w:kern w:val="0"/>
                      <w:sz w:val="21"/>
                      <w:szCs w:val="21"/>
                      <w:lang w:val="en-US" w:eastAsia="zh-CN" w:bidi="ar"/>
                    </w:rPr>
                    <w:t>0</w:t>
                  </w: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/h</w:t>
                  </w:r>
                </w:p>
              </w:tc>
            </w:tr>
            <w:tr w14:paraId="697C9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7" w:type="dxa"/>
                  <w:noWrap w:val="0"/>
                  <w:vAlign w:val="center"/>
                </w:tcPr>
                <w:p w14:paraId="6BEEB4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w:t>
                  </w:r>
                </w:p>
              </w:tc>
              <w:tc>
                <w:tcPr>
                  <w:tcW w:w="1480" w:type="dxa"/>
                  <w:noWrap w:val="0"/>
                  <w:vAlign w:val="center"/>
                </w:tcPr>
                <w:p w14:paraId="3EDCAB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腻子打磨废气</w:t>
                  </w:r>
                </w:p>
              </w:tc>
              <w:tc>
                <w:tcPr>
                  <w:tcW w:w="2820" w:type="dxa"/>
                  <w:noWrap w:val="0"/>
                  <w:vAlign w:val="center"/>
                </w:tcPr>
                <w:p w14:paraId="704107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打磨房尺寸：</w:t>
                  </w:r>
                </w:p>
                <w:p w14:paraId="35AC65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长</w:t>
                  </w:r>
                  <w:r>
                    <w:rPr>
                      <w:rFonts w:hint="eastAsia" w:cs="Times New Roman"/>
                      <w:color w:val="auto"/>
                      <w:kern w:val="0"/>
                      <w:sz w:val="21"/>
                      <w:szCs w:val="21"/>
                      <w:lang w:val="en-US" w:eastAsia="zh-CN" w:bidi="ar"/>
                    </w:rPr>
                    <w:t>11</w:t>
                  </w:r>
                  <w:r>
                    <w:rPr>
                      <w:rFonts w:hint="default" w:ascii="Times New Roman" w:hAnsi="Times New Roman" w:eastAsia="宋体" w:cs="Times New Roman"/>
                      <w:color w:val="auto"/>
                      <w:kern w:val="0"/>
                      <w:sz w:val="21"/>
                      <w:szCs w:val="21"/>
                      <w:lang w:val="en-US" w:eastAsia="zh-CN" w:bidi="ar"/>
                    </w:rPr>
                    <w:t>×宽5×高</w:t>
                  </w:r>
                  <w:r>
                    <w:rPr>
                      <w:rFonts w:hint="eastAsia" w:cs="Times New Roman"/>
                      <w:color w:val="auto"/>
                      <w:kern w:val="0"/>
                      <w:sz w:val="21"/>
                      <w:szCs w:val="21"/>
                      <w:lang w:val="en-US" w:eastAsia="zh-CN" w:bidi="ar"/>
                    </w:rPr>
                    <w:t>2.5</w:t>
                  </w:r>
                  <w:r>
                    <w:rPr>
                      <w:rFonts w:hint="default" w:ascii="Times New Roman" w:hAnsi="Times New Roman" w:eastAsia="宋体" w:cs="Times New Roman"/>
                      <w:color w:val="auto"/>
                      <w:kern w:val="0"/>
                      <w:sz w:val="21"/>
                      <w:szCs w:val="21"/>
                      <w:lang w:val="en-US" w:eastAsia="zh-CN" w:bidi="ar"/>
                    </w:rPr>
                    <w:t>(m)</w:t>
                  </w:r>
                </w:p>
              </w:tc>
              <w:tc>
                <w:tcPr>
                  <w:tcW w:w="1625" w:type="dxa"/>
                  <w:vMerge w:val="continue"/>
                  <w:noWrap w:val="0"/>
                  <w:vAlign w:val="center"/>
                </w:tcPr>
                <w:p w14:paraId="70970E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lang w:val="en-US" w:eastAsia="zh-CN" w:bidi="ar"/>
                    </w:rPr>
                  </w:pPr>
                </w:p>
              </w:tc>
            </w:tr>
            <w:tr w14:paraId="1CFA2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7" w:type="dxa"/>
                  <w:noWrap w:val="0"/>
                  <w:vAlign w:val="center"/>
                </w:tcPr>
                <w:p w14:paraId="08BB00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p>
              </w:tc>
              <w:tc>
                <w:tcPr>
                  <w:tcW w:w="1480" w:type="dxa"/>
                  <w:noWrap w:val="0"/>
                  <w:vAlign w:val="center"/>
                </w:tcPr>
                <w:p w14:paraId="41F3B1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bidi="ar"/>
                    </w:rPr>
                    <w:t>打砂</w:t>
                  </w:r>
                  <w:r>
                    <w:rPr>
                      <w:rFonts w:hint="eastAsia" w:cs="Times New Roman"/>
                      <w:color w:val="auto"/>
                      <w:sz w:val="21"/>
                      <w:szCs w:val="21"/>
                      <w:lang w:val="en-US" w:eastAsia="zh-CN"/>
                    </w:rPr>
                    <w:t>废气</w:t>
                  </w:r>
                </w:p>
              </w:tc>
              <w:tc>
                <w:tcPr>
                  <w:tcW w:w="2820" w:type="dxa"/>
                  <w:noWrap w:val="0"/>
                  <w:vAlign w:val="center"/>
                </w:tcPr>
                <w:p w14:paraId="0FE6AC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打砂房尺寸：</w:t>
                  </w:r>
                </w:p>
                <w:p w14:paraId="482399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长</w:t>
                  </w:r>
                  <w:r>
                    <w:rPr>
                      <w:rFonts w:hint="eastAsia" w:cs="Times New Roman"/>
                      <w:color w:val="auto"/>
                      <w:kern w:val="0"/>
                      <w:sz w:val="21"/>
                      <w:szCs w:val="21"/>
                      <w:lang w:val="en-US" w:eastAsia="zh-CN" w:bidi="ar"/>
                    </w:rPr>
                    <w:t>4</w:t>
                  </w:r>
                  <w:r>
                    <w:rPr>
                      <w:rFonts w:hint="default" w:ascii="Times New Roman" w:hAnsi="Times New Roman" w:eastAsia="宋体" w:cs="Times New Roman"/>
                      <w:color w:val="auto"/>
                      <w:kern w:val="0"/>
                      <w:sz w:val="21"/>
                      <w:szCs w:val="21"/>
                      <w:lang w:val="en-US" w:eastAsia="zh-CN" w:bidi="ar"/>
                    </w:rPr>
                    <w:t>×宽</w:t>
                  </w:r>
                  <w:r>
                    <w:rPr>
                      <w:rFonts w:hint="eastAsia" w:cs="Times New Roman"/>
                      <w:color w:val="auto"/>
                      <w:kern w:val="0"/>
                      <w:sz w:val="21"/>
                      <w:szCs w:val="21"/>
                      <w:lang w:val="en-US" w:eastAsia="zh-CN" w:bidi="ar"/>
                    </w:rPr>
                    <w:t>4</w:t>
                  </w:r>
                  <w:r>
                    <w:rPr>
                      <w:rFonts w:hint="default" w:ascii="Times New Roman" w:hAnsi="Times New Roman" w:eastAsia="宋体" w:cs="Times New Roman"/>
                      <w:color w:val="auto"/>
                      <w:kern w:val="0"/>
                      <w:sz w:val="21"/>
                      <w:szCs w:val="21"/>
                      <w:lang w:val="en-US" w:eastAsia="zh-CN" w:bidi="ar"/>
                    </w:rPr>
                    <w:t>×高</w:t>
                  </w:r>
                  <w:r>
                    <w:rPr>
                      <w:rFonts w:hint="eastAsia" w:cs="Times New Roman"/>
                      <w:color w:val="auto"/>
                      <w:kern w:val="0"/>
                      <w:sz w:val="21"/>
                      <w:szCs w:val="21"/>
                      <w:lang w:val="en-US" w:eastAsia="zh-CN" w:bidi="ar"/>
                    </w:rPr>
                    <w:t>2.5</w:t>
                  </w:r>
                  <w:r>
                    <w:rPr>
                      <w:rFonts w:hint="default" w:ascii="Times New Roman" w:hAnsi="Times New Roman" w:eastAsia="宋体" w:cs="Times New Roman"/>
                      <w:color w:val="auto"/>
                      <w:kern w:val="0"/>
                      <w:sz w:val="21"/>
                      <w:szCs w:val="21"/>
                      <w:lang w:val="en-US" w:eastAsia="zh-CN" w:bidi="ar"/>
                    </w:rPr>
                    <w:t>(m)×</w:t>
                  </w:r>
                  <w:r>
                    <w:rPr>
                      <w:rFonts w:hint="eastAsia" w:cs="Times New Roman"/>
                      <w:color w:val="auto"/>
                      <w:kern w:val="0"/>
                      <w:sz w:val="21"/>
                      <w:szCs w:val="21"/>
                      <w:lang w:val="en-US" w:eastAsia="zh-CN" w:bidi="ar"/>
                    </w:rPr>
                    <w:t>2</w:t>
                  </w:r>
                </w:p>
              </w:tc>
              <w:tc>
                <w:tcPr>
                  <w:tcW w:w="1625" w:type="dxa"/>
                  <w:vMerge w:val="continue"/>
                  <w:noWrap w:val="0"/>
                  <w:vAlign w:val="center"/>
                </w:tcPr>
                <w:p w14:paraId="3CF00F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r>
            <w:tr w14:paraId="5E72D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7" w:type="dxa"/>
                  <w:noWrap w:val="0"/>
                  <w:vAlign w:val="center"/>
                </w:tcPr>
                <w:p w14:paraId="428FF8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w:t>
                  </w:r>
                </w:p>
              </w:tc>
              <w:tc>
                <w:tcPr>
                  <w:tcW w:w="1480" w:type="dxa"/>
                  <w:noWrap w:val="0"/>
                  <w:vAlign w:val="center"/>
                </w:tcPr>
                <w:p w14:paraId="2C009B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喷塑</w:t>
                  </w:r>
                  <w:r>
                    <w:rPr>
                      <w:rFonts w:hint="default" w:ascii="Times New Roman" w:hAnsi="Times New Roman" w:eastAsia="宋体" w:cs="Times New Roman"/>
                      <w:color w:val="auto"/>
                      <w:kern w:val="0"/>
                      <w:sz w:val="21"/>
                      <w:szCs w:val="21"/>
                      <w:lang w:val="en-US" w:eastAsia="zh-CN" w:bidi="ar"/>
                    </w:rPr>
                    <w:t>废气</w:t>
                  </w:r>
                </w:p>
              </w:tc>
              <w:tc>
                <w:tcPr>
                  <w:tcW w:w="2820" w:type="dxa"/>
                  <w:noWrap w:val="0"/>
                  <w:vAlign w:val="center"/>
                </w:tcPr>
                <w:p w14:paraId="01938F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喷塑房尺寸：</w:t>
                  </w:r>
                </w:p>
                <w:p w14:paraId="65C997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长</w:t>
                  </w:r>
                  <w:r>
                    <w:rPr>
                      <w:rFonts w:hint="eastAsia" w:cs="Times New Roman"/>
                      <w:color w:val="auto"/>
                      <w:kern w:val="0"/>
                      <w:sz w:val="21"/>
                      <w:szCs w:val="21"/>
                      <w:lang w:val="en-US" w:eastAsia="zh-CN" w:bidi="ar"/>
                    </w:rPr>
                    <w:t>11</w:t>
                  </w:r>
                  <w:r>
                    <w:rPr>
                      <w:rFonts w:hint="default" w:ascii="Times New Roman" w:hAnsi="Times New Roman" w:eastAsia="宋体" w:cs="Times New Roman"/>
                      <w:color w:val="auto"/>
                      <w:kern w:val="0"/>
                      <w:sz w:val="21"/>
                      <w:szCs w:val="21"/>
                      <w:lang w:val="en-US" w:eastAsia="zh-CN" w:bidi="ar"/>
                    </w:rPr>
                    <w:t>×宽5×高</w:t>
                  </w:r>
                  <w:r>
                    <w:rPr>
                      <w:rFonts w:hint="eastAsia" w:cs="Times New Roman"/>
                      <w:color w:val="auto"/>
                      <w:kern w:val="0"/>
                      <w:sz w:val="21"/>
                      <w:szCs w:val="21"/>
                      <w:lang w:val="en-US" w:eastAsia="zh-CN" w:bidi="ar"/>
                    </w:rPr>
                    <w:t>3</w:t>
                  </w:r>
                  <w:r>
                    <w:rPr>
                      <w:rFonts w:hint="default" w:ascii="Times New Roman" w:hAnsi="Times New Roman" w:eastAsia="宋体" w:cs="Times New Roman"/>
                      <w:color w:val="auto"/>
                      <w:kern w:val="0"/>
                      <w:sz w:val="21"/>
                      <w:szCs w:val="21"/>
                      <w:lang w:val="en-US" w:eastAsia="zh-CN" w:bidi="ar"/>
                    </w:rPr>
                    <w:t>(m)</w:t>
                  </w:r>
                </w:p>
              </w:tc>
              <w:tc>
                <w:tcPr>
                  <w:tcW w:w="1625" w:type="dxa"/>
                  <w:noWrap w:val="0"/>
                  <w:vAlign w:val="center"/>
                </w:tcPr>
                <w:p w14:paraId="546C9C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9900</w:t>
                  </w: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/h</w:t>
                  </w:r>
                </w:p>
              </w:tc>
            </w:tr>
          </w:tbl>
          <w:p w14:paraId="68FB4880">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eastAsia" w:cs="Times New Roman"/>
                <w:b w:val="0"/>
                <w:bCs w:val="0"/>
                <w:color w:val="auto"/>
                <w:sz w:val="24"/>
                <w:szCs w:val="24"/>
                <w:lang w:val="en-US" w:eastAsia="zh-CN"/>
              </w:rPr>
              <w:t>5、</w:t>
            </w:r>
            <w:r>
              <w:rPr>
                <w:rFonts w:hint="default" w:ascii="Times New Roman" w:hAnsi="Times New Roman" w:eastAsia="宋体" w:cs="Times New Roman"/>
                <w:color w:val="auto"/>
                <w:kern w:val="0"/>
                <w:sz w:val="24"/>
                <w:szCs w:val="24"/>
                <w:lang w:val="en-US" w:eastAsia="zh-CN" w:bidi="ar"/>
              </w:rPr>
              <w:t>涂装烘干废气</w:t>
            </w:r>
          </w:p>
          <w:p w14:paraId="04F65970">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w:t>
            </w:r>
            <w:r>
              <w:rPr>
                <w:rFonts w:hint="eastAsia" w:cs="Times New Roman"/>
                <w:color w:val="auto"/>
                <w:kern w:val="0"/>
                <w:sz w:val="24"/>
                <w:szCs w:val="24"/>
                <w:lang w:val="en-US" w:eastAsia="zh-CN" w:bidi="ar"/>
              </w:rPr>
              <w:t>调漆</w:t>
            </w:r>
            <w:r>
              <w:rPr>
                <w:rFonts w:hint="default" w:ascii="Times New Roman" w:hAnsi="Times New Roman" w:eastAsia="宋体" w:cs="Times New Roman"/>
                <w:color w:val="auto"/>
                <w:kern w:val="0"/>
                <w:sz w:val="24"/>
                <w:szCs w:val="24"/>
                <w:lang w:val="en-US" w:eastAsia="zh-CN" w:bidi="ar"/>
              </w:rPr>
              <w:t>喷漆、烘干、塑粉固化过程分别在喷漆房、</w:t>
            </w:r>
            <w:r>
              <w:rPr>
                <w:rFonts w:hint="eastAsia" w:cs="Times New Roman"/>
                <w:color w:val="auto"/>
                <w:kern w:val="0"/>
                <w:sz w:val="24"/>
                <w:szCs w:val="24"/>
                <w:lang w:val="en-US" w:eastAsia="zh-CN" w:bidi="ar"/>
              </w:rPr>
              <w:t>烘干房</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固化房</w:t>
            </w:r>
            <w:r>
              <w:rPr>
                <w:rFonts w:hint="default" w:ascii="Times New Roman" w:hAnsi="Times New Roman" w:eastAsia="宋体" w:cs="Times New Roman"/>
                <w:color w:val="auto"/>
                <w:kern w:val="0"/>
                <w:sz w:val="24"/>
                <w:szCs w:val="24"/>
                <w:lang w:val="en-US" w:eastAsia="zh-CN" w:bidi="ar"/>
              </w:rPr>
              <w:t>内进行，以上房体均为密闭空间。废气量根据换气次数进行核算，核算公式为：L=室体实际容积×换气次数。</w:t>
            </w:r>
          </w:p>
          <w:p w14:paraId="5DD4E214">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)喷</w:t>
            </w:r>
            <w:r>
              <w:rPr>
                <w:rFonts w:hint="default" w:ascii="Times New Roman" w:hAnsi="Times New Roman" w:eastAsia="宋体" w:cs="Times New Roman"/>
                <w:color w:val="auto"/>
                <w:kern w:val="0"/>
                <w:sz w:val="24"/>
                <w:szCs w:val="24"/>
                <w:highlight w:val="none"/>
                <w:lang w:val="en-US" w:eastAsia="zh-CN" w:bidi="ar"/>
              </w:rPr>
              <w:t>漆废气</w:t>
            </w:r>
          </w:p>
          <w:p w14:paraId="7BA8E41A">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1号和2号</w:t>
            </w:r>
            <w:r>
              <w:rPr>
                <w:rFonts w:hint="default" w:ascii="Times New Roman" w:hAnsi="Times New Roman" w:eastAsia="宋体" w:cs="Times New Roman"/>
                <w:color w:val="auto"/>
                <w:kern w:val="0"/>
                <w:sz w:val="24"/>
                <w:szCs w:val="24"/>
                <w:highlight w:val="none"/>
                <w:lang w:val="en-US" w:eastAsia="zh-CN" w:bidi="ar"/>
              </w:rPr>
              <w:t>喷漆房有效容积</w:t>
            </w:r>
            <w:r>
              <w:rPr>
                <w:rFonts w:hint="eastAsia" w:cs="Times New Roman"/>
                <w:color w:val="auto"/>
                <w:kern w:val="0"/>
                <w:sz w:val="24"/>
                <w:szCs w:val="24"/>
                <w:highlight w:val="none"/>
                <w:lang w:val="en-US" w:eastAsia="zh-CN" w:bidi="ar"/>
              </w:rPr>
              <w:t>均</w:t>
            </w:r>
            <w:r>
              <w:rPr>
                <w:rFonts w:hint="default" w:ascii="Times New Roman" w:hAnsi="Times New Roman" w:eastAsia="宋体" w:cs="Times New Roman"/>
                <w:color w:val="auto"/>
                <w:kern w:val="0"/>
                <w:sz w:val="24"/>
                <w:szCs w:val="24"/>
                <w:highlight w:val="none"/>
                <w:lang w:val="en-US" w:eastAsia="zh-CN" w:bidi="ar"/>
              </w:rPr>
              <w:t>为：长</w:t>
            </w:r>
            <w:r>
              <w:rPr>
                <w:rFonts w:hint="eastAsia" w:cs="Times New Roman"/>
                <w:color w:val="auto"/>
                <w:kern w:val="0"/>
                <w:sz w:val="24"/>
                <w:szCs w:val="24"/>
                <w:highlight w:val="none"/>
                <w:lang w:val="en-US" w:eastAsia="zh-CN" w:bidi="ar"/>
              </w:rPr>
              <w:t>10</w:t>
            </w:r>
            <w:r>
              <w:rPr>
                <w:rFonts w:hint="default" w:ascii="Times New Roman" w:hAnsi="Times New Roman" w:eastAsia="宋体" w:cs="Times New Roman"/>
                <w:color w:val="auto"/>
                <w:kern w:val="0"/>
                <w:sz w:val="24"/>
                <w:szCs w:val="24"/>
                <w:highlight w:val="none"/>
                <w:lang w:val="en-US" w:eastAsia="zh-CN" w:bidi="ar"/>
              </w:rPr>
              <w:t>×宽</w:t>
            </w:r>
            <w:r>
              <w:rPr>
                <w:rFonts w:hint="eastAsia" w:cs="Times New Roman"/>
                <w:color w:val="auto"/>
                <w:kern w:val="0"/>
                <w:sz w:val="24"/>
                <w:szCs w:val="24"/>
                <w:highlight w:val="none"/>
                <w:lang w:val="en-US" w:eastAsia="zh-CN" w:bidi="ar"/>
              </w:rPr>
              <w:t>5</w:t>
            </w:r>
            <w:r>
              <w:rPr>
                <w:rFonts w:hint="default" w:ascii="Times New Roman" w:hAnsi="Times New Roman" w:eastAsia="宋体" w:cs="Times New Roman"/>
                <w:color w:val="auto"/>
                <w:kern w:val="0"/>
                <w:sz w:val="24"/>
                <w:szCs w:val="24"/>
                <w:highlight w:val="none"/>
                <w:lang w:val="en-US" w:eastAsia="zh-CN" w:bidi="ar"/>
              </w:rPr>
              <w:t>×高</w:t>
            </w:r>
            <w:r>
              <w:rPr>
                <w:rFonts w:hint="eastAsia" w:cs="Times New Roman"/>
                <w:color w:val="auto"/>
                <w:kern w:val="0"/>
                <w:sz w:val="24"/>
                <w:szCs w:val="24"/>
                <w:highlight w:val="none"/>
                <w:lang w:val="en-US" w:eastAsia="zh-CN" w:bidi="ar"/>
              </w:rPr>
              <w:t>2.5</w:t>
            </w:r>
            <w:r>
              <w:rPr>
                <w:rFonts w:hint="default" w:ascii="Times New Roman" w:hAnsi="Times New Roman" w:eastAsia="宋体" w:cs="Times New Roman"/>
                <w:color w:val="auto"/>
                <w:kern w:val="0"/>
                <w:sz w:val="24"/>
                <w:szCs w:val="24"/>
                <w:highlight w:val="none"/>
                <w:lang w:val="en-US" w:eastAsia="zh-CN" w:bidi="ar"/>
              </w:rPr>
              <w:t>(m)=</w:t>
            </w:r>
            <w:r>
              <w:rPr>
                <w:rFonts w:hint="eastAsia" w:cs="Times New Roman"/>
                <w:color w:val="auto"/>
                <w:kern w:val="0"/>
                <w:sz w:val="24"/>
                <w:szCs w:val="24"/>
                <w:highlight w:val="none"/>
                <w:lang w:val="en-US" w:eastAsia="zh-CN" w:bidi="ar"/>
              </w:rPr>
              <w:t>125</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eastAsia"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3号</w:t>
            </w:r>
            <w:r>
              <w:rPr>
                <w:rFonts w:hint="default" w:ascii="Times New Roman" w:hAnsi="Times New Roman" w:eastAsia="宋体" w:cs="Times New Roman"/>
                <w:color w:val="auto"/>
                <w:kern w:val="0"/>
                <w:sz w:val="24"/>
                <w:szCs w:val="24"/>
                <w:highlight w:val="none"/>
                <w:lang w:val="en-US" w:eastAsia="zh-CN" w:bidi="ar"/>
              </w:rPr>
              <w:t>喷漆房有效容积为：长</w:t>
            </w:r>
            <w:r>
              <w:rPr>
                <w:rFonts w:hint="eastAsia" w:cs="Times New Roman"/>
                <w:color w:val="auto"/>
                <w:kern w:val="0"/>
                <w:sz w:val="24"/>
                <w:szCs w:val="24"/>
                <w:highlight w:val="none"/>
                <w:lang w:val="en-US" w:eastAsia="zh-CN" w:bidi="ar"/>
              </w:rPr>
              <w:t>5.4</w:t>
            </w:r>
            <w:r>
              <w:rPr>
                <w:rFonts w:hint="default" w:ascii="Times New Roman" w:hAnsi="Times New Roman" w:eastAsia="宋体" w:cs="Times New Roman"/>
                <w:color w:val="auto"/>
                <w:kern w:val="0"/>
                <w:sz w:val="24"/>
                <w:szCs w:val="24"/>
                <w:highlight w:val="none"/>
                <w:lang w:val="en-US" w:eastAsia="zh-CN" w:bidi="ar"/>
              </w:rPr>
              <w:t>×宽</w:t>
            </w:r>
            <w:r>
              <w:rPr>
                <w:rFonts w:hint="eastAsia" w:cs="Times New Roman"/>
                <w:color w:val="auto"/>
                <w:kern w:val="0"/>
                <w:sz w:val="24"/>
                <w:szCs w:val="24"/>
                <w:highlight w:val="none"/>
                <w:lang w:val="en-US" w:eastAsia="zh-CN" w:bidi="ar"/>
              </w:rPr>
              <w:t>5</w:t>
            </w:r>
            <w:r>
              <w:rPr>
                <w:rFonts w:hint="default" w:ascii="Times New Roman" w:hAnsi="Times New Roman" w:eastAsia="宋体" w:cs="Times New Roman"/>
                <w:color w:val="auto"/>
                <w:kern w:val="0"/>
                <w:sz w:val="24"/>
                <w:szCs w:val="24"/>
                <w:highlight w:val="none"/>
                <w:lang w:val="en-US" w:eastAsia="zh-CN" w:bidi="ar"/>
              </w:rPr>
              <w:t>×高</w:t>
            </w:r>
            <w:r>
              <w:rPr>
                <w:rFonts w:hint="eastAsia" w:cs="Times New Roman"/>
                <w:color w:val="auto"/>
                <w:kern w:val="0"/>
                <w:sz w:val="24"/>
                <w:szCs w:val="24"/>
                <w:highlight w:val="none"/>
                <w:lang w:val="en-US" w:eastAsia="zh-CN" w:bidi="ar"/>
              </w:rPr>
              <w:t>2.5</w:t>
            </w:r>
            <w:r>
              <w:rPr>
                <w:rFonts w:hint="default" w:ascii="Times New Roman" w:hAnsi="Times New Roman" w:eastAsia="宋体" w:cs="Times New Roman"/>
                <w:color w:val="auto"/>
                <w:kern w:val="0"/>
                <w:sz w:val="24"/>
                <w:szCs w:val="24"/>
                <w:highlight w:val="none"/>
                <w:lang w:val="en-US" w:eastAsia="zh-CN" w:bidi="ar"/>
              </w:rPr>
              <w:t>(m)=</w:t>
            </w:r>
            <w:r>
              <w:rPr>
                <w:rFonts w:hint="eastAsia" w:cs="Times New Roman"/>
                <w:color w:val="auto"/>
                <w:kern w:val="0"/>
                <w:sz w:val="24"/>
                <w:szCs w:val="24"/>
                <w:highlight w:val="none"/>
                <w:lang w:val="en-US" w:eastAsia="zh-CN" w:bidi="ar"/>
              </w:rPr>
              <w:t>67.5</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根据经验值换气次数</w:t>
            </w:r>
            <w:r>
              <w:rPr>
                <w:rFonts w:hint="eastAsia" w:cs="Times New Roman"/>
                <w:color w:val="auto"/>
                <w:kern w:val="0"/>
                <w:sz w:val="24"/>
                <w:szCs w:val="24"/>
                <w:highlight w:val="none"/>
                <w:lang w:val="en-US" w:eastAsia="zh-CN" w:bidi="ar"/>
              </w:rPr>
              <w:t>为50</w:t>
            </w:r>
            <w:r>
              <w:rPr>
                <w:rFonts w:hint="eastAsia" w:ascii="宋体" w:hAnsi="宋体" w:eastAsia="宋体" w:cs="宋体"/>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100次。喷漆作业时间短、喷漆量很小，所以按50</w:t>
            </w:r>
            <w:r>
              <w:rPr>
                <w:rFonts w:hint="default" w:ascii="Times New Roman" w:hAnsi="Times New Roman" w:eastAsia="宋体" w:cs="Times New Roman"/>
                <w:color w:val="auto"/>
                <w:kern w:val="0"/>
                <w:sz w:val="24"/>
                <w:szCs w:val="24"/>
                <w:highlight w:val="none"/>
                <w:lang w:val="en-US" w:eastAsia="zh-CN" w:bidi="ar"/>
              </w:rPr>
              <w:t>次/h</w:t>
            </w:r>
            <w:r>
              <w:rPr>
                <w:rFonts w:hint="eastAsia" w:cs="Times New Roman"/>
                <w:color w:val="auto"/>
                <w:kern w:val="0"/>
                <w:sz w:val="24"/>
                <w:szCs w:val="24"/>
                <w:highlight w:val="none"/>
                <w:lang w:val="en-US" w:eastAsia="zh-CN" w:bidi="ar"/>
              </w:rPr>
              <w:t>计算</w:t>
            </w:r>
            <w:r>
              <w:rPr>
                <w:rFonts w:hint="default" w:ascii="Times New Roman" w:hAnsi="Times New Roman" w:eastAsia="宋体" w:cs="Times New Roman"/>
                <w:color w:val="auto"/>
                <w:kern w:val="0"/>
                <w:sz w:val="24"/>
                <w:szCs w:val="24"/>
                <w:highlight w:val="none"/>
                <w:lang w:val="en-US" w:eastAsia="zh-CN" w:bidi="ar"/>
              </w:rPr>
              <w:t>，则喷漆废气量为：</w:t>
            </w:r>
            <w:r>
              <w:rPr>
                <w:rFonts w:hint="eastAsia" w:cs="Times New Roman"/>
                <w:color w:val="auto"/>
                <w:kern w:val="0"/>
                <w:sz w:val="24"/>
                <w:szCs w:val="24"/>
                <w:highlight w:val="none"/>
                <w:lang w:val="en-US" w:eastAsia="zh-CN" w:bidi="ar"/>
              </w:rPr>
              <w:t>（125</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2+67.5）</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50</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16000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p>
          <w:p w14:paraId="0CBD8157">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)烘</w:t>
            </w:r>
            <w:r>
              <w:rPr>
                <w:rFonts w:hint="default" w:ascii="Times New Roman" w:hAnsi="Times New Roman" w:eastAsia="宋体" w:cs="Times New Roman"/>
                <w:color w:val="auto"/>
                <w:kern w:val="0"/>
                <w:sz w:val="24"/>
                <w:szCs w:val="24"/>
                <w:highlight w:val="none"/>
                <w:lang w:val="en-US" w:eastAsia="zh-CN" w:bidi="ar"/>
              </w:rPr>
              <w:t>干废气</w:t>
            </w:r>
          </w:p>
          <w:p w14:paraId="0DAF315A">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rPr>
            </w:pPr>
            <w:r>
              <w:rPr>
                <w:rFonts w:hint="eastAsia" w:cs="Times New Roman"/>
                <w:color w:val="auto"/>
                <w:kern w:val="0"/>
                <w:sz w:val="24"/>
                <w:szCs w:val="24"/>
                <w:highlight w:val="none"/>
                <w:lang w:val="en-US" w:eastAsia="zh-CN" w:bidi="ar"/>
              </w:rPr>
              <w:t>1号</w:t>
            </w:r>
            <w:r>
              <w:rPr>
                <w:rFonts w:hint="eastAsia" w:cs="Times New Roman"/>
                <w:color w:val="auto"/>
                <w:kern w:val="0"/>
                <w:sz w:val="24"/>
                <w:szCs w:val="24"/>
                <w:lang w:val="en-US" w:eastAsia="zh-CN" w:bidi="ar"/>
              </w:rPr>
              <w:t>烘干房</w:t>
            </w:r>
            <w:r>
              <w:rPr>
                <w:rFonts w:hint="default" w:ascii="Times New Roman" w:hAnsi="Times New Roman" w:eastAsia="宋体" w:cs="Times New Roman"/>
                <w:color w:val="auto"/>
                <w:kern w:val="0"/>
                <w:sz w:val="24"/>
                <w:szCs w:val="24"/>
                <w:lang w:val="en-US" w:eastAsia="zh-CN" w:bidi="ar"/>
              </w:rPr>
              <w:t>实际容积为：长1</w:t>
            </w:r>
            <w:r>
              <w:rPr>
                <w:rFonts w:hint="eastAsia" w:cs="Times New Roman"/>
                <w:color w:val="auto"/>
                <w:kern w:val="0"/>
                <w:sz w:val="24"/>
                <w:szCs w:val="24"/>
                <w:lang w:val="en-US" w:eastAsia="zh-CN" w:bidi="ar"/>
              </w:rPr>
              <w:t>0</w:t>
            </w:r>
            <w:r>
              <w:rPr>
                <w:rFonts w:hint="default" w:ascii="Times New Roman" w:hAnsi="Times New Roman" w:eastAsia="宋体" w:cs="Times New Roman"/>
                <w:color w:val="auto"/>
                <w:kern w:val="0"/>
                <w:sz w:val="24"/>
                <w:szCs w:val="24"/>
                <w:lang w:val="en-US" w:eastAsia="zh-CN" w:bidi="ar"/>
              </w:rPr>
              <w:t>×宽</w:t>
            </w:r>
            <w:r>
              <w:rPr>
                <w:rFonts w:hint="eastAsia"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×高</w:t>
            </w:r>
            <w:r>
              <w:rPr>
                <w:rFonts w:hint="eastAsia" w:cs="Times New Roman"/>
                <w:color w:val="auto"/>
                <w:kern w:val="0"/>
                <w:sz w:val="24"/>
                <w:szCs w:val="24"/>
                <w:lang w:val="en-US" w:eastAsia="zh-CN" w:bidi="ar"/>
              </w:rPr>
              <w:t>2.5</w:t>
            </w:r>
            <w:r>
              <w:rPr>
                <w:rFonts w:hint="default" w:ascii="Times New Roman" w:hAnsi="Times New Roman" w:eastAsia="宋体" w:cs="Times New Roman"/>
                <w:color w:val="auto"/>
                <w:kern w:val="0"/>
                <w:sz w:val="24"/>
                <w:szCs w:val="24"/>
                <w:lang w:val="en-US" w:eastAsia="zh-CN" w:bidi="ar"/>
              </w:rPr>
              <w:t>(m)=</w:t>
            </w:r>
            <w:r>
              <w:rPr>
                <w:rFonts w:hint="eastAsia" w:cs="Times New Roman"/>
                <w:color w:val="auto"/>
                <w:kern w:val="0"/>
                <w:sz w:val="24"/>
                <w:szCs w:val="24"/>
                <w:lang w:val="en-US" w:eastAsia="zh-CN" w:bidi="ar"/>
              </w:rPr>
              <w:t>125</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highlight w:val="none"/>
                <w:lang w:val="en-US" w:eastAsia="zh-CN" w:bidi="ar"/>
              </w:rPr>
              <w:t>2号</w:t>
            </w:r>
            <w:r>
              <w:rPr>
                <w:rFonts w:hint="eastAsia" w:cs="Times New Roman"/>
                <w:color w:val="auto"/>
                <w:kern w:val="0"/>
                <w:sz w:val="24"/>
                <w:szCs w:val="24"/>
                <w:lang w:val="en-US" w:eastAsia="zh-CN" w:bidi="ar"/>
              </w:rPr>
              <w:t>烘干房</w:t>
            </w:r>
            <w:r>
              <w:rPr>
                <w:rFonts w:hint="default" w:ascii="Times New Roman" w:hAnsi="Times New Roman" w:eastAsia="宋体" w:cs="Times New Roman"/>
                <w:color w:val="auto"/>
                <w:kern w:val="0"/>
                <w:sz w:val="24"/>
                <w:szCs w:val="24"/>
                <w:lang w:val="en-US" w:eastAsia="zh-CN" w:bidi="ar"/>
              </w:rPr>
              <w:t>实际容积为：长</w:t>
            </w:r>
            <w:r>
              <w:rPr>
                <w:rFonts w:hint="eastAsia" w:cs="Times New Roman"/>
                <w:color w:val="auto"/>
                <w:kern w:val="0"/>
                <w:sz w:val="24"/>
                <w:szCs w:val="24"/>
                <w:lang w:val="en-US" w:eastAsia="zh-CN" w:bidi="ar"/>
              </w:rPr>
              <w:t>5.4</w:t>
            </w:r>
            <w:r>
              <w:rPr>
                <w:rFonts w:hint="default" w:ascii="Times New Roman" w:hAnsi="Times New Roman" w:eastAsia="宋体" w:cs="Times New Roman"/>
                <w:color w:val="auto"/>
                <w:kern w:val="0"/>
                <w:sz w:val="24"/>
                <w:szCs w:val="24"/>
                <w:lang w:val="en-US" w:eastAsia="zh-CN" w:bidi="ar"/>
              </w:rPr>
              <w:t>×宽</w:t>
            </w:r>
            <w:r>
              <w:rPr>
                <w:rFonts w:hint="eastAsia"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×高</w:t>
            </w:r>
            <w:r>
              <w:rPr>
                <w:rFonts w:hint="eastAsia" w:cs="Times New Roman"/>
                <w:color w:val="auto"/>
                <w:kern w:val="0"/>
                <w:sz w:val="24"/>
                <w:szCs w:val="24"/>
                <w:lang w:val="en-US" w:eastAsia="zh-CN" w:bidi="ar"/>
              </w:rPr>
              <w:t>2.5</w:t>
            </w:r>
            <w:r>
              <w:rPr>
                <w:rFonts w:hint="default" w:ascii="Times New Roman" w:hAnsi="Times New Roman" w:eastAsia="宋体" w:cs="Times New Roman"/>
                <w:color w:val="auto"/>
                <w:kern w:val="0"/>
                <w:sz w:val="24"/>
                <w:szCs w:val="24"/>
                <w:lang w:val="en-US" w:eastAsia="zh-CN" w:bidi="ar"/>
              </w:rPr>
              <w:t>(m)=</w:t>
            </w:r>
            <w:r>
              <w:rPr>
                <w:rFonts w:hint="eastAsia" w:cs="Times New Roman"/>
                <w:color w:val="auto"/>
                <w:kern w:val="0"/>
                <w:sz w:val="24"/>
                <w:szCs w:val="24"/>
                <w:lang w:val="en-US" w:eastAsia="zh-CN" w:bidi="ar"/>
              </w:rPr>
              <w:t>67.5</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，根据经验值换气次数取25次/h，则烘干废气量为</w:t>
            </w:r>
            <w:r>
              <w:rPr>
                <w:rFonts w:hint="eastAsia" w:cs="Times New Roman"/>
                <w:color w:val="auto"/>
                <w:kern w:val="0"/>
                <w:sz w:val="24"/>
                <w:szCs w:val="24"/>
                <w:lang w:val="en-US" w:eastAsia="zh-CN" w:bidi="ar"/>
              </w:rPr>
              <w:t>（125+67.5）</w:t>
            </w:r>
            <w:r>
              <w:rPr>
                <w:rFonts w:hint="default" w:ascii="Times New Roman" w:hAnsi="Times New Roman" w:eastAsia="宋体" w:cs="Times New Roman"/>
                <w:color w:val="auto"/>
                <w:kern w:val="0"/>
                <w:sz w:val="24"/>
                <w:szCs w:val="24"/>
                <w:lang w:val="en-US" w:eastAsia="zh-CN" w:bidi="ar"/>
              </w:rPr>
              <w:t>×25</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lang w:val="en-US" w:eastAsia="zh-CN" w:bidi="ar"/>
              </w:rPr>
              <w:t>5000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eastAsia" w:cs="Times New Roman"/>
                <w:color w:val="auto"/>
                <w:kern w:val="0"/>
                <w:sz w:val="24"/>
                <w:szCs w:val="24"/>
                <w:lang w:val="en-US" w:eastAsia="zh-CN" w:bidi="ar"/>
              </w:rPr>
              <w:t>。</w:t>
            </w:r>
          </w:p>
          <w:p w14:paraId="6F780004">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)塑</w:t>
            </w:r>
            <w:r>
              <w:rPr>
                <w:rFonts w:hint="default" w:ascii="Times New Roman" w:hAnsi="Times New Roman" w:eastAsia="宋体" w:cs="Times New Roman"/>
                <w:color w:val="auto"/>
                <w:kern w:val="0"/>
                <w:sz w:val="24"/>
                <w:szCs w:val="24"/>
                <w:highlight w:val="none"/>
                <w:lang w:val="en-US" w:eastAsia="zh-CN" w:bidi="ar"/>
              </w:rPr>
              <w:t>粉固化废气</w:t>
            </w:r>
          </w:p>
          <w:p w14:paraId="44055FD5">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1号固化房</w:t>
            </w:r>
            <w:r>
              <w:rPr>
                <w:rFonts w:hint="default" w:ascii="Times New Roman" w:hAnsi="Times New Roman" w:eastAsia="宋体" w:cs="Times New Roman"/>
                <w:color w:val="auto"/>
                <w:kern w:val="0"/>
                <w:sz w:val="24"/>
                <w:szCs w:val="24"/>
                <w:highlight w:val="none"/>
                <w:lang w:val="en-US" w:eastAsia="zh-CN" w:bidi="ar"/>
              </w:rPr>
              <w:t>实际容积为：长</w:t>
            </w:r>
            <w:r>
              <w:rPr>
                <w:rFonts w:hint="eastAsia" w:cs="Times New Roman"/>
                <w:color w:val="auto"/>
                <w:kern w:val="0"/>
                <w:sz w:val="24"/>
                <w:szCs w:val="24"/>
                <w:highlight w:val="none"/>
                <w:lang w:val="en-US" w:eastAsia="zh-CN" w:bidi="ar"/>
              </w:rPr>
              <w:t>6</w:t>
            </w:r>
            <w:r>
              <w:rPr>
                <w:rFonts w:hint="default" w:ascii="Times New Roman" w:hAnsi="Times New Roman" w:eastAsia="宋体" w:cs="Times New Roman"/>
                <w:color w:val="auto"/>
                <w:kern w:val="0"/>
                <w:sz w:val="24"/>
                <w:szCs w:val="24"/>
                <w:highlight w:val="none"/>
                <w:lang w:val="en-US" w:eastAsia="zh-CN" w:bidi="ar"/>
              </w:rPr>
              <w:t>×宽</w:t>
            </w:r>
            <w:r>
              <w:rPr>
                <w:rFonts w:hint="eastAsia" w:cs="Times New Roman"/>
                <w:color w:val="auto"/>
                <w:kern w:val="0"/>
                <w:sz w:val="24"/>
                <w:szCs w:val="24"/>
                <w:highlight w:val="none"/>
                <w:lang w:val="en-US" w:eastAsia="zh-CN" w:bidi="ar"/>
              </w:rPr>
              <w:t>3</w:t>
            </w:r>
            <w:r>
              <w:rPr>
                <w:rFonts w:hint="default" w:ascii="Times New Roman" w:hAnsi="Times New Roman" w:eastAsia="宋体" w:cs="Times New Roman"/>
                <w:color w:val="auto"/>
                <w:kern w:val="0"/>
                <w:sz w:val="24"/>
                <w:szCs w:val="24"/>
                <w:highlight w:val="none"/>
                <w:lang w:val="en-US" w:eastAsia="zh-CN" w:bidi="ar"/>
              </w:rPr>
              <w:t>×高</w:t>
            </w:r>
            <w:r>
              <w:rPr>
                <w:rFonts w:hint="eastAsia" w:cs="Times New Roman"/>
                <w:color w:val="auto"/>
                <w:kern w:val="0"/>
                <w:sz w:val="24"/>
                <w:szCs w:val="24"/>
                <w:highlight w:val="none"/>
                <w:lang w:val="en-US" w:eastAsia="zh-CN" w:bidi="ar"/>
              </w:rPr>
              <w:t>3</w:t>
            </w:r>
            <w:r>
              <w:rPr>
                <w:rFonts w:hint="default" w:ascii="Times New Roman" w:hAnsi="Times New Roman" w:eastAsia="宋体" w:cs="Times New Roman"/>
                <w:color w:val="auto"/>
                <w:kern w:val="0"/>
                <w:sz w:val="24"/>
                <w:szCs w:val="24"/>
                <w:highlight w:val="none"/>
                <w:lang w:val="en-US" w:eastAsia="zh-CN" w:bidi="ar"/>
              </w:rPr>
              <w:t>(m)=</w:t>
            </w:r>
            <w:r>
              <w:rPr>
                <w:rFonts w:hint="eastAsia" w:cs="Times New Roman"/>
                <w:color w:val="auto"/>
                <w:kern w:val="0"/>
                <w:sz w:val="24"/>
                <w:szCs w:val="24"/>
                <w:highlight w:val="none"/>
                <w:lang w:val="en-US" w:eastAsia="zh-CN" w:bidi="ar"/>
              </w:rPr>
              <w:t>54</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2号固化房</w:t>
            </w:r>
            <w:r>
              <w:rPr>
                <w:rFonts w:hint="default" w:ascii="Times New Roman" w:hAnsi="Times New Roman" w:eastAsia="宋体" w:cs="Times New Roman"/>
                <w:color w:val="auto"/>
                <w:kern w:val="0"/>
                <w:sz w:val="24"/>
                <w:szCs w:val="24"/>
                <w:highlight w:val="none"/>
                <w:lang w:val="en-US" w:eastAsia="zh-CN" w:bidi="ar"/>
              </w:rPr>
              <w:t>实际容积为：长</w:t>
            </w:r>
            <w:r>
              <w:rPr>
                <w:rFonts w:hint="eastAsia" w:cs="Times New Roman"/>
                <w:color w:val="auto"/>
                <w:kern w:val="0"/>
                <w:sz w:val="24"/>
                <w:szCs w:val="24"/>
                <w:highlight w:val="none"/>
                <w:lang w:val="en-US" w:eastAsia="zh-CN" w:bidi="ar"/>
              </w:rPr>
              <w:t>12</w:t>
            </w:r>
            <w:r>
              <w:rPr>
                <w:rFonts w:hint="default" w:ascii="Times New Roman" w:hAnsi="Times New Roman" w:eastAsia="宋体" w:cs="Times New Roman"/>
                <w:color w:val="auto"/>
                <w:kern w:val="0"/>
                <w:sz w:val="24"/>
                <w:szCs w:val="24"/>
                <w:highlight w:val="none"/>
                <w:lang w:val="en-US" w:eastAsia="zh-CN" w:bidi="ar"/>
              </w:rPr>
              <w:t>×宽</w:t>
            </w:r>
            <w:r>
              <w:rPr>
                <w:rFonts w:hint="eastAsia" w:cs="Times New Roman"/>
                <w:color w:val="auto"/>
                <w:kern w:val="0"/>
                <w:sz w:val="24"/>
                <w:szCs w:val="24"/>
                <w:highlight w:val="none"/>
                <w:lang w:val="en-US" w:eastAsia="zh-CN" w:bidi="ar"/>
              </w:rPr>
              <w:t>3</w:t>
            </w:r>
            <w:r>
              <w:rPr>
                <w:rFonts w:hint="default" w:ascii="Times New Roman" w:hAnsi="Times New Roman" w:eastAsia="宋体" w:cs="Times New Roman"/>
                <w:color w:val="auto"/>
                <w:kern w:val="0"/>
                <w:sz w:val="24"/>
                <w:szCs w:val="24"/>
                <w:highlight w:val="none"/>
                <w:lang w:val="en-US" w:eastAsia="zh-CN" w:bidi="ar"/>
              </w:rPr>
              <w:t>×高</w:t>
            </w:r>
            <w:r>
              <w:rPr>
                <w:rFonts w:hint="eastAsia" w:cs="Times New Roman"/>
                <w:color w:val="auto"/>
                <w:kern w:val="0"/>
                <w:sz w:val="24"/>
                <w:szCs w:val="24"/>
                <w:highlight w:val="none"/>
                <w:lang w:val="en-US" w:eastAsia="zh-CN" w:bidi="ar"/>
              </w:rPr>
              <w:t>3</w:t>
            </w:r>
            <w:r>
              <w:rPr>
                <w:rFonts w:hint="default" w:ascii="Times New Roman" w:hAnsi="Times New Roman" w:eastAsia="宋体" w:cs="Times New Roman"/>
                <w:color w:val="auto"/>
                <w:kern w:val="0"/>
                <w:sz w:val="24"/>
                <w:szCs w:val="24"/>
                <w:highlight w:val="none"/>
                <w:lang w:val="en-US" w:eastAsia="zh-CN" w:bidi="ar"/>
              </w:rPr>
              <w:t>(m)=</w:t>
            </w:r>
            <w:r>
              <w:rPr>
                <w:rFonts w:hint="eastAsia" w:cs="Times New Roman"/>
                <w:color w:val="auto"/>
                <w:kern w:val="0"/>
                <w:sz w:val="24"/>
                <w:szCs w:val="24"/>
                <w:highlight w:val="none"/>
                <w:lang w:val="en-US" w:eastAsia="zh-CN" w:bidi="ar"/>
              </w:rPr>
              <w:t>108</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，根据经验值换气次数取20次/h，则塑粉固化废气量为</w:t>
            </w:r>
            <w:r>
              <w:rPr>
                <w:rFonts w:hint="eastAsia" w:cs="Times New Roman"/>
                <w:color w:val="auto"/>
                <w:kern w:val="0"/>
                <w:sz w:val="24"/>
                <w:szCs w:val="24"/>
                <w:highlight w:val="none"/>
                <w:lang w:val="en-US" w:eastAsia="zh-CN" w:bidi="ar"/>
              </w:rPr>
              <w:t>35</w:t>
            </w:r>
            <w:r>
              <w:rPr>
                <w:rFonts w:hint="default" w:ascii="Times New Roman" w:hAnsi="Times New Roman" w:eastAsia="宋体" w:cs="Times New Roman"/>
                <w:color w:val="auto"/>
                <w:kern w:val="0"/>
                <w:sz w:val="24"/>
                <w:szCs w:val="24"/>
                <w:highlight w:val="none"/>
                <w:lang w:val="en-US" w:eastAsia="zh-CN" w:bidi="ar"/>
              </w:rPr>
              <w:t>×20=</w:t>
            </w:r>
            <w:r>
              <w:rPr>
                <w:rFonts w:hint="eastAsia" w:cs="Times New Roman"/>
                <w:color w:val="auto"/>
                <w:kern w:val="0"/>
                <w:sz w:val="24"/>
                <w:szCs w:val="24"/>
                <w:highlight w:val="none"/>
                <w:lang w:val="en-US" w:eastAsia="zh-CN" w:bidi="ar"/>
              </w:rPr>
              <w:t>3240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r>
              <w:rPr>
                <w:rFonts w:hint="eastAsia" w:ascii="Times New Roman" w:hAnsi="Times New Roman" w:eastAsia="宋体" w:cs="Times New Roman"/>
                <w:color w:val="auto"/>
                <w:kern w:val="0"/>
                <w:sz w:val="24"/>
                <w:szCs w:val="24"/>
                <w:highlight w:val="none"/>
                <w:lang w:val="en-US" w:eastAsia="zh-CN" w:bidi="ar"/>
              </w:rPr>
              <w:t>。</w:t>
            </w:r>
          </w:p>
          <w:p w14:paraId="5252F30B">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)涂</w:t>
            </w:r>
            <w:r>
              <w:rPr>
                <w:rFonts w:hint="default" w:ascii="Times New Roman" w:hAnsi="Times New Roman" w:eastAsia="宋体" w:cs="Times New Roman"/>
                <w:color w:val="auto"/>
                <w:kern w:val="0"/>
                <w:sz w:val="24"/>
                <w:szCs w:val="24"/>
                <w:highlight w:val="none"/>
                <w:lang w:val="en-US" w:eastAsia="zh-CN" w:bidi="ar"/>
              </w:rPr>
              <w:t>装烘干废气设计风量</w:t>
            </w:r>
          </w:p>
          <w:p w14:paraId="1D56D85A">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由于涂装烘干废气为多股废气共用一套净化装置，考虑到集气管道长度、走向、变径、封口阻力等因素，设计风量考虑</w:t>
            </w:r>
            <w:r>
              <w:rPr>
                <w:rFonts w:hint="eastAsia" w:cs="Times New Roman"/>
                <w:color w:val="auto"/>
                <w:kern w:val="0"/>
                <w:sz w:val="24"/>
                <w:szCs w:val="24"/>
                <w:highlight w:val="none"/>
                <w:lang w:val="en-US" w:eastAsia="zh-CN" w:bidi="ar"/>
              </w:rPr>
              <w:t>2</w:t>
            </w:r>
            <w:r>
              <w:rPr>
                <w:rFonts w:hint="default" w:ascii="Times New Roman" w:hAnsi="Times New Roman" w:eastAsia="宋体" w:cs="Times New Roman"/>
                <w:color w:val="auto"/>
                <w:kern w:val="0"/>
                <w:sz w:val="24"/>
                <w:szCs w:val="24"/>
                <w:highlight w:val="none"/>
                <w:lang w:val="en-US" w:eastAsia="zh-CN" w:bidi="ar"/>
              </w:rPr>
              <w:t>0%的风量损失，则涂装烘干废气设计风量为</w:t>
            </w:r>
            <w:r>
              <w:rPr>
                <w:rFonts w:hint="eastAsia" w:ascii="宋体" w:hAnsi="宋体" w:eastAsia="宋体" w:cs="宋体"/>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16000</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5000</w:t>
            </w:r>
            <w:r>
              <w:rPr>
                <w:rFonts w:hint="eastAsia"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3240</w:t>
            </w: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×1.</w:t>
            </w:r>
            <w:r>
              <w:rPr>
                <w:rFonts w:hint="eastAsia" w:cs="Times New Roman"/>
                <w:color w:val="auto"/>
                <w:kern w:val="0"/>
                <w:sz w:val="24"/>
                <w:szCs w:val="24"/>
                <w:highlight w:val="none"/>
                <w:lang w:val="en-US" w:eastAsia="zh-CN" w:bidi="ar"/>
              </w:rPr>
              <w:t>2</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30000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p>
          <w:p w14:paraId="377B080E">
            <w:pPr>
              <w:pStyle w:val="16"/>
              <w:spacing w:line="480" w:lineRule="exact"/>
              <w:rPr>
                <w:rFonts w:hint="eastAsia" w:ascii="Times New Roman" w:hAnsi="Times New Roman" w:eastAsia="宋体"/>
                <w:b/>
                <w:color w:val="auto"/>
                <w:highlight w:val="none"/>
                <w:lang w:val="en-US" w:eastAsia="zh-CN"/>
              </w:rPr>
            </w:pPr>
            <w:r>
              <w:rPr>
                <w:rFonts w:hint="eastAsia" w:ascii="Times New Roman" w:hAnsi="Times New Roman" w:eastAsia="宋体"/>
                <w:b/>
                <w:color w:val="auto"/>
                <w:highlight w:val="none"/>
              </w:rPr>
              <w:t>表</w:t>
            </w:r>
            <w:r>
              <w:rPr>
                <w:rFonts w:hint="eastAsia"/>
                <w:b/>
                <w:color w:val="auto"/>
                <w:highlight w:val="none"/>
                <w:lang w:val="en-US" w:eastAsia="zh-CN"/>
              </w:rPr>
              <w:t>24</w:t>
            </w:r>
            <w:r>
              <w:rPr>
                <w:rFonts w:hint="eastAsia" w:ascii="Times New Roman" w:hAnsi="Times New Roman" w:eastAsia="宋体"/>
                <w:b/>
                <w:color w:val="auto"/>
                <w:highlight w:val="none"/>
              </w:rPr>
              <w:t xml:space="preserve">  </w:t>
            </w:r>
            <w:r>
              <w:rPr>
                <w:rFonts w:hint="eastAsia" w:ascii="宋体" w:hAnsi="宋体" w:eastAsia="宋体" w:cs="宋体"/>
                <w:color w:val="auto"/>
                <w:kern w:val="0"/>
                <w:sz w:val="21"/>
                <w:szCs w:val="21"/>
                <w:highlight w:val="none"/>
                <w:lang w:val="en-US" w:eastAsia="zh-CN" w:bidi="ar"/>
              </w:rPr>
              <w:t>涂</w:t>
            </w:r>
            <w:r>
              <w:rPr>
                <w:rFonts w:hint="default" w:ascii="Times New Roman" w:hAnsi="Times New Roman" w:eastAsia="宋体" w:cs="Times New Roman"/>
                <w:color w:val="auto"/>
                <w:kern w:val="0"/>
                <w:sz w:val="21"/>
                <w:szCs w:val="21"/>
                <w:highlight w:val="none"/>
                <w:lang w:val="en-US" w:eastAsia="zh-CN" w:bidi="ar"/>
              </w:rPr>
              <w:t>装烘干废气设计风量</w:t>
            </w:r>
            <w:r>
              <w:rPr>
                <w:rFonts w:hint="eastAsia"/>
                <w:b/>
                <w:color w:val="auto"/>
                <w:sz w:val="21"/>
                <w:szCs w:val="21"/>
                <w:highlight w:val="none"/>
                <w:lang w:val="en-US" w:eastAsia="zh-CN"/>
              </w:rPr>
              <w:t>一览表</w:t>
            </w:r>
          </w:p>
          <w:tbl>
            <w:tblPr>
              <w:tblStyle w:val="20"/>
              <w:tblW w:w="68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97"/>
              <w:gridCol w:w="1750"/>
              <w:gridCol w:w="2550"/>
              <w:gridCol w:w="1625"/>
            </w:tblGrid>
            <w:tr w14:paraId="692D1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7" w:type="dxa"/>
                  <w:noWrap w:val="0"/>
                  <w:vAlign w:val="center"/>
                </w:tcPr>
                <w:p w14:paraId="6CF8EC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序号</w:t>
                  </w:r>
                </w:p>
              </w:tc>
              <w:tc>
                <w:tcPr>
                  <w:tcW w:w="1750" w:type="dxa"/>
                  <w:noWrap w:val="0"/>
                  <w:vAlign w:val="center"/>
                </w:tcPr>
                <w:p w14:paraId="7094B2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污染源</w:t>
                  </w:r>
                </w:p>
              </w:tc>
              <w:tc>
                <w:tcPr>
                  <w:tcW w:w="2550" w:type="dxa"/>
                  <w:noWrap w:val="0"/>
                  <w:vAlign w:val="center"/>
                </w:tcPr>
                <w:p w14:paraId="2CE88B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参数</w:t>
                  </w:r>
                </w:p>
              </w:tc>
              <w:tc>
                <w:tcPr>
                  <w:tcW w:w="1625" w:type="dxa"/>
                  <w:noWrap w:val="0"/>
                  <w:vAlign w:val="center"/>
                </w:tcPr>
                <w:p w14:paraId="636C01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设计风量</w:t>
                  </w:r>
                </w:p>
              </w:tc>
            </w:tr>
            <w:tr w14:paraId="4D27E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7" w:type="dxa"/>
                  <w:noWrap w:val="0"/>
                  <w:vAlign w:val="center"/>
                </w:tcPr>
                <w:p w14:paraId="2672F3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750" w:type="dxa"/>
                  <w:noWrap w:val="0"/>
                  <w:vAlign w:val="center"/>
                </w:tcPr>
                <w:p w14:paraId="042609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喷漆</w:t>
                  </w:r>
                  <w:r>
                    <w:rPr>
                      <w:rFonts w:hint="default" w:ascii="Times New Roman" w:hAnsi="Times New Roman" w:eastAsia="宋体" w:cs="Times New Roman"/>
                      <w:color w:val="auto"/>
                      <w:kern w:val="0"/>
                      <w:sz w:val="21"/>
                      <w:szCs w:val="21"/>
                      <w:lang w:val="en-US" w:eastAsia="zh-CN" w:bidi="ar"/>
                    </w:rPr>
                    <w:t>废气</w:t>
                  </w:r>
                </w:p>
              </w:tc>
              <w:tc>
                <w:tcPr>
                  <w:tcW w:w="2550" w:type="dxa"/>
                  <w:noWrap w:val="0"/>
                  <w:vAlign w:val="center"/>
                </w:tcPr>
                <w:p w14:paraId="4F9517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cs="Times New Roman"/>
                      <w:color w:val="auto"/>
                      <w:kern w:val="0"/>
                      <w:sz w:val="21"/>
                      <w:szCs w:val="21"/>
                      <w:lang w:val="en-US" w:eastAsia="zh-CN" w:bidi="ar"/>
                    </w:rPr>
                  </w:pPr>
                  <w:r>
                    <w:rPr>
                      <w:rFonts w:hint="eastAsia" w:cs="Times New Roman"/>
                      <w:color w:val="auto"/>
                      <w:kern w:val="0"/>
                      <w:sz w:val="21"/>
                      <w:szCs w:val="21"/>
                      <w:lang w:val="en-US" w:eastAsia="zh-CN" w:bidi="ar"/>
                    </w:rPr>
                    <w:t>喷漆房</w:t>
                  </w:r>
                  <w:r>
                    <w:rPr>
                      <w:rFonts w:hint="default" w:cs="Times New Roman"/>
                      <w:color w:val="auto"/>
                      <w:kern w:val="0"/>
                      <w:sz w:val="21"/>
                      <w:szCs w:val="21"/>
                      <w:lang w:val="en-US" w:eastAsia="zh-CN" w:bidi="ar"/>
                    </w:rPr>
                    <w:t>尺寸：</w:t>
                  </w:r>
                </w:p>
                <w:p w14:paraId="3973E1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color w:val="auto"/>
                      <w:kern w:val="0"/>
                      <w:sz w:val="21"/>
                      <w:szCs w:val="21"/>
                      <w:lang w:val="en-US" w:eastAsia="zh-CN" w:bidi="ar"/>
                    </w:rPr>
                  </w:pPr>
                  <w:r>
                    <w:rPr>
                      <w:rFonts w:hint="default" w:cs="Times New Roman"/>
                      <w:color w:val="auto"/>
                      <w:kern w:val="0"/>
                      <w:sz w:val="21"/>
                      <w:szCs w:val="21"/>
                      <w:lang w:val="en-US" w:eastAsia="zh-CN" w:bidi="ar"/>
                    </w:rPr>
                    <w:t>长</w:t>
                  </w:r>
                  <w:r>
                    <w:rPr>
                      <w:rFonts w:hint="eastAsia" w:cs="Times New Roman"/>
                      <w:color w:val="auto"/>
                      <w:kern w:val="0"/>
                      <w:sz w:val="21"/>
                      <w:szCs w:val="21"/>
                      <w:lang w:val="en-US" w:eastAsia="zh-CN" w:bidi="ar"/>
                    </w:rPr>
                    <w:t>10</w:t>
                  </w:r>
                  <w:r>
                    <w:rPr>
                      <w:rFonts w:hint="default" w:cs="Times New Roman"/>
                      <w:color w:val="auto"/>
                      <w:kern w:val="0"/>
                      <w:sz w:val="21"/>
                      <w:szCs w:val="21"/>
                      <w:lang w:val="en-US" w:eastAsia="zh-CN" w:bidi="ar"/>
                    </w:rPr>
                    <w:t>×宽</w:t>
                  </w:r>
                  <w:r>
                    <w:rPr>
                      <w:rFonts w:hint="eastAsia" w:cs="Times New Roman"/>
                      <w:color w:val="auto"/>
                      <w:kern w:val="0"/>
                      <w:sz w:val="21"/>
                      <w:szCs w:val="21"/>
                      <w:lang w:val="en-US" w:eastAsia="zh-CN" w:bidi="ar"/>
                    </w:rPr>
                    <w:t>5</w:t>
                  </w:r>
                  <w:r>
                    <w:rPr>
                      <w:rFonts w:hint="default" w:cs="Times New Roman"/>
                      <w:color w:val="auto"/>
                      <w:kern w:val="0"/>
                      <w:sz w:val="21"/>
                      <w:szCs w:val="21"/>
                      <w:lang w:val="en-US" w:eastAsia="zh-CN" w:bidi="ar"/>
                    </w:rPr>
                    <w:t>×高</w:t>
                  </w:r>
                  <w:r>
                    <w:rPr>
                      <w:rFonts w:hint="eastAsia" w:cs="Times New Roman"/>
                      <w:color w:val="auto"/>
                      <w:kern w:val="0"/>
                      <w:sz w:val="21"/>
                      <w:szCs w:val="21"/>
                      <w:lang w:val="en-US" w:eastAsia="zh-CN" w:bidi="ar"/>
                    </w:rPr>
                    <w:t>2.5</w:t>
                  </w:r>
                  <w:r>
                    <w:rPr>
                      <w:rFonts w:hint="default" w:cs="Times New Roman"/>
                      <w:color w:val="auto"/>
                      <w:kern w:val="0"/>
                      <w:sz w:val="21"/>
                      <w:szCs w:val="21"/>
                      <w:lang w:val="en-US" w:eastAsia="zh-CN" w:bidi="ar"/>
                    </w:rPr>
                    <w:t>(m)×</w:t>
                  </w:r>
                  <w:r>
                    <w:rPr>
                      <w:rFonts w:hint="eastAsia" w:cs="Times New Roman"/>
                      <w:color w:val="auto"/>
                      <w:kern w:val="0"/>
                      <w:sz w:val="21"/>
                      <w:szCs w:val="21"/>
                      <w:lang w:val="en-US" w:eastAsia="zh-CN" w:bidi="ar"/>
                    </w:rPr>
                    <w:t>2</w:t>
                  </w:r>
                </w:p>
                <w:p w14:paraId="747217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lang w:val="en-US"/>
                    </w:rPr>
                  </w:pPr>
                  <w:r>
                    <w:rPr>
                      <w:rFonts w:hint="default" w:cs="Times New Roman"/>
                      <w:color w:val="auto"/>
                      <w:kern w:val="0"/>
                      <w:sz w:val="21"/>
                      <w:szCs w:val="21"/>
                      <w:lang w:val="en-US" w:eastAsia="zh-CN" w:bidi="ar"/>
                    </w:rPr>
                    <w:t>长</w:t>
                  </w:r>
                  <w:r>
                    <w:rPr>
                      <w:rFonts w:hint="eastAsia" w:cs="Times New Roman"/>
                      <w:color w:val="auto"/>
                      <w:kern w:val="0"/>
                      <w:sz w:val="21"/>
                      <w:szCs w:val="21"/>
                      <w:lang w:val="en-US" w:eastAsia="zh-CN" w:bidi="ar"/>
                    </w:rPr>
                    <w:t>5.4</w:t>
                  </w:r>
                  <w:r>
                    <w:rPr>
                      <w:rFonts w:hint="default" w:cs="Times New Roman"/>
                      <w:color w:val="auto"/>
                      <w:kern w:val="0"/>
                      <w:sz w:val="21"/>
                      <w:szCs w:val="21"/>
                      <w:lang w:val="en-US" w:eastAsia="zh-CN" w:bidi="ar"/>
                    </w:rPr>
                    <w:t>×宽</w:t>
                  </w:r>
                  <w:r>
                    <w:rPr>
                      <w:rFonts w:hint="eastAsia" w:cs="Times New Roman"/>
                      <w:color w:val="auto"/>
                      <w:kern w:val="0"/>
                      <w:sz w:val="21"/>
                      <w:szCs w:val="21"/>
                      <w:lang w:val="en-US" w:eastAsia="zh-CN" w:bidi="ar"/>
                    </w:rPr>
                    <w:t>5</w:t>
                  </w:r>
                  <w:r>
                    <w:rPr>
                      <w:rFonts w:hint="default" w:cs="Times New Roman"/>
                      <w:color w:val="auto"/>
                      <w:kern w:val="0"/>
                      <w:sz w:val="21"/>
                      <w:szCs w:val="21"/>
                      <w:lang w:val="en-US" w:eastAsia="zh-CN" w:bidi="ar"/>
                    </w:rPr>
                    <w:t>×高</w:t>
                  </w:r>
                  <w:r>
                    <w:rPr>
                      <w:rFonts w:hint="eastAsia" w:cs="Times New Roman"/>
                      <w:color w:val="auto"/>
                      <w:kern w:val="0"/>
                      <w:sz w:val="21"/>
                      <w:szCs w:val="21"/>
                      <w:lang w:val="en-US" w:eastAsia="zh-CN" w:bidi="ar"/>
                    </w:rPr>
                    <w:t>2.5</w:t>
                  </w:r>
                  <w:r>
                    <w:rPr>
                      <w:rFonts w:hint="default" w:cs="Times New Roman"/>
                      <w:color w:val="auto"/>
                      <w:kern w:val="0"/>
                      <w:sz w:val="21"/>
                      <w:szCs w:val="21"/>
                      <w:lang w:val="en-US" w:eastAsia="zh-CN" w:bidi="ar"/>
                    </w:rPr>
                    <w:t>(m)</w:t>
                  </w:r>
                </w:p>
              </w:tc>
              <w:tc>
                <w:tcPr>
                  <w:tcW w:w="1625" w:type="dxa"/>
                  <w:vMerge w:val="restart"/>
                  <w:noWrap w:val="0"/>
                  <w:vAlign w:val="center"/>
                </w:tcPr>
                <w:p w14:paraId="75972A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30</w:t>
                  </w:r>
                  <w:r>
                    <w:rPr>
                      <w:rFonts w:hint="eastAsia" w:ascii="Times New Roman" w:hAnsi="Times New Roman" w:eastAsia="宋体" w:cs="Times New Roman"/>
                      <w:color w:val="auto"/>
                      <w:kern w:val="0"/>
                      <w:sz w:val="21"/>
                      <w:szCs w:val="21"/>
                      <w:lang w:val="en-US" w:eastAsia="zh-CN" w:bidi="ar"/>
                    </w:rPr>
                    <w:t>000</w:t>
                  </w:r>
                  <w:r>
                    <w:rPr>
                      <w:rFonts w:hint="default" w:ascii="Times New Roman" w:hAnsi="Times New Roman" w:eastAsia="宋体" w:cs="Times New Roman"/>
                      <w:color w:val="auto"/>
                      <w:kern w:val="0"/>
                      <w:sz w:val="21"/>
                      <w:szCs w:val="21"/>
                      <w:lang w:val="en-US" w:eastAsia="zh-CN" w:bidi="ar"/>
                    </w:rPr>
                    <w:t>m</w:t>
                  </w:r>
                  <w:r>
                    <w:rPr>
                      <w:rFonts w:hint="default" w:ascii="Times New Roman" w:hAnsi="Times New Roman" w:eastAsia="宋体"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/h</w:t>
                  </w:r>
                </w:p>
              </w:tc>
            </w:tr>
            <w:tr w14:paraId="6FCCC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7" w:type="dxa"/>
                  <w:noWrap w:val="0"/>
                  <w:vAlign w:val="center"/>
                </w:tcPr>
                <w:p w14:paraId="259D4A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750" w:type="dxa"/>
                  <w:noWrap w:val="0"/>
                  <w:vAlign w:val="center"/>
                </w:tcPr>
                <w:p w14:paraId="444B30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烘干</w:t>
                  </w:r>
                  <w:r>
                    <w:rPr>
                      <w:rFonts w:hint="default" w:ascii="Times New Roman" w:hAnsi="Times New Roman" w:eastAsia="宋体" w:cs="Times New Roman"/>
                      <w:color w:val="auto"/>
                      <w:kern w:val="0"/>
                      <w:sz w:val="21"/>
                      <w:szCs w:val="21"/>
                      <w:lang w:val="en-US" w:eastAsia="zh-CN" w:bidi="ar"/>
                    </w:rPr>
                    <w:t>废气</w:t>
                  </w:r>
                </w:p>
              </w:tc>
              <w:tc>
                <w:tcPr>
                  <w:tcW w:w="2550" w:type="dxa"/>
                  <w:noWrap w:val="0"/>
                  <w:vAlign w:val="center"/>
                </w:tcPr>
                <w:p w14:paraId="572DFA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kern w:val="0"/>
                      <w:sz w:val="21"/>
                      <w:szCs w:val="21"/>
                      <w:lang w:val="en-US" w:eastAsia="zh-CN" w:bidi="ar"/>
                    </w:rPr>
                    <w:t>烘干房</w:t>
                  </w:r>
                  <w:r>
                    <w:rPr>
                      <w:rFonts w:hint="default" w:ascii="Times New Roman" w:hAnsi="Times New Roman" w:eastAsia="宋体" w:cs="Times New Roman"/>
                      <w:color w:val="auto"/>
                      <w:kern w:val="0"/>
                      <w:sz w:val="21"/>
                      <w:szCs w:val="21"/>
                      <w:lang w:val="en-US" w:eastAsia="zh-CN" w:bidi="ar"/>
                    </w:rPr>
                    <w:t>尺寸：</w:t>
                  </w:r>
                </w:p>
                <w:p w14:paraId="69E0DF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长</w:t>
                  </w:r>
                  <w:r>
                    <w:rPr>
                      <w:rFonts w:hint="eastAsia" w:cs="Times New Roman"/>
                      <w:color w:val="auto"/>
                      <w:kern w:val="0"/>
                      <w:sz w:val="21"/>
                      <w:szCs w:val="21"/>
                      <w:lang w:val="en-US" w:eastAsia="zh-CN" w:bidi="ar"/>
                    </w:rPr>
                    <w:t>10</w:t>
                  </w:r>
                  <w:r>
                    <w:rPr>
                      <w:rFonts w:hint="default" w:ascii="Times New Roman" w:hAnsi="Times New Roman" w:eastAsia="宋体" w:cs="Times New Roman"/>
                      <w:color w:val="auto"/>
                      <w:kern w:val="0"/>
                      <w:sz w:val="21"/>
                      <w:szCs w:val="21"/>
                      <w:lang w:val="en-US" w:eastAsia="zh-CN" w:bidi="ar"/>
                    </w:rPr>
                    <w:t>×宽</w:t>
                  </w:r>
                  <w:r>
                    <w:rPr>
                      <w:rFonts w:hint="eastAsia" w:cs="Times New Roman"/>
                      <w:color w:val="auto"/>
                      <w:kern w:val="0"/>
                      <w:sz w:val="21"/>
                      <w:szCs w:val="21"/>
                      <w:lang w:val="en-US" w:eastAsia="zh-CN" w:bidi="ar"/>
                    </w:rPr>
                    <w:t>5</w:t>
                  </w:r>
                  <w:r>
                    <w:rPr>
                      <w:rFonts w:hint="default" w:ascii="Times New Roman" w:hAnsi="Times New Roman" w:eastAsia="宋体" w:cs="Times New Roman"/>
                      <w:color w:val="auto"/>
                      <w:kern w:val="0"/>
                      <w:sz w:val="21"/>
                      <w:szCs w:val="21"/>
                      <w:lang w:val="en-US" w:eastAsia="zh-CN" w:bidi="ar"/>
                    </w:rPr>
                    <w:t>×高</w:t>
                  </w:r>
                  <w:r>
                    <w:rPr>
                      <w:rFonts w:hint="eastAsia" w:cs="Times New Roman"/>
                      <w:color w:val="auto"/>
                      <w:kern w:val="0"/>
                      <w:sz w:val="21"/>
                      <w:szCs w:val="21"/>
                      <w:lang w:val="en-US" w:eastAsia="zh-CN" w:bidi="ar"/>
                    </w:rPr>
                    <w:t>2.5</w:t>
                  </w:r>
                  <w:r>
                    <w:rPr>
                      <w:rFonts w:hint="default" w:ascii="Times New Roman" w:hAnsi="Times New Roman" w:eastAsia="宋体" w:cs="Times New Roman"/>
                      <w:color w:val="auto"/>
                      <w:kern w:val="0"/>
                      <w:sz w:val="21"/>
                      <w:szCs w:val="21"/>
                      <w:lang w:val="en-US" w:eastAsia="zh-CN" w:bidi="ar"/>
                    </w:rPr>
                    <w:t>(m)</w:t>
                  </w:r>
                </w:p>
                <w:p w14:paraId="359962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cs="Times New Roman"/>
                      <w:color w:val="auto"/>
                      <w:kern w:val="0"/>
                      <w:sz w:val="21"/>
                      <w:szCs w:val="21"/>
                      <w:lang w:val="en-US" w:eastAsia="zh-CN" w:bidi="ar"/>
                    </w:rPr>
                    <w:t>长</w:t>
                  </w:r>
                  <w:r>
                    <w:rPr>
                      <w:rFonts w:hint="eastAsia" w:cs="Times New Roman"/>
                      <w:color w:val="auto"/>
                      <w:kern w:val="0"/>
                      <w:sz w:val="21"/>
                      <w:szCs w:val="21"/>
                      <w:lang w:val="en-US" w:eastAsia="zh-CN" w:bidi="ar"/>
                    </w:rPr>
                    <w:t>5.4</w:t>
                  </w:r>
                  <w:r>
                    <w:rPr>
                      <w:rFonts w:hint="default" w:cs="Times New Roman"/>
                      <w:color w:val="auto"/>
                      <w:kern w:val="0"/>
                      <w:sz w:val="21"/>
                      <w:szCs w:val="21"/>
                      <w:lang w:val="en-US" w:eastAsia="zh-CN" w:bidi="ar"/>
                    </w:rPr>
                    <w:t>×宽</w:t>
                  </w:r>
                  <w:r>
                    <w:rPr>
                      <w:rFonts w:hint="eastAsia" w:cs="Times New Roman"/>
                      <w:color w:val="auto"/>
                      <w:kern w:val="0"/>
                      <w:sz w:val="21"/>
                      <w:szCs w:val="21"/>
                      <w:lang w:val="en-US" w:eastAsia="zh-CN" w:bidi="ar"/>
                    </w:rPr>
                    <w:t>5</w:t>
                  </w:r>
                  <w:r>
                    <w:rPr>
                      <w:rFonts w:hint="default" w:cs="Times New Roman"/>
                      <w:color w:val="auto"/>
                      <w:kern w:val="0"/>
                      <w:sz w:val="21"/>
                      <w:szCs w:val="21"/>
                      <w:lang w:val="en-US" w:eastAsia="zh-CN" w:bidi="ar"/>
                    </w:rPr>
                    <w:t>×高</w:t>
                  </w:r>
                  <w:r>
                    <w:rPr>
                      <w:rFonts w:hint="eastAsia" w:cs="Times New Roman"/>
                      <w:color w:val="auto"/>
                      <w:kern w:val="0"/>
                      <w:sz w:val="21"/>
                      <w:szCs w:val="21"/>
                      <w:lang w:val="en-US" w:eastAsia="zh-CN" w:bidi="ar"/>
                    </w:rPr>
                    <w:t>2.5</w:t>
                  </w:r>
                  <w:r>
                    <w:rPr>
                      <w:rFonts w:hint="default" w:cs="Times New Roman"/>
                      <w:color w:val="auto"/>
                      <w:kern w:val="0"/>
                      <w:sz w:val="21"/>
                      <w:szCs w:val="21"/>
                      <w:lang w:val="en-US" w:eastAsia="zh-CN" w:bidi="ar"/>
                    </w:rPr>
                    <w:t>(m)</w:t>
                  </w:r>
                </w:p>
              </w:tc>
              <w:tc>
                <w:tcPr>
                  <w:tcW w:w="1625" w:type="dxa"/>
                  <w:vMerge w:val="continue"/>
                  <w:noWrap w:val="0"/>
                  <w:vAlign w:val="center"/>
                </w:tcPr>
                <w:p w14:paraId="714DD8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r>
            <w:tr w14:paraId="08376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7" w:type="dxa"/>
                  <w:noWrap w:val="0"/>
                  <w:vAlign w:val="center"/>
                </w:tcPr>
                <w:p w14:paraId="103D61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w:t>
                  </w:r>
                </w:p>
              </w:tc>
              <w:tc>
                <w:tcPr>
                  <w:tcW w:w="1750" w:type="dxa"/>
                  <w:noWrap w:val="0"/>
                  <w:vAlign w:val="center"/>
                </w:tcPr>
                <w:p w14:paraId="57279C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bidi="ar"/>
                    </w:rPr>
                    <w:t>塑粉固化</w:t>
                  </w:r>
                  <w:r>
                    <w:rPr>
                      <w:rFonts w:hint="default" w:ascii="Times New Roman" w:hAnsi="Times New Roman" w:eastAsia="宋体" w:cs="Times New Roman"/>
                      <w:color w:val="auto"/>
                      <w:kern w:val="0"/>
                      <w:sz w:val="21"/>
                      <w:szCs w:val="21"/>
                      <w:lang w:val="en-US" w:eastAsia="zh-CN" w:bidi="ar"/>
                    </w:rPr>
                    <w:t>废气</w:t>
                  </w:r>
                </w:p>
              </w:tc>
              <w:tc>
                <w:tcPr>
                  <w:tcW w:w="2550" w:type="dxa"/>
                  <w:noWrap w:val="0"/>
                  <w:vAlign w:val="center"/>
                </w:tcPr>
                <w:p w14:paraId="244649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kern w:val="0"/>
                      <w:sz w:val="21"/>
                      <w:szCs w:val="21"/>
                      <w:lang w:val="en-US" w:eastAsia="zh-CN" w:bidi="ar"/>
                    </w:rPr>
                    <w:t>固化房</w:t>
                  </w:r>
                  <w:r>
                    <w:rPr>
                      <w:rFonts w:hint="default" w:ascii="Times New Roman" w:hAnsi="Times New Roman" w:eastAsia="宋体" w:cs="Times New Roman"/>
                      <w:color w:val="auto"/>
                      <w:kern w:val="0"/>
                      <w:sz w:val="21"/>
                      <w:szCs w:val="21"/>
                      <w:lang w:val="en-US" w:eastAsia="zh-CN" w:bidi="ar"/>
                    </w:rPr>
                    <w:t>尺寸：</w:t>
                  </w:r>
                </w:p>
                <w:p w14:paraId="1B8CD5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长</w:t>
                  </w:r>
                  <w:r>
                    <w:rPr>
                      <w:rFonts w:hint="eastAsia" w:cs="Times New Roman"/>
                      <w:color w:val="auto"/>
                      <w:kern w:val="0"/>
                      <w:sz w:val="21"/>
                      <w:szCs w:val="21"/>
                      <w:lang w:val="en-US" w:eastAsia="zh-CN" w:bidi="ar"/>
                    </w:rPr>
                    <w:t>6</w:t>
                  </w:r>
                  <w:r>
                    <w:rPr>
                      <w:rFonts w:hint="default" w:ascii="Times New Roman" w:hAnsi="Times New Roman" w:eastAsia="宋体" w:cs="Times New Roman"/>
                      <w:color w:val="auto"/>
                      <w:kern w:val="0"/>
                      <w:sz w:val="21"/>
                      <w:szCs w:val="21"/>
                      <w:lang w:val="en-US" w:eastAsia="zh-CN" w:bidi="ar"/>
                    </w:rPr>
                    <w:t>×宽</w:t>
                  </w:r>
                  <w:r>
                    <w:rPr>
                      <w:rFonts w:hint="eastAsia" w:cs="Times New Roman"/>
                      <w:color w:val="auto"/>
                      <w:kern w:val="0"/>
                      <w:sz w:val="21"/>
                      <w:szCs w:val="21"/>
                      <w:lang w:val="en-US" w:eastAsia="zh-CN" w:bidi="ar"/>
                    </w:rPr>
                    <w:t>3</w:t>
                  </w:r>
                  <w:r>
                    <w:rPr>
                      <w:rFonts w:hint="default" w:ascii="Times New Roman" w:hAnsi="Times New Roman" w:eastAsia="宋体" w:cs="Times New Roman"/>
                      <w:color w:val="auto"/>
                      <w:kern w:val="0"/>
                      <w:sz w:val="21"/>
                      <w:szCs w:val="21"/>
                      <w:lang w:val="en-US" w:eastAsia="zh-CN" w:bidi="ar"/>
                    </w:rPr>
                    <w:t>×高</w:t>
                  </w:r>
                  <w:r>
                    <w:rPr>
                      <w:rFonts w:hint="eastAsia" w:cs="Times New Roman"/>
                      <w:color w:val="auto"/>
                      <w:kern w:val="0"/>
                      <w:sz w:val="21"/>
                      <w:szCs w:val="21"/>
                      <w:lang w:val="en-US" w:eastAsia="zh-CN" w:bidi="ar"/>
                    </w:rPr>
                    <w:t>3</w:t>
                  </w:r>
                  <w:r>
                    <w:rPr>
                      <w:rFonts w:hint="default" w:ascii="Times New Roman" w:hAnsi="Times New Roman" w:eastAsia="宋体" w:cs="Times New Roman"/>
                      <w:color w:val="auto"/>
                      <w:kern w:val="0"/>
                      <w:sz w:val="21"/>
                      <w:szCs w:val="21"/>
                      <w:lang w:val="en-US" w:eastAsia="zh-CN" w:bidi="ar"/>
                    </w:rPr>
                    <w:t>(m)</w:t>
                  </w:r>
                </w:p>
                <w:p w14:paraId="079023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cs="Times New Roman"/>
                      <w:color w:val="auto"/>
                      <w:kern w:val="0"/>
                      <w:sz w:val="21"/>
                      <w:szCs w:val="21"/>
                      <w:lang w:val="en-US" w:eastAsia="zh-CN" w:bidi="ar"/>
                    </w:rPr>
                    <w:t>长</w:t>
                  </w:r>
                  <w:r>
                    <w:rPr>
                      <w:rFonts w:hint="eastAsia" w:cs="Times New Roman"/>
                      <w:color w:val="auto"/>
                      <w:kern w:val="0"/>
                      <w:sz w:val="21"/>
                      <w:szCs w:val="21"/>
                      <w:lang w:val="en-US" w:eastAsia="zh-CN" w:bidi="ar"/>
                    </w:rPr>
                    <w:t>12</w:t>
                  </w:r>
                  <w:r>
                    <w:rPr>
                      <w:rFonts w:hint="default" w:cs="Times New Roman"/>
                      <w:color w:val="auto"/>
                      <w:kern w:val="0"/>
                      <w:sz w:val="21"/>
                      <w:szCs w:val="21"/>
                      <w:lang w:val="en-US" w:eastAsia="zh-CN" w:bidi="ar"/>
                    </w:rPr>
                    <w:t>×宽</w:t>
                  </w:r>
                  <w:r>
                    <w:rPr>
                      <w:rFonts w:hint="eastAsia" w:cs="Times New Roman"/>
                      <w:color w:val="auto"/>
                      <w:kern w:val="0"/>
                      <w:sz w:val="21"/>
                      <w:szCs w:val="21"/>
                      <w:lang w:val="en-US" w:eastAsia="zh-CN" w:bidi="ar"/>
                    </w:rPr>
                    <w:t>3</w:t>
                  </w:r>
                  <w:r>
                    <w:rPr>
                      <w:rFonts w:hint="default" w:cs="Times New Roman"/>
                      <w:color w:val="auto"/>
                      <w:kern w:val="0"/>
                      <w:sz w:val="21"/>
                      <w:szCs w:val="21"/>
                      <w:lang w:val="en-US" w:eastAsia="zh-CN" w:bidi="ar"/>
                    </w:rPr>
                    <w:t>×高</w:t>
                  </w:r>
                  <w:r>
                    <w:rPr>
                      <w:rFonts w:hint="eastAsia" w:cs="Times New Roman"/>
                      <w:color w:val="auto"/>
                      <w:kern w:val="0"/>
                      <w:sz w:val="21"/>
                      <w:szCs w:val="21"/>
                      <w:lang w:val="en-US" w:eastAsia="zh-CN" w:bidi="ar"/>
                    </w:rPr>
                    <w:t>3</w:t>
                  </w:r>
                  <w:r>
                    <w:rPr>
                      <w:rFonts w:hint="default" w:cs="Times New Roman"/>
                      <w:color w:val="auto"/>
                      <w:kern w:val="0"/>
                      <w:sz w:val="21"/>
                      <w:szCs w:val="21"/>
                      <w:lang w:val="en-US" w:eastAsia="zh-CN" w:bidi="ar"/>
                    </w:rPr>
                    <w:t>(m)</w:t>
                  </w:r>
                </w:p>
              </w:tc>
              <w:tc>
                <w:tcPr>
                  <w:tcW w:w="1625" w:type="dxa"/>
                  <w:vMerge w:val="continue"/>
                  <w:noWrap w:val="0"/>
                  <w:vAlign w:val="center"/>
                </w:tcPr>
                <w:p w14:paraId="3D88C7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r>
          </w:tbl>
          <w:p w14:paraId="5E9ECAE9">
            <w:pPr>
              <w:keepNext w:val="0"/>
              <w:keepLines w:val="0"/>
              <w:widowControl/>
              <w:suppressLineNumbers w:val="0"/>
              <w:jc w:val="left"/>
              <w:rPr>
                <w:rFonts w:hint="default" w:eastAsia="宋体"/>
                <w:b w:val="0"/>
                <w:bCs w:val="0"/>
                <w:color w:val="auto"/>
                <w:lang w:val="en-US" w:eastAsia="zh-CN"/>
              </w:rPr>
            </w:pPr>
            <w:r>
              <w:rPr>
                <w:rFonts w:hint="eastAsia"/>
                <w:b w:val="0"/>
                <w:bCs w:val="0"/>
                <w:color w:val="auto"/>
                <w:lang w:val="en-US" w:eastAsia="zh-CN"/>
              </w:rPr>
              <w:t>6、抛丸机废气</w:t>
            </w:r>
          </w:p>
          <w:p w14:paraId="7B1F57F9">
            <w:pPr>
              <w:keepNext w:val="0"/>
              <w:keepLines w:val="0"/>
              <w:widowControl/>
              <w:suppressLineNumbers w:val="0"/>
              <w:jc w:val="left"/>
              <w:rPr>
                <w:rFonts w:hint="default"/>
                <w:color w:val="auto"/>
                <w:highlight w:val="none"/>
                <w:lang w:val="en-US"/>
              </w:rPr>
            </w:pPr>
            <w:r>
              <w:rPr>
                <w:rFonts w:hint="default" w:ascii="Times New Roman" w:hAnsi="Times New Roman" w:eastAsia="宋体" w:cs="Times New Roman"/>
                <w:color w:val="auto"/>
                <w:kern w:val="0"/>
                <w:sz w:val="24"/>
                <w:szCs w:val="24"/>
                <w:highlight w:val="none"/>
                <w:lang w:val="en-US" w:eastAsia="zh-CN" w:bidi="ar"/>
              </w:rPr>
              <w:t>抛丸产生的含尘废气通过自带除尘器进行处理</w:t>
            </w:r>
            <w:r>
              <w:rPr>
                <w:rFonts w:hint="eastAsia" w:cs="Times New Roman"/>
                <w:color w:val="auto"/>
                <w:kern w:val="0"/>
                <w:sz w:val="24"/>
                <w:szCs w:val="24"/>
                <w:highlight w:val="none"/>
                <w:lang w:val="en-US" w:eastAsia="zh-CN" w:bidi="ar"/>
              </w:rPr>
              <w:t>，风量为3</w:t>
            </w:r>
            <w:r>
              <w:rPr>
                <w:rFonts w:hint="eastAsia" w:ascii="Times New Roman" w:hAnsi="Times New Roman" w:eastAsia="宋体" w:cs="Times New Roman"/>
                <w:color w:val="auto"/>
                <w:kern w:val="0"/>
                <w:sz w:val="24"/>
                <w:szCs w:val="24"/>
                <w:highlight w:val="none"/>
                <w:lang w:val="en-US" w:eastAsia="zh-CN" w:bidi="ar"/>
              </w:rPr>
              <w:t>000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r>
              <w:rPr>
                <w:rFonts w:hint="eastAsia" w:cs="Times New Roman"/>
                <w:color w:val="auto"/>
                <w:kern w:val="0"/>
                <w:sz w:val="24"/>
                <w:szCs w:val="24"/>
                <w:highlight w:val="none"/>
                <w:lang w:val="en-US" w:eastAsia="zh-CN" w:bidi="ar"/>
              </w:rPr>
              <w:t>。</w:t>
            </w:r>
          </w:p>
          <w:p w14:paraId="7BE215D1">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default"/>
                <w:color w:val="auto"/>
                <w:highlight w:val="none"/>
                <w:lang w:val="en-US" w:eastAsia="zh-CN"/>
              </w:rPr>
            </w:pPr>
            <w:r>
              <w:rPr>
                <w:rFonts w:hint="eastAsia"/>
                <w:b/>
                <w:bCs/>
                <w:color w:val="auto"/>
                <w:highlight w:val="none"/>
                <w:lang w:val="en-US" w:eastAsia="zh-CN"/>
              </w:rPr>
              <w:t>1.2.2废气量核算</w:t>
            </w:r>
          </w:p>
          <w:p w14:paraId="79A4064D">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1.2.2.1有组织废气</w:t>
            </w:r>
          </w:p>
          <w:p w14:paraId="0330B41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（1）调漆、喷漆、烤漆、塑粉固化废气</w:t>
            </w:r>
          </w:p>
          <w:p w14:paraId="135C8E7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本项目有3座喷漆房，2座烘干房，2座固化房，调漆在喷漆房内进行。根据漆料成分分析，调漆、烤漆、塑粉固化过程中会有挥发性有机物产生，喷漆过程中会有漆雾、挥发性有机物产生。水性漆不含苯系物，调漆、喷漆、烤漆、塑粉固化过程产生的挥发性有机物以非甲烷总烃计，油性漆调漆、喷漆、烤漆过程产生的挥发性有机物为苯、甲苯、二甲苯和其他挥发性有机物，苯、甲苯、二甲苯也包含在非甲烷总烃内，主要污染因子以苯、甲苯、二甲苯和非甲烷总烃计，其中，苯、甲苯、二甲苯也包含在非甲烷总烃内。</w:t>
            </w:r>
          </w:p>
          <w:p w14:paraId="6B352D4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sz w:val="24"/>
                <w:szCs w:val="24"/>
                <w:highlight w:val="none"/>
                <w:lang w:val="en-US" w:eastAsia="zh-CN"/>
              </w:rPr>
              <w:t>本项目调漆、喷漆均在喷漆房内进行，烤漆工序在烘干房中进行，喷漆房、烘干房送排风方式均为上送下吸，外部空气由风机送到喷漆房、烘干房顶部进入房内，房内空气以一定的速度向下流动，使喷漆、烤漆后的漆雾微粒不能在空气中停留，而直接进入底层出口九宫格过滤装置。</w:t>
            </w:r>
          </w:p>
          <w:p w14:paraId="054982FA">
            <w:pPr>
              <w:rPr>
                <w:rFonts w:hint="default"/>
                <w:color w:val="auto"/>
                <w:lang w:val="en-US" w:eastAsia="zh-CN"/>
              </w:rPr>
            </w:pPr>
            <w:r>
              <w:rPr>
                <w:rFonts w:hint="eastAsia"/>
                <w:color w:val="auto"/>
                <w:lang w:val="en-US" w:eastAsia="zh-CN"/>
              </w:rPr>
              <w:t>根据项目特点和使用的漆料成分，本次评价</w:t>
            </w:r>
            <w:r>
              <w:rPr>
                <w:rFonts w:hint="eastAsia"/>
                <w:color w:val="auto"/>
                <w:highlight w:val="none"/>
                <w:lang w:val="en-US" w:eastAsia="zh-CN"/>
              </w:rPr>
              <w:t>调漆、喷漆、烤漆过程</w:t>
            </w:r>
            <w:r>
              <w:rPr>
                <w:rFonts w:hint="eastAsia"/>
                <w:color w:val="auto"/>
                <w:lang w:val="en-US" w:eastAsia="zh-CN"/>
              </w:rPr>
              <w:t>采用物料衡量和类比法核算废气源强，塑粉固化过程采用产污系数法核算废气源强。本项目调漆、喷漆、烤漆过程按漆料溶剂成分全部挥发计，类比其他同类项目，漆雾产生量约占漆料用量10%。本项目调漆、喷漆、烤漆过程废气产生量见下表。</w:t>
            </w:r>
          </w:p>
          <w:p w14:paraId="01F0A811">
            <w:pPr>
              <w:pStyle w:val="16"/>
              <w:spacing w:line="480" w:lineRule="exact"/>
              <w:rPr>
                <w:rFonts w:hint="default" w:ascii="Times New Roman" w:hAnsi="Times New Roman" w:eastAsia="宋体"/>
                <w:b/>
                <w:color w:val="auto"/>
                <w:highlight w:val="none"/>
                <w:lang w:val="en-US" w:eastAsia="zh-CN"/>
              </w:rPr>
            </w:pPr>
            <w:r>
              <w:rPr>
                <w:rFonts w:hint="eastAsia" w:ascii="Times New Roman" w:hAnsi="Times New Roman" w:eastAsia="宋体"/>
                <w:b/>
                <w:color w:val="auto"/>
                <w:highlight w:val="none"/>
              </w:rPr>
              <w:t>表</w:t>
            </w:r>
            <w:r>
              <w:rPr>
                <w:rFonts w:hint="eastAsia" w:ascii="Times New Roman" w:hAnsi="Times New Roman" w:eastAsia="宋体"/>
                <w:b/>
                <w:color w:val="auto"/>
                <w:highlight w:val="none"/>
                <w:lang w:val="en-US" w:eastAsia="zh-CN"/>
              </w:rPr>
              <w:t>2</w:t>
            </w:r>
            <w:r>
              <w:rPr>
                <w:rFonts w:hint="eastAsia"/>
                <w:b/>
                <w:color w:val="auto"/>
                <w:highlight w:val="none"/>
                <w:lang w:val="en-US" w:eastAsia="zh-CN"/>
              </w:rPr>
              <w:t>5</w:t>
            </w:r>
            <w:r>
              <w:rPr>
                <w:rFonts w:hint="eastAsia" w:ascii="Times New Roman" w:hAnsi="Times New Roman" w:eastAsia="宋体"/>
                <w:b/>
                <w:color w:val="auto"/>
                <w:highlight w:val="none"/>
              </w:rPr>
              <w:t xml:space="preserve">  </w:t>
            </w:r>
            <w:r>
              <w:rPr>
                <w:rFonts w:hint="eastAsia" w:ascii="Times New Roman" w:hAnsi="Times New Roman" w:eastAsia="宋体"/>
                <w:b/>
                <w:color w:val="auto"/>
                <w:highlight w:val="none"/>
                <w:lang w:eastAsia="zh-CN"/>
              </w:rPr>
              <w:t>调漆、</w:t>
            </w:r>
            <w:r>
              <w:rPr>
                <w:rFonts w:hint="eastAsia" w:ascii="Times New Roman" w:hAnsi="Times New Roman" w:eastAsia="宋体"/>
                <w:b/>
                <w:color w:val="auto"/>
                <w:highlight w:val="none"/>
              </w:rPr>
              <w:t>喷涂、</w:t>
            </w:r>
            <w:r>
              <w:rPr>
                <w:rFonts w:hint="eastAsia" w:ascii="Times New Roman" w:hAnsi="Times New Roman" w:eastAsia="宋体"/>
                <w:b/>
                <w:color w:val="auto"/>
                <w:highlight w:val="none"/>
                <w:lang w:eastAsia="zh-CN"/>
              </w:rPr>
              <w:t>烤漆</w:t>
            </w:r>
            <w:r>
              <w:rPr>
                <w:rFonts w:hint="eastAsia" w:ascii="Times New Roman" w:hAnsi="Times New Roman" w:eastAsia="宋体"/>
                <w:b/>
                <w:color w:val="auto"/>
                <w:highlight w:val="none"/>
              </w:rPr>
              <w:t>过程污染物产生量</w:t>
            </w:r>
          </w:p>
          <w:tbl>
            <w:tblPr>
              <w:tblStyle w:val="20"/>
              <w:tblW w:w="84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92"/>
              <w:gridCol w:w="794"/>
              <w:gridCol w:w="542"/>
              <w:gridCol w:w="545"/>
              <w:gridCol w:w="420"/>
              <w:gridCol w:w="465"/>
              <w:gridCol w:w="640"/>
              <w:gridCol w:w="675"/>
              <w:gridCol w:w="705"/>
              <w:gridCol w:w="926"/>
              <w:gridCol w:w="600"/>
              <w:gridCol w:w="645"/>
              <w:gridCol w:w="761"/>
            </w:tblGrid>
            <w:tr w14:paraId="3BC31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692" w:type="dxa"/>
                  <w:vMerge w:val="restart"/>
                  <w:noWrap w:val="0"/>
                  <w:vAlign w:val="center"/>
                </w:tcPr>
                <w:p w14:paraId="7F27FFE8">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污染工序</w:t>
                  </w:r>
                </w:p>
              </w:tc>
              <w:tc>
                <w:tcPr>
                  <w:tcW w:w="794" w:type="dxa"/>
                  <w:vMerge w:val="restart"/>
                  <w:noWrap w:val="0"/>
                  <w:vAlign w:val="center"/>
                </w:tcPr>
                <w:p w14:paraId="4FB8CC30">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漆料种类</w:t>
                  </w:r>
                </w:p>
              </w:tc>
              <w:tc>
                <w:tcPr>
                  <w:tcW w:w="542" w:type="dxa"/>
                  <w:vMerge w:val="restart"/>
                  <w:noWrap w:val="0"/>
                  <w:vAlign w:val="center"/>
                </w:tcPr>
                <w:p w14:paraId="632BF390">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rPr>
                  </w:pPr>
                  <w:r>
                    <w:rPr>
                      <w:rFonts w:ascii="Times New Roman" w:hAnsi="Times New Roman" w:eastAsia="宋体"/>
                      <w:color w:val="auto"/>
                      <w:sz w:val="21"/>
                      <w:szCs w:val="21"/>
                    </w:rPr>
                    <w:t>漆料用量</w:t>
                  </w:r>
                  <w:r>
                    <w:rPr>
                      <w:rFonts w:hint="eastAsia" w:ascii="Times New Roman" w:hAnsi="Times New Roman" w:eastAsia="宋体"/>
                      <w:color w:val="auto"/>
                      <w:sz w:val="21"/>
                      <w:szCs w:val="21"/>
                      <w:lang w:eastAsia="zh-CN"/>
                    </w:rPr>
                    <w:t>（</w:t>
                  </w:r>
                  <w:r>
                    <w:rPr>
                      <w:rFonts w:hint="eastAsia" w:ascii="Times New Roman" w:hAnsi="Times New Roman" w:eastAsia="宋体"/>
                      <w:color w:val="auto"/>
                      <w:sz w:val="21"/>
                      <w:szCs w:val="21"/>
                    </w:rPr>
                    <w:t>t/a</w:t>
                  </w:r>
                  <w:r>
                    <w:rPr>
                      <w:rFonts w:hint="eastAsia" w:ascii="Times New Roman" w:hAnsi="Times New Roman" w:eastAsia="宋体"/>
                      <w:color w:val="auto"/>
                      <w:sz w:val="21"/>
                      <w:szCs w:val="21"/>
                      <w:lang w:eastAsia="zh-CN"/>
                    </w:rPr>
                    <w:t>）</w:t>
                  </w:r>
                </w:p>
              </w:tc>
              <w:tc>
                <w:tcPr>
                  <w:tcW w:w="2070" w:type="dxa"/>
                  <w:gridSpan w:val="4"/>
                  <w:noWrap w:val="0"/>
                  <w:vAlign w:val="center"/>
                </w:tcPr>
                <w:p w14:paraId="462D4FAD">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lang w:val="zh-CN"/>
                    </w:rPr>
                  </w:pPr>
                  <w:r>
                    <w:rPr>
                      <w:rFonts w:hint="eastAsia" w:ascii="Times New Roman" w:hAnsi="Times New Roman" w:eastAsia="宋体"/>
                      <w:color w:val="auto"/>
                      <w:sz w:val="21"/>
                      <w:szCs w:val="21"/>
                    </w:rPr>
                    <w:t>有机溶剂含量</w:t>
                  </w:r>
                  <w:r>
                    <w:rPr>
                      <w:rFonts w:hint="eastAsia"/>
                      <w:color w:val="auto"/>
                      <w:sz w:val="21"/>
                      <w:szCs w:val="21"/>
                      <w:lang w:eastAsia="zh-CN"/>
                    </w:rPr>
                    <w:t>（</w:t>
                  </w:r>
                  <w:r>
                    <w:rPr>
                      <w:rFonts w:hint="eastAsia" w:ascii="Times New Roman" w:hAnsi="Times New Roman" w:eastAsia="宋体"/>
                      <w:color w:val="auto"/>
                      <w:sz w:val="21"/>
                      <w:szCs w:val="21"/>
                    </w:rPr>
                    <w:t>%</w:t>
                  </w:r>
                  <w:r>
                    <w:rPr>
                      <w:rFonts w:hint="eastAsia"/>
                      <w:color w:val="auto"/>
                      <w:sz w:val="21"/>
                      <w:szCs w:val="21"/>
                      <w:lang w:eastAsia="zh-CN"/>
                    </w:rPr>
                    <w:t>）</w:t>
                  </w:r>
                </w:p>
              </w:tc>
              <w:tc>
                <w:tcPr>
                  <w:tcW w:w="675" w:type="dxa"/>
                  <w:vMerge w:val="restart"/>
                  <w:noWrap w:val="0"/>
                  <w:vAlign w:val="center"/>
                </w:tcPr>
                <w:p w14:paraId="248A3E06">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工作时间</w:t>
                  </w:r>
                  <w:r>
                    <w:rPr>
                      <w:rFonts w:hint="eastAsia" w:ascii="Times New Roman" w:hAnsi="Times New Roman" w:eastAsia="宋体"/>
                      <w:color w:val="auto"/>
                      <w:sz w:val="21"/>
                      <w:szCs w:val="21"/>
                      <w:lang w:eastAsia="zh-CN"/>
                    </w:rPr>
                    <w:t>（</w:t>
                  </w:r>
                  <w:r>
                    <w:rPr>
                      <w:rFonts w:ascii="Times New Roman" w:hAnsi="Times New Roman" w:eastAsia="宋体"/>
                      <w:color w:val="auto"/>
                      <w:sz w:val="21"/>
                      <w:szCs w:val="21"/>
                    </w:rPr>
                    <w:t>h/a</w:t>
                  </w:r>
                  <w:r>
                    <w:rPr>
                      <w:rFonts w:hint="eastAsia" w:ascii="Times New Roman" w:hAnsi="Times New Roman" w:eastAsia="宋体"/>
                      <w:color w:val="auto"/>
                      <w:sz w:val="21"/>
                      <w:szCs w:val="21"/>
                      <w:lang w:eastAsia="zh-CN"/>
                    </w:rPr>
                    <w:t>）</w:t>
                  </w:r>
                </w:p>
              </w:tc>
              <w:tc>
                <w:tcPr>
                  <w:tcW w:w="3637" w:type="dxa"/>
                  <w:gridSpan w:val="5"/>
                  <w:noWrap w:val="0"/>
                  <w:vAlign w:val="center"/>
                </w:tcPr>
                <w:p w14:paraId="6501F84B">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污染物产生情况</w:t>
                  </w:r>
                </w:p>
              </w:tc>
            </w:tr>
            <w:tr w14:paraId="54D2F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2" w:type="dxa"/>
                  <w:vMerge w:val="continue"/>
                  <w:noWrap w:val="0"/>
                  <w:vAlign w:val="center"/>
                </w:tcPr>
                <w:p w14:paraId="439F1702">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p>
              </w:tc>
              <w:tc>
                <w:tcPr>
                  <w:tcW w:w="794" w:type="dxa"/>
                  <w:vMerge w:val="continue"/>
                  <w:noWrap w:val="0"/>
                  <w:vAlign w:val="center"/>
                </w:tcPr>
                <w:p w14:paraId="4156834D">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p>
              </w:tc>
              <w:tc>
                <w:tcPr>
                  <w:tcW w:w="542" w:type="dxa"/>
                  <w:vMerge w:val="continue"/>
                  <w:noWrap w:val="0"/>
                  <w:vAlign w:val="center"/>
                </w:tcPr>
                <w:p w14:paraId="053F381D">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p>
              </w:tc>
              <w:tc>
                <w:tcPr>
                  <w:tcW w:w="545" w:type="dxa"/>
                  <w:noWrap w:val="0"/>
                  <w:vAlign w:val="center"/>
                </w:tcPr>
                <w:p w14:paraId="0010D290">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挥发性有机物</w:t>
                  </w:r>
                </w:p>
              </w:tc>
              <w:tc>
                <w:tcPr>
                  <w:tcW w:w="420" w:type="dxa"/>
                  <w:noWrap w:val="0"/>
                  <w:vAlign w:val="center"/>
                </w:tcPr>
                <w:p w14:paraId="459D83C4">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lang w:val="en-US" w:eastAsia="zh-CN"/>
                    </w:rPr>
                    <w:t>苯</w:t>
                  </w:r>
                </w:p>
              </w:tc>
              <w:tc>
                <w:tcPr>
                  <w:tcW w:w="465" w:type="dxa"/>
                  <w:noWrap w:val="0"/>
                  <w:vAlign w:val="center"/>
                </w:tcPr>
                <w:p w14:paraId="44A0EB1E">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lang w:val="zh-CN"/>
                    </w:rPr>
                    <w:t>甲苯</w:t>
                  </w:r>
                </w:p>
              </w:tc>
              <w:tc>
                <w:tcPr>
                  <w:tcW w:w="640" w:type="dxa"/>
                  <w:noWrap w:val="0"/>
                  <w:vAlign w:val="center"/>
                </w:tcPr>
                <w:p w14:paraId="10AA104C">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lang w:val="zh-CN"/>
                    </w:rPr>
                    <w:t>二</w:t>
                  </w:r>
                  <w:r>
                    <w:rPr>
                      <w:rFonts w:ascii="Times New Roman" w:hAnsi="Times New Roman" w:eastAsia="宋体"/>
                      <w:color w:val="auto"/>
                      <w:sz w:val="21"/>
                      <w:szCs w:val="21"/>
                      <w:lang w:val="zh-CN"/>
                    </w:rPr>
                    <w:t>甲苯</w:t>
                  </w:r>
                </w:p>
              </w:tc>
              <w:tc>
                <w:tcPr>
                  <w:tcW w:w="675" w:type="dxa"/>
                  <w:vMerge w:val="continue"/>
                  <w:noWrap w:val="0"/>
                  <w:vAlign w:val="center"/>
                </w:tcPr>
                <w:p w14:paraId="3DA2E7ED">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p>
              </w:tc>
              <w:tc>
                <w:tcPr>
                  <w:tcW w:w="705" w:type="dxa"/>
                  <w:noWrap w:val="0"/>
                  <w:vAlign w:val="center"/>
                </w:tcPr>
                <w:p w14:paraId="1627D0AD">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漆雾产生量</w:t>
                  </w:r>
                  <w:r>
                    <w:rPr>
                      <w:rFonts w:hint="eastAsia" w:ascii="Times New Roman" w:hAnsi="Times New Roman" w:eastAsia="宋体"/>
                      <w:color w:val="auto"/>
                      <w:sz w:val="21"/>
                      <w:szCs w:val="21"/>
                      <w:lang w:eastAsia="zh-CN"/>
                    </w:rPr>
                    <w:t>（</w:t>
                  </w:r>
                  <w:r>
                    <w:rPr>
                      <w:rFonts w:ascii="Times New Roman" w:hAnsi="Times New Roman" w:eastAsia="宋体"/>
                      <w:color w:val="auto"/>
                      <w:sz w:val="21"/>
                      <w:szCs w:val="21"/>
                    </w:rPr>
                    <w:t>t/a</w:t>
                  </w:r>
                  <w:r>
                    <w:rPr>
                      <w:rFonts w:hint="eastAsia" w:ascii="Times New Roman" w:hAnsi="Times New Roman" w:eastAsia="宋体"/>
                      <w:color w:val="auto"/>
                      <w:sz w:val="21"/>
                      <w:szCs w:val="21"/>
                      <w:lang w:eastAsia="zh-CN"/>
                    </w:rPr>
                    <w:t>）</w:t>
                  </w:r>
                </w:p>
              </w:tc>
              <w:tc>
                <w:tcPr>
                  <w:tcW w:w="926" w:type="dxa"/>
                  <w:noWrap w:val="0"/>
                  <w:vAlign w:val="center"/>
                </w:tcPr>
                <w:p w14:paraId="4FAB1629">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非甲烷总烃</w:t>
                  </w:r>
                  <w:r>
                    <w:rPr>
                      <w:rFonts w:hint="eastAsia" w:ascii="Times New Roman" w:hAnsi="Times New Roman" w:eastAsia="宋体"/>
                      <w:color w:val="auto"/>
                      <w:sz w:val="21"/>
                      <w:szCs w:val="21"/>
                      <w:lang w:eastAsia="zh-CN"/>
                    </w:rPr>
                    <w:t>（</w:t>
                  </w:r>
                  <w:r>
                    <w:rPr>
                      <w:rFonts w:hint="eastAsia" w:ascii="Times New Roman" w:hAnsi="Times New Roman" w:eastAsia="宋体"/>
                      <w:color w:val="auto"/>
                      <w:sz w:val="21"/>
                      <w:szCs w:val="21"/>
                      <w:lang w:val="en-US" w:eastAsia="zh-CN"/>
                    </w:rPr>
                    <w:t>含苯、甲苯、二甲苯</w:t>
                  </w:r>
                  <w:r>
                    <w:rPr>
                      <w:rFonts w:hint="eastAsia" w:ascii="Times New Roman" w:hAnsi="Times New Roman" w:eastAsia="宋体"/>
                      <w:color w:val="auto"/>
                      <w:sz w:val="21"/>
                      <w:szCs w:val="21"/>
                      <w:lang w:eastAsia="zh-CN"/>
                    </w:rPr>
                    <w:t>）</w:t>
                  </w:r>
                  <w:r>
                    <w:rPr>
                      <w:rFonts w:ascii="Times New Roman" w:hAnsi="Times New Roman" w:eastAsia="宋体"/>
                      <w:color w:val="auto"/>
                      <w:sz w:val="21"/>
                      <w:szCs w:val="21"/>
                    </w:rPr>
                    <w:t>产生量</w:t>
                  </w:r>
                  <w:r>
                    <w:rPr>
                      <w:rFonts w:hint="eastAsia" w:ascii="Times New Roman" w:hAnsi="Times New Roman" w:eastAsia="宋体"/>
                      <w:color w:val="auto"/>
                      <w:sz w:val="21"/>
                      <w:szCs w:val="21"/>
                      <w:lang w:eastAsia="zh-CN"/>
                    </w:rPr>
                    <w:t>（</w:t>
                  </w:r>
                  <w:r>
                    <w:rPr>
                      <w:rFonts w:ascii="Times New Roman" w:hAnsi="Times New Roman" w:eastAsia="宋体"/>
                      <w:color w:val="auto"/>
                      <w:sz w:val="21"/>
                      <w:szCs w:val="21"/>
                    </w:rPr>
                    <w:t>t/a</w:t>
                  </w:r>
                  <w:r>
                    <w:rPr>
                      <w:rFonts w:hint="eastAsia" w:ascii="Times New Roman" w:hAnsi="Times New Roman" w:eastAsia="宋体"/>
                      <w:color w:val="auto"/>
                      <w:sz w:val="21"/>
                      <w:szCs w:val="21"/>
                      <w:lang w:eastAsia="zh-CN"/>
                    </w:rPr>
                    <w:t>）</w:t>
                  </w:r>
                </w:p>
              </w:tc>
              <w:tc>
                <w:tcPr>
                  <w:tcW w:w="600" w:type="dxa"/>
                  <w:noWrap w:val="0"/>
                  <w:vAlign w:val="center"/>
                </w:tcPr>
                <w:p w14:paraId="73DCAF7B">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lang w:val="en-US" w:eastAsia="zh-CN"/>
                    </w:rPr>
                    <w:t>苯</w:t>
                  </w:r>
                  <w:r>
                    <w:rPr>
                      <w:rFonts w:ascii="Times New Roman" w:hAnsi="Times New Roman" w:eastAsia="宋体"/>
                      <w:color w:val="auto"/>
                      <w:sz w:val="21"/>
                      <w:szCs w:val="21"/>
                    </w:rPr>
                    <w:t>产生量</w:t>
                  </w:r>
                  <w:r>
                    <w:rPr>
                      <w:rFonts w:hint="eastAsia" w:ascii="Times New Roman" w:hAnsi="Times New Roman" w:eastAsia="宋体"/>
                      <w:color w:val="auto"/>
                      <w:sz w:val="21"/>
                      <w:szCs w:val="21"/>
                      <w:lang w:eastAsia="zh-CN"/>
                    </w:rPr>
                    <w:t>（</w:t>
                  </w:r>
                  <w:r>
                    <w:rPr>
                      <w:rFonts w:ascii="Times New Roman" w:hAnsi="Times New Roman" w:eastAsia="宋体"/>
                      <w:color w:val="auto"/>
                      <w:sz w:val="21"/>
                      <w:szCs w:val="21"/>
                    </w:rPr>
                    <w:t>t/a</w:t>
                  </w:r>
                  <w:r>
                    <w:rPr>
                      <w:rFonts w:hint="eastAsia" w:ascii="Times New Roman" w:hAnsi="Times New Roman" w:eastAsia="宋体"/>
                      <w:color w:val="auto"/>
                      <w:sz w:val="21"/>
                      <w:szCs w:val="21"/>
                      <w:lang w:eastAsia="zh-CN"/>
                    </w:rPr>
                    <w:t>）</w:t>
                  </w:r>
                </w:p>
              </w:tc>
              <w:tc>
                <w:tcPr>
                  <w:tcW w:w="645" w:type="dxa"/>
                  <w:noWrap w:val="0"/>
                  <w:vAlign w:val="center"/>
                </w:tcPr>
                <w:p w14:paraId="49E53E8A">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甲苯产生量</w:t>
                  </w:r>
                  <w:r>
                    <w:rPr>
                      <w:rFonts w:hint="eastAsia" w:ascii="Times New Roman" w:hAnsi="Times New Roman" w:eastAsia="宋体"/>
                      <w:color w:val="auto"/>
                      <w:sz w:val="21"/>
                      <w:szCs w:val="21"/>
                      <w:lang w:eastAsia="zh-CN"/>
                    </w:rPr>
                    <w:t>（</w:t>
                  </w:r>
                  <w:r>
                    <w:rPr>
                      <w:rFonts w:ascii="Times New Roman" w:hAnsi="Times New Roman" w:eastAsia="宋体"/>
                      <w:color w:val="auto"/>
                      <w:sz w:val="21"/>
                      <w:szCs w:val="21"/>
                    </w:rPr>
                    <w:t>t/a</w:t>
                  </w:r>
                  <w:r>
                    <w:rPr>
                      <w:rFonts w:hint="eastAsia" w:ascii="Times New Roman" w:hAnsi="Times New Roman" w:eastAsia="宋体"/>
                      <w:color w:val="auto"/>
                      <w:sz w:val="21"/>
                      <w:szCs w:val="21"/>
                      <w:lang w:eastAsia="zh-CN"/>
                    </w:rPr>
                    <w:t>）</w:t>
                  </w:r>
                </w:p>
              </w:tc>
              <w:tc>
                <w:tcPr>
                  <w:tcW w:w="761" w:type="dxa"/>
                  <w:noWrap w:val="0"/>
                  <w:vAlign w:val="center"/>
                </w:tcPr>
                <w:p w14:paraId="284AE298">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二甲苯</w:t>
                  </w:r>
                </w:p>
                <w:p w14:paraId="052F9A68">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产生量</w:t>
                  </w:r>
                </w:p>
                <w:p w14:paraId="06105F93">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lang w:eastAsia="zh-CN"/>
                    </w:rPr>
                    <w:t>（</w:t>
                  </w:r>
                  <w:r>
                    <w:rPr>
                      <w:rFonts w:ascii="Times New Roman" w:hAnsi="Times New Roman" w:eastAsia="宋体"/>
                      <w:color w:val="auto"/>
                      <w:sz w:val="21"/>
                      <w:szCs w:val="21"/>
                    </w:rPr>
                    <w:t>t/a</w:t>
                  </w:r>
                  <w:r>
                    <w:rPr>
                      <w:rFonts w:hint="eastAsia" w:ascii="Times New Roman" w:hAnsi="Times New Roman" w:eastAsia="宋体"/>
                      <w:color w:val="auto"/>
                      <w:sz w:val="21"/>
                      <w:szCs w:val="21"/>
                      <w:lang w:eastAsia="zh-CN"/>
                    </w:rPr>
                    <w:t>）</w:t>
                  </w:r>
                </w:p>
              </w:tc>
            </w:tr>
            <w:tr w14:paraId="63B9F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2" w:type="dxa"/>
                  <w:vMerge w:val="restart"/>
                  <w:noWrap w:val="0"/>
                  <w:vAlign w:val="center"/>
                </w:tcPr>
                <w:p w14:paraId="6B56D7BB">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lang w:val="en-US" w:eastAsia="zh-CN"/>
                    </w:rPr>
                    <w:t>调漆、</w:t>
                  </w:r>
                  <w:r>
                    <w:rPr>
                      <w:rFonts w:hint="eastAsia" w:ascii="Times New Roman" w:hAnsi="Times New Roman" w:eastAsia="宋体"/>
                      <w:color w:val="auto"/>
                      <w:sz w:val="21"/>
                      <w:szCs w:val="21"/>
                    </w:rPr>
                    <w:t>喷漆、</w:t>
                  </w:r>
                  <w:r>
                    <w:rPr>
                      <w:rFonts w:hint="eastAsia" w:ascii="Times New Roman" w:hAnsi="Times New Roman" w:eastAsia="宋体"/>
                      <w:color w:val="auto"/>
                      <w:sz w:val="21"/>
                      <w:szCs w:val="21"/>
                      <w:lang w:val="en-US" w:eastAsia="zh-CN"/>
                    </w:rPr>
                    <w:t>烤漆</w:t>
                  </w:r>
                  <w:r>
                    <w:rPr>
                      <w:rFonts w:hint="eastAsia" w:ascii="Times New Roman" w:hAnsi="Times New Roman" w:eastAsia="宋体"/>
                      <w:color w:val="auto"/>
                      <w:sz w:val="21"/>
                      <w:szCs w:val="21"/>
                    </w:rPr>
                    <w:t>过程</w:t>
                  </w:r>
                </w:p>
              </w:tc>
              <w:tc>
                <w:tcPr>
                  <w:tcW w:w="794" w:type="dxa"/>
                  <w:noWrap w:val="0"/>
                  <w:vAlign w:val="center"/>
                </w:tcPr>
                <w:p w14:paraId="1EA7C9BB">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底漆</w:t>
                  </w:r>
                  <w:r>
                    <w:rPr>
                      <w:rFonts w:hint="eastAsia"/>
                      <w:color w:val="auto"/>
                      <w:sz w:val="21"/>
                      <w:szCs w:val="21"/>
                      <w:lang w:val="en-US" w:eastAsia="zh-CN"/>
                    </w:rPr>
                    <w:t>（水性）</w:t>
                  </w:r>
                </w:p>
              </w:tc>
              <w:tc>
                <w:tcPr>
                  <w:tcW w:w="542" w:type="dxa"/>
                  <w:noWrap w:val="0"/>
                  <w:vAlign w:val="center"/>
                </w:tcPr>
                <w:p w14:paraId="0B601DF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w:t>
                  </w:r>
                </w:p>
              </w:tc>
              <w:tc>
                <w:tcPr>
                  <w:tcW w:w="545" w:type="dxa"/>
                  <w:noWrap w:val="0"/>
                  <w:vAlign w:val="center"/>
                </w:tcPr>
                <w:p w14:paraId="3B81F7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sz w:val="21"/>
                      <w:szCs w:val="21"/>
                      <w:lang w:val="en-US" w:eastAsia="zh-CN"/>
                    </w:rPr>
                    <w:t>13</w:t>
                  </w:r>
                </w:p>
              </w:tc>
              <w:tc>
                <w:tcPr>
                  <w:tcW w:w="420" w:type="dxa"/>
                  <w:noWrap w:val="0"/>
                  <w:vAlign w:val="center"/>
                </w:tcPr>
                <w:p w14:paraId="0E9F8A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465" w:type="dxa"/>
                  <w:noWrap w:val="0"/>
                  <w:vAlign w:val="center"/>
                </w:tcPr>
                <w:p w14:paraId="141C53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40" w:type="dxa"/>
                  <w:noWrap w:val="0"/>
                  <w:vAlign w:val="center"/>
                </w:tcPr>
                <w:p w14:paraId="0E8DEB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75" w:type="dxa"/>
                  <w:vMerge w:val="restart"/>
                  <w:noWrap w:val="0"/>
                  <w:vAlign w:val="center"/>
                </w:tcPr>
                <w:p w14:paraId="6A53FCB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900</w:t>
                  </w:r>
                </w:p>
              </w:tc>
              <w:tc>
                <w:tcPr>
                  <w:tcW w:w="705" w:type="dxa"/>
                  <w:noWrap w:val="0"/>
                  <w:vAlign w:val="center"/>
                </w:tcPr>
                <w:p w14:paraId="007A1371">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0.2</w:t>
                  </w:r>
                </w:p>
              </w:tc>
              <w:tc>
                <w:tcPr>
                  <w:tcW w:w="926" w:type="dxa"/>
                  <w:noWrap w:val="0"/>
                  <w:vAlign w:val="center"/>
                </w:tcPr>
                <w:p w14:paraId="19AA93F2">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0.26</w:t>
                  </w:r>
                </w:p>
              </w:tc>
              <w:tc>
                <w:tcPr>
                  <w:tcW w:w="600" w:type="dxa"/>
                  <w:noWrap w:val="0"/>
                  <w:vAlign w:val="center"/>
                </w:tcPr>
                <w:p w14:paraId="579CE78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c>
                <w:tcPr>
                  <w:tcW w:w="645" w:type="dxa"/>
                  <w:noWrap w:val="0"/>
                  <w:vAlign w:val="center"/>
                </w:tcPr>
                <w:p w14:paraId="1342291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761" w:type="dxa"/>
                  <w:noWrap w:val="0"/>
                  <w:vAlign w:val="center"/>
                </w:tcPr>
                <w:p w14:paraId="1FF5672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r>
            <w:tr w14:paraId="7AF29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2" w:type="dxa"/>
                  <w:vMerge w:val="continue"/>
                  <w:noWrap w:val="0"/>
                  <w:vAlign w:val="center"/>
                </w:tcPr>
                <w:p w14:paraId="600B566F">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lang w:val="en-US" w:eastAsia="zh-CN"/>
                    </w:rPr>
                  </w:pPr>
                </w:p>
              </w:tc>
              <w:tc>
                <w:tcPr>
                  <w:tcW w:w="794" w:type="dxa"/>
                  <w:noWrap w:val="0"/>
                  <w:vAlign w:val="center"/>
                </w:tcPr>
                <w:p w14:paraId="6B472B85">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面漆</w:t>
                  </w:r>
                  <w:r>
                    <w:rPr>
                      <w:rFonts w:hint="eastAsia"/>
                      <w:color w:val="auto"/>
                      <w:sz w:val="21"/>
                      <w:szCs w:val="21"/>
                      <w:lang w:val="en-US" w:eastAsia="zh-CN"/>
                    </w:rPr>
                    <w:t>（水性）</w:t>
                  </w:r>
                </w:p>
              </w:tc>
              <w:tc>
                <w:tcPr>
                  <w:tcW w:w="542" w:type="dxa"/>
                  <w:noWrap w:val="0"/>
                  <w:vAlign w:val="center"/>
                </w:tcPr>
                <w:p w14:paraId="09FEE84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545" w:type="dxa"/>
                  <w:noWrap w:val="0"/>
                  <w:vAlign w:val="center"/>
                </w:tcPr>
                <w:p w14:paraId="3F4C4F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sz w:val="21"/>
                      <w:szCs w:val="21"/>
                      <w:lang w:val="en-US" w:eastAsia="zh-CN"/>
                    </w:rPr>
                    <w:t>14.8</w:t>
                  </w:r>
                </w:p>
              </w:tc>
              <w:tc>
                <w:tcPr>
                  <w:tcW w:w="420" w:type="dxa"/>
                  <w:noWrap w:val="0"/>
                  <w:vAlign w:val="center"/>
                </w:tcPr>
                <w:p w14:paraId="3842A2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465" w:type="dxa"/>
                  <w:noWrap w:val="0"/>
                  <w:vAlign w:val="center"/>
                </w:tcPr>
                <w:p w14:paraId="4DC34E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40" w:type="dxa"/>
                  <w:noWrap w:val="0"/>
                  <w:vAlign w:val="center"/>
                </w:tcPr>
                <w:p w14:paraId="6DD04F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75" w:type="dxa"/>
                  <w:vMerge w:val="continue"/>
                  <w:noWrap w:val="0"/>
                  <w:vAlign w:val="center"/>
                </w:tcPr>
                <w:p w14:paraId="51FD87F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705" w:type="dxa"/>
                  <w:noWrap w:val="0"/>
                  <w:vAlign w:val="center"/>
                </w:tcPr>
                <w:p w14:paraId="3351C722">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0.1</w:t>
                  </w:r>
                </w:p>
              </w:tc>
              <w:tc>
                <w:tcPr>
                  <w:tcW w:w="926" w:type="dxa"/>
                  <w:noWrap w:val="0"/>
                  <w:vAlign w:val="center"/>
                </w:tcPr>
                <w:p w14:paraId="71FC307A">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0.148</w:t>
                  </w:r>
                </w:p>
              </w:tc>
              <w:tc>
                <w:tcPr>
                  <w:tcW w:w="600" w:type="dxa"/>
                  <w:noWrap w:val="0"/>
                  <w:vAlign w:val="center"/>
                </w:tcPr>
                <w:p w14:paraId="14783DF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c>
                <w:tcPr>
                  <w:tcW w:w="645" w:type="dxa"/>
                  <w:noWrap w:val="0"/>
                  <w:vAlign w:val="center"/>
                </w:tcPr>
                <w:p w14:paraId="6CAFC1E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761" w:type="dxa"/>
                  <w:noWrap w:val="0"/>
                  <w:vAlign w:val="center"/>
                </w:tcPr>
                <w:p w14:paraId="60B29AA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r>
            <w:tr w14:paraId="7B709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2" w:type="dxa"/>
                  <w:vMerge w:val="continue"/>
                  <w:noWrap w:val="0"/>
                  <w:vAlign w:val="center"/>
                </w:tcPr>
                <w:p w14:paraId="6EF6419C">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lang w:val="en-US" w:eastAsia="zh-CN"/>
                    </w:rPr>
                  </w:pPr>
                </w:p>
              </w:tc>
              <w:tc>
                <w:tcPr>
                  <w:tcW w:w="794" w:type="dxa"/>
                  <w:noWrap w:val="0"/>
                  <w:vAlign w:val="center"/>
                </w:tcPr>
                <w:p w14:paraId="1763E6CF">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清漆（水性）</w:t>
                  </w:r>
                </w:p>
              </w:tc>
              <w:tc>
                <w:tcPr>
                  <w:tcW w:w="542" w:type="dxa"/>
                  <w:noWrap w:val="0"/>
                  <w:vAlign w:val="center"/>
                </w:tcPr>
                <w:p w14:paraId="79A4A94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545" w:type="dxa"/>
                  <w:noWrap w:val="0"/>
                  <w:vAlign w:val="center"/>
                </w:tcPr>
                <w:p w14:paraId="527A1A9F">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15</w:t>
                  </w:r>
                </w:p>
              </w:tc>
              <w:tc>
                <w:tcPr>
                  <w:tcW w:w="420" w:type="dxa"/>
                  <w:noWrap w:val="0"/>
                  <w:vAlign w:val="center"/>
                </w:tcPr>
                <w:p w14:paraId="61FA77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465" w:type="dxa"/>
                  <w:noWrap w:val="0"/>
                  <w:vAlign w:val="center"/>
                </w:tcPr>
                <w:p w14:paraId="276016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640" w:type="dxa"/>
                  <w:noWrap w:val="0"/>
                  <w:vAlign w:val="center"/>
                </w:tcPr>
                <w:p w14:paraId="33707F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675" w:type="dxa"/>
                  <w:vMerge w:val="continue"/>
                  <w:noWrap w:val="0"/>
                  <w:vAlign w:val="center"/>
                </w:tcPr>
                <w:p w14:paraId="1CE9A6D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705" w:type="dxa"/>
                  <w:noWrap w:val="0"/>
                  <w:vAlign w:val="center"/>
                </w:tcPr>
                <w:p w14:paraId="30A834E3">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color w:val="auto"/>
                      <w:sz w:val="21"/>
                      <w:szCs w:val="21"/>
                      <w:lang w:val="en-US" w:eastAsia="zh-CN"/>
                    </w:rPr>
                    <w:t>0.1</w:t>
                  </w:r>
                </w:p>
              </w:tc>
              <w:tc>
                <w:tcPr>
                  <w:tcW w:w="926" w:type="dxa"/>
                  <w:noWrap w:val="0"/>
                  <w:vAlign w:val="center"/>
                </w:tcPr>
                <w:p w14:paraId="2D7B285C">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0.15</w:t>
                  </w:r>
                </w:p>
              </w:tc>
              <w:tc>
                <w:tcPr>
                  <w:tcW w:w="600" w:type="dxa"/>
                  <w:noWrap w:val="0"/>
                  <w:vAlign w:val="center"/>
                </w:tcPr>
                <w:p w14:paraId="1B6B6A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c>
                <w:tcPr>
                  <w:tcW w:w="645" w:type="dxa"/>
                  <w:noWrap w:val="0"/>
                  <w:vAlign w:val="center"/>
                </w:tcPr>
                <w:p w14:paraId="7EDA07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761" w:type="dxa"/>
                  <w:noWrap w:val="0"/>
                  <w:vAlign w:val="center"/>
                </w:tcPr>
                <w:p w14:paraId="49FAE1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p>
              </w:tc>
            </w:tr>
            <w:tr w14:paraId="454DD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2" w:type="dxa"/>
                  <w:vMerge w:val="continue"/>
                  <w:noWrap w:val="0"/>
                  <w:vAlign w:val="center"/>
                </w:tcPr>
                <w:p w14:paraId="0FC144F6">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p>
              </w:tc>
              <w:tc>
                <w:tcPr>
                  <w:tcW w:w="794" w:type="dxa"/>
                  <w:noWrap w:val="0"/>
                  <w:vAlign w:val="center"/>
                </w:tcPr>
                <w:p w14:paraId="410E4244">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val="en-US" w:eastAsia="zh-CN"/>
                    </w:rPr>
                    <w:t>底漆</w:t>
                  </w:r>
                </w:p>
              </w:tc>
              <w:tc>
                <w:tcPr>
                  <w:tcW w:w="542" w:type="dxa"/>
                  <w:noWrap w:val="0"/>
                  <w:vAlign w:val="center"/>
                </w:tcPr>
                <w:p w14:paraId="25F7973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r>
                    <w:rPr>
                      <w:rFonts w:hint="eastAsia" w:cs="Times New Roman"/>
                      <w:color w:val="auto"/>
                      <w:kern w:val="2"/>
                      <w:sz w:val="21"/>
                      <w:szCs w:val="21"/>
                      <w:lang w:val="en-US" w:eastAsia="zh-CN" w:bidi="ar-SA"/>
                    </w:rPr>
                    <w:t>8</w:t>
                  </w:r>
                </w:p>
              </w:tc>
              <w:tc>
                <w:tcPr>
                  <w:tcW w:w="545" w:type="dxa"/>
                  <w:noWrap w:val="0"/>
                  <w:vAlign w:val="center"/>
                </w:tcPr>
                <w:p w14:paraId="7E952F8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36</w:t>
                  </w:r>
                </w:p>
              </w:tc>
              <w:tc>
                <w:tcPr>
                  <w:tcW w:w="420" w:type="dxa"/>
                  <w:noWrap w:val="0"/>
                  <w:vAlign w:val="center"/>
                </w:tcPr>
                <w:p w14:paraId="326197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465" w:type="dxa"/>
                  <w:noWrap w:val="0"/>
                  <w:vAlign w:val="center"/>
                </w:tcPr>
                <w:p w14:paraId="3107CE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640" w:type="dxa"/>
                  <w:noWrap w:val="0"/>
                  <w:vAlign w:val="center"/>
                </w:tcPr>
                <w:p w14:paraId="4767B95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675" w:type="dxa"/>
                  <w:vMerge w:val="continue"/>
                  <w:noWrap w:val="0"/>
                  <w:vAlign w:val="center"/>
                </w:tcPr>
                <w:p w14:paraId="0F48CAC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05" w:type="dxa"/>
                  <w:noWrap w:val="0"/>
                  <w:vAlign w:val="center"/>
                </w:tcPr>
                <w:p w14:paraId="3EFF9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8</w:t>
                  </w:r>
                </w:p>
              </w:tc>
              <w:tc>
                <w:tcPr>
                  <w:tcW w:w="926" w:type="dxa"/>
                  <w:noWrap w:val="0"/>
                  <w:vAlign w:val="center"/>
                </w:tcPr>
                <w:p w14:paraId="527CC9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0.288</w:t>
                  </w:r>
                </w:p>
              </w:tc>
              <w:tc>
                <w:tcPr>
                  <w:tcW w:w="600" w:type="dxa"/>
                  <w:noWrap w:val="0"/>
                  <w:vAlign w:val="center"/>
                </w:tcPr>
                <w:p w14:paraId="25CE5D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45" w:type="dxa"/>
                  <w:noWrap w:val="0"/>
                  <w:vAlign w:val="center"/>
                </w:tcPr>
                <w:p w14:paraId="72E12D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761" w:type="dxa"/>
                  <w:noWrap w:val="0"/>
                  <w:vAlign w:val="center"/>
                </w:tcPr>
                <w:p w14:paraId="78E7DA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0.08</w:t>
                  </w:r>
                </w:p>
              </w:tc>
            </w:tr>
            <w:tr w14:paraId="0EA529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2" w:type="dxa"/>
                  <w:vMerge w:val="continue"/>
                  <w:noWrap w:val="0"/>
                  <w:vAlign w:val="center"/>
                </w:tcPr>
                <w:p w14:paraId="22E47A41">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rPr>
                  </w:pPr>
                </w:p>
              </w:tc>
              <w:tc>
                <w:tcPr>
                  <w:tcW w:w="794" w:type="dxa"/>
                  <w:noWrap w:val="0"/>
                  <w:vAlign w:val="center"/>
                </w:tcPr>
                <w:p w14:paraId="2BD3F8C4">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面漆</w:t>
                  </w:r>
                </w:p>
              </w:tc>
              <w:tc>
                <w:tcPr>
                  <w:tcW w:w="542" w:type="dxa"/>
                  <w:noWrap w:val="0"/>
                  <w:vAlign w:val="center"/>
                </w:tcPr>
                <w:p w14:paraId="5E8A21A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w:t>
                  </w:r>
                  <w:r>
                    <w:rPr>
                      <w:rFonts w:hint="eastAsia" w:cs="Times New Roman"/>
                      <w:color w:val="auto"/>
                      <w:kern w:val="2"/>
                      <w:sz w:val="21"/>
                      <w:szCs w:val="21"/>
                      <w:lang w:val="en-US" w:eastAsia="zh-CN" w:bidi="ar-SA"/>
                    </w:rPr>
                    <w:t>4</w:t>
                  </w:r>
                </w:p>
              </w:tc>
              <w:tc>
                <w:tcPr>
                  <w:tcW w:w="545" w:type="dxa"/>
                  <w:noWrap w:val="0"/>
                  <w:vAlign w:val="center"/>
                </w:tcPr>
                <w:p w14:paraId="3B15C4B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28</w:t>
                  </w:r>
                </w:p>
              </w:tc>
              <w:tc>
                <w:tcPr>
                  <w:tcW w:w="420" w:type="dxa"/>
                  <w:noWrap w:val="0"/>
                  <w:vAlign w:val="center"/>
                </w:tcPr>
                <w:p w14:paraId="4C189D8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465" w:type="dxa"/>
                  <w:noWrap w:val="0"/>
                  <w:vAlign w:val="center"/>
                </w:tcPr>
                <w:p w14:paraId="08032E4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640" w:type="dxa"/>
                  <w:noWrap w:val="0"/>
                  <w:vAlign w:val="center"/>
                </w:tcPr>
                <w:p w14:paraId="1C69ECB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675" w:type="dxa"/>
                  <w:vMerge w:val="continue"/>
                  <w:noWrap w:val="0"/>
                  <w:vAlign w:val="center"/>
                </w:tcPr>
                <w:p w14:paraId="5B3D8C3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05" w:type="dxa"/>
                  <w:noWrap w:val="0"/>
                  <w:vAlign w:val="center"/>
                </w:tcPr>
                <w:p w14:paraId="5AFE46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4</w:t>
                  </w:r>
                </w:p>
              </w:tc>
              <w:tc>
                <w:tcPr>
                  <w:tcW w:w="926" w:type="dxa"/>
                  <w:noWrap w:val="0"/>
                  <w:vAlign w:val="center"/>
                </w:tcPr>
                <w:p w14:paraId="07347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0.112</w:t>
                  </w:r>
                </w:p>
              </w:tc>
              <w:tc>
                <w:tcPr>
                  <w:tcW w:w="600" w:type="dxa"/>
                  <w:noWrap w:val="0"/>
                  <w:vAlign w:val="center"/>
                </w:tcPr>
                <w:p w14:paraId="2A8A1D1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0.008</w:t>
                  </w:r>
                </w:p>
              </w:tc>
              <w:tc>
                <w:tcPr>
                  <w:tcW w:w="645" w:type="dxa"/>
                  <w:noWrap w:val="0"/>
                  <w:vAlign w:val="center"/>
                </w:tcPr>
                <w:p w14:paraId="580DD77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0.016</w:t>
                  </w:r>
                </w:p>
              </w:tc>
              <w:tc>
                <w:tcPr>
                  <w:tcW w:w="761" w:type="dxa"/>
                  <w:noWrap w:val="0"/>
                  <w:vAlign w:val="center"/>
                </w:tcPr>
                <w:p w14:paraId="7994C7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0.032</w:t>
                  </w:r>
                </w:p>
              </w:tc>
            </w:tr>
            <w:tr w14:paraId="416D9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2" w:type="dxa"/>
                  <w:vMerge w:val="continue"/>
                  <w:noWrap w:val="0"/>
                  <w:vAlign w:val="center"/>
                </w:tcPr>
                <w:p w14:paraId="47963A78">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rPr>
                  </w:pPr>
                </w:p>
              </w:tc>
              <w:tc>
                <w:tcPr>
                  <w:tcW w:w="794" w:type="dxa"/>
                  <w:noWrap w:val="0"/>
                  <w:vAlign w:val="center"/>
                </w:tcPr>
                <w:p w14:paraId="6DDB4FBC">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清漆</w:t>
                  </w:r>
                </w:p>
              </w:tc>
              <w:tc>
                <w:tcPr>
                  <w:tcW w:w="542" w:type="dxa"/>
                  <w:noWrap w:val="0"/>
                  <w:vAlign w:val="center"/>
                </w:tcPr>
                <w:p w14:paraId="3349603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w:t>
                  </w:r>
                  <w:r>
                    <w:rPr>
                      <w:rFonts w:hint="eastAsia" w:cs="Times New Roman"/>
                      <w:color w:val="auto"/>
                      <w:kern w:val="2"/>
                      <w:sz w:val="21"/>
                      <w:szCs w:val="21"/>
                      <w:lang w:val="en-US" w:eastAsia="zh-CN" w:bidi="ar-SA"/>
                    </w:rPr>
                    <w:t>4</w:t>
                  </w:r>
                </w:p>
              </w:tc>
              <w:tc>
                <w:tcPr>
                  <w:tcW w:w="545" w:type="dxa"/>
                  <w:noWrap w:val="0"/>
                  <w:vAlign w:val="center"/>
                </w:tcPr>
                <w:p w14:paraId="0B04A70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30</w:t>
                  </w:r>
                </w:p>
              </w:tc>
              <w:tc>
                <w:tcPr>
                  <w:tcW w:w="420" w:type="dxa"/>
                  <w:noWrap w:val="0"/>
                  <w:vAlign w:val="center"/>
                </w:tcPr>
                <w:p w14:paraId="510B51F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465" w:type="dxa"/>
                  <w:noWrap w:val="0"/>
                  <w:vAlign w:val="center"/>
                </w:tcPr>
                <w:p w14:paraId="6F38231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40" w:type="dxa"/>
                  <w:noWrap w:val="0"/>
                  <w:vAlign w:val="center"/>
                </w:tcPr>
                <w:p w14:paraId="74EE002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675" w:type="dxa"/>
                  <w:vMerge w:val="continue"/>
                  <w:noWrap w:val="0"/>
                  <w:vAlign w:val="center"/>
                </w:tcPr>
                <w:p w14:paraId="5EBD66C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05" w:type="dxa"/>
                  <w:noWrap w:val="0"/>
                  <w:vAlign w:val="center"/>
                </w:tcPr>
                <w:p w14:paraId="26D65D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4</w:t>
                  </w:r>
                </w:p>
              </w:tc>
              <w:tc>
                <w:tcPr>
                  <w:tcW w:w="926" w:type="dxa"/>
                  <w:noWrap w:val="0"/>
                  <w:vAlign w:val="center"/>
                </w:tcPr>
                <w:p w14:paraId="050861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0.12</w:t>
                  </w:r>
                </w:p>
              </w:tc>
              <w:tc>
                <w:tcPr>
                  <w:tcW w:w="600" w:type="dxa"/>
                  <w:noWrap w:val="0"/>
                  <w:vAlign w:val="center"/>
                </w:tcPr>
                <w:p w14:paraId="3077D14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45" w:type="dxa"/>
                  <w:noWrap w:val="0"/>
                  <w:vAlign w:val="center"/>
                </w:tcPr>
                <w:p w14:paraId="10BD41A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761" w:type="dxa"/>
                  <w:noWrap w:val="0"/>
                  <w:vAlign w:val="center"/>
                </w:tcPr>
                <w:p w14:paraId="65758D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0.02</w:t>
                  </w:r>
                </w:p>
              </w:tc>
            </w:tr>
            <w:tr w14:paraId="53471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2" w:type="dxa"/>
                  <w:vMerge w:val="continue"/>
                  <w:noWrap w:val="0"/>
                  <w:vAlign w:val="center"/>
                </w:tcPr>
                <w:p w14:paraId="3AA6BA95">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rPr>
                  </w:pPr>
                </w:p>
              </w:tc>
              <w:tc>
                <w:tcPr>
                  <w:tcW w:w="794" w:type="dxa"/>
                  <w:noWrap w:val="0"/>
                  <w:vAlign w:val="center"/>
                </w:tcPr>
                <w:p w14:paraId="0A7F8ABC">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lang w:val="zh-CN"/>
                    </w:rPr>
                    <w:t>稀释剂</w:t>
                  </w:r>
                </w:p>
              </w:tc>
              <w:tc>
                <w:tcPr>
                  <w:tcW w:w="542" w:type="dxa"/>
                  <w:noWrap w:val="0"/>
                  <w:vAlign w:val="center"/>
                </w:tcPr>
                <w:p w14:paraId="332980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8</w:t>
                  </w:r>
                </w:p>
              </w:tc>
              <w:tc>
                <w:tcPr>
                  <w:tcW w:w="545" w:type="dxa"/>
                  <w:noWrap w:val="0"/>
                  <w:vAlign w:val="center"/>
                </w:tcPr>
                <w:p w14:paraId="5F760DC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w:t>
                  </w:r>
                </w:p>
              </w:tc>
              <w:tc>
                <w:tcPr>
                  <w:tcW w:w="420" w:type="dxa"/>
                  <w:noWrap w:val="0"/>
                  <w:vAlign w:val="center"/>
                </w:tcPr>
                <w:p w14:paraId="5861072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465" w:type="dxa"/>
                  <w:noWrap w:val="0"/>
                  <w:vAlign w:val="center"/>
                </w:tcPr>
                <w:p w14:paraId="38EDA29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640" w:type="dxa"/>
                  <w:noWrap w:val="0"/>
                  <w:vAlign w:val="center"/>
                </w:tcPr>
                <w:p w14:paraId="17CD8DF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675" w:type="dxa"/>
                  <w:vMerge w:val="continue"/>
                  <w:noWrap w:val="0"/>
                  <w:vAlign w:val="center"/>
                </w:tcPr>
                <w:p w14:paraId="264586D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05" w:type="dxa"/>
                  <w:noWrap w:val="0"/>
                  <w:vAlign w:val="center"/>
                </w:tcPr>
                <w:p w14:paraId="3AF0505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c>
                <w:tcPr>
                  <w:tcW w:w="926" w:type="dxa"/>
                  <w:noWrap w:val="0"/>
                  <w:vAlign w:val="center"/>
                </w:tcPr>
                <w:p w14:paraId="5A55E4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0.8</w:t>
                  </w:r>
                </w:p>
              </w:tc>
              <w:tc>
                <w:tcPr>
                  <w:tcW w:w="600" w:type="dxa"/>
                  <w:noWrap w:val="0"/>
                  <w:vAlign w:val="center"/>
                </w:tcPr>
                <w:p w14:paraId="12FB6C8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0.032</w:t>
                  </w:r>
                </w:p>
              </w:tc>
              <w:tc>
                <w:tcPr>
                  <w:tcW w:w="645" w:type="dxa"/>
                  <w:noWrap w:val="0"/>
                  <w:vAlign w:val="center"/>
                </w:tcPr>
                <w:p w14:paraId="788CCE8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0.08</w:t>
                  </w:r>
                </w:p>
              </w:tc>
              <w:tc>
                <w:tcPr>
                  <w:tcW w:w="761" w:type="dxa"/>
                  <w:noWrap w:val="0"/>
                  <w:vAlign w:val="center"/>
                </w:tcPr>
                <w:p w14:paraId="63BAC3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0.16</w:t>
                  </w:r>
                </w:p>
              </w:tc>
            </w:tr>
            <w:tr w14:paraId="4B6C9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92" w:type="dxa"/>
                  <w:vMerge w:val="continue"/>
                  <w:noWrap w:val="0"/>
                  <w:vAlign w:val="center"/>
                </w:tcPr>
                <w:p w14:paraId="3809DDB3">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p>
              </w:tc>
              <w:tc>
                <w:tcPr>
                  <w:tcW w:w="794" w:type="dxa"/>
                  <w:noWrap w:val="0"/>
                  <w:vAlign w:val="center"/>
                </w:tcPr>
                <w:p w14:paraId="682D8182">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lang w:val="zh-CN"/>
                    </w:rPr>
                    <w:t>固化剂</w:t>
                  </w:r>
                </w:p>
              </w:tc>
              <w:tc>
                <w:tcPr>
                  <w:tcW w:w="542" w:type="dxa"/>
                  <w:noWrap w:val="0"/>
                  <w:vAlign w:val="center"/>
                </w:tcPr>
                <w:p w14:paraId="29A48C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1</w:t>
                  </w:r>
                </w:p>
              </w:tc>
              <w:tc>
                <w:tcPr>
                  <w:tcW w:w="545" w:type="dxa"/>
                  <w:noWrap w:val="0"/>
                  <w:vAlign w:val="center"/>
                </w:tcPr>
                <w:p w14:paraId="245CB2F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420" w:type="dxa"/>
                  <w:noWrap w:val="0"/>
                  <w:vAlign w:val="center"/>
                </w:tcPr>
                <w:p w14:paraId="3C4ADAC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465" w:type="dxa"/>
                  <w:noWrap w:val="0"/>
                  <w:vAlign w:val="center"/>
                </w:tcPr>
                <w:p w14:paraId="12CA06E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40" w:type="dxa"/>
                  <w:noWrap w:val="0"/>
                  <w:vAlign w:val="center"/>
                </w:tcPr>
                <w:p w14:paraId="0083403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75" w:type="dxa"/>
                  <w:vMerge w:val="continue"/>
                  <w:noWrap w:val="0"/>
                  <w:vAlign w:val="center"/>
                </w:tcPr>
                <w:p w14:paraId="553E0E2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05" w:type="dxa"/>
                  <w:noWrap w:val="0"/>
                  <w:vAlign w:val="center"/>
                </w:tcPr>
                <w:p w14:paraId="708147E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c>
                <w:tcPr>
                  <w:tcW w:w="926" w:type="dxa"/>
                  <w:noWrap w:val="0"/>
                  <w:vAlign w:val="center"/>
                </w:tcPr>
                <w:p w14:paraId="2A38F7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0.01</w:t>
                  </w:r>
                </w:p>
              </w:tc>
              <w:tc>
                <w:tcPr>
                  <w:tcW w:w="600" w:type="dxa"/>
                  <w:noWrap w:val="0"/>
                  <w:vAlign w:val="center"/>
                </w:tcPr>
                <w:p w14:paraId="542E1CA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645" w:type="dxa"/>
                  <w:noWrap w:val="0"/>
                  <w:vAlign w:val="center"/>
                </w:tcPr>
                <w:p w14:paraId="640CC73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61" w:type="dxa"/>
                  <w:noWrap w:val="0"/>
                  <w:vAlign w:val="center"/>
                </w:tcPr>
                <w:p w14:paraId="638BFA6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7EC65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86" w:type="dxa"/>
                  <w:gridSpan w:val="2"/>
                  <w:noWrap w:val="0"/>
                  <w:vAlign w:val="center"/>
                </w:tcPr>
                <w:p w14:paraId="3F2E9081">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总计</w:t>
                  </w:r>
                </w:p>
              </w:tc>
              <w:tc>
                <w:tcPr>
                  <w:tcW w:w="542" w:type="dxa"/>
                  <w:noWrap w:val="0"/>
                  <w:vAlign w:val="center"/>
                </w:tcPr>
                <w:p w14:paraId="62F1131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6.41</w:t>
                  </w:r>
                </w:p>
              </w:tc>
              <w:tc>
                <w:tcPr>
                  <w:tcW w:w="545" w:type="dxa"/>
                  <w:noWrap w:val="0"/>
                  <w:vAlign w:val="center"/>
                </w:tcPr>
                <w:p w14:paraId="46C58A2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20" w:type="dxa"/>
                  <w:noWrap w:val="0"/>
                  <w:vAlign w:val="center"/>
                </w:tcPr>
                <w:p w14:paraId="217E6ED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465" w:type="dxa"/>
                  <w:noWrap w:val="0"/>
                  <w:vAlign w:val="center"/>
                </w:tcPr>
                <w:p w14:paraId="7BBA006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40" w:type="dxa"/>
                  <w:noWrap w:val="0"/>
                  <w:vAlign w:val="center"/>
                </w:tcPr>
                <w:p w14:paraId="5419D9B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75" w:type="dxa"/>
                  <w:noWrap w:val="0"/>
                  <w:vAlign w:val="center"/>
                </w:tcPr>
                <w:p w14:paraId="67FF159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05" w:type="dxa"/>
                  <w:noWrap w:val="0"/>
                  <w:vAlign w:val="center"/>
                </w:tcPr>
                <w:p w14:paraId="335572C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56</w:t>
                  </w:r>
                </w:p>
              </w:tc>
              <w:tc>
                <w:tcPr>
                  <w:tcW w:w="926" w:type="dxa"/>
                  <w:noWrap w:val="0"/>
                  <w:vAlign w:val="center"/>
                </w:tcPr>
                <w:p w14:paraId="261108A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1.888</w:t>
                  </w:r>
                </w:p>
              </w:tc>
              <w:tc>
                <w:tcPr>
                  <w:tcW w:w="600" w:type="dxa"/>
                  <w:noWrap w:val="0"/>
                  <w:vAlign w:val="center"/>
                </w:tcPr>
                <w:p w14:paraId="492D58D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0.04</w:t>
                  </w:r>
                </w:p>
              </w:tc>
              <w:tc>
                <w:tcPr>
                  <w:tcW w:w="645" w:type="dxa"/>
                  <w:noWrap w:val="0"/>
                  <w:vAlign w:val="center"/>
                </w:tcPr>
                <w:p w14:paraId="60D36CD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0.096</w:t>
                  </w:r>
                </w:p>
              </w:tc>
              <w:tc>
                <w:tcPr>
                  <w:tcW w:w="761" w:type="dxa"/>
                  <w:noWrap w:val="0"/>
                  <w:vAlign w:val="center"/>
                </w:tcPr>
                <w:p w14:paraId="5615065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0.292</w:t>
                  </w:r>
                </w:p>
              </w:tc>
            </w:tr>
          </w:tbl>
          <w:p w14:paraId="03333ED7">
            <w:pPr>
              <w:autoSpaceDE w:val="0"/>
              <w:autoSpaceDN w:val="0"/>
              <w:adjustRightInd w:val="0"/>
              <w:spacing w:line="480" w:lineRule="exact"/>
              <w:ind w:right="6"/>
              <w:jc w:val="center"/>
              <w:rPr>
                <w:rFonts w:hint="eastAsia"/>
                <w:b/>
                <w:color w:val="auto"/>
                <w:kern w:val="0"/>
                <w:sz w:val="21"/>
                <w:szCs w:val="21"/>
                <w:highlight w:val="none"/>
              </w:rPr>
            </w:pPr>
            <w:r>
              <w:rPr>
                <w:rFonts w:hint="eastAsia"/>
                <w:b/>
                <w:color w:val="auto"/>
                <w:kern w:val="0"/>
                <w:sz w:val="21"/>
                <w:szCs w:val="21"/>
                <w:highlight w:val="none"/>
              </w:rPr>
              <w:t>表2</w:t>
            </w:r>
            <w:r>
              <w:rPr>
                <w:rFonts w:hint="eastAsia"/>
                <w:b/>
                <w:color w:val="auto"/>
                <w:kern w:val="0"/>
                <w:sz w:val="21"/>
                <w:szCs w:val="21"/>
                <w:highlight w:val="none"/>
                <w:lang w:val="en-US" w:eastAsia="zh-CN"/>
              </w:rPr>
              <w:t>6</w:t>
            </w:r>
            <w:r>
              <w:rPr>
                <w:rFonts w:hint="eastAsia"/>
                <w:b/>
                <w:color w:val="auto"/>
                <w:kern w:val="0"/>
                <w:sz w:val="21"/>
                <w:szCs w:val="21"/>
                <w:highlight w:val="none"/>
              </w:rPr>
              <w:t xml:space="preserve">  </w:t>
            </w:r>
            <w:r>
              <w:rPr>
                <w:rFonts w:hint="eastAsia"/>
                <w:b/>
                <w:color w:val="auto"/>
                <w:kern w:val="0"/>
                <w:sz w:val="21"/>
                <w:szCs w:val="21"/>
                <w:highlight w:val="none"/>
                <w:lang w:val="en-US" w:eastAsia="zh-CN"/>
              </w:rPr>
              <w:t>水性漆、</w:t>
            </w:r>
            <w:r>
              <w:rPr>
                <w:rFonts w:hint="eastAsia"/>
                <w:b/>
                <w:color w:val="auto"/>
                <w:kern w:val="0"/>
                <w:sz w:val="21"/>
                <w:szCs w:val="21"/>
                <w:highlight w:val="none"/>
              </w:rPr>
              <w:t>油漆物料平衡表</w:t>
            </w:r>
          </w:p>
          <w:tbl>
            <w:tblPr>
              <w:tblStyle w:val="20"/>
              <w:tblW w:w="4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817"/>
              <w:gridCol w:w="2023"/>
              <w:gridCol w:w="2010"/>
            </w:tblGrid>
            <w:tr w14:paraId="5748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9" w:type="pct"/>
                  <w:gridSpan w:val="2"/>
                  <w:tcBorders>
                    <w:top w:val="single" w:color="auto" w:sz="12" w:space="0"/>
                    <w:left w:val="single" w:color="auto" w:sz="12" w:space="0"/>
                  </w:tcBorders>
                  <w:shd w:val="clear" w:color="auto" w:fill="auto"/>
                  <w:noWrap w:val="0"/>
                  <w:vAlign w:val="center"/>
                </w:tcPr>
                <w:p w14:paraId="289E156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4"/>
                      <w:sz w:val="21"/>
                      <w:szCs w:val="21"/>
                      <w:highlight w:val="none"/>
                      <w:lang w:eastAsia="zh-CN"/>
                    </w:rPr>
                  </w:pPr>
                  <w:r>
                    <w:rPr>
                      <w:rFonts w:hint="default" w:ascii="Times New Roman" w:hAnsi="Times New Roman" w:eastAsia="宋体" w:cs="Times New Roman"/>
                      <w:color w:val="auto"/>
                      <w:kern w:val="24"/>
                      <w:sz w:val="21"/>
                      <w:szCs w:val="21"/>
                      <w:highlight w:val="none"/>
                    </w:rPr>
                    <w:t>进入</w:t>
                  </w:r>
                </w:p>
              </w:tc>
              <w:tc>
                <w:tcPr>
                  <w:tcW w:w="2630" w:type="pct"/>
                  <w:gridSpan w:val="2"/>
                  <w:tcBorders>
                    <w:top w:val="single" w:color="auto" w:sz="12" w:space="0"/>
                    <w:right w:val="single" w:color="auto" w:sz="12" w:space="0"/>
                  </w:tcBorders>
                  <w:shd w:val="clear" w:color="auto" w:fill="auto"/>
                  <w:noWrap w:val="0"/>
                  <w:vAlign w:val="center"/>
                </w:tcPr>
                <w:p w14:paraId="4BC5198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4"/>
                      <w:sz w:val="21"/>
                      <w:szCs w:val="21"/>
                      <w:highlight w:val="none"/>
                      <w:lang w:eastAsia="zh-CN"/>
                    </w:rPr>
                  </w:pPr>
                  <w:r>
                    <w:rPr>
                      <w:rFonts w:hint="default" w:ascii="Times New Roman" w:hAnsi="Times New Roman" w:eastAsia="宋体" w:cs="Times New Roman"/>
                      <w:color w:val="auto"/>
                      <w:kern w:val="24"/>
                      <w:sz w:val="21"/>
                      <w:szCs w:val="21"/>
                      <w:highlight w:val="none"/>
                    </w:rPr>
                    <w:t>产出或排出</w:t>
                  </w:r>
                </w:p>
              </w:tc>
            </w:tr>
            <w:tr w14:paraId="2E98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14:paraId="5562B51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名称</w:t>
                  </w:r>
                </w:p>
              </w:tc>
              <w:tc>
                <w:tcPr>
                  <w:tcW w:w="1185" w:type="pct"/>
                  <w:shd w:val="clear" w:color="auto" w:fill="auto"/>
                  <w:noWrap w:val="0"/>
                  <w:vAlign w:val="center"/>
                </w:tcPr>
                <w:p w14:paraId="5498833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进入量</w:t>
                  </w:r>
                  <w:r>
                    <w:rPr>
                      <w:rFonts w:hint="eastAsia" w:cs="Times New Roman"/>
                      <w:color w:val="auto"/>
                      <w:kern w:val="24"/>
                      <w:sz w:val="21"/>
                      <w:szCs w:val="21"/>
                      <w:highlight w:val="none"/>
                      <w:lang w:eastAsia="zh-CN"/>
                    </w:rPr>
                    <w:t>（</w:t>
                  </w:r>
                  <w:r>
                    <w:rPr>
                      <w:rFonts w:hint="eastAsia" w:cs="Times New Roman"/>
                      <w:color w:val="auto"/>
                      <w:kern w:val="24"/>
                      <w:sz w:val="21"/>
                      <w:szCs w:val="21"/>
                      <w:highlight w:val="none"/>
                      <w:lang w:val="en-US" w:eastAsia="zh-CN"/>
                    </w:rPr>
                    <w:t>t</w:t>
                  </w:r>
                  <w:r>
                    <w:rPr>
                      <w:rFonts w:hint="eastAsia" w:cs="Times New Roman"/>
                      <w:color w:val="auto"/>
                      <w:kern w:val="24"/>
                      <w:sz w:val="21"/>
                      <w:szCs w:val="21"/>
                      <w:highlight w:val="none"/>
                      <w:lang w:eastAsia="zh-CN"/>
                    </w:rPr>
                    <w:t>）</w:t>
                  </w:r>
                </w:p>
              </w:tc>
              <w:tc>
                <w:tcPr>
                  <w:tcW w:w="1319" w:type="pct"/>
                  <w:shd w:val="clear" w:color="auto" w:fill="auto"/>
                  <w:noWrap w:val="0"/>
                  <w:vAlign w:val="center"/>
                </w:tcPr>
                <w:p w14:paraId="3742C02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名称</w:t>
                  </w:r>
                </w:p>
              </w:tc>
              <w:tc>
                <w:tcPr>
                  <w:tcW w:w="1311" w:type="pct"/>
                  <w:tcBorders>
                    <w:right w:val="single" w:color="auto" w:sz="12" w:space="0"/>
                  </w:tcBorders>
                  <w:shd w:val="clear" w:color="auto" w:fill="auto"/>
                  <w:noWrap w:val="0"/>
                  <w:vAlign w:val="center"/>
                </w:tcPr>
                <w:p w14:paraId="060B361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排出量</w:t>
                  </w:r>
                  <w:r>
                    <w:rPr>
                      <w:rFonts w:hint="eastAsia" w:cs="Times New Roman"/>
                      <w:color w:val="auto"/>
                      <w:kern w:val="24"/>
                      <w:sz w:val="21"/>
                      <w:szCs w:val="21"/>
                      <w:highlight w:val="none"/>
                      <w:lang w:eastAsia="zh-CN"/>
                    </w:rPr>
                    <w:t>（</w:t>
                  </w:r>
                  <w:r>
                    <w:rPr>
                      <w:rFonts w:hint="eastAsia" w:cs="Times New Roman"/>
                      <w:color w:val="auto"/>
                      <w:kern w:val="24"/>
                      <w:sz w:val="21"/>
                      <w:szCs w:val="21"/>
                      <w:highlight w:val="none"/>
                      <w:lang w:val="en-US" w:eastAsia="zh-CN"/>
                    </w:rPr>
                    <w:t>t</w:t>
                  </w:r>
                  <w:r>
                    <w:rPr>
                      <w:rFonts w:hint="eastAsia" w:cs="Times New Roman"/>
                      <w:color w:val="auto"/>
                      <w:kern w:val="24"/>
                      <w:sz w:val="21"/>
                      <w:szCs w:val="21"/>
                      <w:highlight w:val="none"/>
                      <w:lang w:eastAsia="zh-CN"/>
                    </w:rPr>
                    <w:t>）</w:t>
                  </w:r>
                </w:p>
              </w:tc>
            </w:tr>
            <w:tr w14:paraId="1B04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14:paraId="56438172">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底漆</w:t>
                  </w:r>
                  <w:r>
                    <w:rPr>
                      <w:rFonts w:hint="eastAsia"/>
                      <w:color w:val="auto"/>
                      <w:sz w:val="21"/>
                      <w:szCs w:val="21"/>
                      <w:highlight w:val="none"/>
                      <w:lang w:val="en-US" w:eastAsia="zh-CN"/>
                    </w:rPr>
                    <w:t>（水性）</w:t>
                  </w:r>
                </w:p>
              </w:tc>
              <w:tc>
                <w:tcPr>
                  <w:tcW w:w="1185" w:type="pct"/>
                  <w:shd w:val="clear" w:color="auto" w:fill="auto"/>
                  <w:noWrap w:val="0"/>
                  <w:vAlign w:val="center"/>
                </w:tcPr>
                <w:p w14:paraId="4AA8C7E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2</w:t>
                  </w:r>
                </w:p>
              </w:tc>
              <w:tc>
                <w:tcPr>
                  <w:tcW w:w="1319" w:type="pct"/>
                  <w:shd w:val="clear" w:color="auto" w:fill="auto"/>
                  <w:noWrap w:val="0"/>
                  <w:vAlign w:val="center"/>
                </w:tcPr>
                <w:p w14:paraId="7A03353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工件表面漆膜</w:t>
                  </w:r>
                </w:p>
              </w:tc>
              <w:tc>
                <w:tcPr>
                  <w:tcW w:w="1311" w:type="pct"/>
                  <w:tcBorders>
                    <w:right w:val="single" w:color="auto" w:sz="12" w:space="0"/>
                  </w:tcBorders>
                  <w:shd w:val="clear" w:color="auto" w:fill="auto"/>
                  <w:noWrap w:val="0"/>
                  <w:vAlign w:val="center"/>
                </w:tcPr>
                <w:p w14:paraId="1FC3BC1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2.894</w:t>
                  </w:r>
                </w:p>
              </w:tc>
            </w:tr>
            <w:tr w14:paraId="560E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14:paraId="268E9DC2">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面漆</w:t>
                  </w:r>
                  <w:r>
                    <w:rPr>
                      <w:rFonts w:hint="eastAsia"/>
                      <w:color w:val="auto"/>
                      <w:sz w:val="21"/>
                      <w:szCs w:val="21"/>
                      <w:highlight w:val="none"/>
                      <w:lang w:val="en-US" w:eastAsia="zh-CN"/>
                    </w:rPr>
                    <w:t>（水性）</w:t>
                  </w:r>
                </w:p>
              </w:tc>
              <w:tc>
                <w:tcPr>
                  <w:tcW w:w="1185" w:type="pct"/>
                  <w:shd w:val="clear" w:color="auto" w:fill="auto"/>
                  <w:noWrap w:val="0"/>
                  <w:vAlign w:val="center"/>
                </w:tcPr>
                <w:p w14:paraId="7B5AC1F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1319" w:type="pct"/>
                  <w:shd w:val="clear" w:color="auto" w:fill="auto"/>
                  <w:noWrap w:val="0"/>
                  <w:vAlign w:val="center"/>
                </w:tcPr>
                <w:p w14:paraId="38D8C2C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漆渣</w:t>
                  </w:r>
                </w:p>
              </w:tc>
              <w:tc>
                <w:tcPr>
                  <w:tcW w:w="1311" w:type="pct"/>
                  <w:tcBorders>
                    <w:right w:val="single" w:color="auto" w:sz="12" w:space="0"/>
                  </w:tcBorders>
                  <w:shd w:val="clear" w:color="auto" w:fill="auto"/>
                  <w:noWrap w:val="0"/>
                  <w:vAlign w:val="center"/>
                </w:tcPr>
                <w:p w14:paraId="684688E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0.64</w:t>
                  </w:r>
                </w:p>
              </w:tc>
            </w:tr>
            <w:tr w14:paraId="0862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14:paraId="1E5F8CD8">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清漆（水性）</w:t>
                  </w:r>
                </w:p>
              </w:tc>
              <w:tc>
                <w:tcPr>
                  <w:tcW w:w="1185" w:type="pct"/>
                  <w:shd w:val="clear" w:color="auto" w:fill="auto"/>
                  <w:noWrap w:val="0"/>
                  <w:vAlign w:val="center"/>
                </w:tcPr>
                <w:p w14:paraId="4B033AB5">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1319" w:type="pct"/>
                  <w:shd w:val="clear" w:color="auto" w:fill="auto"/>
                  <w:noWrap w:val="0"/>
                  <w:vAlign w:val="center"/>
                </w:tcPr>
                <w:p w14:paraId="1AB5820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漆雾</w:t>
                  </w:r>
                </w:p>
              </w:tc>
              <w:tc>
                <w:tcPr>
                  <w:tcW w:w="1311" w:type="pct"/>
                  <w:tcBorders>
                    <w:right w:val="single" w:color="auto" w:sz="12" w:space="0"/>
                  </w:tcBorders>
                  <w:shd w:val="clear" w:color="auto" w:fill="auto"/>
                  <w:noWrap w:val="0"/>
                  <w:vAlign w:val="center"/>
                </w:tcPr>
                <w:p w14:paraId="514736C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0.56</w:t>
                  </w:r>
                </w:p>
              </w:tc>
            </w:tr>
            <w:tr w14:paraId="2E61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14:paraId="46866282">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底漆</w:t>
                  </w:r>
                </w:p>
              </w:tc>
              <w:tc>
                <w:tcPr>
                  <w:tcW w:w="1185" w:type="pct"/>
                  <w:shd w:val="clear" w:color="auto" w:fill="auto"/>
                  <w:noWrap w:val="0"/>
                  <w:vAlign w:val="center"/>
                </w:tcPr>
                <w:p w14:paraId="711B029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r>
                    <w:rPr>
                      <w:rFonts w:hint="eastAsia" w:cs="Times New Roman"/>
                      <w:color w:val="auto"/>
                      <w:kern w:val="2"/>
                      <w:sz w:val="21"/>
                      <w:szCs w:val="21"/>
                      <w:lang w:val="en-US" w:eastAsia="zh-CN" w:bidi="ar-SA"/>
                    </w:rPr>
                    <w:t>8</w:t>
                  </w:r>
                </w:p>
              </w:tc>
              <w:tc>
                <w:tcPr>
                  <w:tcW w:w="1319" w:type="pct"/>
                  <w:shd w:val="clear" w:color="auto" w:fill="auto"/>
                  <w:noWrap w:val="0"/>
                  <w:vAlign w:val="center"/>
                </w:tcPr>
                <w:p w14:paraId="4104735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非甲烷总烃</w:t>
                  </w:r>
                </w:p>
              </w:tc>
              <w:tc>
                <w:tcPr>
                  <w:tcW w:w="1311" w:type="pct"/>
                  <w:tcBorders>
                    <w:right w:val="single" w:color="auto" w:sz="12" w:space="0"/>
                  </w:tcBorders>
                  <w:shd w:val="clear" w:color="auto" w:fill="auto"/>
                  <w:noWrap w:val="0"/>
                  <w:vAlign w:val="center"/>
                </w:tcPr>
                <w:p w14:paraId="23E2C38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1.888</w:t>
                  </w:r>
                </w:p>
              </w:tc>
            </w:tr>
            <w:tr w14:paraId="4B64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14:paraId="374E0E0C">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en-US" w:eastAsia="zh-CN"/>
                    </w:rPr>
                    <w:t>面漆</w:t>
                  </w:r>
                </w:p>
              </w:tc>
              <w:tc>
                <w:tcPr>
                  <w:tcW w:w="1185" w:type="pct"/>
                  <w:shd w:val="clear" w:color="auto" w:fill="auto"/>
                  <w:noWrap w:val="0"/>
                  <w:vAlign w:val="center"/>
                </w:tcPr>
                <w:p w14:paraId="755A382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w:t>
                  </w:r>
                  <w:r>
                    <w:rPr>
                      <w:rFonts w:hint="eastAsia" w:cs="Times New Roman"/>
                      <w:color w:val="auto"/>
                      <w:kern w:val="2"/>
                      <w:sz w:val="21"/>
                      <w:szCs w:val="21"/>
                      <w:lang w:val="en-US" w:eastAsia="zh-CN" w:bidi="ar-SA"/>
                    </w:rPr>
                    <w:t>4</w:t>
                  </w:r>
                </w:p>
              </w:tc>
              <w:tc>
                <w:tcPr>
                  <w:tcW w:w="1319" w:type="pct"/>
                  <w:shd w:val="clear" w:color="auto" w:fill="auto"/>
                  <w:noWrap w:val="0"/>
                  <w:vAlign w:val="center"/>
                </w:tcPr>
                <w:p w14:paraId="0C615A2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苯</w:t>
                  </w:r>
                </w:p>
              </w:tc>
              <w:tc>
                <w:tcPr>
                  <w:tcW w:w="1311" w:type="pct"/>
                  <w:tcBorders>
                    <w:right w:val="single" w:color="auto" w:sz="12" w:space="0"/>
                  </w:tcBorders>
                  <w:shd w:val="clear" w:color="auto" w:fill="auto"/>
                  <w:noWrap w:val="0"/>
                  <w:vAlign w:val="center"/>
                </w:tcPr>
                <w:p w14:paraId="57F53D6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0.04</w:t>
                  </w:r>
                </w:p>
              </w:tc>
            </w:tr>
            <w:tr w14:paraId="2982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14:paraId="5DD3FB01">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清漆</w:t>
                  </w:r>
                </w:p>
              </w:tc>
              <w:tc>
                <w:tcPr>
                  <w:tcW w:w="1185" w:type="pct"/>
                  <w:shd w:val="clear" w:color="auto" w:fill="auto"/>
                  <w:noWrap w:val="0"/>
                  <w:vAlign w:val="center"/>
                </w:tcPr>
                <w:p w14:paraId="5F2689C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w:t>
                  </w:r>
                  <w:r>
                    <w:rPr>
                      <w:rFonts w:hint="eastAsia" w:cs="Times New Roman"/>
                      <w:color w:val="auto"/>
                      <w:kern w:val="2"/>
                      <w:sz w:val="21"/>
                      <w:szCs w:val="21"/>
                      <w:lang w:val="en-US" w:eastAsia="zh-CN" w:bidi="ar-SA"/>
                    </w:rPr>
                    <w:t>4</w:t>
                  </w:r>
                </w:p>
              </w:tc>
              <w:tc>
                <w:tcPr>
                  <w:tcW w:w="1319" w:type="pct"/>
                  <w:shd w:val="clear" w:color="auto" w:fill="auto"/>
                  <w:noWrap w:val="0"/>
                  <w:vAlign w:val="center"/>
                </w:tcPr>
                <w:p w14:paraId="707061D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甲苯</w:t>
                  </w:r>
                </w:p>
              </w:tc>
              <w:tc>
                <w:tcPr>
                  <w:tcW w:w="1311" w:type="pct"/>
                  <w:tcBorders>
                    <w:right w:val="single" w:color="auto" w:sz="12" w:space="0"/>
                  </w:tcBorders>
                  <w:shd w:val="clear" w:color="auto" w:fill="auto"/>
                  <w:noWrap w:val="0"/>
                  <w:vAlign w:val="center"/>
                </w:tcPr>
                <w:p w14:paraId="5266930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0.096</w:t>
                  </w:r>
                </w:p>
              </w:tc>
            </w:tr>
            <w:tr w14:paraId="07BF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14:paraId="3AD4D68B">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zh-CN"/>
                    </w:rPr>
                    <w:t>稀释剂</w:t>
                  </w:r>
                </w:p>
              </w:tc>
              <w:tc>
                <w:tcPr>
                  <w:tcW w:w="1185" w:type="pct"/>
                  <w:shd w:val="clear" w:color="auto" w:fill="auto"/>
                  <w:noWrap w:val="0"/>
                  <w:vAlign w:val="center"/>
                </w:tcPr>
                <w:p w14:paraId="33663D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8</w:t>
                  </w:r>
                </w:p>
              </w:tc>
              <w:tc>
                <w:tcPr>
                  <w:tcW w:w="1319" w:type="pct"/>
                  <w:shd w:val="clear" w:color="auto" w:fill="auto"/>
                  <w:noWrap w:val="0"/>
                  <w:vAlign w:val="center"/>
                </w:tcPr>
                <w:p w14:paraId="2385198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二甲苯</w:t>
                  </w:r>
                </w:p>
              </w:tc>
              <w:tc>
                <w:tcPr>
                  <w:tcW w:w="1311" w:type="pct"/>
                  <w:tcBorders>
                    <w:right w:val="single" w:color="auto" w:sz="12" w:space="0"/>
                  </w:tcBorders>
                  <w:shd w:val="clear" w:color="auto" w:fill="auto"/>
                  <w:noWrap w:val="0"/>
                  <w:vAlign w:val="center"/>
                </w:tcPr>
                <w:p w14:paraId="1C846F1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0.292</w:t>
                  </w:r>
                </w:p>
              </w:tc>
            </w:tr>
            <w:tr w14:paraId="6842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14:paraId="76DB44A5">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olor w:val="auto"/>
                      <w:sz w:val="21"/>
                      <w:szCs w:val="21"/>
                      <w:highlight w:val="none"/>
                      <w:lang w:val="zh-CN"/>
                    </w:rPr>
                    <w:t>固化剂</w:t>
                  </w:r>
                </w:p>
              </w:tc>
              <w:tc>
                <w:tcPr>
                  <w:tcW w:w="1185" w:type="pct"/>
                  <w:shd w:val="clear" w:color="auto" w:fill="auto"/>
                  <w:noWrap w:val="0"/>
                  <w:vAlign w:val="center"/>
                </w:tcPr>
                <w:p w14:paraId="73FDF8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1</w:t>
                  </w:r>
                </w:p>
              </w:tc>
              <w:tc>
                <w:tcPr>
                  <w:tcW w:w="1319" w:type="pct"/>
                  <w:shd w:val="clear" w:color="auto" w:fill="auto"/>
                  <w:noWrap w:val="0"/>
                  <w:vAlign w:val="center"/>
                </w:tcPr>
                <w:p w14:paraId="018CBF7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4"/>
                      <w:sz w:val="21"/>
                      <w:szCs w:val="21"/>
                      <w:highlight w:val="none"/>
                      <w:lang w:val="en-US" w:eastAsia="zh-CN"/>
                    </w:rPr>
                  </w:pPr>
                  <w:r>
                    <w:rPr>
                      <w:rFonts w:hint="eastAsia" w:ascii="Times New Roman" w:hAnsi="Times New Roman" w:eastAsia="宋体" w:cs="Times New Roman"/>
                      <w:color w:val="auto"/>
                      <w:kern w:val="24"/>
                      <w:sz w:val="21"/>
                      <w:szCs w:val="21"/>
                      <w:highlight w:val="none"/>
                      <w:lang w:val="en-US" w:eastAsia="zh-CN"/>
                    </w:rPr>
                    <w:t>-</w:t>
                  </w:r>
                </w:p>
              </w:tc>
              <w:tc>
                <w:tcPr>
                  <w:tcW w:w="1311" w:type="pct"/>
                  <w:tcBorders>
                    <w:right w:val="single" w:color="auto" w:sz="12" w:space="0"/>
                  </w:tcBorders>
                  <w:shd w:val="clear" w:color="auto" w:fill="auto"/>
                  <w:noWrap w:val="0"/>
                  <w:vAlign w:val="center"/>
                </w:tcPr>
                <w:p w14:paraId="66385E7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w:t>
                  </w:r>
                </w:p>
              </w:tc>
            </w:tr>
            <w:tr w14:paraId="4214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bottom w:val="single" w:color="auto" w:sz="12" w:space="0"/>
                  </w:tcBorders>
                  <w:shd w:val="clear" w:color="auto" w:fill="auto"/>
                  <w:noWrap w:val="0"/>
                  <w:vAlign w:val="center"/>
                </w:tcPr>
                <w:p w14:paraId="01416DA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合计</w:t>
                  </w:r>
                </w:p>
              </w:tc>
              <w:tc>
                <w:tcPr>
                  <w:tcW w:w="1185" w:type="pct"/>
                  <w:tcBorders>
                    <w:bottom w:val="single" w:color="auto" w:sz="12" w:space="0"/>
                  </w:tcBorders>
                  <w:shd w:val="clear" w:color="auto" w:fill="auto"/>
                  <w:noWrap w:val="0"/>
                  <w:vAlign w:val="center"/>
                </w:tcPr>
                <w:p w14:paraId="5D7A4E7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6.41</w:t>
                  </w:r>
                </w:p>
              </w:tc>
              <w:tc>
                <w:tcPr>
                  <w:tcW w:w="1319" w:type="pct"/>
                  <w:tcBorders>
                    <w:bottom w:val="single" w:color="auto" w:sz="12" w:space="0"/>
                  </w:tcBorders>
                  <w:shd w:val="clear" w:color="auto" w:fill="auto"/>
                  <w:noWrap w:val="0"/>
                  <w:vAlign w:val="center"/>
                </w:tcPr>
                <w:p w14:paraId="6D78E64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4"/>
                      <w:sz w:val="21"/>
                      <w:szCs w:val="21"/>
                      <w:highlight w:val="none"/>
                      <w:lang w:val="en-US" w:eastAsia="zh-CN"/>
                    </w:rPr>
                  </w:pPr>
                  <w:r>
                    <w:rPr>
                      <w:rFonts w:hint="eastAsia" w:ascii="Times New Roman" w:hAnsi="Times New Roman" w:eastAsia="宋体" w:cs="Times New Roman"/>
                      <w:color w:val="auto"/>
                      <w:kern w:val="24"/>
                      <w:sz w:val="21"/>
                      <w:szCs w:val="21"/>
                      <w:highlight w:val="none"/>
                      <w:lang w:val="en-US" w:eastAsia="zh-CN"/>
                    </w:rPr>
                    <w:t>-</w:t>
                  </w:r>
                </w:p>
              </w:tc>
              <w:tc>
                <w:tcPr>
                  <w:tcW w:w="1311" w:type="pct"/>
                  <w:tcBorders>
                    <w:bottom w:val="single" w:color="auto" w:sz="12" w:space="0"/>
                    <w:right w:val="single" w:color="auto" w:sz="12" w:space="0"/>
                  </w:tcBorders>
                  <w:shd w:val="clear" w:color="auto" w:fill="auto"/>
                  <w:noWrap w:val="0"/>
                  <w:vAlign w:val="center"/>
                </w:tcPr>
                <w:p w14:paraId="7111F8E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6.41</w:t>
                  </w:r>
                </w:p>
              </w:tc>
            </w:tr>
          </w:tbl>
          <w:p w14:paraId="0FE1E66E">
            <w:pPr>
              <w:bidi w:val="0"/>
              <w:rPr>
                <w:rFonts w:hint="eastAsia"/>
                <w:color w:val="auto"/>
                <w:lang w:val="en-US" w:eastAsia="zh-CN"/>
              </w:rPr>
            </w:pPr>
            <w:r>
              <w:rPr>
                <w:rFonts w:hint="eastAsia" w:cs="Times New Roman"/>
                <w:color w:val="auto"/>
                <w:sz w:val="24"/>
                <w:szCs w:val="24"/>
                <w:highlight w:val="none"/>
                <w:lang w:val="en-US" w:eastAsia="zh-CN"/>
              </w:rPr>
              <w:t>塑粉固化过程挥发性有机物的产生量</w:t>
            </w:r>
            <w:r>
              <w:rPr>
                <w:rFonts w:hint="eastAsia"/>
                <w:color w:val="auto"/>
                <w:sz w:val="24"/>
                <w:szCs w:val="24"/>
                <w:highlight w:val="none"/>
              </w:rPr>
              <w:t>参照</w:t>
            </w:r>
            <w:r>
              <w:rPr>
                <w:rFonts w:hint="eastAsia"/>
                <w:color w:val="auto"/>
                <w:sz w:val="24"/>
                <w:szCs w:val="24"/>
                <w:highlight w:val="none"/>
                <w:lang w:eastAsia="zh-CN"/>
              </w:rPr>
              <w:t>《排放源统计调查产排污核算方法和系数手册》</w:t>
            </w:r>
            <w:r>
              <w:rPr>
                <w:rFonts w:hint="eastAsia"/>
                <w:color w:val="auto"/>
                <w:sz w:val="24"/>
                <w:szCs w:val="24"/>
                <w:highlight w:val="none"/>
                <w:lang w:val="en-US" w:eastAsia="zh-CN"/>
              </w:rPr>
              <w:t>“34通用设备制造业—14涂装核算环节-粉末涂料-喷塑后烘干”中</w:t>
            </w:r>
            <w:r>
              <w:rPr>
                <w:rFonts w:hint="eastAsia" w:cs="Times New Roman"/>
                <w:color w:val="auto"/>
                <w:sz w:val="24"/>
                <w:szCs w:val="24"/>
                <w:highlight w:val="none"/>
                <w:lang w:val="en-US" w:eastAsia="zh-CN"/>
              </w:rPr>
              <w:t>挥发性有机物</w:t>
            </w:r>
            <w:r>
              <w:rPr>
                <w:rFonts w:hint="eastAsia"/>
                <w:color w:val="auto"/>
                <w:sz w:val="24"/>
                <w:szCs w:val="24"/>
                <w:highlight w:val="none"/>
                <w:lang w:val="en-US" w:eastAsia="zh-CN"/>
              </w:rPr>
              <w:t>1.20千克/吨—原料，项目塑粉用量5t/a，则</w:t>
            </w:r>
            <w:r>
              <w:rPr>
                <w:rFonts w:hint="eastAsia" w:cs="Times New Roman"/>
                <w:color w:val="auto"/>
                <w:sz w:val="24"/>
                <w:szCs w:val="24"/>
                <w:highlight w:val="none"/>
                <w:lang w:val="en-US" w:eastAsia="zh-CN"/>
              </w:rPr>
              <w:t>塑粉固化过程挥发性有机物的产生量</w:t>
            </w:r>
            <w:r>
              <w:rPr>
                <w:rFonts w:hint="eastAsia"/>
                <w:color w:val="auto"/>
                <w:sz w:val="24"/>
                <w:szCs w:val="24"/>
                <w:highlight w:val="none"/>
                <w:lang w:val="en-US" w:eastAsia="zh-CN"/>
              </w:rPr>
              <w:t>为0.006t/a</w:t>
            </w:r>
            <w:r>
              <w:rPr>
                <w:rFonts w:hint="eastAsia" w:ascii="Times New Roman" w:hAnsi="Times New Roman" w:cs="Times New Roman"/>
                <w:color w:val="auto"/>
                <w:spacing w:val="0"/>
                <w:sz w:val="24"/>
                <w:lang w:val="en-US" w:eastAsia="zh-CN"/>
              </w:rPr>
              <w:t>，挥发性有机物以非甲烷总烃计</w:t>
            </w:r>
            <w:r>
              <w:rPr>
                <w:rFonts w:hint="eastAsia" w:ascii="Times New Roman" w:hAnsi="Times New Roman" w:eastAsia="宋体" w:cs="Times New Roman"/>
                <w:color w:val="auto"/>
                <w:sz w:val="24"/>
                <w:szCs w:val="24"/>
                <w:highlight w:val="none"/>
                <w:lang w:val="en-US" w:eastAsia="zh-CN"/>
              </w:rPr>
              <w:t>。</w:t>
            </w:r>
          </w:p>
          <w:p w14:paraId="4A7E8F0F">
            <w:pPr>
              <w:bidi w:val="0"/>
              <w:rPr>
                <w:rFonts w:hint="eastAsia"/>
                <w:color w:val="auto"/>
                <w:lang w:val="en-US" w:eastAsia="zh-CN"/>
              </w:rPr>
            </w:pPr>
            <w:r>
              <w:rPr>
                <w:rFonts w:hint="eastAsia"/>
                <w:color w:val="auto"/>
                <w:lang w:val="en-US" w:eastAsia="zh-CN"/>
              </w:rPr>
              <w:t>综上，本项目调漆、喷漆、烤漆、</w:t>
            </w:r>
            <w:r>
              <w:rPr>
                <w:rFonts w:hint="eastAsia" w:cs="Times New Roman"/>
                <w:color w:val="auto"/>
                <w:sz w:val="24"/>
                <w:szCs w:val="24"/>
                <w:highlight w:val="none"/>
                <w:lang w:val="en-US" w:eastAsia="zh-CN"/>
              </w:rPr>
              <w:t>塑粉固化</w:t>
            </w:r>
            <w:r>
              <w:rPr>
                <w:rFonts w:hint="eastAsia"/>
                <w:color w:val="auto"/>
                <w:lang w:val="en-US" w:eastAsia="zh-CN"/>
              </w:rPr>
              <w:t>过程颗粒物产生量为0.56t/a，非甲烷总烃产生量为1.894t/a，苯产生量为0.04t/a，甲苯与二甲苯合计产生量为0.388t/a。</w:t>
            </w:r>
          </w:p>
          <w:p w14:paraId="5C2EF2B7">
            <w:pPr>
              <w:bidi w:val="0"/>
              <w:rPr>
                <w:rFonts w:hint="default"/>
                <w:color w:val="auto"/>
                <w:lang w:val="en-US" w:eastAsia="zh-CN"/>
              </w:rPr>
            </w:pPr>
            <w:r>
              <w:rPr>
                <w:rFonts w:hint="eastAsia"/>
                <w:color w:val="auto"/>
                <w:lang w:val="en-US" w:eastAsia="zh-CN"/>
              </w:rPr>
              <w:t>本项目调漆、喷漆、烤漆、</w:t>
            </w:r>
            <w:r>
              <w:rPr>
                <w:rFonts w:hint="eastAsia" w:cs="Times New Roman"/>
                <w:color w:val="auto"/>
                <w:sz w:val="24"/>
                <w:szCs w:val="24"/>
                <w:highlight w:val="none"/>
                <w:lang w:val="en-US" w:eastAsia="zh-CN"/>
              </w:rPr>
              <w:t>塑粉固化</w:t>
            </w:r>
            <w:r>
              <w:rPr>
                <w:rFonts w:hint="eastAsia"/>
                <w:color w:val="auto"/>
                <w:lang w:val="en-US" w:eastAsia="zh-CN"/>
              </w:rPr>
              <w:t>过程产生的废气采用一套</w:t>
            </w:r>
            <w:r>
              <w:rPr>
                <w:rFonts w:hint="eastAsia" w:cs="Times New Roman"/>
                <w:b w:val="0"/>
                <w:bCs/>
                <w:color w:val="auto"/>
                <w:sz w:val="24"/>
                <w:szCs w:val="24"/>
                <w:highlight w:val="none"/>
                <w:lang w:val="en-US" w:eastAsia="zh-CN"/>
              </w:rPr>
              <w:t>过滤棉+活性炭吸附/脱附+催化燃烧装置</w:t>
            </w:r>
            <w:r>
              <w:rPr>
                <w:rFonts w:hint="eastAsia" w:ascii="Times New Roman" w:hAnsi="Times New Roman" w:eastAsia="宋体" w:cs="Times New Roman"/>
                <w:b w:val="0"/>
                <w:bCs/>
                <w:color w:val="auto"/>
                <w:sz w:val="24"/>
                <w:szCs w:val="24"/>
                <w:highlight w:val="none"/>
                <w:lang w:val="en-US" w:eastAsia="zh-CN"/>
              </w:rPr>
              <w:t>进行处理，项目产生的有机废气利用活性炭的多孔性进行吸附，当吸附废气的活性炭接近饱和后，通过燃烧机产生的热风进行脱附再生，脱附后的有机废气经催化燃烧床燃烧后，通过排气筒排放，本项目采用离线脱附工艺</w:t>
            </w:r>
            <w:r>
              <w:rPr>
                <w:rFonts w:hint="eastAsia" w:cs="Times New Roman"/>
                <w:b w:val="0"/>
                <w:bCs/>
                <w:color w:val="auto"/>
                <w:sz w:val="24"/>
                <w:szCs w:val="24"/>
                <w:highlight w:val="none"/>
                <w:lang w:val="en-US" w:eastAsia="zh-CN"/>
              </w:rPr>
              <w:t>。</w:t>
            </w:r>
            <w:r>
              <w:rPr>
                <w:rFonts w:hint="eastAsia" w:ascii="Times New Roman" w:hAnsi="Times New Roman" w:eastAsia="宋体" w:cs="Times New Roman"/>
                <w:snapToGrid w:val="0"/>
                <w:color w:val="auto"/>
                <w:kern w:val="0"/>
                <w:sz w:val="24"/>
                <w:lang w:val="en-US" w:eastAsia="zh-CN"/>
              </w:rPr>
              <w:t>处理过程主要分为</w:t>
            </w:r>
            <w:r>
              <w:rPr>
                <w:rFonts w:hint="eastAsia" w:cs="Times New Roman"/>
                <w:snapToGrid w:val="0"/>
                <w:color w:val="auto"/>
                <w:kern w:val="0"/>
                <w:sz w:val="24"/>
                <w:lang w:val="en-US" w:eastAsia="zh-CN"/>
              </w:rPr>
              <w:t>2</w:t>
            </w:r>
            <w:r>
              <w:rPr>
                <w:rFonts w:hint="eastAsia" w:ascii="Times New Roman" w:hAnsi="Times New Roman" w:eastAsia="宋体" w:cs="Times New Roman"/>
                <w:snapToGrid w:val="0"/>
                <w:color w:val="auto"/>
                <w:kern w:val="0"/>
                <w:sz w:val="24"/>
                <w:lang w:val="en-US" w:eastAsia="zh-CN"/>
              </w:rPr>
              <w:t>种工况，分别为过滤棉箱过滤+活性炭吸附工况、活性炭</w:t>
            </w:r>
            <w:r>
              <w:rPr>
                <w:rFonts w:hint="eastAsia" w:ascii="Times New Roman" w:hAnsi="Times New Roman" w:cs="Times New Roman"/>
                <w:snapToGrid w:val="0"/>
                <w:color w:val="auto"/>
                <w:kern w:val="0"/>
                <w:sz w:val="24"/>
                <w:lang w:val="en-US" w:eastAsia="zh-CN"/>
              </w:rPr>
              <w:t>脱附</w:t>
            </w:r>
            <w:r>
              <w:rPr>
                <w:rFonts w:hint="eastAsia" w:ascii="Times New Roman" w:hAnsi="Times New Roman" w:eastAsia="宋体" w:cs="Times New Roman"/>
                <w:snapToGrid w:val="0"/>
                <w:color w:val="auto"/>
                <w:kern w:val="0"/>
                <w:sz w:val="24"/>
                <w:lang w:val="en-US" w:eastAsia="zh-CN"/>
              </w:rPr>
              <w:t>+催化燃烧工况。</w:t>
            </w:r>
          </w:p>
          <w:p w14:paraId="3D80C018">
            <w:pPr>
              <w:bidi w:val="0"/>
              <w:rPr>
                <w:rFonts w:hint="eastAsia"/>
                <w:color w:val="auto"/>
                <w:lang w:val="en-US" w:eastAsia="zh-CN"/>
              </w:rPr>
            </w:pPr>
            <w:r>
              <w:rPr>
                <w:rFonts w:hint="eastAsia" w:ascii="Times New Roman" w:hAnsi="Times New Roman" w:eastAsia="宋体" w:cs="Times New Roman"/>
                <w:snapToGrid w:val="0"/>
                <w:color w:val="auto"/>
                <w:kern w:val="0"/>
                <w:sz w:val="24"/>
                <w:lang w:val="en-US" w:eastAsia="zh-CN"/>
              </w:rPr>
              <w:fldChar w:fldCharType="begin"/>
            </w:r>
            <w:r>
              <w:rPr>
                <w:rFonts w:hint="eastAsia" w:ascii="Times New Roman" w:hAnsi="Times New Roman" w:eastAsia="宋体" w:cs="Times New Roman"/>
                <w:snapToGrid w:val="0"/>
                <w:color w:val="auto"/>
                <w:kern w:val="0"/>
                <w:sz w:val="24"/>
                <w:lang w:val="en-US" w:eastAsia="zh-CN"/>
              </w:rPr>
              <w:instrText xml:space="preserve"> = 1 \* GB3 \* MERGEFORMAT </w:instrText>
            </w:r>
            <w:r>
              <w:rPr>
                <w:rFonts w:hint="eastAsia" w:ascii="Times New Roman" w:hAnsi="Times New Roman" w:eastAsia="宋体" w:cs="Times New Roman"/>
                <w:snapToGrid w:val="0"/>
                <w:color w:val="auto"/>
                <w:kern w:val="0"/>
                <w:sz w:val="24"/>
                <w:lang w:val="en-US" w:eastAsia="zh-CN"/>
              </w:rPr>
              <w:fldChar w:fldCharType="separate"/>
            </w:r>
            <w:r>
              <w:rPr>
                <w:color w:val="auto"/>
              </w:rPr>
              <w:t>①</w:t>
            </w:r>
            <w:r>
              <w:rPr>
                <w:rFonts w:hint="eastAsia" w:ascii="Times New Roman" w:hAnsi="Times New Roman" w:eastAsia="宋体" w:cs="Times New Roman"/>
                <w:snapToGrid w:val="0"/>
                <w:color w:val="auto"/>
                <w:kern w:val="0"/>
                <w:sz w:val="24"/>
                <w:lang w:val="en-US" w:eastAsia="zh-CN"/>
              </w:rPr>
              <w:fldChar w:fldCharType="end"/>
            </w:r>
            <w:r>
              <w:rPr>
                <w:rFonts w:hint="eastAsia" w:ascii="Times New Roman" w:hAnsi="Times New Roman" w:eastAsia="宋体" w:cs="Times New Roman"/>
                <w:snapToGrid w:val="0"/>
                <w:color w:val="auto"/>
                <w:kern w:val="0"/>
                <w:sz w:val="24"/>
                <w:lang w:val="en-US" w:eastAsia="zh-CN"/>
              </w:rPr>
              <w:t>过滤棉箱过滤+活性炭吸附工况</w:t>
            </w:r>
          </w:p>
          <w:p w14:paraId="394C4F24">
            <w:pPr>
              <w:bidi w:val="0"/>
              <w:rPr>
                <w:rFonts w:hint="default"/>
                <w:color w:val="auto"/>
                <w:vertAlign w:val="baseline"/>
                <w:lang w:val="en-US" w:eastAsia="zh-CN"/>
              </w:rPr>
            </w:pPr>
            <w:r>
              <w:rPr>
                <w:rFonts w:hint="eastAsia"/>
                <w:color w:val="auto"/>
                <w:lang w:val="en-US" w:eastAsia="zh-CN"/>
              </w:rPr>
              <w:t>本项目采用风量为</w:t>
            </w:r>
            <w:r>
              <w:rPr>
                <w:rFonts w:hint="eastAsia"/>
                <w:color w:val="auto"/>
                <w:highlight w:val="none"/>
                <w:lang w:val="en-US" w:eastAsia="zh-CN"/>
              </w:rPr>
              <w:t>30000m</w:t>
            </w:r>
            <w:r>
              <w:rPr>
                <w:rFonts w:hint="eastAsia"/>
                <w:color w:val="auto"/>
                <w:highlight w:val="none"/>
                <w:vertAlign w:val="superscript"/>
                <w:lang w:val="en-US" w:eastAsia="zh-CN"/>
              </w:rPr>
              <w:t>3</w:t>
            </w:r>
            <w:r>
              <w:rPr>
                <w:rFonts w:hint="eastAsia"/>
                <w:color w:val="auto"/>
                <w:highlight w:val="none"/>
                <w:lang w:val="en-US" w:eastAsia="zh-CN"/>
              </w:rPr>
              <w:t>/h</w:t>
            </w:r>
            <w:r>
              <w:rPr>
                <w:rFonts w:hint="eastAsia"/>
                <w:color w:val="auto"/>
                <w:lang w:val="en-US" w:eastAsia="zh-CN"/>
              </w:rPr>
              <w:t>的风机将调漆、喷漆、烤漆、固化工序产生的废气引入一套</w:t>
            </w:r>
            <w:r>
              <w:rPr>
                <w:rFonts w:hint="eastAsia"/>
                <w:color w:val="auto"/>
                <w:sz w:val="24"/>
                <w:szCs w:val="24"/>
                <w:lang w:val="en-US" w:eastAsia="zh-CN"/>
              </w:rPr>
              <w:t>“</w:t>
            </w:r>
            <w:r>
              <w:rPr>
                <w:rFonts w:hint="eastAsia" w:cs="Times New Roman"/>
                <w:b w:val="0"/>
                <w:bCs/>
                <w:color w:val="auto"/>
                <w:sz w:val="24"/>
                <w:szCs w:val="24"/>
                <w:highlight w:val="none"/>
                <w:lang w:val="en-US" w:eastAsia="zh-CN"/>
              </w:rPr>
              <w:t>过滤棉+活性炭吸附/脱附+催化燃烧装置</w:t>
            </w:r>
            <w:r>
              <w:rPr>
                <w:rFonts w:hint="eastAsia"/>
                <w:color w:val="auto"/>
                <w:sz w:val="24"/>
                <w:szCs w:val="24"/>
                <w:lang w:val="en-US" w:eastAsia="zh-CN"/>
              </w:rPr>
              <w:t>”</w:t>
            </w:r>
            <w:r>
              <w:rPr>
                <w:rFonts w:hint="eastAsia"/>
                <w:color w:val="auto"/>
                <w:lang w:val="en-US" w:eastAsia="zh-CN"/>
              </w:rPr>
              <w:t>处理，废气收集效率按98%计，过滤棉对颗粒物的去除效率为90%，活性炭吸附有机废气效率为90%，调漆、喷漆、烤漆、固化工序年共运行</w:t>
            </w:r>
            <w:r>
              <w:rPr>
                <w:rFonts w:hint="eastAsia"/>
                <w:color w:val="auto"/>
                <w:highlight w:val="none"/>
                <w:lang w:val="en-US" w:eastAsia="zh-CN"/>
              </w:rPr>
              <w:t>900h</w:t>
            </w:r>
            <w:r>
              <w:rPr>
                <w:rFonts w:hint="eastAsia"/>
                <w:color w:val="auto"/>
                <w:vertAlign w:val="baseline"/>
                <w:lang w:val="en-US" w:eastAsia="zh-CN"/>
              </w:rPr>
              <w:t>。项目</w:t>
            </w:r>
            <w:r>
              <w:rPr>
                <w:rFonts w:hint="eastAsia" w:ascii="Times New Roman" w:hAnsi="Times New Roman" w:eastAsia="宋体" w:cs="Times New Roman"/>
                <w:snapToGrid w:val="0"/>
                <w:color w:val="auto"/>
                <w:kern w:val="0"/>
                <w:sz w:val="24"/>
                <w:lang w:val="en-US" w:eastAsia="zh-CN"/>
              </w:rPr>
              <w:t>过滤棉箱过滤+活性炭吸附工况</w:t>
            </w:r>
            <w:r>
              <w:rPr>
                <w:rFonts w:hint="eastAsia" w:cs="Times New Roman"/>
                <w:snapToGrid w:val="0"/>
                <w:color w:val="auto"/>
                <w:kern w:val="0"/>
                <w:sz w:val="24"/>
                <w:lang w:val="en-US" w:eastAsia="zh-CN"/>
              </w:rPr>
              <w:t>下</w:t>
            </w:r>
            <w:r>
              <w:rPr>
                <w:rFonts w:hint="eastAsia"/>
                <w:color w:val="auto"/>
                <w:lang w:val="en-US" w:eastAsia="zh-CN"/>
              </w:rPr>
              <w:t>染物排放情况见下表。</w:t>
            </w:r>
          </w:p>
          <w:p w14:paraId="6C2BA6E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eastAsia="宋体"/>
                <w:b/>
                <w:bCs/>
                <w:color w:val="auto"/>
                <w:sz w:val="21"/>
              </w:rPr>
            </w:pPr>
            <w:r>
              <w:rPr>
                <w:rFonts w:hint="eastAsia" w:eastAsia="宋体"/>
                <w:b/>
                <w:bCs/>
                <w:color w:val="auto"/>
                <w:sz w:val="21"/>
                <w:szCs w:val="21"/>
              </w:rPr>
              <w:t>表</w:t>
            </w:r>
            <w:r>
              <w:rPr>
                <w:rFonts w:hint="eastAsia"/>
                <w:b/>
                <w:bCs/>
                <w:color w:val="auto"/>
                <w:sz w:val="21"/>
                <w:szCs w:val="21"/>
                <w:lang w:val="en-US" w:eastAsia="zh-CN"/>
              </w:rPr>
              <w:t xml:space="preserve">27 </w:t>
            </w:r>
            <w:r>
              <w:rPr>
                <w:rFonts w:hint="eastAsia" w:eastAsia="宋体"/>
                <w:b/>
                <w:bCs/>
                <w:color w:val="auto"/>
                <w:sz w:val="21"/>
                <w:szCs w:val="21"/>
              </w:rPr>
              <w:t xml:space="preserve"> </w:t>
            </w:r>
            <w:r>
              <w:rPr>
                <w:rFonts w:hint="eastAsia" w:eastAsia="宋体"/>
                <w:b/>
                <w:bCs/>
                <w:color w:val="auto"/>
                <w:sz w:val="21"/>
                <w:szCs w:val="21"/>
                <w:lang w:val="en-US" w:eastAsia="zh-CN"/>
              </w:rPr>
              <w:t>过滤棉+活性炭吸附工况</w:t>
            </w:r>
            <w:r>
              <w:rPr>
                <w:rFonts w:hint="eastAsia" w:ascii="Times New Roman" w:hAnsi="Times New Roman" w:eastAsia="宋体"/>
                <w:b/>
                <w:color w:val="auto"/>
                <w:sz w:val="21"/>
                <w:szCs w:val="21"/>
              </w:rPr>
              <w:t>污染物</w:t>
            </w:r>
            <w:r>
              <w:rPr>
                <w:rFonts w:hint="eastAsia" w:ascii="Times New Roman" w:hAnsi="Times New Roman" w:eastAsia="宋体"/>
                <w:b/>
                <w:color w:val="auto"/>
                <w:sz w:val="21"/>
                <w:szCs w:val="21"/>
                <w:lang w:val="en-US" w:eastAsia="zh-CN"/>
              </w:rPr>
              <w:t>排放情况</w:t>
            </w:r>
            <w:r>
              <w:rPr>
                <w:rFonts w:hint="eastAsia"/>
                <w:b/>
                <w:color w:val="auto"/>
                <w:sz w:val="21"/>
                <w:szCs w:val="21"/>
                <w:lang w:val="en-US" w:eastAsia="zh-CN"/>
              </w:rPr>
              <w:t>一览表</w:t>
            </w:r>
          </w:p>
          <w:tbl>
            <w:tblPr>
              <w:tblStyle w:val="20"/>
              <w:tblW w:w="85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70"/>
              <w:gridCol w:w="795"/>
              <w:gridCol w:w="645"/>
              <w:gridCol w:w="709"/>
              <w:gridCol w:w="1125"/>
              <w:gridCol w:w="615"/>
              <w:gridCol w:w="705"/>
              <w:gridCol w:w="720"/>
              <w:gridCol w:w="735"/>
              <w:gridCol w:w="945"/>
            </w:tblGrid>
            <w:tr w14:paraId="3707F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37" w:type="dxa"/>
                  <w:noWrap w:val="0"/>
                  <w:vAlign w:val="center"/>
                </w:tcPr>
                <w:p w14:paraId="7C0E159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r>
                    <w:rPr>
                      <w:rFonts w:hint="eastAsia" w:eastAsia="宋体"/>
                      <w:color w:val="auto"/>
                      <w:sz w:val="21"/>
                    </w:rPr>
                    <w:t>污染源</w:t>
                  </w:r>
                </w:p>
              </w:tc>
              <w:tc>
                <w:tcPr>
                  <w:tcW w:w="870" w:type="dxa"/>
                  <w:noWrap w:val="0"/>
                  <w:vAlign w:val="center"/>
                </w:tcPr>
                <w:p w14:paraId="15C0980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r>
                    <w:rPr>
                      <w:rFonts w:hint="eastAsia" w:eastAsia="宋体"/>
                      <w:color w:val="auto"/>
                      <w:sz w:val="21"/>
                    </w:rPr>
                    <w:t>污染因子</w:t>
                  </w:r>
                </w:p>
              </w:tc>
              <w:tc>
                <w:tcPr>
                  <w:tcW w:w="795" w:type="dxa"/>
                  <w:noWrap w:val="0"/>
                  <w:vAlign w:val="center"/>
                </w:tcPr>
                <w:p w14:paraId="489C986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r>
                    <w:rPr>
                      <w:rFonts w:hint="eastAsia" w:eastAsia="宋体"/>
                      <w:color w:val="auto"/>
                      <w:sz w:val="21"/>
                    </w:rPr>
                    <w:t>运行时间</w:t>
                  </w:r>
                  <w:r>
                    <w:rPr>
                      <w:rFonts w:hint="eastAsia"/>
                      <w:color w:val="auto"/>
                      <w:sz w:val="21"/>
                      <w:lang w:val="en-US" w:eastAsia="zh-CN"/>
                    </w:rPr>
                    <w:t>(</w:t>
                  </w:r>
                  <w:r>
                    <w:rPr>
                      <w:rFonts w:hint="eastAsia" w:eastAsia="宋体"/>
                      <w:color w:val="auto"/>
                      <w:sz w:val="21"/>
                    </w:rPr>
                    <w:t>h/a</w:t>
                  </w:r>
                  <w:r>
                    <w:rPr>
                      <w:rFonts w:hint="eastAsia"/>
                      <w:color w:val="auto"/>
                      <w:sz w:val="21"/>
                      <w:lang w:val="en-US" w:eastAsia="zh-CN"/>
                    </w:rPr>
                    <w:t>)</w:t>
                  </w:r>
                </w:p>
              </w:tc>
              <w:tc>
                <w:tcPr>
                  <w:tcW w:w="645" w:type="dxa"/>
                  <w:noWrap w:val="0"/>
                  <w:vAlign w:val="center"/>
                </w:tcPr>
                <w:p w14:paraId="455CBCB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r>
                    <w:rPr>
                      <w:rFonts w:hint="eastAsia" w:eastAsia="宋体"/>
                      <w:color w:val="auto"/>
                      <w:sz w:val="21"/>
                    </w:rPr>
                    <w:t>收集效率</w:t>
                  </w:r>
                  <w:r>
                    <w:rPr>
                      <w:rFonts w:hint="eastAsia"/>
                      <w:color w:val="auto"/>
                      <w:sz w:val="21"/>
                      <w:lang w:val="en-US" w:eastAsia="zh-CN"/>
                    </w:rPr>
                    <w:t>(</w:t>
                  </w:r>
                  <w:r>
                    <w:rPr>
                      <w:rFonts w:hint="eastAsia" w:eastAsia="宋体"/>
                      <w:color w:val="auto"/>
                      <w:sz w:val="21"/>
                    </w:rPr>
                    <w:t>%</w:t>
                  </w:r>
                  <w:r>
                    <w:rPr>
                      <w:rFonts w:hint="eastAsia"/>
                      <w:color w:val="auto"/>
                      <w:sz w:val="21"/>
                      <w:lang w:val="en-US" w:eastAsia="zh-CN"/>
                    </w:rPr>
                    <w:t>)</w:t>
                  </w:r>
                </w:p>
              </w:tc>
              <w:tc>
                <w:tcPr>
                  <w:tcW w:w="2449" w:type="dxa"/>
                  <w:gridSpan w:val="3"/>
                  <w:noWrap w:val="0"/>
                  <w:vAlign w:val="center"/>
                </w:tcPr>
                <w:p w14:paraId="3150C52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r>
                    <w:rPr>
                      <w:rFonts w:hint="eastAsia" w:eastAsia="宋体"/>
                      <w:color w:val="auto"/>
                      <w:sz w:val="21"/>
                    </w:rPr>
                    <w:t>产生量</w:t>
                  </w:r>
                  <w:r>
                    <w:rPr>
                      <w:rFonts w:hint="eastAsia" w:eastAsia="宋体"/>
                      <w:color w:val="auto"/>
                      <w:sz w:val="21"/>
                      <w:lang w:eastAsia="zh-CN"/>
                    </w:rPr>
                    <w:t>（</w:t>
                  </w:r>
                  <w:r>
                    <w:rPr>
                      <w:rFonts w:hint="eastAsia" w:eastAsia="宋体"/>
                      <w:color w:val="auto"/>
                      <w:sz w:val="21"/>
                    </w:rPr>
                    <w:t>t/a</w:t>
                  </w:r>
                  <w:r>
                    <w:rPr>
                      <w:rFonts w:hint="eastAsia" w:eastAsia="宋体"/>
                      <w:color w:val="auto"/>
                      <w:sz w:val="21"/>
                      <w:lang w:eastAsia="zh-CN"/>
                    </w:rPr>
                    <w:t>）</w:t>
                  </w:r>
                </w:p>
              </w:tc>
              <w:tc>
                <w:tcPr>
                  <w:tcW w:w="705" w:type="dxa"/>
                  <w:noWrap w:val="0"/>
                  <w:vAlign w:val="center"/>
                </w:tcPr>
                <w:p w14:paraId="326D12A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r>
                    <w:rPr>
                      <w:rFonts w:hint="eastAsia"/>
                      <w:color w:val="auto"/>
                      <w:sz w:val="21"/>
                      <w:lang w:val="en-US" w:eastAsia="zh-CN"/>
                    </w:rPr>
                    <w:t>去除效率(%)</w:t>
                  </w:r>
                </w:p>
              </w:tc>
              <w:tc>
                <w:tcPr>
                  <w:tcW w:w="720" w:type="dxa"/>
                  <w:noWrap w:val="0"/>
                  <w:vAlign w:val="center"/>
                </w:tcPr>
                <w:p w14:paraId="490F03E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r>
                    <w:rPr>
                      <w:rFonts w:hint="eastAsia"/>
                      <w:color w:val="auto"/>
                      <w:sz w:val="21"/>
                      <w:lang w:val="en-US" w:eastAsia="zh-CN"/>
                    </w:rPr>
                    <w:t>排放量(t/a)</w:t>
                  </w:r>
                </w:p>
              </w:tc>
              <w:tc>
                <w:tcPr>
                  <w:tcW w:w="735" w:type="dxa"/>
                  <w:noWrap w:val="0"/>
                  <w:vAlign w:val="center"/>
                </w:tcPr>
                <w:p w14:paraId="44F050E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lang w:val="en-US" w:eastAsia="zh-CN"/>
                    </w:rPr>
                  </w:pPr>
                  <w:r>
                    <w:rPr>
                      <w:rFonts w:hint="eastAsia"/>
                      <w:color w:val="auto"/>
                      <w:sz w:val="21"/>
                      <w:lang w:val="en-US" w:eastAsia="zh-CN"/>
                    </w:rPr>
                    <w:t>排放速率(kg/h)</w:t>
                  </w:r>
                </w:p>
              </w:tc>
              <w:tc>
                <w:tcPr>
                  <w:tcW w:w="945" w:type="dxa"/>
                  <w:noWrap w:val="0"/>
                  <w:vAlign w:val="center"/>
                </w:tcPr>
                <w:p w14:paraId="19E0F54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lang w:val="en-US" w:eastAsia="zh-CN"/>
                    </w:rPr>
                  </w:pPr>
                  <w:r>
                    <w:rPr>
                      <w:rFonts w:hint="eastAsia"/>
                      <w:color w:val="auto"/>
                      <w:sz w:val="21"/>
                      <w:lang w:val="en-US" w:eastAsia="zh-CN"/>
                    </w:rPr>
                    <w:t>排放浓度(</w:t>
                  </w:r>
                  <w:r>
                    <w:rPr>
                      <w:rFonts w:hint="eastAsia"/>
                      <w:color w:val="auto"/>
                      <w:sz w:val="21"/>
                      <w:szCs w:val="21"/>
                      <w:lang w:eastAsia="zh-CN"/>
                    </w:rPr>
                    <w:t>mg/m</w:t>
                  </w:r>
                  <w:r>
                    <w:rPr>
                      <w:rFonts w:hint="eastAsia"/>
                      <w:color w:val="auto"/>
                      <w:sz w:val="21"/>
                      <w:szCs w:val="21"/>
                      <w:vertAlign w:val="superscript"/>
                      <w:lang w:eastAsia="zh-CN"/>
                    </w:rPr>
                    <w:t>3</w:t>
                  </w:r>
                  <w:r>
                    <w:rPr>
                      <w:rFonts w:hint="eastAsia"/>
                      <w:color w:val="auto"/>
                      <w:sz w:val="21"/>
                      <w:lang w:val="en-US" w:eastAsia="zh-CN"/>
                    </w:rPr>
                    <w:t>)</w:t>
                  </w:r>
                </w:p>
              </w:tc>
            </w:tr>
            <w:tr w14:paraId="2C66A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37" w:type="dxa"/>
                  <w:vMerge w:val="restart"/>
                  <w:noWrap w:val="0"/>
                  <w:vAlign w:val="center"/>
                </w:tcPr>
                <w:p w14:paraId="61CF3FB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rPr>
                  </w:pPr>
                  <w:r>
                    <w:rPr>
                      <w:rFonts w:hint="eastAsia"/>
                      <w:color w:val="auto"/>
                      <w:sz w:val="21"/>
                      <w:szCs w:val="21"/>
                      <w:lang w:val="en-US" w:eastAsia="zh-CN"/>
                    </w:rPr>
                    <w:t>调漆、喷漆、烤漆、固化过程</w:t>
                  </w:r>
                </w:p>
              </w:tc>
              <w:tc>
                <w:tcPr>
                  <w:tcW w:w="870" w:type="dxa"/>
                  <w:vMerge w:val="restart"/>
                  <w:noWrap w:val="0"/>
                  <w:vAlign w:val="center"/>
                </w:tcPr>
                <w:p w14:paraId="5062D1F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r>
                    <w:rPr>
                      <w:rFonts w:hint="eastAsia" w:eastAsia="宋体"/>
                      <w:color w:val="auto"/>
                      <w:sz w:val="21"/>
                    </w:rPr>
                    <w:t>颗粒物</w:t>
                  </w:r>
                </w:p>
              </w:tc>
              <w:tc>
                <w:tcPr>
                  <w:tcW w:w="795" w:type="dxa"/>
                  <w:vMerge w:val="restart"/>
                  <w:noWrap w:val="0"/>
                  <w:vAlign w:val="center"/>
                </w:tcPr>
                <w:p w14:paraId="5DD1685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900</w:t>
                  </w:r>
                </w:p>
              </w:tc>
              <w:tc>
                <w:tcPr>
                  <w:tcW w:w="645" w:type="dxa"/>
                  <w:vMerge w:val="restart"/>
                  <w:noWrap w:val="0"/>
                  <w:vAlign w:val="center"/>
                </w:tcPr>
                <w:p w14:paraId="66729CA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98</w:t>
                  </w:r>
                </w:p>
              </w:tc>
              <w:tc>
                <w:tcPr>
                  <w:tcW w:w="709" w:type="dxa"/>
                  <w:vMerge w:val="restart"/>
                  <w:noWrap w:val="0"/>
                  <w:vAlign w:val="center"/>
                </w:tcPr>
                <w:p w14:paraId="6C8ECBB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0.56</w:t>
                  </w:r>
                </w:p>
              </w:tc>
              <w:tc>
                <w:tcPr>
                  <w:tcW w:w="1125" w:type="dxa"/>
                  <w:noWrap w:val="0"/>
                  <w:vAlign w:val="center"/>
                </w:tcPr>
                <w:p w14:paraId="14BEBAF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eastAsia="宋体"/>
                      <w:color w:val="auto"/>
                      <w:sz w:val="21"/>
                    </w:rPr>
                    <w:t>进入</w:t>
                  </w:r>
                  <w:r>
                    <w:rPr>
                      <w:rFonts w:hint="eastAsia" w:eastAsia="宋体"/>
                      <w:color w:val="auto"/>
                      <w:sz w:val="21"/>
                      <w:lang w:val="en-US" w:eastAsia="zh-CN"/>
                    </w:rPr>
                    <w:t>环保设备</w:t>
                  </w:r>
                </w:p>
              </w:tc>
              <w:tc>
                <w:tcPr>
                  <w:tcW w:w="615" w:type="dxa"/>
                  <w:noWrap w:val="0"/>
                  <w:vAlign w:val="center"/>
                </w:tcPr>
                <w:p w14:paraId="244A247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0.5488</w:t>
                  </w:r>
                </w:p>
              </w:tc>
              <w:tc>
                <w:tcPr>
                  <w:tcW w:w="705" w:type="dxa"/>
                  <w:noWrap w:val="0"/>
                  <w:vAlign w:val="center"/>
                </w:tcPr>
                <w:p w14:paraId="7FCBB32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90</w:t>
                  </w:r>
                </w:p>
              </w:tc>
              <w:tc>
                <w:tcPr>
                  <w:tcW w:w="720" w:type="dxa"/>
                  <w:noWrap w:val="0"/>
                  <w:vAlign w:val="center"/>
                </w:tcPr>
                <w:p w14:paraId="6BB35B5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0.055</w:t>
                  </w:r>
                </w:p>
              </w:tc>
              <w:tc>
                <w:tcPr>
                  <w:tcW w:w="735" w:type="dxa"/>
                  <w:noWrap w:val="0"/>
                  <w:vAlign w:val="center"/>
                </w:tcPr>
                <w:p w14:paraId="548F299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0.061</w:t>
                  </w:r>
                </w:p>
              </w:tc>
              <w:tc>
                <w:tcPr>
                  <w:tcW w:w="945" w:type="dxa"/>
                  <w:noWrap w:val="0"/>
                  <w:vAlign w:val="center"/>
                </w:tcPr>
                <w:p w14:paraId="6FA5BC2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2.033</w:t>
                  </w:r>
                </w:p>
              </w:tc>
            </w:tr>
            <w:tr w14:paraId="59913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37" w:type="dxa"/>
                  <w:vMerge w:val="continue"/>
                  <w:noWrap w:val="0"/>
                  <w:vAlign w:val="center"/>
                </w:tcPr>
                <w:p w14:paraId="46428B8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870" w:type="dxa"/>
                  <w:vMerge w:val="continue"/>
                  <w:noWrap w:val="0"/>
                  <w:vAlign w:val="center"/>
                </w:tcPr>
                <w:p w14:paraId="466E454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795" w:type="dxa"/>
                  <w:vMerge w:val="continue"/>
                  <w:noWrap w:val="0"/>
                  <w:vAlign w:val="center"/>
                </w:tcPr>
                <w:p w14:paraId="789FC30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645" w:type="dxa"/>
                  <w:vMerge w:val="continue"/>
                  <w:noWrap w:val="0"/>
                  <w:vAlign w:val="center"/>
                </w:tcPr>
                <w:p w14:paraId="2CCFBF2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709" w:type="dxa"/>
                  <w:vMerge w:val="continue"/>
                  <w:noWrap w:val="0"/>
                  <w:vAlign w:val="center"/>
                </w:tcPr>
                <w:p w14:paraId="57BC56D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p>
              </w:tc>
              <w:tc>
                <w:tcPr>
                  <w:tcW w:w="1125" w:type="dxa"/>
                  <w:noWrap w:val="0"/>
                  <w:vAlign w:val="center"/>
                </w:tcPr>
                <w:p w14:paraId="3582518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eastAsia="宋体"/>
                      <w:color w:val="auto"/>
                      <w:sz w:val="21"/>
                    </w:rPr>
                    <w:t>未进入</w:t>
                  </w:r>
                  <w:r>
                    <w:rPr>
                      <w:rFonts w:hint="eastAsia" w:eastAsia="宋体"/>
                      <w:color w:val="auto"/>
                      <w:sz w:val="21"/>
                      <w:lang w:val="en-US" w:eastAsia="zh-CN"/>
                    </w:rPr>
                    <w:t>环保设备</w:t>
                  </w:r>
                </w:p>
              </w:tc>
              <w:tc>
                <w:tcPr>
                  <w:tcW w:w="615" w:type="dxa"/>
                  <w:noWrap w:val="0"/>
                  <w:vAlign w:val="center"/>
                </w:tcPr>
                <w:p w14:paraId="48B5C26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0.0112</w:t>
                  </w:r>
                </w:p>
              </w:tc>
              <w:tc>
                <w:tcPr>
                  <w:tcW w:w="705" w:type="dxa"/>
                  <w:noWrap w:val="0"/>
                  <w:vAlign w:val="center"/>
                </w:tcPr>
                <w:p w14:paraId="22B8F07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w:t>
                  </w:r>
                </w:p>
              </w:tc>
              <w:tc>
                <w:tcPr>
                  <w:tcW w:w="720" w:type="dxa"/>
                  <w:noWrap w:val="0"/>
                  <w:vAlign w:val="center"/>
                </w:tcPr>
                <w:p w14:paraId="3620034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0.0112</w:t>
                  </w:r>
                </w:p>
              </w:tc>
              <w:tc>
                <w:tcPr>
                  <w:tcW w:w="735" w:type="dxa"/>
                  <w:noWrap w:val="0"/>
                  <w:vAlign w:val="center"/>
                </w:tcPr>
                <w:p w14:paraId="66CEC35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0.0124</w:t>
                  </w:r>
                </w:p>
              </w:tc>
              <w:tc>
                <w:tcPr>
                  <w:tcW w:w="945" w:type="dxa"/>
                  <w:noWrap w:val="0"/>
                  <w:vAlign w:val="center"/>
                </w:tcPr>
                <w:p w14:paraId="593B4EE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w:t>
                  </w:r>
                </w:p>
              </w:tc>
            </w:tr>
            <w:tr w14:paraId="03E5E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37" w:type="dxa"/>
                  <w:vMerge w:val="continue"/>
                  <w:noWrap w:val="0"/>
                  <w:vAlign w:val="center"/>
                </w:tcPr>
                <w:p w14:paraId="0564A5E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870" w:type="dxa"/>
                  <w:vMerge w:val="restart"/>
                  <w:noWrap w:val="0"/>
                  <w:vAlign w:val="center"/>
                </w:tcPr>
                <w:p w14:paraId="59C90F6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lang w:val="en-US" w:eastAsia="zh-CN"/>
                    </w:rPr>
                  </w:pPr>
                  <w:r>
                    <w:rPr>
                      <w:rFonts w:hint="eastAsia" w:eastAsia="宋体"/>
                      <w:color w:val="auto"/>
                      <w:sz w:val="21"/>
                      <w:lang w:val="en-US" w:eastAsia="zh-CN"/>
                    </w:rPr>
                    <w:t>非甲烷总烃</w:t>
                  </w:r>
                </w:p>
              </w:tc>
              <w:tc>
                <w:tcPr>
                  <w:tcW w:w="795" w:type="dxa"/>
                  <w:vMerge w:val="continue"/>
                  <w:noWrap w:val="0"/>
                  <w:vAlign w:val="center"/>
                </w:tcPr>
                <w:p w14:paraId="56E9B0B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kern w:val="2"/>
                      <w:sz w:val="21"/>
                      <w:szCs w:val="24"/>
                      <w:lang w:val="en-US" w:eastAsia="zh-CN" w:bidi="ar-SA"/>
                    </w:rPr>
                  </w:pPr>
                </w:p>
              </w:tc>
              <w:tc>
                <w:tcPr>
                  <w:tcW w:w="645" w:type="dxa"/>
                  <w:vMerge w:val="continue"/>
                  <w:noWrap w:val="0"/>
                  <w:vAlign w:val="center"/>
                </w:tcPr>
                <w:p w14:paraId="24AD891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kern w:val="2"/>
                      <w:sz w:val="21"/>
                      <w:szCs w:val="24"/>
                      <w:lang w:val="en-US" w:eastAsia="zh-CN" w:bidi="ar-SA"/>
                    </w:rPr>
                  </w:pPr>
                </w:p>
              </w:tc>
              <w:tc>
                <w:tcPr>
                  <w:tcW w:w="709" w:type="dxa"/>
                  <w:vMerge w:val="restart"/>
                  <w:noWrap w:val="0"/>
                  <w:vAlign w:val="center"/>
                </w:tcPr>
                <w:p w14:paraId="6212AA3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kern w:val="2"/>
                      <w:sz w:val="21"/>
                      <w:szCs w:val="24"/>
                      <w:highlight w:val="none"/>
                      <w:lang w:val="en-US" w:eastAsia="zh-CN" w:bidi="ar-SA"/>
                    </w:rPr>
                  </w:pPr>
                  <w:r>
                    <w:rPr>
                      <w:rFonts w:hint="eastAsia"/>
                      <w:color w:val="auto"/>
                      <w:kern w:val="2"/>
                      <w:sz w:val="21"/>
                      <w:szCs w:val="24"/>
                      <w:highlight w:val="none"/>
                      <w:lang w:val="en-US" w:eastAsia="zh-CN" w:bidi="ar-SA"/>
                    </w:rPr>
                    <w:t>1.894</w:t>
                  </w:r>
                </w:p>
              </w:tc>
              <w:tc>
                <w:tcPr>
                  <w:tcW w:w="1125" w:type="dxa"/>
                  <w:noWrap w:val="0"/>
                  <w:vAlign w:val="center"/>
                </w:tcPr>
                <w:p w14:paraId="5A75E57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highlight w:val="none"/>
                    </w:rPr>
                    <w:t>进入</w:t>
                  </w:r>
                  <w:r>
                    <w:rPr>
                      <w:rFonts w:hint="eastAsia" w:eastAsia="宋体"/>
                      <w:color w:val="auto"/>
                      <w:sz w:val="21"/>
                      <w:lang w:val="en-US" w:eastAsia="zh-CN"/>
                    </w:rPr>
                    <w:t>环保设备</w:t>
                  </w:r>
                </w:p>
              </w:tc>
              <w:tc>
                <w:tcPr>
                  <w:tcW w:w="615" w:type="dxa"/>
                  <w:noWrap w:val="0"/>
                  <w:vAlign w:val="center"/>
                </w:tcPr>
                <w:p w14:paraId="6F28778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1.85612</w:t>
                  </w:r>
                </w:p>
              </w:tc>
              <w:tc>
                <w:tcPr>
                  <w:tcW w:w="705" w:type="dxa"/>
                  <w:noWrap w:val="0"/>
                  <w:vAlign w:val="center"/>
                </w:tcPr>
                <w:p w14:paraId="54DF67E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highlight w:val="yellow"/>
                      <w:lang w:val="en-US" w:eastAsia="zh-CN"/>
                    </w:rPr>
                  </w:pPr>
                  <w:r>
                    <w:rPr>
                      <w:rFonts w:hint="eastAsia"/>
                      <w:color w:val="auto"/>
                      <w:sz w:val="21"/>
                      <w:highlight w:val="none"/>
                      <w:lang w:val="en-US" w:eastAsia="zh-CN"/>
                    </w:rPr>
                    <w:t>90</w:t>
                  </w:r>
                </w:p>
              </w:tc>
              <w:tc>
                <w:tcPr>
                  <w:tcW w:w="720" w:type="dxa"/>
                  <w:noWrap w:val="0"/>
                  <w:vAlign w:val="center"/>
                </w:tcPr>
                <w:p w14:paraId="2B1FB5F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0.186</w:t>
                  </w:r>
                </w:p>
              </w:tc>
              <w:tc>
                <w:tcPr>
                  <w:tcW w:w="735" w:type="dxa"/>
                  <w:noWrap w:val="0"/>
                  <w:vAlign w:val="center"/>
                </w:tcPr>
                <w:p w14:paraId="7B32995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0.21</w:t>
                  </w:r>
                </w:p>
              </w:tc>
              <w:tc>
                <w:tcPr>
                  <w:tcW w:w="945" w:type="dxa"/>
                  <w:noWrap w:val="0"/>
                  <w:vAlign w:val="center"/>
                </w:tcPr>
                <w:p w14:paraId="318074E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6.875</w:t>
                  </w:r>
                </w:p>
              </w:tc>
            </w:tr>
            <w:tr w14:paraId="619C6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37" w:type="dxa"/>
                  <w:vMerge w:val="continue"/>
                  <w:noWrap w:val="0"/>
                  <w:vAlign w:val="center"/>
                </w:tcPr>
                <w:p w14:paraId="2FB19A2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870" w:type="dxa"/>
                  <w:vMerge w:val="continue"/>
                  <w:noWrap w:val="0"/>
                  <w:vAlign w:val="center"/>
                </w:tcPr>
                <w:p w14:paraId="3F7B3A4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795" w:type="dxa"/>
                  <w:vMerge w:val="continue"/>
                  <w:noWrap w:val="0"/>
                  <w:vAlign w:val="center"/>
                </w:tcPr>
                <w:p w14:paraId="056AC3B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645" w:type="dxa"/>
                  <w:vMerge w:val="continue"/>
                  <w:noWrap w:val="0"/>
                  <w:vAlign w:val="center"/>
                </w:tcPr>
                <w:p w14:paraId="5507237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709" w:type="dxa"/>
                  <w:vMerge w:val="continue"/>
                  <w:noWrap w:val="0"/>
                  <w:vAlign w:val="center"/>
                </w:tcPr>
                <w:p w14:paraId="44BB0C9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kern w:val="2"/>
                      <w:sz w:val="21"/>
                      <w:szCs w:val="24"/>
                      <w:highlight w:val="none"/>
                      <w:lang w:val="en-US" w:eastAsia="zh-CN" w:bidi="ar-SA"/>
                    </w:rPr>
                  </w:pPr>
                </w:p>
              </w:tc>
              <w:tc>
                <w:tcPr>
                  <w:tcW w:w="1125" w:type="dxa"/>
                  <w:noWrap w:val="0"/>
                  <w:vAlign w:val="center"/>
                </w:tcPr>
                <w:p w14:paraId="0B5FFE9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highlight w:val="none"/>
                    </w:rPr>
                    <w:t>未进入</w:t>
                  </w:r>
                  <w:r>
                    <w:rPr>
                      <w:rFonts w:hint="eastAsia" w:eastAsia="宋体"/>
                      <w:color w:val="auto"/>
                      <w:sz w:val="21"/>
                      <w:lang w:val="en-US" w:eastAsia="zh-CN"/>
                    </w:rPr>
                    <w:t>环保设备</w:t>
                  </w:r>
                </w:p>
              </w:tc>
              <w:tc>
                <w:tcPr>
                  <w:tcW w:w="615" w:type="dxa"/>
                  <w:noWrap w:val="0"/>
                  <w:vAlign w:val="center"/>
                </w:tcPr>
                <w:p w14:paraId="03E0812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0.03788</w:t>
                  </w:r>
                </w:p>
              </w:tc>
              <w:tc>
                <w:tcPr>
                  <w:tcW w:w="705" w:type="dxa"/>
                  <w:noWrap w:val="0"/>
                  <w:vAlign w:val="center"/>
                </w:tcPr>
                <w:p w14:paraId="6E1168D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highlight w:val="yellow"/>
                      <w:lang w:val="en-US" w:eastAsia="zh-CN"/>
                    </w:rPr>
                  </w:pPr>
                  <w:r>
                    <w:rPr>
                      <w:rFonts w:hint="eastAsia"/>
                      <w:color w:val="auto"/>
                      <w:sz w:val="21"/>
                      <w:highlight w:val="none"/>
                      <w:lang w:val="en-US" w:eastAsia="zh-CN"/>
                    </w:rPr>
                    <w:t>/</w:t>
                  </w:r>
                </w:p>
              </w:tc>
              <w:tc>
                <w:tcPr>
                  <w:tcW w:w="720" w:type="dxa"/>
                  <w:noWrap w:val="0"/>
                  <w:vAlign w:val="center"/>
                </w:tcPr>
                <w:p w14:paraId="40E161B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0.03788</w:t>
                  </w:r>
                </w:p>
              </w:tc>
              <w:tc>
                <w:tcPr>
                  <w:tcW w:w="735" w:type="dxa"/>
                  <w:noWrap w:val="0"/>
                  <w:vAlign w:val="center"/>
                </w:tcPr>
                <w:p w14:paraId="636E590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0.0421</w:t>
                  </w:r>
                </w:p>
              </w:tc>
              <w:tc>
                <w:tcPr>
                  <w:tcW w:w="945" w:type="dxa"/>
                  <w:noWrap w:val="0"/>
                  <w:vAlign w:val="center"/>
                </w:tcPr>
                <w:p w14:paraId="5D7DB2D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w:t>
                  </w:r>
                </w:p>
              </w:tc>
            </w:tr>
            <w:tr w14:paraId="1B375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7" w:type="dxa"/>
                  <w:vMerge w:val="continue"/>
                  <w:noWrap w:val="0"/>
                  <w:vAlign w:val="center"/>
                </w:tcPr>
                <w:p w14:paraId="64BE52B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870" w:type="dxa"/>
                  <w:vMerge w:val="restart"/>
                  <w:noWrap w:val="0"/>
                  <w:vAlign w:val="center"/>
                </w:tcPr>
                <w:p w14:paraId="2327C35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lang w:val="en-US" w:eastAsia="zh-CN"/>
                    </w:rPr>
                  </w:pPr>
                  <w:r>
                    <w:rPr>
                      <w:rFonts w:hint="eastAsia"/>
                      <w:color w:val="auto"/>
                      <w:sz w:val="21"/>
                      <w:lang w:val="en-US" w:eastAsia="zh-CN"/>
                    </w:rPr>
                    <w:t>苯</w:t>
                  </w:r>
                </w:p>
              </w:tc>
              <w:tc>
                <w:tcPr>
                  <w:tcW w:w="795" w:type="dxa"/>
                  <w:vMerge w:val="continue"/>
                  <w:noWrap w:val="0"/>
                  <w:vAlign w:val="center"/>
                </w:tcPr>
                <w:p w14:paraId="402C744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645" w:type="dxa"/>
                  <w:vMerge w:val="continue"/>
                  <w:noWrap w:val="0"/>
                  <w:vAlign w:val="center"/>
                </w:tcPr>
                <w:p w14:paraId="2E69257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709" w:type="dxa"/>
                  <w:vMerge w:val="restart"/>
                  <w:noWrap w:val="0"/>
                  <w:vAlign w:val="center"/>
                </w:tcPr>
                <w:p w14:paraId="697DF9C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0.04</w:t>
                  </w:r>
                </w:p>
              </w:tc>
              <w:tc>
                <w:tcPr>
                  <w:tcW w:w="1125" w:type="dxa"/>
                  <w:noWrap w:val="0"/>
                  <w:vAlign w:val="center"/>
                </w:tcPr>
                <w:p w14:paraId="33DFCFA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rPr>
                    <w:t>进入</w:t>
                  </w:r>
                  <w:r>
                    <w:rPr>
                      <w:rFonts w:hint="eastAsia" w:eastAsia="宋体"/>
                      <w:color w:val="auto"/>
                      <w:sz w:val="21"/>
                      <w:lang w:val="en-US" w:eastAsia="zh-CN"/>
                    </w:rPr>
                    <w:t>环保设备</w:t>
                  </w:r>
                </w:p>
              </w:tc>
              <w:tc>
                <w:tcPr>
                  <w:tcW w:w="615" w:type="dxa"/>
                  <w:noWrap w:val="0"/>
                  <w:vAlign w:val="center"/>
                </w:tcPr>
                <w:p w14:paraId="38FE1C6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0.0392</w:t>
                  </w:r>
                </w:p>
              </w:tc>
              <w:tc>
                <w:tcPr>
                  <w:tcW w:w="705" w:type="dxa"/>
                  <w:noWrap w:val="0"/>
                  <w:vAlign w:val="center"/>
                </w:tcPr>
                <w:p w14:paraId="70D6AAF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highlight w:val="yellow"/>
                      <w:lang w:val="en-US" w:eastAsia="zh-CN"/>
                    </w:rPr>
                  </w:pPr>
                  <w:r>
                    <w:rPr>
                      <w:rFonts w:hint="eastAsia"/>
                      <w:color w:val="auto"/>
                      <w:sz w:val="21"/>
                      <w:highlight w:val="none"/>
                      <w:lang w:val="en-US" w:eastAsia="zh-CN"/>
                    </w:rPr>
                    <w:t>90</w:t>
                  </w:r>
                </w:p>
              </w:tc>
              <w:tc>
                <w:tcPr>
                  <w:tcW w:w="720" w:type="dxa"/>
                  <w:noWrap w:val="0"/>
                  <w:vAlign w:val="center"/>
                </w:tcPr>
                <w:p w14:paraId="6002379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0.00392</w:t>
                  </w:r>
                </w:p>
              </w:tc>
              <w:tc>
                <w:tcPr>
                  <w:tcW w:w="735" w:type="dxa"/>
                  <w:noWrap w:val="0"/>
                  <w:vAlign w:val="center"/>
                </w:tcPr>
                <w:p w14:paraId="6529CC9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0.0044</w:t>
                  </w:r>
                </w:p>
              </w:tc>
              <w:tc>
                <w:tcPr>
                  <w:tcW w:w="945" w:type="dxa"/>
                  <w:noWrap w:val="0"/>
                  <w:vAlign w:val="center"/>
                </w:tcPr>
                <w:p w14:paraId="1F9D103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0.145</w:t>
                  </w:r>
                </w:p>
              </w:tc>
            </w:tr>
            <w:tr w14:paraId="7DA7E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37" w:type="dxa"/>
                  <w:vMerge w:val="continue"/>
                  <w:noWrap w:val="0"/>
                  <w:vAlign w:val="center"/>
                </w:tcPr>
                <w:p w14:paraId="1D490CC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870" w:type="dxa"/>
                  <w:vMerge w:val="continue"/>
                  <w:noWrap w:val="0"/>
                  <w:vAlign w:val="center"/>
                </w:tcPr>
                <w:p w14:paraId="5B606DA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795" w:type="dxa"/>
                  <w:vMerge w:val="continue"/>
                  <w:noWrap w:val="0"/>
                  <w:vAlign w:val="center"/>
                </w:tcPr>
                <w:p w14:paraId="295BB3B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645" w:type="dxa"/>
                  <w:vMerge w:val="continue"/>
                  <w:noWrap w:val="0"/>
                  <w:vAlign w:val="center"/>
                </w:tcPr>
                <w:p w14:paraId="79DF15D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709" w:type="dxa"/>
                  <w:vMerge w:val="continue"/>
                  <w:noWrap w:val="0"/>
                  <w:vAlign w:val="center"/>
                </w:tcPr>
                <w:p w14:paraId="63699BF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p>
              </w:tc>
              <w:tc>
                <w:tcPr>
                  <w:tcW w:w="1125" w:type="dxa"/>
                  <w:noWrap w:val="0"/>
                  <w:vAlign w:val="center"/>
                </w:tcPr>
                <w:p w14:paraId="5F5F6BD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rPr>
                    <w:t>未进入</w:t>
                  </w:r>
                  <w:r>
                    <w:rPr>
                      <w:rFonts w:hint="eastAsia" w:eastAsia="宋体"/>
                      <w:color w:val="auto"/>
                      <w:sz w:val="21"/>
                      <w:lang w:val="en-US" w:eastAsia="zh-CN"/>
                    </w:rPr>
                    <w:t>环保设备</w:t>
                  </w:r>
                </w:p>
              </w:tc>
              <w:tc>
                <w:tcPr>
                  <w:tcW w:w="615" w:type="dxa"/>
                  <w:noWrap w:val="0"/>
                  <w:vAlign w:val="center"/>
                </w:tcPr>
                <w:p w14:paraId="532B58F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0.0008</w:t>
                  </w:r>
                </w:p>
              </w:tc>
              <w:tc>
                <w:tcPr>
                  <w:tcW w:w="705" w:type="dxa"/>
                  <w:noWrap w:val="0"/>
                  <w:vAlign w:val="center"/>
                </w:tcPr>
                <w:p w14:paraId="09C94FD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highlight w:val="yellow"/>
                      <w:lang w:val="en-US" w:eastAsia="zh-CN"/>
                    </w:rPr>
                  </w:pPr>
                  <w:r>
                    <w:rPr>
                      <w:rFonts w:hint="eastAsia"/>
                      <w:color w:val="auto"/>
                      <w:sz w:val="21"/>
                      <w:highlight w:val="none"/>
                      <w:lang w:val="en-US" w:eastAsia="zh-CN"/>
                    </w:rPr>
                    <w:t>/</w:t>
                  </w:r>
                </w:p>
              </w:tc>
              <w:tc>
                <w:tcPr>
                  <w:tcW w:w="720" w:type="dxa"/>
                  <w:noWrap w:val="0"/>
                  <w:vAlign w:val="center"/>
                </w:tcPr>
                <w:p w14:paraId="1AC2BF1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0.0008</w:t>
                  </w:r>
                </w:p>
              </w:tc>
              <w:tc>
                <w:tcPr>
                  <w:tcW w:w="735" w:type="dxa"/>
                  <w:noWrap w:val="0"/>
                  <w:vAlign w:val="center"/>
                </w:tcPr>
                <w:p w14:paraId="0570880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0.0009</w:t>
                  </w:r>
                </w:p>
              </w:tc>
              <w:tc>
                <w:tcPr>
                  <w:tcW w:w="945" w:type="dxa"/>
                  <w:noWrap w:val="0"/>
                  <w:vAlign w:val="center"/>
                </w:tcPr>
                <w:p w14:paraId="56CA018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w:t>
                  </w:r>
                </w:p>
              </w:tc>
            </w:tr>
            <w:tr w14:paraId="44865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37" w:type="dxa"/>
                  <w:vMerge w:val="continue"/>
                  <w:noWrap w:val="0"/>
                  <w:vAlign w:val="center"/>
                </w:tcPr>
                <w:p w14:paraId="607D321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870" w:type="dxa"/>
                  <w:vMerge w:val="restart"/>
                  <w:noWrap w:val="0"/>
                  <w:vAlign w:val="center"/>
                </w:tcPr>
                <w:p w14:paraId="2A1F59F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lang w:val="en-US" w:eastAsia="zh-CN"/>
                    </w:rPr>
                  </w:pPr>
                  <w:r>
                    <w:rPr>
                      <w:rFonts w:hint="eastAsia"/>
                      <w:color w:val="auto"/>
                      <w:sz w:val="21"/>
                      <w:lang w:val="en-US" w:eastAsia="zh-CN"/>
                    </w:rPr>
                    <w:t>甲苯与二甲苯合计</w:t>
                  </w:r>
                </w:p>
              </w:tc>
              <w:tc>
                <w:tcPr>
                  <w:tcW w:w="795" w:type="dxa"/>
                  <w:vMerge w:val="continue"/>
                  <w:noWrap w:val="0"/>
                  <w:vAlign w:val="center"/>
                </w:tcPr>
                <w:p w14:paraId="64EB21B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645" w:type="dxa"/>
                  <w:vMerge w:val="continue"/>
                  <w:noWrap w:val="0"/>
                  <w:vAlign w:val="center"/>
                </w:tcPr>
                <w:p w14:paraId="5FC7098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709" w:type="dxa"/>
                  <w:vMerge w:val="restart"/>
                  <w:noWrap w:val="0"/>
                  <w:vAlign w:val="center"/>
                </w:tcPr>
                <w:p w14:paraId="73D3FE0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0.388</w:t>
                  </w:r>
                </w:p>
              </w:tc>
              <w:tc>
                <w:tcPr>
                  <w:tcW w:w="1125" w:type="dxa"/>
                  <w:noWrap w:val="0"/>
                  <w:vAlign w:val="center"/>
                </w:tcPr>
                <w:p w14:paraId="04909CD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highlight w:val="none"/>
                    </w:rPr>
                    <w:t>进入</w:t>
                  </w:r>
                  <w:r>
                    <w:rPr>
                      <w:rFonts w:hint="eastAsia" w:eastAsia="宋体"/>
                      <w:color w:val="auto"/>
                      <w:sz w:val="21"/>
                      <w:lang w:val="en-US" w:eastAsia="zh-CN"/>
                    </w:rPr>
                    <w:t>环保设备</w:t>
                  </w:r>
                </w:p>
              </w:tc>
              <w:tc>
                <w:tcPr>
                  <w:tcW w:w="615" w:type="dxa"/>
                  <w:noWrap w:val="0"/>
                  <w:vAlign w:val="center"/>
                </w:tcPr>
                <w:p w14:paraId="41D218B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0.38024</w:t>
                  </w:r>
                </w:p>
              </w:tc>
              <w:tc>
                <w:tcPr>
                  <w:tcW w:w="705" w:type="dxa"/>
                  <w:noWrap w:val="0"/>
                  <w:vAlign w:val="center"/>
                </w:tcPr>
                <w:p w14:paraId="7C38767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highlight w:val="yellow"/>
                      <w:lang w:val="en-US" w:eastAsia="zh-CN"/>
                    </w:rPr>
                  </w:pPr>
                  <w:r>
                    <w:rPr>
                      <w:rFonts w:hint="eastAsia"/>
                      <w:color w:val="auto"/>
                      <w:sz w:val="21"/>
                      <w:highlight w:val="none"/>
                      <w:lang w:val="en-US" w:eastAsia="zh-CN"/>
                    </w:rPr>
                    <w:t>90</w:t>
                  </w:r>
                </w:p>
              </w:tc>
              <w:tc>
                <w:tcPr>
                  <w:tcW w:w="720" w:type="dxa"/>
                  <w:noWrap w:val="0"/>
                  <w:vAlign w:val="center"/>
                </w:tcPr>
                <w:p w14:paraId="2BDFA00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0.038</w:t>
                  </w:r>
                </w:p>
              </w:tc>
              <w:tc>
                <w:tcPr>
                  <w:tcW w:w="735" w:type="dxa"/>
                  <w:noWrap w:val="0"/>
                  <w:vAlign w:val="center"/>
                </w:tcPr>
                <w:p w14:paraId="209381B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0.042</w:t>
                  </w:r>
                </w:p>
              </w:tc>
              <w:tc>
                <w:tcPr>
                  <w:tcW w:w="945" w:type="dxa"/>
                  <w:noWrap w:val="0"/>
                  <w:vAlign w:val="center"/>
                </w:tcPr>
                <w:p w14:paraId="2E7E1C7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1.408</w:t>
                  </w:r>
                </w:p>
              </w:tc>
            </w:tr>
            <w:tr w14:paraId="4E132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37" w:type="dxa"/>
                  <w:vMerge w:val="continue"/>
                  <w:noWrap w:val="0"/>
                  <w:vAlign w:val="center"/>
                </w:tcPr>
                <w:p w14:paraId="49D17DF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870" w:type="dxa"/>
                  <w:vMerge w:val="continue"/>
                  <w:noWrap w:val="0"/>
                  <w:vAlign w:val="center"/>
                </w:tcPr>
                <w:p w14:paraId="4BF9516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795" w:type="dxa"/>
                  <w:vMerge w:val="continue"/>
                  <w:noWrap w:val="0"/>
                  <w:vAlign w:val="center"/>
                </w:tcPr>
                <w:p w14:paraId="3E97F93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645" w:type="dxa"/>
                  <w:vMerge w:val="continue"/>
                  <w:noWrap w:val="0"/>
                  <w:vAlign w:val="center"/>
                </w:tcPr>
                <w:p w14:paraId="4D53F35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709" w:type="dxa"/>
                  <w:vMerge w:val="continue"/>
                  <w:noWrap w:val="0"/>
                  <w:vAlign w:val="center"/>
                </w:tcPr>
                <w:p w14:paraId="03B20AA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p>
              </w:tc>
              <w:tc>
                <w:tcPr>
                  <w:tcW w:w="1125" w:type="dxa"/>
                  <w:noWrap w:val="0"/>
                  <w:vAlign w:val="center"/>
                </w:tcPr>
                <w:p w14:paraId="0F8C8CC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highlight w:val="none"/>
                    </w:rPr>
                    <w:t>未进入</w:t>
                  </w:r>
                  <w:r>
                    <w:rPr>
                      <w:rFonts w:hint="eastAsia" w:eastAsia="宋体"/>
                      <w:color w:val="auto"/>
                      <w:sz w:val="21"/>
                      <w:lang w:val="en-US" w:eastAsia="zh-CN"/>
                    </w:rPr>
                    <w:t>环保设备</w:t>
                  </w:r>
                </w:p>
              </w:tc>
              <w:tc>
                <w:tcPr>
                  <w:tcW w:w="615" w:type="dxa"/>
                  <w:noWrap w:val="0"/>
                  <w:vAlign w:val="center"/>
                </w:tcPr>
                <w:p w14:paraId="6287101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0.00776</w:t>
                  </w:r>
                </w:p>
              </w:tc>
              <w:tc>
                <w:tcPr>
                  <w:tcW w:w="705" w:type="dxa"/>
                  <w:noWrap w:val="0"/>
                  <w:vAlign w:val="center"/>
                </w:tcPr>
                <w:p w14:paraId="36E3944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highlight w:val="yellow"/>
                      <w:lang w:val="en-US" w:eastAsia="zh-CN"/>
                    </w:rPr>
                  </w:pPr>
                  <w:r>
                    <w:rPr>
                      <w:rFonts w:hint="eastAsia"/>
                      <w:color w:val="auto"/>
                      <w:sz w:val="21"/>
                      <w:highlight w:val="none"/>
                      <w:lang w:val="en-US" w:eastAsia="zh-CN"/>
                    </w:rPr>
                    <w:t>/</w:t>
                  </w:r>
                </w:p>
              </w:tc>
              <w:tc>
                <w:tcPr>
                  <w:tcW w:w="720" w:type="dxa"/>
                  <w:noWrap w:val="0"/>
                  <w:vAlign w:val="center"/>
                </w:tcPr>
                <w:p w14:paraId="21FCFF6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0.00776</w:t>
                  </w:r>
                </w:p>
              </w:tc>
              <w:tc>
                <w:tcPr>
                  <w:tcW w:w="735" w:type="dxa"/>
                  <w:noWrap w:val="0"/>
                  <w:vAlign w:val="center"/>
                </w:tcPr>
                <w:p w14:paraId="3CEFFC1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0.0086</w:t>
                  </w:r>
                </w:p>
              </w:tc>
              <w:tc>
                <w:tcPr>
                  <w:tcW w:w="945" w:type="dxa"/>
                  <w:noWrap w:val="0"/>
                  <w:vAlign w:val="center"/>
                </w:tcPr>
                <w:p w14:paraId="40D42D7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w:t>
                  </w:r>
                </w:p>
              </w:tc>
            </w:tr>
          </w:tbl>
          <w:p w14:paraId="2B011084">
            <w:pPr>
              <w:bidi w:val="0"/>
              <w:rPr>
                <w:rFonts w:hint="default"/>
                <w:color w:val="auto"/>
                <w:lang w:val="en-US" w:eastAsia="zh-CN"/>
              </w:rPr>
            </w:pPr>
            <w:r>
              <w:rPr>
                <w:rFonts w:hint="eastAsia"/>
                <w:color w:val="auto"/>
                <w:lang w:val="en-US" w:eastAsia="zh-CN"/>
              </w:rPr>
              <w:t>本项目调漆、喷漆、烤漆、塑粉固化过程产生的废气经过滤棉+活性炭吸附/脱附+催化燃烧装置处理后通过1根15m高排气筒（DA001）排放至大气中，在</w:t>
            </w:r>
            <w:r>
              <w:rPr>
                <w:rFonts w:hint="eastAsia" w:ascii="Times New Roman" w:hAnsi="Times New Roman" w:eastAsia="宋体" w:cs="Times New Roman"/>
                <w:snapToGrid w:val="0"/>
                <w:color w:val="auto"/>
                <w:kern w:val="0"/>
                <w:sz w:val="24"/>
                <w:lang w:val="en-US" w:eastAsia="zh-CN"/>
              </w:rPr>
              <w:t>过滤棉箱过滤+活性炭吸附工况下，</w:t>
            </w:r>
            <w:r>
              <w:rPr>
                <w:rFonts w:hint="eastAsia"/>
                <w:color w:val="auto"/>
                <w:lang w:val="en-US" w:eastAsia="zh-CN"/>
              </w:rPr>
              <w:t>颗粒物排放浓度满足《</w:t>
            </w:r>
            <w:r>
              <w:rPr>
                <w:rFonts w:ascii="Times New Roman" w:hAnsi="Times New Roman" w:eastAsia="宋体" w:cs="Times New Roman"/>
                <w:color w:val="auto"/>
                <w:kern w:val="24"/>
                <w:sz w:val="24"/>
                <w:szCs w:val="24"/>
              </w:rPr>
              <w:t>大气污染物综合排放标准》（GB16297-1996）颗粒物（染料尘）排放浓度：18mg/m</w:t>
            </w:r>
            <w:r>
              <w:rPr>
                <w:rFonts w:ascii="Times New Roman" w:hAnsi="Times New Roman" w:eastAsia="宋体" w:cs="Times New Roman"/>
                <w:color w:val="auto"/>
                <w:kern w:val="24"/>
                <w:sz w:val="24"/>
                <w:szCs w:val="24"/>
                <w:vertAlign w:val="superscript"/>
              </w:rPr>
              <w:t>3</w:t>
            </w:r>
            <w:r>
              <w:rPr>
                <w:rFonts w:hint="eastAsia" w:ascii="Times New Roman" w:hAnsi="Times New Roman" w:eastAsia="宋体" w:cs="Times New Roman"/>
                <w:color w:val="auto"/>
                <w:sz w:val="24"/>
                <w:szCs w:val="24"/>
                <w:lang w:val="en-US" w:eastAsia="zh-CN"/>
              </w:rPr>
              <w:t>的要求</w:t>
            </w:r>
            <w:r>
              <w:rPr>
                <w:rFonts w:hint="eastAsia" w:ascii="Times New Roman" w:hAnsi="Times New Roman" w:cs="Times New Roman"/>
                <w:color w:val="auto"/>
                <w:sz w:val="24"/>
                <w:szCs w:val="24"/>
                <w:lang w:val="en-US" w:eastAsia="zh-CN"/>
              </w:rPr>
              <w:t>，非甲烷总烃、苯、甲苯与二甲苯合计排放浓度满足</w:t>
            </w:r>
            <w:r>
              <w:rPr>
                <w:rFonts w:hint="eastAsia"/>
                <w:color w:val="auto"/>
              </w:rPr>
              <w:t>《工业企业挥发性有机物排放控制标准》（DB13/2322-2016）表1中表面涂装业非甲烷总烃最高允许有组织排放浓度60</w:t>
            </w:r>
            <w:r>
              <w:rPr>
                <w:color w:val="auto"/>
              </w:rPr>
              <w:t>mg/m</w:t>
            </w:r>
            <w:r>
              <w:rPr>
                <w:color w:val="auto"/>
                <w:vertAlign w:val="superscript"/>
              </w:rPr>
              <w:t>3</w:t>
            </w:r>
            <w:r>
              <w:rPr>
                <w:rFonts w:hint="eastAsia"/>
                <w:color w:val="auto"/>
              </w:rPr>
              <w:t>，</w:t>
            </w:r>
            <w:r>
              <w:rPr>
                <w:rFonts w:hint="eastAsia"/>
                <w:color w:val="auto"/>
                <w:lang w:val="en-US" w:eastAsia="zh-CN"/>
              </w:rPr>
              <w:t>苯</w:t>
            </w:r>
            <w:r>
              <w:rPr>
                <w:rFonts w:hint="eastAsia"/>
                <w:color w:val="auto"/>
              </w:rPr>
              <w:t>最高允许有组织排放浓度</w:t>
            </w:r>
            <w:r>
              <w:rPr>
                <w:rFonts w:hint="eastAsia"/>
                <w:color w:val="auto"/>
                <w:lang w:val="en-US" w:eastAsia="zh-CN"/>
              </w:rPr>
              <w:t>1</w:t>
            </w:r>
            <w:r>
              <w:rPr>
                <w:color w:val="auto"/>
              </w:rPr>
              <w:t>mg/m</w:t>
            </w:r>
            <w:r>
              <w:rPr>
                <w:color w:val="auto"/>
                <w:vertAlign w:val="superscript"/>
              </w:rPr>
              <w:t>3</w:t>
            </w:r>
            <w:r>
              <w:rPr>
                <w:rFonts w:hint="eastAsia"/>
                <w:color w:val="auto"/>
              </w:rPr>
              <w:t>，甲苯与二甲苯合计</w:t>
            </w:r>
            <w:r>
              <w:rPr>
                <w:rFonts w:hint="eastAsia"/>
                <w:color w:val="auto"/>
                <w:lang w:val="en-US" w:eastAsia="zh-CN"/>
              </w:rPr>
              <w:t>最高允许排放浓度</w:t>
            </w:r>
            <w:r>
              <w:rPr>
                <w:rFonts w:hint="eastAsia"/>
                <w:color w:val="auto"/>
              </w:rPr>
              <w:t>20</w:t>
            </w:r>
            <w:r>
              <w:rPr>
                <w:color w:val="auto"/>
              </w:rPr>
              <w:t>mg/m</w:t>
            </w:r>
            <w:r>
              <w:rPr>
                <w:color w:val="auto"/>
                <w:vertAlign w:val="superscript"/>
              </w:rPr>
              <w:t>3</w:t>
            </w:r>
            <w:r>
              <w:rPr>
                <w:rFonts w:hint="eastAsia"/>
                <w:color w:val="auto"/>
              </w:rPr>
              <w:t>，</w:t>
            </w:r>
            <w:r>
              <w:rPr>
                <w:rFonts w:hint="eastAsia"/>
                <w:color w:val="auto"/>
                <w:lang w:val="en-US" w:eastAsia="zh-CN"/>
              </w:rPr>
              <w:t>非甲烷总烃</w:t>
            </w:r>
            <w:r>
              <w:rPr>
                <w:rFonts w:hint="eastAsia"/>
                <w:color w:val="auto"/>
              </w:rPr>
              <w:t>处理效率不低于70%</w:t>
            </w:r>
            <w:r>
              <w:rPr>
                <w:rFonts w:hint="eastAsia"/>
                <w:color w:val="auto"/>
                <w:lang w:val="en-US" w:eastAsia="zh-CN"/>
              </w:rPr>
              <w:t>的要求</w:t>
            </w:r>
            <w:r>
              <w:rPr>
                <w:rFonts w:hint="eastAsia"/>
                <w:color w:val="auto"/>
              </w:rPr>
              <w:t>，</w:t>
            </w:r>
            <w:r>
              <w:rPr>
                <w:rFonts w:hint="eastAsia"/>
                <w:color w:val="auto"/>
                <w:lang w:val="en-US" w:eastAsia="zh-CN"/>
              </w:rPr>
              <w:t>同时满足</w:t>
            </w:r>
            <w:r>
              <w:rPr>
                <w:rFonts w:hint="eastAsia"/>
                <w:color w:val="auto"/>
              </w:rPr>
              <w:t>排气筒高度不低于15m</w:t>
            </w:r>
            <w:r>
              <w:rPr>
                <w:rFonts w:hint="eastAsia"/>
                <w:color w:val="auto"/>
                <w:lang w:eastAsia="zh-CN"/>
              </w:rPr>
              <w:t>，且高于周边</w:t>
            </w:r>
            <w:r>
              <w:rPr>
                <w:rFonts w:hint="eastAsia"/>
                <w:color w:val="auto"/>
                <w:lang w:val="en-US" w:eastAsia="zh-CN"/>
              </w:rPr>
              <w:t>200m范围内最高建筑物5m的要求。</w:t>
            </w:r>
          </w:p>
          <w:p w14:paraId="142388B3">
            <w:pPr>
              <w:numPr>
                <w:ilvl w:val="0"/>
                <w:numId w:val="0"/>
              </w:numPr>
              <w:bidi w:val="0"/>
              <w:ind w:leftChars="200"/>
              <w:rPr>
                <w:rFonts w:hint="eastAsia"/>
                <w:b w:val="0"/>
                <w:bCs w:val="0"/>
                <w:color w:val="auto"/>
                <w:lang w:val="en-US" w:eastAsia="zh-CN"/>
              </w:rPr>
            </w:pPr>
            <w:r>
              <w:rPr>
                <w:rFonts w:hint="eastAsia" w:ascii="Times New Roman" w:hAnsi="Times New Roman" w:eastAsia="宋体" w:cs="Times New Roman"/>
                <w:snapToGrid w:val="0"/>
                <w:color w:val="auto"/>
                <w:kern w:val="0"/>
                <w:sz w:val="24"/>
                <w:lang w:val="en-US" w:eastAsia="zh-CN"/>
              </w:rPr>
              <w:fldChar w:fldCharType="begin"/>
            </w:r>
            <w:r>
              <w:rPr>
                <w:rFonts w:hint="eastAsia" w:ascii="Times New Roman" w:hAnsi="Times New Roman" w:eastAsia="宋体" w:cs="Times New Roman"/>
                <w:snapToGrid w:val="0"/>
                <w:color w:val="auto"/>
                <w:kern w:val="0"/>
                <w:sz w:val="24"/>
                <w:lang w:val="en-US" w:eastAsia="zh-CN"/>
              </w:rPr>
              <w:instrText xml:space="preserve"> = 2 \* GB3 \* MERGEFORMAT </w:instrText>
            </w:r>
            <w:r>
              <w:rPr>
                <w:rFonts w:hint="eastAsia" w:ascii="Times New Roman" w:hAnsi="Times New Roman" w:eastAsia="宋体" w:cs="Times New Roman"/>
                <w:snapToGrid w:val="0"/>
                <w:color w:val="auto"/>
                <w:kern w:val="0"/>
                <w:sz w:val="24"/>
                <w:lang w:val="en-US" w:eastAsia="zh-CN"/>
              </w:rPr>
              <w:fldChar w:fldCharType="separate"/>
            </w:r>
            <w:r>
              <w:rPr>
                <w:color w:val="auto"/>
              </w:rPr>
              <w:t>②</w:t>
            </w:r>
            <w:r>
              <w:rPr>
                <w:rFonts w:hint="eastAsia" w:ascii="Times New Roman" w:hAnsi="Times New Roman" w:eastAsia="宋体" w:cs="Times New Roman"/>
                <w:snapToGrid w:val="0"/>
                <w:color w:val="auto"/>
                <w:kern w:val="0"/>
                <w:sz w:val="24"/>
                <w:lang w:val="en-US" w:eastAsia="zh-CN"/>
              </w:rPr>
              <w:fldChar w:fldCharType="end"/>
            </w:r>
            <w:r>
              <w:rPr>
                <w:rFonts w:hint="eastAsia" w:ascii="Times New Roman" w:hAnsi="Times New Roman" w:eastAsia="宋体" w:cs="Times New Roman"/>
                <w:snapToGrid w:val="0"/>
                <w:color w:val="auto"/>
                <w:kern w:val="0"/>
                <w:sz w:val="24"/>
                <w:lang w:val="en-US" w:eastAsia="zh-CN"/>
              </w:rPr>
              <w:t>活性炭</w:t>
            </w:r>
            <w:r>
              <w:rPr>
                <w:rFonts w:hint="eastAsia" w:ascii="Times New Roman" w:hAnsi="Times New Roman" w:cs="Times New Roman"/>
                <w:snapToGrid w:val="0"/>
                <w:color w:val="auto"/>
                <w:kern w:val="0"/>
                <w:sz w:val="24"/>
                <w:lang w:val="en-US" w:eastAsia="zh-CN"/>
              </w:rPr>
              <w:t>脱附</w:t>
            </w:r>
            <w:r>
              <w:rPr>
                <w:rFonts w:hint="eastAsia" w:ascii="Times New Roman" w:hAnsi="Times New Roman" w:eastAsia="宋体" w:cs="Times New Roman"/>
                <w:snapToGrid w:val="0"/>
                <w:color w:val="auto"/>
                <w:kern w:val="0"/>
                <w:sz w:val="24"/>
                <w:lang w:val="en-US" w:eastAsia="zh-CN"/>
              </w:rPr>
              <w:t>+催化燃烧工况</w:t>
            </w:r>
          </w:p>
          <w:p w14:paraId="5AD2E4FB">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color w:val="auto"/>
                <w:vertAlign w:val="baseline"/>
                <w:lang w:val="en-US" w:eastAsia="zh-CN"/>
              </w:rPr>
            </w:pPr>
            <w:r>
              <w:rPr>
                <w:rFonts w:hint="eastAsia"/>
                <w:b w:val="0"/>
                <w:bCs w:val="0"/>
                <w:color w:val="auto"/>
                <w:lang w:val="en-US" w:eastAsia="zh-CN"/>
              </w:rPr>
              <w:t>活性炭吸附的有机废气需定期进行脱附，本项目活性炭吸附有机废气量为非甲烷总烃1.671t/a，苯0.03528t/a，甲苯与二甲苯合计0.342t/a，本项目活性炭填装量为3t，活性炭吸附有机废气量按活性炭填装量的10%计，则3t活性炭可吸附0.3tVOCs，本项目采用离线脱附方式，每半个月脱附一次，半个月活性炭吸附量为非甲烷总烃0.07t，苯0.0015t，甲苯与二甲苯合计0.0143t，每次脱附时间为10h，脱附过程年运行时间为240h，本项目脱附风机风量为3000m</w:t>
            </w:r>
            <w:r>
              <w:rPr>
                <w:rFonts w:hint="eastAsia"/>
                <w:b w:val="0"/>
                <w:bCs w:val="0"/>
                <w:color w:val="auto"/>
                <w:vertAlign w:val="superscript"/>
                <w:lang w:val="en-US" w:eastAsia="zh-CN"/>
              </w:rPr>
              <w:t>3</w:t>
            </w:r>
            <w:r>
              <w:rPr>
                <w:rFonts w:hint="eastAsia"/>
                <w:b w:val="0"/>
                <w:bCs w:val="0"/>
                <w:color w:val="auto"/>
                <w:lang w:val="en-US" w:eastAsia="zh-CN"/>
              </w:rPr>
              <w:t>/h，催化燃烧去除效率按98%计，</w:t>
            </w:r>
            <w:r>
              <w:rPr>
                <w:rFonts w:hint="eastAsia"/>
                <w:color w:val="auto"/>
                <w:vertAlign w:val="baseline"/>
                <w:lang w:val="en-US" w:eastAsia="zh-CN"/>
              </w:rPr>
              <w:t>项目活性炭脱附+催化燃烧工况污染物排放情况见下表。</w:t>
            </w:r>
          </w:p>
          <w:p w14:paraId="0BD60F1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eastAsia="宋体"/>
                <w:b/>
                <w:bCs/>
                <w:color w:val="auto"/>
                <w:sz w:val="21"/>
              </w:rPr>
            </w:pPr>
            <w:r>
              <w:rPr>
                <w:rFonts w:hint="eastAsia" w:eastAsia="宋体"/>
                <w:b/>
                <w:bCs/>
                <w:color w:val="auto"/>
                <w:sz w:val="21"/>
                <w:szCs w:val="21"/>
              </w:rPr>
              <w:t>表</w:t>
            </w:r>
            <w:r>
              <w:rPr>
                <w:rFonts w:hint="eastAsia"/>
                <w:b/>
                <w:bCs/>
                <w:color w:val="auto"/>
                <w:sz w:val="21"/>
                <w:szCs w:val="21"/>
                <w:lang w:val="en-US" w:eastAsia="zh-CN"/>
              </w:rPr>
              <w:t xml:space="preserve">28 </w:t>
            </w:r>
            <w:r>
              <w:rPr>
                <w:rFonts w:hint="eastAsia" w:eastAsia="宋体"/>
                <w:b/>
                <w:bCs/>
                <w:color w:val="auto"/>
                <w:sz w:val="21"/>
                <w:szCs w:val="21"/>
              </w:rPr>
              <w:t xml:space="preserve"> </w:t>
            </w:r>
            <w:r>
              <w:rPr>
                <w:rFonts w:hint="eastAsia" w:eastAsia="宋体"/>
                <w:b/>
                <w:bCs/>
                <w:color w:val="auto"/>
                <w:sz w:val="21"/>
                <w:szCs w:val="21"/>
                <w:lang w:val="en-US" w:eastAsia="zh-CN"/>
              </w:rPr>
              <w:t>活性炭脱附+催化燃烧工况</w:t>
            </w:r>
            <w:r>
              <w:rPr>
                <w:rFonts w:hint="eastAsia" w:ascii="Times New Roman" w:hAnsi="Times New Roman" w:eastAsia="宋体"/>
                <w:b/>
                <w:color w:val="auto"/>
                <w:sz w:val="21"/>
                <w:szCs w:val="21"/>
              </w:rPr>
              <w:t>污染物</w:t>
            </w:r>
            <w:r>
              <w:rPr>
                <w:rFonts w:hint="eastAsia" w:ascii="Times New Roman" w:hAnsi="Times New Roman" w:eastAsia="宋体"/>
                <w:b/>
                <w:color w:val="auto"/>
                <w:sz w:val="21"/>
                <w:szCs w:val="21"/>
                <w:lang w:val="en-US" w:eastAsia="zh-CN"/>
              </w:rPr>
              <w:t>排放情况</w:t>
            </w:r>
            <w:r>
              <w:rPr>
                <w:rFonts w:hint="eastAsia"/>
                <w:b/>
                <w:color w:val="auto"/>
                <w:sz w:val="21"/>
                <w:szCs w:val="21"/>
                <w:lang w:val="en-US" w:eastAsia="zh-CN"/>
              </w:rPr>
              <w:t>一览表</w:t>
            </w:r>
          </w:p>
          <w:tbl>
            <w:tblPr>
              <w:tblStyle w:val="20"/>
              <w:tblW w:w="84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10"/>
              <w:gridCol w:w="870"/>
              <w:gridCol w:w="900"/>
              <w:gridCol w:w="840"/>
              <w:gridCol w:w="855"/>
              <w:gridCol w:w="900"/>
              <w:gridCol w:w="990"/>
              <w:gridCol w:w="1030"/>
            </w:tblGrid>
            <w:tr w14:paraId="051D3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21" w:hRule="atLeast"/>
                <w:jc w:val="center"/>
              </w:trPr>
              <w:tc>
                <w:tcPr>
                  <w:tcW w:w="910" w:type="dxa"/>
                  <w:noWrap w:val="0"/>
                  <w:vAlign w:val="center"/>
                </w:tcPr>
                <w:p w14:paraId="4EAA6A1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r>
                    <w:rPr>
                      <w:rFonts w:hint="eastAsia" w:eastAsia="宋体"/>
                      <w:color w:val="auto"/>
                      <w:sz w:val="21"/>
                    </w:rPr>
                    <w:t>污染源</w:t>
                  </w:r>
                </w:p>
              </w:tc>
              <w:tc>
                <w:tcPr>
                  <w:tcW w:w="1110" w:type="dxa"/>
                  <w:noWrap w:val="0"/>
                  <w:vAlign w:val="center"/>
                </w:tcPr>
                <w:p w14:paraId="64CF4E4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r>
                    <w:rPr>
                      <w:rFonts w:hint="eastAsia" w:eastAsia="宋体"/>
                      <w:color w:val="auto"/>
                      <w:sz w:val="21"/>
                    </w:rPr>
                    <w:t>污染因子</w:t>
                  </w:r>
                </w:p>
              </w:tc>
              <w:tc>
                <w:tcPr>
                  <w:tcW w:w="870" w:type="dxa"/>
                  <w:noWrap w:val="0"/>
                  <w:vAlign w:val="center"/>
                </w:tcPr>
                <w:p w14:paraId="47E8E4B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r>
                    <w:rPr>
                      <w:rFonts w:hint="eastAsia" w:eastAsia="宋体"/>
                      <w:color w:val="auto"/>
                      <w:sz w:val="21"/>
                    </w:rPr>
                    <w:t>运行时间</w:t>
                  </w:r>
                  <w:r>
                    <w:rPr>
                      <w:rFonts w:hint="eastAsia"/>
                      <w:color w:val="auto"/>
                      <w:sz w:val="21"/>
                      <w:lang w:val="en-US" w:eastAsia="zh-CN"/>
                    </w:rPr>
                    <w:t>(</w:t>
                  </w:r>
                  <w:r>
                    <w:rPr>
                      <w:rFonts w:hint="eastAsia" w:eastAsia="宋体"/>
                      <w:color w:val="auto"/>
                      <w:sz w:val="21"/>
                    </w:rPr>
                    <w:t>h/a</w:t>
                  </w:r>
                  <w:r>
                    <w:rPr>
                      <w:rFonts w:hint="eastAsia"/>
                      <w:color w:val="auto"/>
                      <w:sz w:val="21"/>
                      <w:lang w:val="en-US" w:eastAsia="zh-CN"/>
                    </w:rPr>
                    <w:t>)</w:t>
                  </w:r>
                </w:p>
              </w:tc>
              <w:tc>
                <w:tcPr>
                  <w:tcW w:w="900" w:type="dxa"/>
                  <w:noWrap w:val="0"/>
                  <w:vAlign w:val="center"/>
                </w:tcPr>
                <w:p w14:paraId="06F6484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r>
                    <w:rPr>
                      <w:rFonts w:hint="eastAsia" w:eastAsia="宋体"/>
                      <w:color w:val="auto"/>
                      <w:sz w:val="21"/>
                    </w:rPr>
                    <w:t>产生量</w:t>
                  </w:r>
                  <w:r>
                    <w:rPr>
                      <w:rFonts w:hint="eastAsia" w:eastAsia="宋体"/>
                      <w:color w:val="auto"/>
                      <w:sz w:val="21"/>
                      <w:lang w:eastAsia="zh-CN"/>
                    </w:rPr>
                    <w:t>（</w:t>
                  </w:r>
                  <w:r>
                    <w:rPr>
                      <w:rFonts w:hint="eastAsia" w:eastAsia="宋体"/>
                      <w:color w:val="auto"/>
                      <w:sz w:val="21"/>
                    </w:rPr>
                    <w:t>t/a</w:t>
                  </w:r>
                  <w:r>
                    <w:rPr>
                      <w:rFonts w:hint="eastAsia" w:eastAsia="宋体"/>
                      <w:color w:val="auto"/>
                      <w:sz w:val="21"/>
                      <w:lang w:eastAsia="zh-CN"/>
                    </w:rPr>
                    <w:t>）</w:t>
                  </w:r>
                </w:p>
              </w:tc>
              <w:tc>
                <w:tcPr>
                  <w:tcW w:w="840" w:type="dxa"/>
                  <w:noWrap w:val="0"/>
                  <w:vAlign w:val="center"/>
                </w:tcPr>
                <w:p w14:paraId="5109FCE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r>
                    <w:rPr>
                      <w:rFonts w:hint="eastAsia"/>
                      <w:color w:val="auto"/>
                      <w:sz w:val="21"/>
                      <w:lang w:val="en-US" w:eastAsia="zh-CN"/>
                    </w:rPr>
                    <w:t>去除效率(%)</w:t>
                  </w:r>
                </w:p>
              </w:tc>
              <w:tc>
                <w:tcPr>
                  <w:tcW w:w="855" w:type="dxa"/>
                  <w:noWrap w:val="0"/>
                  <w:vAlign w:val="center"/>
                </w:tcPr>
                <w:p w14:paraId="1DECB73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r>
                    <w:rPr>
                      <w:rFonts w:hint="eastAsia"/>
                      <w:color w:val="auto"/>
                      <w:sz w:val="21"/>
                      <w:lang w:val="en-US" w:eastAsia="zh-CN"/>
                    </w:rPr>
                    <w:t>去除量(t/a)</w:t>
                  </w:r>
                </w:p>
              </w:tc>
              <w:tc>
                <w:tcPr>
                  <w:tcW w:w="900" w:type="dxa"/>
                  <w:noWrap w:val="0"/>
                  <w:vAlign w:val="center"/>
                </w:tcPr>
                <w:p w14:paraId="799AF84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sz w:val="21"/>
                      <w:lang w:val="en-US" w:eastAsia="zh-CN"/>
                    </w:rPr>
                    <w:t>排放量(t/a)</w:t>
                  </w:r>
                </w:p>
              </w:tc>
              <w:tc>
                <w:tcPr>
                  <w:tcW w:w="990" w:type="dxa"/>
                  <w:noWrap w:val="0"/>
                  <w:vAlign w:val="center"/>
                </w:tcPr>
                <w:p w14:paraId="4CD62AE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lang w:val="en-US" w:eastAsia="zh-CN"/>
                    </w:rPr>
                  </w:pPr>
                  <w:r>
                    <w:rPr>
                      <w:rFonts w:hint="eastAsia"/>
                      <w:color w:val="auto"/>
                      <w:sz w:val="21"/>
                      <w:lang w:val="en-US" w:eastAsia="zh-CN"/>
                    </w:rPr>
                    <w:t>排放速率(kg/h)</w:t>
                  </w:r>
                </w:p>
              </w:tc>
              <w:tc>
                <w:tcPr>
                  <w:tcW w:w="1030" w:type="dxa"/>
                  <w:noWrap w:val="0"/>
                  <w:vAlign w:val="center"/>
                </w:tcPr>
                <w:p w14:paraId="05E255B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lang w:val="en-US" w:eastAsia="zh-CN"/>
                    </w:rPr>
                  </w:pPr>
                  <w:r>
                    <w:rPr>
                      <w:rFonts w:hint="eastAsia"/>
                      <w:color w:val="auto"/>
                      <w:sz w:val="21"/>
                      <w:lang w:val="en-US" w:eastAsia="zh-CN"/>
                    </w:rPr>
                    <w:t>排放浓度(</w:t>
                  </w:r>
                  <w:r>
                    <w:rPr>
                      <w:rFonts w:hint="eastAsia"/>
                      <w:color w:val="auto"/>
                      <w:sz w:val="21"/>
                      <w:szCs w:val="21"/>
                      <w:lang w:eastAsia="zh-CN"/>
                    </w:rPr>
                    <w:t>mg/m</w:t>
                  </w:r>
                  <w:r>
                    <w:rPr>
                      <w:rFonts w:hint="eastAsia"/>
                      <w:color w:val="auto"/>
                      <w:sz w:val="21"/>
                      <w:szCs w:val="21"/>
                      <w:vertAlign w:val="superscript"/>
                      <w:lang w:eastAsia="zh-CN"/>
                    </w:rPr>
                    <w:t>3</w:t>
                  </w:r>
                  <w:r>
                    <w:rPr>
                      <w:rFonts w:hint="eastAsia"/>
                      <w:color w:val="auto"/>
                      <w:sz w:val="21"/>
                      <w:lang w:val="en-US" w:eastAsia="zh-CN"/>
                    </w:rPr>
                    <w:t>)</w:t>
                  </w:r>
                </w:p>
              </w:tc>
            </w:tr>
            <w:tr w14:paraId="630C9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0" w:type="dxa"/>
                  <w:vMerge w:val="restart"/>
                  <w:noWrap w:val="0"/>
                  <w:vAlign w:val="center"/>
                </w:tcPr>
                <w:p w14:paraId="611AC5A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r>
                    <w:rPr>
                      <w:rFonts w:hint="eastAsia" w:eastAsia="宋体"/>
                      <w:color w:val="auto"/>
                      <w:sz w:val="21"/>
                      <w:lang w:val="en-US" w:eastAsia="zh-CN"/>
                    </w:rPr>
                    <w:t>活性炭脱附+催化燃烧过程</w:t>
                  </w:r>
                </w:p>
              </w:tc>
              <w:tc>
                <w:tcPr>
                  <w:tcW w:w="1110" w:type="dxa"/>
                  <w:noWrap w:val="0"/>
                  <w:vAlign w:val="center"/>
                </w:tcPr>
                <w:p w14:paraId="2395F9D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lang w:val="en-US" w:eastAsia="zh-CN"/>
                    </w:rPr>
                  </w:pPr>
                  <w:r>
                    <w:rPr>
                      <w:rFonts w:hint="eastAsia" w:eastAsia="宋体"/>
                      <w:color w:val="auto"/>
                      <w:sz w:val="21"/>
                      <w:lang w:val="en-US" w:eastAsia="zh-CN"/>
                    </w:rPr>
                    <w:t>非甲烷总烃</w:t>
                  </w:r>
                </w:p>
              </w:tc>
              <w:tc>
                <w:tcPr>
                  <w:tcW w:w="870" w:type="dxa"/>
                  <w:vMerge w:val="restart"/>
                  <w:noWrap w:val="0"/>
                  <w:vAlign w:val="center"/>
                </w:tcPr>
                <w:p w14:paraId="5A4757A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kern w:val="2"/>
                      <w:sz w:val="21"/>
                      <w:szCs w:val="24"/>
                      <w:lang w:val="en-US" w:eastAsia="zh-CN" w:bidi="ar-SA"/>
                    </w:rPr>
                  </w:pPr>
                  <w:r>
                    <w:rPr>
                      <w:rFonts w:hint="eastAsia"/>
                      <w:color w:val="auto"/>
                      <w:kern w:val="2"/>
                      <w:sz w:val="21"/>
                      <w:szCs w:val="24"/>
                      <w:lang w:val="en-US" w:eastAsia="zh-CN" w:bidi="ar-SA"/>
                    </w:rPr>
                    <w:t>240</w:t>
                  </w:r>
                </w:p>
              </w:tc>
              <w:tc>
                <w:tcPr>
                  <w:tcW w:w="900" w:type="dxa"/>
                  <w:noWrap w:val="0"/>
                  <w:vAlign w:val="center"/>
                </w:tcPr>
                <w:p w14:paraId="32FD95B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eastAsia="宋体"/>
                      <w:color w:val="auto"/>
                      <w:sz w:val="21"/>
                      <w:highlight w:val="none"/>
                      <w:lang w:val="en-US" w:eastAsia="zh-CN"/>
                    </w:rPr>
                    <w:t>1.671</w:t>
                  </w:r>
                </w:p>
              </w:tc>
              <w:tc>
                <w:tcPr>
                  <w:tcW w:w="840" w:type="dxa"/>
                  <w:vMerge w:val="restart"/>
                  <w:noWrap w:val="0"/>
                  <w:vAlign w:val="center"/>
                </w:tcPr>
                <w:p w14:paraId="7F16953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yellow"/>
                      <w:lang w:val="en-US" w:eastAsia="zh-CN"/>
                    </w:rPr>
                  </w:pPr>
                  <w:r>
                    <w:rPr>
                      <w:rFonts w:hint="eastAsia"/>
                      <w:color w:val="auto"/>
                      <w:sz w:val="21"/>
                      <w:highlight w:val="none"/>
                      <w:lang w:val="en-US" w:eastAsia="zh-CN"/>
                    </w:rPr>
                    <w:t>98</w:t>
                  </w:r>
                </w:p>
              </w:tc>
              <w:tc>
                <w:tcPr>
                  <w:tcW w:w="855" w:type="dxa"/>
                  <w:noWrap w:val="0"/>
                  <w:vAlign w:val="center"/>
                </w:tcPr>
                <w:p w14:paraId="0926741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1.638</w:t>
                  </w:r>
                </w:p>
              </w:tc>
              <w:tc>
                <w:tcPr>
                  <w:tcW w:w="900" w:type="dxa"/>
                  <w:noWrap w:val="0"/>
                  <w:vAlign w:val="center"/>
                </w:tcPr>
                <w:p w14:paraId="1F550DF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sz w:val="21"/>
                      <w:highlight w:val="none"/>
                      <w:lang w:val="en-US" w:eastAsia="zh-CN"/>
                    </w:rPr>
                    <w:t>0.033</w:t>
                  </w:r>
                </w:p>
              </w:tc>
              <w:tc>
                <w:tcPr>
                  <w:tcW w:w="990" w:type="dxa"/>
                  <w:noWrap w:val="0"/>
                  <w:vAlign w:val="center"/>
                </w:tcPr>
                <w:p w14:paraId="6326158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0.1375</w:t>
                  </w:r>
                </w:p>
              </w:tc>
              <w:tc>
                <w:tcPr>
                  <w:tcW w:w="1030" w:type="dxa"/>
                  <w:noWrap w:val="0"/>
                  <w:vAlign w:val="center"/>
                </w:tcPr>
                <w:p w14:paraId="63E1A0F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45.8</w:t>
                  </w:r>
                </w:p>
              </w:tc>
            </w:tr>
            <w:tr w14:paraId="0CB9E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10" w:type="dxa"/>
                  <w:vMerge w:val="continue"/>
                  <w:noWrap w:val="0"/>
                  <w:vAlign w:val="center"/>
                </w:tcPr>
                <w:p w14:paraId="588FFC1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1110" w:type="dxa"/>
                  <w:noWrap w:val="0"/>
                  <w:vAlign w:val="center"/>
                </w:tcPr>
                <w:p w14:paraId="07CAD24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lang w:val="en-US" w:eastAsia="zh-CN"/>
                    </w:rPr>
                  </w:pPr>
                  <w:r>
                    <w:rPr>
                      <w:rFonts w:hint="eastAsia"/>
                      <w:color w:val="auto"/>
                      <w:sz w:val="21"/>
                      <w:lang w:val="en-US" w:eastAsia="zh-CN"/>
                    </w:rPr>
                    <w:t>苯</w:t>
                  </w:r>
                </w:p>
              </w:tc>
              <w:tc>
                <w:tcPr>
                  <w:tcW w:w="870" w:type="dxa"/>
                  <w:vMerge w:val="continue"/>
                  <w:noWrap w:val="0"/>
                  <w:vAlign w:val="center"/>
                </w:tcPr>
                <w:p w14:paraId="085D097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900" w:type="dxa"/>
                  <w:noWrap w:val="0"/>
                  <w:vAlign w:val="center"/>
                </w:tcPr>
                <w:p w14:paraId="531C70C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eastAsia="宋体"/>
                      <w:color w:val="auto"/>
                      <w:sz w:val="21"/>
                      <w:highlight w:val="none"/>
                      <w:lang w:val="en-US" w:eastAsia="zh-CN"/>
                    </w:rPr>
                    <w:t>0.03528</w:t>
                  </w:r>
                </w:p>
              </w:tc>
              <w:tc>
                <w:tcPr>
                  <w:tcW w:w="840" w:type="dxa"/>
                  <w:vMerge w:val="continue"/>
                  <w:noWrap w:val="0"/>
                  <w:vAlign w:val="center"/>
                </w:tcPr>
                <w:p w14:paraId="20A3A4D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highlight w:val="yellow"/>
                      <w:lang w:val="en-US" w:eastAsia="zh-CN"/>
                    </w:rPr>
                  </w:pPr>
                </w:p>
              </w:tc>
              <w:tc>
                <w:tcPr>
                  <w:tcW w:w="855" w:type="dxa"/>
                  <w:noWrap w:val="0"/>
                  <w:vAlign w:val="center"/>
                </w:tcPr>
                <w:p w14:paraId="7B45856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0.0346</w:t>
                  </w:r>
                </w:p>
              </w:tc>
              <w:tc>
                <w:tcPr>
                  <w:tcW w:w="900" w:type="dxa"/>
                  <w:noWrap w:val="0"/>
                  <w:vAlign w:val="center"/>
                </w:tcPr>
                <w:p w14:paraId="2534A04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0.00068</w:t>
                  </w:r>
                </w:p>
              </w:tc>
              <w:tc>
                <w:tcPr>
                  <w:tcW w:w="990" w:type="dxa"/>
                  <w:noWrap w:val="0"/>
                  <w:vAlign w:val="center"/>
                </w:tcPr>
                <w:p w14:paraId="028D575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0.00283</w:t>
                  </w:r>
                </w:p>
              </w:tc>
              <w:tc>
                <w:tcPr>
                  <w:tcW w:w="1030" w:type="dxa"/>
                  <w:noWrap w:val="0"/>
                  <w:vAlign w:val="center"/>
                </w:tcPr>
                <w:p w14:paraId="58FCAF2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0.94</w:t>
                  </w:r>
                </w:p>
              </w:tc>
            </w:tr>
            <w:tr w14:paraId="53B17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10" w:type="dxa"/>
                  <w:vMerge w:val="continue"/>
                  <w:noWrap w:val="0"/>
                  <w:vAlign w:val="center"/>
                </w:tcPr>
                <w:p w14:paraId="0B52D5F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1110" w:type="dxa"/>
                  <w:noWrap w:val="0"/>
                  <w:vAlign w:val="center"/>
                </w:tcPr>
                <w:p w14:paraId="4E5FB57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lang w:val="en-US" w:eastAsia="zh-CN"/>
                    </w:rPr>
                  </w:pPr>
                  <w:r>
                    <w:rPr>
                      <w:rFonts w:hint="eastAsia"/>
                      <w:color w:val="auto"/>
                      <w:sz w:val="21"/>
                      <w:lang w:val="en-US" w:eastAsia="zh-CN"/>
                    </w:rPr>
                    <w:t>甲苯与二甲苯合计</w:t>
                  </w:r>
                </w:p>
              </w:tc>
              <w:tc>
                <w:tcPr>
                  <w:tcW w:w="870" w:type="dxa"/>
                  <w:vMerge w:val="continue"/>
                  <w:noWrap w:val="0"/>
                  <w:vAlign w:val="center"/>
                </w:tcPr>
                <w:p w14:paraId="734DD6B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900" w:type="dxa"/>
                  <w:noWrap w:val="0"/>
                  <w:vAlign w:val="center"/>
                </w:tcPr>
                <w:p w14:paraId="1261F44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eastAsia="宋体"/>
                      <w:color w:val="auto"/>
                      <w:sz w:val="21"/>
                      <w:highlight w:val="none"/>
                      <w:lang w:val="en-US" w:eastAsia="zh-CN"/>
                    </w:rPr>
                    <w:t>0.</w:t>
                  </w:r>
                  <w:r>
                    <w:rPr>
                      <w:rFonts w:hint="eastAsia"/>
                      <w:color w:val="auto"/>
                      <w:sz w:val="21"/>
                      <w:highlight w:val="none"/>
                      <w:lang w:val="en-US" w:eastAsia="zh-CN"/>
                    </w:rPr>
                    <w:t>342</w:t>
                  </w:r>
                </w:p>
              </w:tc>
              <w:tc>
                <w:tcPr>
                  <w:tcW w:w="840" w:type="dxa"/>
                  <w:vMerge w:val="continue"/>
                  <w:noWrap w:val="0"/>
                  <w:vAlign w:val="center"/>
                </w:tcPr>
                <w:p w14:paraId="05C393E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highlight w:val="yellow"/>
                      <w:lang w:val="en-US" w:eastAsia="zh-CN"/>
                    </w:rPr>
                  </w:pPr>
                </w:p>
              </w:tc>
              <w:tc>
                <w:tcPr>
                  <w:tcW w:w="855" w:type="dxa"/>
                  <w:noWrap w:val="0"/>
                  <w:vAlign w:val="center"/>
                </w:tcPr>
                <w:p w14:paraId="3CD15DC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0.3352</w:t>
                  </w:r>
                </w:p>
              </w:tc>
              <w:tc>
                <w:tcPr>
                  <w:tcW w:w="900" w:type="dxa"/>
                  <w:noWrap w:val="0"/>
                  <w:vAlign w:val="center"/>
                </w:tcPr>
                <w:p w14:paraId="604B3BC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0.0068</w:t>
                  </w:r>
                </w:p>
              </w:tc>
              <w:tc>
                <w:tcPr>
                  <w:tcW w:w="990" w:type="dxa"/>
                  <w:noWrap w:val="0"/>
                  <w:vAlign w:val="center"/>
                </w:tcPr>
                <w:p w14:paraId="0C3996D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0.0283</w:t>
                  </w:r>
                </w:p>
              </w:tc>
              <w:tc>
                <w:tcPr>
                  <w:tcW w:w="1030" w:type="dxa"/>
                  <w:noWrap w:val="0"/>
                  <w:vAlign w:val="center"/>
                </w:tcPr>
                <w:p w14:paraId="1F22F2E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9.4</w:t>
                  </w:r>
                </w:p>
              </w:tc>
            </w:tr>
          </w:tbl>
          <w:p w14:paraId="1F65EEC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sz w:val="24"/>
                <w:szCs w:val="24"/>
                <w:lang w:val="en-US" w:eastAsia="zh-CN"/>
              </w:rPr>
              <w:t>本项目</w:t>
            </w:r>
            <w:r>
              <w:rPr>
                <w:rFonts w:hint="eastAsia" w:ascii="Times New Roman" w:hAnsi="Times New Roman" w:eastAsia="宋体" w:cs="Times New Roman"/>
                <w:snapToGrid w:val="0"/>
                <w:color w:val="auto"/>
                <w:kern w:val="0"/>
                <w:sz w:val="24"/>
                <w:lang w:val="en-US" w:eastAsia="zh-CN"/>
              </w:rPr>
              <w:t>活性炭</w:t>
            </w:r>
            <w:r>
              <w:rPr>
                <w:rFonts w:hint="eastAsia" w:ascii="Times New Roman" w:hAnsi="Times New Roman" w:cs="Times New Roman"/>
                <w:snapToGrid w:val="0"/>
                <w:color w:val="auto"/>
                <w:kern w:val="0"/>
                <w:sz w:val="24"/>
                <w:lang w:val="en-US" w:eastAsia="zh-CN"/>
              </w:rPr>
              <w:t>脱附</w:t>
            </w:r>
            <w:r>
              <w:rPr>
                <w:rFonts w:hint="eastAsia" w:ascii="Times New Roman" w:hAnsi="Times New Roman" w:eastAsia="宋体" w:cs="Times New Roman"/>
                <w:snapToGrid w:val="0"/>
                <w:color w:val="auto"/>
                <w:kern w:val="0"/>
                <w:sz w:val="24"/>
                <w:lang w:val="en-US" w:eastAsia="zh-CN"/>
              </w:rPr>
              <w:t>+催化燃烧工况下</w:t>
            </w:r>
            <w:r>
              <w:rPr>
                <w:rFonts w:hint="eastAsia" w:ascii="Times New Roman" w:hAnsi="Times New Roman" w:cs="Times New Roman"/>
                <w:color w:val="auto"/>
                <w:sz w:val="24"/>
                <w:szCs w:val="24"/>
                <w:lang w:val="en-US" w:eastAsia="zh-CN"/>
              </w:rPr>
              <w:t>，非甲烷总烃、苯、甲苯与二甲苯合计排放浓度满足</w:t>
            </w:r>
            <w:r>
              <w:rPr>
                <w:rFonts w:hint="eastAsia"/>
                <w:color w:val="auto"/>
                <w:sz w:val="24"/>
                <w:szCs w:val="24"/>
              </w:rPr>
              <w:t>《工业企业挥发性有机物排放控制标准》（DB13/2322-2016）表1中表面涂装业非甲烷总烃最高允许有组织排放浓度60</w:t>
            </w:r>
            <w:r>
              <w:rPr>
                <w:color w:val="auto"/>
                <w:sz w:val="24"/>
                <w:szCs w:val="24"/>
              </w:rPr>
              <w:t>mg/m</w:t>
            </w:r>
            <w:r>
              <w:rPr>
                <w:color w:val="auto"/>
                <w:sz w:val="24"/>
                <w:szCs w:val="24"/>
                <w:vertAlign w:val="superscript"/>
              </w:rPr>
              <w:t>3</w:t>
            </w:r>
            <w:r>
              <w:rPr>
                <w:rFonts w:hint="eastAsia"/>
                <w:color w:val="auto"/>
                <w:sz w:val="24"/>
                <w:szCs w:val="24"/>
              </w:rPr>
              <w:t>，</w:t>
            </w:r>
            <w:r>
              <w:rPr>
                <w:rFonts w:hint="eastAsia"/>
                <w:color w:val="auto"/>
                <w:sz w:val="24"/>
                <w:szCs w:val="24"/>
                <w:lang w:val="en-US" w:eastAsia="zh-CN"/>
              </w:rPr>
              <w:t>苯</w:t>
            </w:r>
            <w:r>
              <w:rPr>
                <w:rFonts w:hint="eastAsia"/>
                <w:color w:val="auto"/>
                <w:sz w:val="24"/>
                <w:szCs w:val="24"/>
              </w:rPr>
              <w:t>最高允许有组织排放浓度</w:t>
            </w:r>
            <w:r>
              <w:rPr>
                <w:rFonts w:hint="eastAsia"/>
                <w:color w:val="auto"/>
                <w:sz w:val="24"/>
                <w:szCs w:val="24"/>
                <w:lang w:val="en-US" w:eastAsia="zh-CN"/>
              </w:rPr>
              <w:t>1</w:t>
            </w:r>
            <w:r>
              <w:rPr>
                <w:color w:val="auto"/>
                <w:sz w:val="24"/>
                <w:szCs w:val="24"/>
              </w:rPr>
              <w:t>mg/m</w:t>
            </w:r>
            <w:r>
              <w:rPr>
                <w:color w:val="auto"/>
                <w:sz w:val="24"/>
                <w:szCs w:val="24"/>
                <w:vertAlign w:val="superscript"/>
              </w:rPr>
              <w:t>3</w:t>
            </w:r>
            <w:r>
              <w:rPr>
                <w:rFonts w:hint="eastAsia"/>
                <w:color w:val="auto"/>
                <w:sz w:val="24"/>
                <w:szCs w:val="24"/>
              </w:rPr>
              <w:t>，甲苯与二甲苯合计</w:t>
            </w:r>
            <w:r>
              <w:rPr>
                <w:rFonts w:hint="eastAsia"/>
                <w:color w:val="auto"/>
                <w:sz w:val="24"/>
                <w:szCs w:val="24"/>
                <w:lang w:val="en-US" w:eastAsia="zh-CN"/>
              </w:rPr>
              <w:t>最高允许排放浓度</w:t>
            </w:r>
            <w:r>
              <w:rPr>
                <w:rFonts w:hint="eastAsia"/>
                <w:color w:val="auto"/>
                <w:sz w:val="24"/>
                <w:szCs w:val="24"/>
              </w:rPr>
              <w:t>20</w:t>
            </w:r>
            <w:r>
              <w:rPr>
                <w:color w:val="auto"/>
                <w:sz w:val="24"/>
                <w:szCs w:val="24"/>
              </w:rPr>
              <w:t>mg/m</w:t>
            </w:r>
            <w:r>
              <w:rPr>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lang w:val="en-US" w:eastAsia="zh-CN"/>
              </w:rPr>
              <w:t>同时满足</w:t>
            </w:r>
            <w:r>
              <w:rPr>
                <w:rFonts w:hint="eastAsia"/>
                <w:color w:val="auto"/>
                <w:sz w:val="24"/>
                <w:szCs w:val="24"/>
              </w:rPr>
              <w:t>排气筒高度不低于15m</w:t>
            </w:r>
            <w:r>
              <w:rPr>
                <w:rFonts w:hint="eastAsia"/>
                <w:color w:val="auto"/>
                <w:sz w:val="24"/>
                <w:szCs w:val="24"/>
                <w:lang w:eastAsia="zh-CN"/>
              </w:rPr>
              <w:t>，且高</w:t>
            </w:r>
            <w:r>
              <w:rPr>
                <w:rFonts w:hint="eastAsia"/>
                <w:color w:val="auto"/>
                <w:sz w:val="24"/>
                <w:szCs w:val="24"/>
                <w:lang w:val="en-US" w:eastAsia="zh-CN"/>
              </w:rPr>
              <w:t>出</w:t>
            </w:r>
            <w:r>
              <w:rPr>
                <w:rFonts w:hint="eastAsia"/>
                <w:color w:val="auto"/>
                <w:sz w:val="24"/>
                <w:szCs w:val="24"/>
                <w:lang w:eastAsia="zh-CN"/>
              </w:rPr>
              <w:t>周边</w:t>
            </w:r>
            <w:r>
              <w:rPr>
                <w:rFonts w:hint="eastAsia"/>
                <w:color w:val="auto"/>
                <w:sz w:val="24"/>
                <w:szCs w:val="24"/>
                <w:lang w:val="en-US" w:eastAsia="zh-CN"/>
              </w:rPr>
              <w:t>200m半径范围内最高建筑物5m的要求</w:t>
            </w:r>
            <w:r>
              <w:rPr>
                <w:rFonts w:hint="eastAsia"/>
                <w:color w:val="auto"/>
                <w:sz w:val="24"/>
                <w:szCs w:val="24"/>
                <w:highlight w:val="none"/>
                <w:lang w:val="en-US" w:eastAsia="zh-CN"/>
              </w:rPr>
              <w:t>。</w:t>
            </w:r>
          </w:p>
          <w:p w14:paraId="5CC7E9B9">
            <w:pPr>
              <w:bidi w:val="0"/>
              <w:rPr>
                <w:rFonts w:hint="default"/>
                <w:color w:val="auto"/>
                <w:sz w:val="24"/>
                <w:szCs w:val="24"/>
                <w:highlight w:val="none"/>
                <w:vertAlign w:val="baseline"/>
                <w:lang w:val="en-US" w:eastAsia="zh-CN"/>
              </w:rPr>
            </w:pPr>
            <w:r>
              <w:rPr>
                <w:rFonts w:hint="eastAsia"/>
                <w:color w:val="auto"/>
                <w:highlight w:val="none"/>
                <w:lang w:val="en-US" w:eastAsia="zh-CN"/>
              </w:rPr>
              <w:t>（2）</w:t>
            </w:r>
            <w:r>
              <w:rPr>
                <w:rFonts w:hint="eastAsia"/>
                <w:color w:val="auto"/>
                <w:sz w:val="24"/>
                <w:szCs w:val="24"/>
                <w:highlight w:val="none"/>
                <w:vertAlign w:val="baseline"/>
                <w:lang w:val="en-US" w:eastAsia="zh-CN"/>
              </w:rPr>
              <w:t>喷塑废气</w:t>
            </w:r>
          </w:p>
          <w:p w14:paraId="2D4144DA">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lang w:val="en-US" w:eastAsia="zh-CN"/>
              </w:rPr>
              <w:t>喷塑过程颗粒物的产生量</w:t>
            </w:r>
            <w:r>
              <w:rPr>
                <w:rFonts w:hint="eastAsia"/>
                <w:color w:val="auto"/>
                <w:sz w:val="24"/>
                <w:szCs w:val="24"/>
              </w:rPr>
              <w:t>参照</w:t>
            </w:r>
            <w:r>
              <w:rPr>
                <w:rFonts w:hint="eastAsia"/>
                <w:color w:val="auto"/>
                <w:sz w:val="24"/>
                <w:szCs w:val="24"/>
                <w:lang w:eastAsia="zh-CN"/>
              </w:rPr>
              <w:t>《排放源统计调查产排污核算方法和系数手册》</w:t>
            </w:r>
            <w:r>
              <w:rPr>
                <w:rFonts w:hint="eastAsia"/>
                <w:color w:val="auto"/>
                <w:sz w:val="24"/>
                <w:szCs w:val="24"/>
                <w:lang w:val="en-US" w:eastAsia="zh-CN"/>
              </w:rPr>
              <w:t>“34通用设备制造业—14涂装核算环节-粉末涂料-喷塑”中</w:t>
            </w:r>
            <w:r>
              <w:rPr>
                <w:rFonts w:hint="eastAsia" w:cs="Times New Roman"/>
                <w:color w:val="auto"/>
                <w:sz w:val="24"/>
                <w:szCs w:val="24"/>
                <w:lang w:val="en-US" w:eastAsia="zh-CN"/>
              </w:rPr>
              <w:t>颗粒物</w:t>
            </w:r>
            <w:r>
              <w:rPr>
                <w:rFonts w:hint="eastAsia"/>
                <w:color w:val="auto"/>
                <w:sz w:val="24"/>
                <w:szCs w:val="24"/>
                <w:lang w:val="en-US" w:eastAsia="zh-CN"/>
              </w:rPr>
              <w:t>300千克/吨—原料，</w:t>
            </w:r>
            <w:r>
              <w:rPr>
                <w:rFonts w:hint="eastAsia"/>
                <w:color w:val="auto"/>
                <w:sz w:val="24"/>
                <w:szCs w:val="24"/>
                <w:highlight w:val="none"/>
                <w:lang w:val="en-US" w:eastAsia="zh-CN"/>
              </w:rPr>
              <w:t>项目塑粉用量5t/a，则</w:t>
            </w:r>
            <w:r>
              <w:rPr>
                <w:rFonts w:hint="eastAsia" w:cs="Times New Roman"/>
                <w:color w:val="auto"/>
                <w:sz w:val="24"/>
                <w:szCs w:val="24"/>
                <w:highlight w:val="none"/>
                <w:lang w:val="en-US" w:eastAsia="zh-CN"/>
              </w:rPr>
              <w:t>喷塑过程颗粒物的产生量</w:t>
            </w:r>
            <w:r>
              <w:rPr>
                <w:rFonts w:hint="eastAsia"/>
                <w:color w:val="auto"/>
                <w:sz w:val="24"/>
                <w:szCs w:val="24"/>
                <w:highlight w:val="none"/>
                <w:lang w:val="en-US" w:eastAsia="zh-CN"/>
              </w:rPr>
              <w:t>为1.5t/a</w:t>
            </w:r>
            <w:r>
              <w:rPr>
                <w:rFonts w:hint="eastAsia" w:ascii="Times New Roman" w:hAnsi="Times New Roman" w:eastAsia="宋体" w:cs="Times New Roman"/>
                <w:color w:val="auto"/>
                <w:sz w:val="24"/>
                <w:szCs w:val="24"/>
                <w:highlight w:val="none"/>
                <w:lang w:val="en-US" w:eastAsia="zh-CN"/>
              </w:rPr>
              <w:t>。</w:t>
            </w:r>
          </w:p>
          <w:p w14:paraId="32FBCC55">
            <w:pPr>
              <w:adjustRightInd w:val="0"/>
              <w:snapToGrid w:val="0"/>
              <w:spacing w:line="480" w:lineRule="exact"/>
              <w:ind w:firstLine="480" w:firstLineChars="200"/>
              <w:rPr>
                <w:rFonts w:hint="default"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highlight w:val="none"/>
                <w:lang w:val="en-US" w:eastAsia="zh-CN"/>
              </w:rPr>
              <w:t>本项目</w:t>
            </w:r>
            <w:r>
              <w:rPr>
                <w:rFonts w:hint="eastAsia"/>
                <w:color w:val="auto"/>
                <w:sz w:val="24"/>
                <w:szCs w:val="24"/>
                <w:highlight w:val="none"/>
                <w:lang w:val="en-US" w:eastAsia="zh-CN"/>
              </w:rPr>
              <w:t>喷塑房密闭，废气经集气管道收集后进入一套袋式除尘器进行处理，处理后通过一根15m高排气筒排放。袋式除尘器风机风量为</w:t>
            </w:r>
            <w:r>
              <w:rPr>
                <w:rFonts w:hint="eastAsia" w:cs="Times New Roman"/>
                <w:color w:val="auto"/>
                <w:sz w:val="24"/>
                <w:szCs w:val="24"/>
                <w:highlight w:val="none"/>
                <w:lang w:val="en-US" w:eastAsia="zh-CN"/>
              </w:rPr>
              <w:t>9900</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/h</w:t>
            </w:r>
            <w:r>
              <w:rPr>
                <w:rFonts w:hint="eastAsia" w:cs="Times New Roman"/>
                <w:color w:val="auto"/>
                <w:sz w:val="24"/>
                <w:szCs w:val="24"/>
                <w:highlight w:val="none"/>
                <w:lang w:val="en-US" w:eastAsia="zh-CN"/>
              </w:rPr>
              <w:t>，喷塑房的捕集效率为99%</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除尘器的处理</w:t>
            </w:r>
            <w:r>
              <w:rPr>
                <w:rFonts w:hint="eastAsia" w:ascii="Times New Roman" w:hAnsi="Times New Roman" w:eastAsia="宋体" w:cs="Times New Roman"/>
                <w:color w:val="auto"/>
                <w:sz w:val="24"/>
                <w:szCs w:val="24"/>
                <w:highlight w:val="none"/>
                <w:lang w:val="en-US" w:eastAsia="zh-CN"/>
              </w:rPr>
              <w:t>效率为</w:t>
            </w:r>
            <w:r>
              <w:rPr>
                <w:rFonts w:hint="eastAsia" w:cs="Times New Roman"/>
                <w:color w:val="auto"/>
                <w:sz w:val="24"/>
                <w:szCs w:val="24"/>
                <w:highlight w:val="none"/>
                <w:lang w:val="en-US" w:eastAsia="zh-CN"/>
              </w:rPr>
              <w:t>95</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w:t>
            </w:r>
            <w:r>
              <w:rPr>
                <w:rFonts w:hint="eastAsia"/>
                <w:color w:val="auto"/>
                <w:sz w:val="24"/>
                <w:szCs w:val="24"/>
                <w:highlight w:val="none"/>
                <w:lang w:val="en-US" w:eastAsia="zh-CN"/>
              </w:rPr>
              <w:t>年运行1200h</w:t>
            </w:r>
            <w:r>
              <w:rPr>
                <w:rFonts w:hint="eastAsia" w:cs="Times New Roman"/>
                <w:color w:val="auto"/>
                <w:sz w:val="24"/>
                <w:szCs w:val="24"/>
                <w:highlight w:val="none"/>
                <w:lang w:val="en-US" w:eastAsia="zh-CN"/>
              </w:rPr>
              <w:t>。</w:t>
            </w:r>
            <w:r>
              <w:rPr>
                <w:rFonts w:hint="eastAsia"/>
                <w:color w:val="auto"/>
                <w:sz w:val="24"/>
                <w:szCs w:val="24"/>
                <w:vertAlign w:val="baseline"/>
                <w:lang w:val="en-US" w:eastAsia="zh-CN"/>
              </w:rPr>
              <w:t>喷塑</w:t>
            </w:r>
            <w:r>
              <w:rPr>
                <w:rFonts w:hint="eastAsia" w:ascii="Times New Roman" w:hAnsi="Times New Roman" w:eastAsia="宋体" w:cs="Times New Roman"/>
                <w:color w:val="auto"/>
                <w:sz w:val="24"/>
                <w:szCs w:val="24"/>
                <w:highlight w:val="none"/>
                <w:lang w:val="en-US" w:eastAsia="zh-CN"/>
              </w:rPr>
              <w:t>过程颗粒物排放情况见下表。</w:t>
            </w:r>
          </w:p>
          <w:p w14:paraId="31895255">
            <w:pPr>
              <w:pStyle w:val="41"/>
              <w:ind w:firstLine="0" w:firstLineChars="0"/>
              <w:jc w:val="center"/>
              <w:rPr>
                <w:rFonts w:hint="eastAsia" w:ascii="Times New Roman" w:hAnsi="Times New Roman" w:eastAsia="宋体" w:cs="Times New Roman"/>
                <w:b/>
                <w:color w:val="auto"/>
                <w:sz w:val="21"/>
                <w:szCs w:val="24"/>
                <w:highlight w:val="none"/>
              </w:rPr>
            </w:pPr>
            <w:r>
              <w:rPr>
                <w:rFonts w:hint="eastAsia" w:ascii="Times New Roman" w:hAnsi="Times New Roman" w:eastAsia="宋体" w:cs="Times New Roman"/>
                <w:b/>
                <w:color w:val="auto"/>
                <w:sz w:val="21"/>
                <w:szCs w:val="24"/>
                <w:highlight w:val="none"/>
              </w:rPr>
              <w:t>表</w:t>
            </w:r>
            <w:r>
              <w:rPr>
                <w:rFonts w:hint="eastAsia" w:cs="Times New Roman"/>
                <w:b/>
                <w:color w:val="auto"/>
                <w:sz w:val="21"/>
                <w:szCs w:val="24"/>
                <w:highlight w:val="none"/>
                <w:lang w:val="en-US" w:eastAsia="zh-CN"/>
              </w:rPr>
              <w:t>29</w:t>
            </w:r>
            <w:r>
              <w:rPr>
                <w:rFonts w:hint="eastAsia" w:ascii="Times New Roman" w:hAnsi="Times New Roman" w:eastAsia="宋体" w:cs="Times New Roman"/>
                <w:b/>
                <w:color w:val="auto"/>
                <w:sz w:val="21"/>
                <w:szCs w:val="24"/>
                <w:highlight w:val="none"/>
              </w:rPr>
              <w:t xml:space="preserve">  </w:t>
            </w:r>
            <w:r>
              <w:rPr>
                <w:rFonts w:hint="eastAsia" w:ascii="Times New Roman" w:hAnsi="Times New Roman" w:eastAsia="宋体" w:cs="Times New Roman"/>
                <w:b/>
                <w:color w:val="auto"/>
                <w:sz w:val="21"/>
                <w:szCs w:val="24"/>
                <w:highlight w:val="none"/>
                <w:lang w:val="en-US" w:eastAsia="zh-CN"/>
              </w:rPr>
              <w:t>喷</w:t>
            </w:r>
            <w:r>
              <w:rPr>
                <w:rFonts w:hint="eastAsia" w:eastAsia="宋体" w:cs="Times New Roman"/>
                <w:b/>
                <w:color w:val="auto"/>
                <w:sz w:val="21"/>
                <w:szCs w:val="24"/>
                <w:highlight w:val="none"/>
                <w:lang w:val="en-US" w:eastAsia="zh-CN"/>
              </w:rPr>
              <w:t>塑</w:t>
            </w:r>
            <w:r>
              <w:rPr>
                <w:rFonts w:hint="eastAsia" w:ascii="Times New Roman" w:hAnsi="Times New Roman" w:eastAsia="宋体" w:cs="Times New Roman"/>
                <w:b/>
                <w:color w:val="auto"/>
                <w:sz w:val="21"/>
                <w:szCs w:val="24"/>
                <w:highlight w:val="none"/>
              </w:rPr>
              <w:t>过程</w:t>
            </w:r>
            <w:r>
              <w:rPr>
                <w:rFonts w:hint="eastAsia" w:ascii="Times New Roman" w:hAnsi="Times New Roman" w:eastAsia="宋体" w:cs="Times New Roman"/>
                <w:b/>
                <w:color w:val="auto"/>
                <w:sz w:val="21"/>
                <w:szCs w:val="24"/>
                <w:highlight w:val="none"/>
                <w:lang w:val="en-US" w:eastAsia="zh-CN"/>
              </w:rPr>
              <w:t>污染物</w:t>
            </w:r>
            <w:r>
              <w:rPr>
                <w:rFonts w:hint="eastAsia" w:ascii="Times New Roman" w:hAnsi="Times New Roman" w:eastAsia="宋体" w:cs="Times New Roman"/>
                <w:b/>
                <w:color w:val="auto"/>
                <w:sz w:val="21"/>
                <w:szCs w:val="24"/>
                <w:highlight w:val="none"/>
              </w:rPr>
              <w:t>排放情况</w:t>
            </w:r>
          </w:p>
          <w:tbl>
            <w:tblPr>
              <w:tblStyle w:val="20"/>
              <w:tblW w:w="80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16"/>
              <w:gridCol w:w="549"/>
              <w:gridCol w:w="1088"/>
              <w:gridCol w:w="590"/>
              <w:gridCol w:w="775"/>
              <w:gridCol w:w="675"/>
              <w:gridCol w:w="680"/>
              <w:gridCol w:w="696"/>
              <w:gridCol w:w="789"/>
              <w:gridCol w:w="980"/>
            </w:tblGrid>
            <w:tr w14:paraId="43BFF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noWrap w:val="0"/>
                  <w:vAlign w:val="center"/>
                </w:tcPr>
                <w:p w14:paraId="608EA788">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污染源</w:t>
                  </w:r>
                </w:p>
              </w:tc>
              <w:tc>
                <w:tcPr>
                  <w:tcW w:w="616" w:type="dxa"/>
                  <w:noWrap w:val="0"/>
                  <w:vAlign w:val="center"/>
                </w:tcPr>
                <w:p w14:paraId="7CB36F42">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color w:val="auto"/>
                      <w:sz w:val="21"/>
                      <w:szCs w:val="21"/>
                    </w:rPr>
                    <w:t>污染因子</w:t>
                  </w:r>
                </w:p>
              </w:tc>
              <w:tc>
                <w:tcPr>
                  <w:tcW w:w="549" w:type="dxa"/>
                  <w:noWrap w:val="0"/>
                  <w:vAlign w:val="center"/>
                </w:tcPr>
                <w:p w14:paraId="4BFA613B">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收集率</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w:t>
                  </w:r>
                  <w:r>
                    <w:rPr>
                      <w:rFonts w:hint="eastAsia" w:eastAsia="宋体" w:cs="Times New Roman"/>
                      <w:color w:val="auto"/>
                      <w:sz w:val="21"/>
                      <w:szCs w:val="21"/>
                      <w:lang w:val="en-US" w:eastAsia="zh-CN"/>
                    </w:rPr>
                    <w:t>)</w:t>
                  </w:r>
                </w:p>
              </w:tc>
              <w:tc>
                <w:tcPr>
                  <w:tcW w:w="1678" w:type="dxa"/>
                  <w:gridSpan w:val="2"/>
                  <w:noWrap w:val="0"/>
                  <w:vAlign w:val="center"/>
                </w:tcPr>
                <w:p w14:paraId="1096CABD">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产生量</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rPr>
                    <w:t>t/a</w:t>
                  </w:r>
                  <w:r>
                    <w:rPr>
                      <w:rFonts w:hint="eastAsia" w:eastAsia="宋体" w:cs="Times New Roman"/>
                      <w:color w:val="auto"/>
                      <w:sz w:val="21"/>
                      <w:szCs w:val="21"/>
                      <w:lang w:val="en-US" w:eastAsia="zh-CN"/>
                    </w:rPr>
                    <w:t>)</w:t>
                  </w:r>
                </w:p>
              </w:tc>
              <w:tc>
                <w:tcPr>
                  <w:tcW w:w="775" w:type="dxa"/>
                  <w:noWrap w:val="0"/>
                  <w:vAlign w:val="center"/>
                </w:tcPr>
                <w:p w14:paraId="228237F5">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处理</w:t>
                  </w:r>
                </w:p>
                <w:p w14:paraId="72D739AD">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风量</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rPr>
                    <w:t>m</w:t>
                  </w:r>
                  <w:r>
                    <w:rPr>
                      <w:rFonts w:hint="eastAsia" w:ascii="Times New Roman" w:hAnsi="Times New Roman" w:eastAsia="宋体" w:cs="Times New Roman"/>
                      <w:color w:val="auto"/>
                      <w:sz w:val="21"/>
                      <w:szCs w:val="21"/>
                      <w:vertAlign w:val="superscript"/>
                    </w:rPr>
                    <w:t>3</w:t>
                  </w:r>
                  <w:r>
                    <w:rPr>
                      <w:rFonts w:hint="eastAsia" w:ascii="Times New Roman" w:hAnsi="Times New Roman" w:eastAsia="宋体" w:cs="Times New Roman"/>
                      <w:color w:val="auto"/>
                      <w:sz w:val="21"/>
                      <w:szCs w:val="21"/>
                    </w:rPr>
                    <w:t>/h</w:t>
                  </w:r>
                  <w:r>
                    <w:rPr>
                      <w:rFonts w:hint="eastAsia" w:eastAsia="宋体" w:cs="Times New Roman"/>
                      <w:color w:val="auto"/>
                      <w:sz w:val="21"/>
                      <w:szCs w:val="21"/>
                      <w:lang w:val="en-US" w:eastAsia="zh-CN"/>
                    </w:rPr>
                    <w:t>)</w:t>
                  </w:r>
                </w:p>
              </w:tc>
              <w:tc>
                <w:tcPr>
                  <w:tcW w:w="675" w:type="dxa"/>
                  <w:noWrap w:val="0"/>
                  <w:vAlign w:val="center"/>
                </w:tcPr>
                <w:p w14:paraId="1CFE685E">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处理效率</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rPr>
                    <w:t>%</w:t>
                  </w:r>
                  <w:r>
                    <w:rPr>
                      <w:rFonts w:hint="eastAsia" w:eastAsia="宋体" w:cs="Times New Roman"/>
                      <w:color w:val="auto"/>
                      <w:sz w:val="21"/>
                      <w:szCs w:val="21"/>
                      <w:lang w:val="en-US" w:eastAsia="zh-CN"/>
                    </w:rPr>
                    <w:t>)</w:t>
                  </w:r>
                </w:p>
              </w:tc>
              <w:tc>
                <w:tcPr>
                  <w:tcW w:w="680" w:type="dxa"/>
                  <w:noWrap w:val="0"/>
                  <w:vAlign w:val="center"/>
                </w:tcPr>
                <w:p w14:paraId="0B091749">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运行时间</w:t>
                  </w:r>
                  <w:r>
                    <w:rPr>
                      <w:rFonts w:hint="eastAsia"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h/a</w:t>
                  </w:r>
                  <w:r>
                    <w:rPr>
                      <w:rFonts w:hint="eastAsia" w:eastAsia="宋体" w:cs="Times New Roman"/>
                      <w:color w:val="auto"/>
                      <w:sz w:val="21"/>
                      <w:szCs w:val="21"/>
                      <w:highlight w:val="none"/>
                      <w:lang w:val="en-US" w:eastAsia="zh-CN"/>
                    </w:rPr>
                    <w:t>)</w:t>
                  </w:r>
                </w:p>
              </w:tc>
              <w:tc>
                <w:tcPr>
                  <w:tcW w:w="696" w:type="dxa"/>
                  <w:noWrap w:val="0"/>
                  <w:vAlign w:val="center"/>
                </w:tcPr>
                <w:p w14:paraId="2C231C0B">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排放量</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rPr>
                    <w:t>t/a</w:t>
                  </w:r>
                  <w:r>
                    <w:rPr>
                      <w:rFonts w:hint="eastAsia" w:eastAsia="宋体" w:cs="Times New Roman"/>
                      <w:color w:val="auto"/>
                      <w:sz w:val="21"/>
                      <w:szCs w:val="21"/>
                      <w:lang w:val="en-US" w:eastAsia="zh-CN"/>
                    </w:rPr>
                    <w:t>)</w:t>
                  </w:r>
                </w:p>
              </w:tc>
              <w:tc>
                <w:tcPr>
                  <w:tcW w:w="789" w:type="dxa"/>
                  <w:noWrap w:val="0"/>
                  <w:vAlign w:val="center"/>
                </w:tcPr>
                <w:p w14:paraId="3B59E7D6">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排放</w:t>
                  </w:r>
                  <w:r>
                    <w:rPr>
                      <w:rFonts w:hint="eastAsia" w:eastAsia="宋体" w:cs="Times New Roman"/>
                      <w:color w:val="auto"/>
                      <w:sz w:val="21"/>
                      <w:szCs w:val="21"/>
                      <w:lang w:val="en-US" w:eastAsia="zh-CN"/>
                    </w:rPr>
                    <w:t>速率(</w:t>
                  </w:r>
                  <w:r>
                    <w:rPr>
                      <w:rFonts w:hint="eastAsia" w:ascii="Times New Roman" w:hAnsi="Times New Roman" w:eastAsia="宋体" w:cs="Times New Roman"/>
                      <w:color w:val="auto"/>
                      <w:sz w:val="21"/>
                      <w:szCs w:val="21"/>
                    </w:rPr>
                    <w:t>kg/h</w:t>
                  </w:r>
                  <w:r>
                    <w:rPr>
                      <w:rFonts w:hint="eastAsia" w:eastAsia="宋体" w:cs="Times New Roman"/>
                      <w:color w:val="auto"/>
                      <w:sz w:val="21"/>
                      <w:szCs w:val="21"/>
                      <w:lang w:val="en-US" w:eastAsia="zh-CN"/>
                    </w:rPr>
                    <w:t>)</w:t>
                  </w:r>
                </w:p>
              </w:tc>
              <w:tc>
                <w:tcPr>
                  <w:tcW w:w="980" w:type="dxa"/>
                  <w:noWrap w:val="0"/>
                  <w:vAlign w:val="center"/>
                </w:tcPr>
                <w:p w14:paraId="084D318B">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排放</w:t>
                  </w:r>
                  <w:r>
                    <w:rPr>
                      <w:rFonts w:hint="eastAsia" w:eastAsia="宋体" w:cs="Times New Roman"/>
                      <w:color w:val="auto"/>
                      <w:sz w:val="21"/>
                      <w:szCs w:val="21"/>
                      <w:lang w:val="en-US" w:eastAsia="zh-CN"/>
                    </w:rPr>
                    <w:t>浓度(</w:t>
                  </w:r>
                  <w:r>
                    <w:rPr>
                      <w:rFonts w:hint="eastAsia"/>
                      <w:color w:val="auto"/>
                      <w:sz w:val="21"/>
                      <w:szCs w:val="21"/>
                      <w:lang w:val="en-US" w:eastAsia="zh-CN"/>
                    </w:rPr>
                    <w:t>mg/m</w:t>
                  </w:r>
                  <w:r>
                    <w:rPr>
                      <w:rFonts w:hint="eastAsia"/>
                      <w:color w:val="auto"/>
                      <w:sz w:val="21"/>
                      <w:szCs w:val="21"/>
                      <w:vertAlign w:val="superscript"/>
                      <w:lang w:val="en-US" w:eastAsia="zh-CN"/>
                    </w:rPr>
                    <w:t>3</w:t>
                  </w:r>
                  <w:r>
                    <w:rPr>
                      <w:rFonts w:hint="eastAsia" w:eastAsia="宋体" w:cs="Times New Roman"/>
                      <w:color w:val="auto"/>
                      <w:sz w:val="21"/>
                      <w:szCs w:val="21"/>
                      <w:lang w:val="en-US" w:eastAsia="zh-CN"/>
                    </w:rPr>
                    <w:t>)</w:t>
                  </w:r>
                </w:p>
              </w:tc>
            </w:tr>
            <w:tr w14:paraId="56D37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restart"/>
                  <w:noWrap w:val="0"/>
                  <w:vAlign w:val="center"/>
                </w:tcPr>
                <w:p w14:paraId="1ECE964A">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喷塑</w:t>
                  </w:r>
                </w:p>
              </w:tc>
              <w:tc>
                <w:tcPr>
                  <w:tcW w:w="616" w:type="dxa"/>
                  <w:vMerge w:val="restart"/>
                  <w:noWrap w:val="0"/>
                  <w:vAlign w:val="center"/>
                </w:tcPr>
                <w:p w14:paraId="1210B83F">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颗粒物</w:t>
                  </w:r>
                </w:p>
              </w:tc>
              <w:tc>
                <w:tcPr>
                  <w:tcW w:w="549" w:type="dxa"/>
                  <w:vMerge w:val="restart"/>
                  <w:noWrap w:val="0"/>
                  <w:vAlign w:val="center"/>
                </w:tcPr>
                <w:p w14:paraId="4A18DAED">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99</w:t>
                  </w:r>
                </w:p>
              </w:tc>
              <w:tc>
                <w:tcPr>
                  <w:tcW w:w="1088" w:type="dxa"/>
                  <w:noWrap w:val="0"/>
                  <w:vAlign w:val="center"/>
                </w:tcPr>
                <w:p w14:paraId="0FC29A4C">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rPr>
                    <w:t>进入处理装置</w:t>
                  </w:r>
                </w:p>
              </w:tc>
              <w:tc>
                <w:tcPr>
                  <w:tcW w:w="590" w:type="dxa"/>
                  <w:noWrap w:val="0"/>
                  <w:vAlign w:val="center"/>
                </w:tcPr>
                <w:p w14:paraId="3E43C31A">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1.485</w:t>
                  </w:r>
                </w:p>
              </w:tc>
              <w:tc>
                <w:tcPr>
                  <w:tcW w:w="775" w:type="dxa"/>
                  <w:noWrap w:val="0"/>
                  <w:vAlign w:val="center"/>
                </w:tcPr>
                <w:p w14:paraId="14753E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9900</w:t>
                  </w:r>
                </w:p>
              </w:tc>
              <w:tc>
                <w:tcPr>
                  <w:tcW w:w="675" w:type="dxa"/>
                  <w:noWrap w:val="0"/>
                  <w:vAlign w:val="center"/>
                </w:tcPr>
                <w:p w14:paraId="6200ED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95</w:t>
                  </w:r>
                </w:p>
              </w:tc>
              <w:tc>
                <w:tcPr>
                  <w:tcW w:w="680" w:type="dxa"/>
                  <w:noWrap w:val="0"/>
                  <w:vAlign w:val="center"/>
                </w:tcPr>
                <w:p w14:paraId="0A3538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1200</w:t>
                  </w:r>
                </w:p>
              </w:tc>
              <w:tc>
                <w:tcPr>
                  <w:tcW w:w="696" w:type="dxa"/>
                  <w:noWrap w:val="0"/>
                  <w:vAlign w:val="center"/>
                </w:tcPr>
                <w:p w14:paraId="66C87E99">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0.07425</w:t>
                  </w:r>
                </w:p>
              </w:tc>
              <w:tc>
                <w:tcPr>
                  <w:tcW w:w="789" w:type="dxa"/>
                  <w:noWrap w:val="0"/>
                  <w:vAlign w:val="center"/>
                </w:tcPr>
                <w:p w14:paraId="68E4C4DF">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0.062</w:t>
                  </w:r>
                </w:p>
              </w:tc>
              <w:tc>
                <w:tcPr>
                  <w:tcW w:w="980" w:type="dxa"/>
                  <w:noWrap w:val="0"/>
                  <w:vAlign w:val="center"/>
                </w:tcPr>
                <w:p w14:paraId="14B33F1F">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6.25</w:t>
                  </w:r>
                </w:p>
              </w:tc>
            </w:tr>
            <w:tr w14:paraId="07B6B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noWrap w:val="0"/>
                  <w:vAlign w:val="center"/>
                </w:tcPr>
                <w:p w14:paraId="27A834AA">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616" w:type="dxa"/>
                  <w:vMerge w:val="continue"/>
                  <w:noWrap w:val="0"/>
                  <w:vAlign w:val="center"/>
                </w:tcPr>
                <w:p w14:paraId="644C51C3">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549" w:type="dxa"/>
                  <w:vMerge w:val="continue"/>
                  <w:noWrap w:val="0"/>
                  <w:vAlign w:val="center"/>
                </w:tcPr>
                <w:p w14:paraId="1542B83C">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1088" w:type="dxa"/>
                  <w:noWrap w:val="0"/>
                  <w:vAlign w:val="center"/>
                </w:tcPr>
                <w:p w14:paraId="573D1459">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rPr>
                    <w:t>未进入处理装置</w:t>
                  </w:r>
                </w:p>
              </w:tc>
              <w:tc>
                <w:tcPr>
                  <w:tcW w:w="590" w:type="dxa"/>
                  <w:noWrap w:val="0"/>
                  <w:vAlign w:val="center"/>
                </w:tcPr>
                <w:p w14:paraId="22809ACA">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0.015</w:t>
                  </w:r>
                </w:p>
              </w:tc>
              <w:tc>
                <w:tcPr>
                  <w:tcW w:w="775" w:type="dxa"/>
                  <w:noWrap w:val="0"/>
                  <w:vAlign w:val="center"/>
                </w:tcPr>
                <w:p w14:paraId="371CFA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675" w:type="dxa"/>
                  <w:noWrap w:val="0"/>
                  <w:vAlign w:val="center"/>
                </w:tcPr>
                <w:p w14:paraId="0AC4CA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680" w:type="dxa"/>
                  <w:noWrap w:val="0"/>
                  <w:vAlign w:val="center"/>
                </w:tcPr>
                <w:p w14:paraId="26E63B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696" w:type="dxa"/>
                  <w:noWrap w:val="0"/>
                  <w:vAlign w:val="center"/>
                </w:tcPr>
                <w:p w14:paraId="7F7C4E5C">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0.015</w:t>
                  </w:r>
                </w:p>
              </w:tc>
              <w:tc>
                <w:tcPr>
                  <w:tcW w:w="789" w:type="dxa"/>
                  <w:noWrap w:val="0"/>
                  <w:vAlign w:val="center"/>
                </w:tcPr>
                <w:p w14:paraId="79AE67C5">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0.0125</w:t>
                  </w:r>
                </w:p>
              </w:tc>
              <w:tc>
                <w:tcPr>
                  <w:tcW w:w="980" w:type="dxa"/>
                  <w:noWrap w:val="0"/>
                  <w:vAlign w:val="center"/>
                </w:tcPr>
                <w:p w14:paraId="7BCBC0E2">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w:t>
                  </w:r>
                </w:p>
              </w:tc>
            </w:tr>
          </w:tbl>
          <w:p w14:paraId="6F104793">
            <w:pPr>
              <w:autoSpaceDE w:val="0"/>
              <w:autoSpaceDN w:val="0"/>
              <w:adjustRightInd w:val="0"/>
              <w:spacing w:line="480" w:lineRule="exact"/>
              <w:ind w:right="6"/>
              <w:jc w:val="center"/>
              <w:rPr>
                <w:rFonts w:hint="eastAsia"/>
                <w:b/>
                <w:color w:val="auto"/>
                <w:kern w:val="0"/>
                <w:sz w:val="21"/>
                <w:szCs w:val="21"/>
                <w:highlight w:val="yellow"/>
              </w:rPr>
            </w:pPr>
            <w:r>
              <w:rPr>
                <w:rFonts w:hint="eastAsia"/>
                <w:b/>
                <w:color w:val="auto"/>
                <w:kern w:val="0"/>
                <w:sz w:val="21"/>
                <w:szCs w:val="21"/>
                <w:highlight w:val="none"/>
              </w:rPr>
              <w:t>表</w:t>
            </w:r>
            <w:r>
              <w:rPr>
                <w:rFonts w:hint="eastAsia"/>
                <w:b/>
                <w:color w:val="auto"/>
                <w:kern w:val="0"/>
                <w:sz w:val="21"/>
                <w:szCs w:val="21"/>
                <w:highlight w:val="none"/>
                <w:lang w:val="en-US" w:eastAsia="zh-CN"/>
              </w:rPr>
              <w:t>30</w:t>
            </w:r>
            <w:r>
              <w:rPr>
                <w:rFonts w:hint="eastAsia"/>
                <w:b/>
                <w:color w:val="auto"/>
                <w:kern w:val="0"/>
                <w:sz w:val="21"/>
                <w:szCs w:val="21"/>
                <w:highlight w:val="none"/>
              </w:rPr>
              <w:t xml:space="preserve">  </w:t>
            </w:r>
            <w:r>
              <w:rPr>
                <w:rFonts w:hint="eastAsia"/>
                <w:b/>
                <w:color w:val="auto"/>
                <w:kern w:val="0"/>
                <w:sz w:val="21"/>
                <w:szCs w:val="21"/>
                <w:highlight w:val="none"/>
                <w:lang w:val="en-US" w:eastAsia="zh-CN"/>
              </w:rPr>
              <w:t>塑粉</w:t>
            </w:r>
            <w:r>
              <w:rPr>
                <w:rFonts w:hint="eastAsia"/>
                <w:b/>
                <w:color w:val="auto"/>
                <w:kern w:val="0"/>
                <w:sz w:val="21"/>
                <w:szCs w:val="21"/>
                <w:highlight w:val="none"/>
              </w:rPr>
              <w:t>物料平衡表</w:t>
            </w:r>
          </w:p>
          <w:tbl>
            <w:tblPr>
              <w:tblStyle w:val="20"/>
              <w:tblW w:w="4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817"/>
              <w:gridCol w:w="2023"/>
              <w:gridCol w:w="2010"/>
            </w:tblGrid>
            <w:tr w14:paraId="20C8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69" w:type="pct"/>
                  <w:gridSpan w:val="2"/>
                  <w:tcBorders>
                    <w:top w:val="single" w:color="auto" w:sz="12" w:space="0"/>
                    <w:left w:val="single" w:color="auto" w:sz="12" w:space="0"/>
                  </w:tcBorders>
                  <w:shd w:val="clear" w:color="auto" w:fill="auto"/>
                  <w:noWrap w:val="0"/>
                  <w:vAlign w:val="center"/>
                </w:tcPr>
                <w:p w14:paraId="1ED3B5C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进入</w:t>
                  </w:r>
                </w:p>
              </w:tc>
              <w:tc>
                <w:tcPr>
                  <w:tcW w:w="2630" w:type="pct"/>
                  <w:gridSpan w:val="2"/>
                  <w:tcBorders>
                    <w:top w:val="single" w:color="auto" w:sz="12" w:space="0"/>
                    <w:right w:val="single" w:color="auto" w:sz="12" w:space="0"/>
                  </w:tcBorders>
                  <w:shd w:val="clear" w:color="auto" w:fill="auto"/>
                  <w:noWrap w:val="0"/>
                  <w:vAlign w:val="center"/>
                </w:tcPr>
                <w:p w14:paraId="4BDCE61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产出或排出</w:t>
                  </w:r>
                </w:p>
              </w:tc>
            </w:tr>
            <w:tr w14:paraId="7AD8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14:paraId="24B5C7B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名称</w:t>
                  </w:r>
                </w:p>
              </w:tc>
              <w:tc>
                <w:tcPr>
                  <w:tcW w:w="1185" w:type="pct"/>
                  <w:shd w:val="clear" w:color="auto" w:fill="auto"/>
                  <w:noWrap w:val="0"/>
                  <w:vAlign w:val="center"/>
                </w:tcPr>
                <w:p w14:paraId="1C5A8D5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进入量</w:t>
                  </w:r>
                  <w:r>
                    <w:rPr>
                      <w:rFonts w:hint="eastAsia" w:cs="Times New Roman"/>
                      <w:color w:val="auto"/>
                      <w:kern w:val="24"/>
                      <w:sz w:val="21"/>
                      <w:szCs w:val="21"/>
                      <w:highlight w:val="none"/>
                      <w:lang w:eastAsia="zh-CN"/>
                    </w:rPr>
                    <w:t>（</w:t>
                  </w:r>
                  <w:r>
                    <w:rPr>
                      <w:rFonts w:hint="eastAsia" w:cs="Times New Roman"/>
                      <w:color w:val="auto"/>
                      <w:kern w:val="24"/>
                      <w:sz w:val="21"/>
                      <w:szCs w:val="21"/>
                      <w:highlight w:val="none"/>
                      <w:lang w:val="en-US" w:eastAsia="zh-CN"/>
                    </w:rPr>
                    <w:t>t</w:t>
                  </w:r>
                  <w:r>
                    <w:rPr>
                      <w:rFonts w:hint="eastAsia" w:cs="Times New Roman"/>
                      <w:color w:val="auto"/>
                      <w:kern w:val="24"/>
                      <w:sz w:val="21"/>
                      <w:szCs w:val="21"/>
                      <w:highlight w:val="none"/>
                      <w:lang w:eastAsia="zh-CN"/>
                    </w:rPr>
                    <w:t>）</w:t>
                  </w:r>
                </w:p>
              </w:tc>
              <w:tc>
                <w:tcPr>
                  <w:tcW w:w="1319" w:type="pct"/>
                  <w:shd w:val="clear" w:color="auto" w:fill="auto"/>
                  <w:noWrap w:val="0"/>
                  <w:vAlign w:val="center"/>
                </w:tcPr>
                <w:p w14:paraId="56D360F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名称</w:t>
                  </w:r>
                </w:p>
              </w:tc>
              <w:tc>
                <w:tcPr>
                  <w:tcW w:w="1311" w:type="pct"/>
                  <w:tcBorders>
                    <w:right w:val="single" w:color="auto" w:sz="12" w:space="0"/>
                  </w:tcBorders>
                  <w:shd w:val="clear" w:color="auto" w:fill="auto"/>
                  <w:noWrap w:val="0"/>
                  <w:vAlign w:val="center"/>
                </w:tcPr>
                <w:p w14:paraId="577D7F8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排出量</w:t>
                  </w:r>
                  <w:r>
                    <w:rPr>
                      <w:rFonts w:hint="eastAsia" w:cs="Times New Roman"/>
                      <w:color w:val="auto"/>
                      <w:kern w:val="24"/>
                      <w:sz w:val="21"/>
                      <w:szCs w:val="21"/>
                      <w:highlight w:val="none"/>
                      <w:lang w:eastAsia="zh-CN"/>
                    </w:rPr>
                    <w:t>（</w:t>
                  </w:r>
                  <w:r>
                    <w:rPr>
                      <w:rFonts w:hint="eastAsia" w:cs="Times New Roman"/>
                      <w:color w:val="auto"/>
                      <w:kern w:val="24"/>
                      <w:sz w:val="21"/>
                      <w:szCs w:val="21"/>
                      <w:highlight w:val="none"/>
                      <w:lang w:val="en-US" w:eastAsia="zh-CN"/>
                    </w:rPr>
                    <w:t>t</w:t>
                  </w:r>
                  <w:r>
                    <w:rPr>
                      <w:rFonts w:hint="eastAsia" w:cs="Times New Roman"/>
                      <w:color w:val="auto"/>
                      <w:kern w:val="24"/>
                      <w:sz w:val="21"/>
                      <w:szCs w:val="21"/>
                      <w:highlight w:val="none"/>
                      <w:lang w:eastAsia="zh-CN"/>
                    </w:rPr>
                    <w:t>）</w:t>
                  </w:r>
                </w:p>
              </w:tc>
            </w:tr>
            <w:tr w14:paraId="73CA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14:paraId="56744996">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塑粉</w:t>
                  </w:r>
                </w:p>
              </w:tc>
              <w:tc>
                <w:tcPr>
                  <w:tcW w:w="1185" w:type="pct"/>
                  <w:shd w:val="clear" w:color="auto" w:fill="auto"/>
                  <w:noWrap w:val="0"/>
                  <w:vAlign w:val="center"/>
                </w:tcPr>
                <w:p w14:paraId="120EFA0D">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5</w:t>
                  </w:r>
                </w:p>
              </w:tc>
              <w:tc>
                <w:tcPr>
                  <w:tcW w:w="1319" w:type="pct"/>
                  <w:shd w:val="clear" w:color="auto" w:fill="auto"/>
                  <w:noWrap w:val="0"/>
                  <w:vAlign w:val="center"/>
                </w:tcPr>
                <w:p w14:paraId="448BDB7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工件表面</w:t>
                  </w:r>
                  <w:r>
                    <w:rPr>
                      <w:rFonts w:hint="eastAsia" w:cs="Times New Roman"/>
                      <w:color w:val="auto"/>
                      <w:kern w:val="24"/>
                      <w:sz w:val="21"/>
                      <w:szCs w:val="21"/>
                      <w:highlight w:val="none"/>
                      <w:lang w:val="en-US" w:eastAsia="zh-CN"/>
                    </w:rPr>
                    <w:t>塑</w:t>
                  </w:r>
                  <w:r>
                    <w:rPr>
                      <w:rFonts w:hint="default" w:ascii="Times New Roman" w:hAnsi="Times New Roman" w:eastAsia="宋体" w:cs="Times New Roman"/>
                      <w:color w:val="auto"/>
                      <w:kern w:val="24"/>
                      <w:sz w:val="21"/>
                      <w:szCs w:val="21"/>
                      <w:highlight w:val="none"/>
                    </w:rPr>
                    <w:t>膜</w:t>
                  </w:r>
                </w:p>
              </w:tc>
              <w:tc>
                <w:tcPr>
                  <w:tcW w:w="1311" w:type="pct"/>
                  <w:tcBorders>
                    <w:right w:val="single" w:color="auto" w:sz="12" w:space="0"/>
                  </w:tcBorders>
                  <w:shd w:val="clear" w:color="auto" w:fill="auto"/>
                  <w:noWrap w:val="0"/>
                  <w:vAlign w:val="center"/>
                </w:tcPr>
                <w:p w14:paraId="488ABFD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3.41975</w:t>
                  </w:r>
                </w:p>
              </w:tc>
            </w:tr>
            <w:tr w14:paraId="0855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14:paraId="4A19611D">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185" w:type="pct"/>
                  <w:shd w:val="clear" w:color="auto" w:fill="auto"/>
                  <w:noWrap w:val="0"/>
                  <w:vAlign w:val="center"/>
                </w:tcPr>
                <w:p w14:paraId="47617A45">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319" w:type="pct"/>
                  <w:shd w:val="clear" w:color="auto" w:fill="auto"/>
                  <w:noWrap w:val="0"/>
                  <w:vAlign w:val="center"/>
                </w:tcPr>
                <w:p w14:paraId="301013D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除尘灰</w:t>
                  </w:r>
                </w:p>
              </w:tc>
              <w:tc>
                <w:tcPr>
                  <w:tcW w:w="1311" w:type="pct"/>
                  <w:tcBorders>
                    <w:right w:val="single" w:color="auto" w:sz="12" w:space="0"/>
                  </w:tcBorders>
                  <w:shd w:val="clear" w:color="auto" w:fill="auto"/>
                  <w:noWrap w:val="0"/>
                  <w:vAlign w:val="center"/>
                </w:tcPr>
                <w:p w14:paraId="5E9D143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1.485</w:t>
                  </w:r>
                </w:p>
              </w:tc>
            </w:tr>
            <w:tr w14:paraId="13A4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14:paraId="1D875BF3">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185" w:type="pct"/>
                  <w:shd w:val="clear" w:color="auto" w:fill="auto"/>
                  <w:noWrap w:val="0"/>
                  <w:vAlign w:val="center"/>
                </w:tcPr>
                <w:p w14:paraId="3D0ACEB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319" w:type="pct"/>
                  <w:shd w:val="clear" w:color="auto" w:fill="auto"/>
                  <w:noWrap w:val="0"/>
                  <w:vAlign w:val="center"/>
                </w:tcPr>
                <w:p w14:paraId="4A5A489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非甲烷总烃</w:t>
                  </w:r>
                </w:p>
              </w:tc>
              <w:tc>
                <w:tcPr>
                  <w:tcW w:w="1311" w:type="pct"/>
                  <w:tcBorders>
                    <w:right w:val="single" w:color="auto" w:sz="12" w:space="0"/>
                  </w:tcBorders>
                  <w:shd w:val="clear" w:color="auto" w:fill="auto"/>
                  <w:noWrap w:val="0"/>
                  <w:vAlign w:val="center"/>
                </w:tcPr>
                <w:p w14:paraId="0A2924D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0.006</w:t>
                  </w:r>
                </w:p>
              </w:tc>
            </w:tr>
            <w:tr w14:paraId="7D18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tcBorders>
                  <w:shd w:val="clear" w:color="auto" w:fill="auto"/>
                  <w:noWrap w:val="0"/>
                  <w:vAlign w:val="center"/>
                </w:tcPr>
                <w:p w14:paraId="5A014193">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185" w:type="pct"/>
                  <w:shd w:val="clear" w:color="auto" w:fill="auto"/>
                  <w:noWrap w:val="0"/>
                  <w:vAlign w:val="center"/>
                </w:tcPr>
                <w:p w14:paraId="33A640E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319" w:type="pct"/>
                  <w:shd w:val="clear" w:color="auto" w:fill="auto"/>
                  <w:noWrap w:val="0"/>
                  <w:vAlign w:val="center"/>
                </w:tcPr>
                <w:p w14:paraId="6BF9868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颗粒物</w:t>
                  </w:r>
                </w:p>
              </w:tc>
              <w:tc>
                <w:tcPr>
                  <w:tcW w:w="1311" w:type="pct"/>
                  <w:tcBorders>
                    <w:right w:val="single" w:color="auto" w:sz="12" w:space="0"/>
                  </w:tcBorders>
                  <w:shd w:val="clear" w:color="auto" w:fill="auto"/>
                  <w:noWrap w:val="0"/>
                  <w:vAlign w:val="center"/>
                </w:tcPr>
                <w:p w14:paraId="75A7B55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0.08925</w:t>
                  </w:r>
                </w:p>
              </w:tc>
            </w:tr>
            <w:tr w14:paraId="54C8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3" w:type="pct"/>
                  <w:tcBorders>
                    <w:left w:val="single" w:color="auto" w:sz="12" w:space="0"/>
                    <w:bottom w:val="single" w:color="auto" w:sz="12" w:space="0"/>
                  </w:tcBorders>
                  <w:shd w:val="clear" w:color="auto" w:fill="auto"/>
                  <w:noWrap w:val="0"/>
                  <w:vAlign w:val="center"/>
                </w:tcPr>
                <w:p w14:paraId="383259D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rPr>
                  </w:pPr>
                  <w:r>
                    <w:rPr>
                      <w:rFonts w:hint="default" w:ascii="Times New Roman" w:hAnsi="Times New Roman" w:eastAsia="宋体" w:cs="Times New Roman"/>
                      <w:color w:val="auto"/>
                      <w:kern w:val="24"/>
                      <w:sz w:val="21"/>
                      <w:szCs w:val="21"/>
                      <w:highlight w:val="none"/>
                    </w:rPr>
                    <w:t>合计</w:t>
                  </w:r>
                </w:p>
              </w:tc>
              <w:tc>
                <w:tcPr>
                  <w:tcW w:w="1185" w:type="pct"/>
                  <w:tcBorders>
                    <w:bottom w:val="single" w:color="auto" w:sz="12" w:space="0"/>
                  </w:tcBorders>
                  <w:shd w:val="clear" w:color="auto" w:fill="auto"/>
                  <w:noWrap w:val="0"/>
                  <w:vAlign w:val="center"/>
                </w:tcPr>
                <w:p w14:paraId="7038CA2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5</w:t>
                  </w:r>
                </w:p>
              </w:tc>
              <w:tc>
                <w:tcPr>
                  <w:tcW w:w="1319" w:type="pct"/>
                  <w:tcBorders>
                    <w:bottom w:val="single" w:color="auto" w:sz="12" w:space="0"/>
                  </w:tcBorders>
                  <w:shd w:val="clear" w:color="auto" w:fill="auto"/>
                  <w:noWrap w:val="0"/>
                  <w:vAlign w:val="center"/>
                </w:tcPr>
                <w:p w14:paraId="490E870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w:t>
                  </w:r>
                </w:p>
              </w:tc>
              <w:tc>
                <w:tcPr>
                  <w:tcW w:w="1311" w:type="pct"/>
                  <w:tcBorders>
                    <w:bottom w:val="single" w:color="auto" w:sz="12" w:space="0"/>
                    <w:right w:val="single" w:color="auto" w:sz="12" w:space="0"/>
                  </w:tcBorders>
                  <w:shd w:val="clear" w:color="auto" w:fill="auto"/>
                  <w:noWrap w:val="0"/>
                  <w:vAlign w:val="center"/>
                </w:tcPr>
                <w:p w14:paraId="6AFF7B7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5</w:t>
                  </w:r>
                </w:p>
              </w:tc>
            </w:tr>
          </w:tbl>
          <w:p w14:paraId="478A2D23">
            <w:pPr>
              <w:adjustRightInd w:val="0"/>
              <w:snapToGrid w:val="0"/>
              <w:spacing w:line="480" w:lineRule="exact"/>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（4）</w:t>
            </w:r>
            <w:r>
              <w:rPr>
                <w:rFonts w:hint="eastAsia"/>
                <w:color w:val="auto"/>
                <w:sz w:val="24"/>
                <w:szCs w:val="24"/>
                <w:highlight w:val="none"/>
                <w:vertAlign w:val="baseline"/>
                <w:lang w:val="en-US" w:eastAsia="zh-CN"/>
              </w:rPr>
              <w:t>打磨、腻子打磨、</w:t>
            </w:r>
            <w:r>
              <w:rPr>
                <w:rFonts w:hint="eastAsia" w:cs="Times New Roman"/>
                <w:color w:val="auto"/>
                <w:sz w:val="24"/>
                <w:szCs w:val="24"/>
                <w:highlight w:val="none"/>
                <w:lang w:val="en-US" w:eastAsia="zh-CN"/>
              </w:rPr>
              <w:t>打砂废气</w:t>
            </w:r>
          </w:p>
          <w:p w14:paraId="6D69B931">
            <w:pPr>
              <w:adjustRightInd w:val="0"/>
              <w:snapToGrid w:val="0"/>
              <w:spacing w:line="480" w:lineRule="exact"/>
              <w:ind w:firstLine="480" w:firstLineChars="200"/>
              <w:rPr>
                <w:rFonts w:hint="default" w:cs="Times New Roman"/>
                <w:color w:val="auto"/>
                <w:sz w:val="24"/>
                <w:szCs w:val="24"/>
                <w:lang w:val="en-US" w:eastAsia="zh-CN"/>
              </w:rPr>
            </w:pPr>
            <w:r>
              <w:rPr>
                <w:rFonts w:hint="eastAsia" w:cs="Times New Roman"/>
                <w:color w:val="auto"/>
                <w:sz w:val="24"/>
                <w:szCs w:val="24"/>
                <w:lang w:val="en-US" w:eastAsia="zh-CN"/>
              </w:rPr>
              <w:fldChar w:fldCharType="begin"/>
            </w:r>
            <w:r>
              <w:rPr>
                <w:rFonts w:hint="eastAsia" w:cs="Times New Roman"/>
                <w:color w:val="auto"/>
                <w:sz w:val="24"/>
                <w:szCs w:val="24"/>
                <w:lang w:val="en-US" w:eastAsia="zh-CN"/>
              </w:rPr>
              <w:instrText xml:space="preserve"> = 1 \* GB3 \* MERGEFORMAT </w:instrText>
            </w:r>
            <w:r>
              <w:rPr>
                <w:rFonts w:hint="eastAsia" w:cs="Times New Roman"/>
                <w:color w:val="auto"/>
                <w:sz w:val="24"/>
                <w:szCs w:val="24"/>
                <w:lang w:val="en-US" w:eastAsia="zh-CN"/>
              </w:rPr>
              <w:fldChar w:fldCharType="separate"/>
            </w:r>
            <w:r>
              <w:rPr>
                <w:color w:val="auto"/>
              </w:rPr>
              <w:t>①</w:t>
            </w:r>
            <w:r>
              <w:rPr>
                <w:rFonts w:hint="eastAsia" w:cs="Times New Roman"/>
                <w:color w:val="auto"/>
                <w:sz w:val="24"/>
                <w:szCs w:val="24"/>
                <w:lang w:val="en-US" w:eastAsia="zh-CN"/>
              </w:rPr>
              <w:fldChar w:fldCharType="end"/>
            </w:r>
            <w:r>
              <w:rPr>
                <w:rFonts w:hint="eastAsia" w:cs="Times New Roman"/>
                <w:color w:val="auto"/>
                <w:sz w:val="24"/>
                <w:szCs w:val="24"/>
                <w:lang w:val="en-US" w:eastAsia="zh-CN"/>
              </w:rPr>
              <w:t>打磨废气</w:t>
            </w:r>
          </w:p>
          <w:p w14:paraId="7A20080E">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lang w:val="en-US" w:eastAsia="zh-CN"/>
              </w:rPr>
              <w:t>打磨过程颗粒物产生量</w:t>
            </w:r>
            <w:r>
              <w:rPr>
                <w:rFonts w:hint="eastAsia"/>
                <w:color w:val="auto"/>
                <w:sz w:val="24"/>
                <w:szCs w:val="24"/>
              </w:rPr>
              <w:t>参照</w:t>
            </w:r>
            <w:r>
              <w:rPr>
                <w:rFonts w:hint="eastAsia"/>
                <w:color w:val="auto"/>
                <w:sz w:val="24"/>
                <w:szCs w:val="24"/>
                <w:lang w:eastAsia="zh-CN"/>
              </w:rPr>
              <w:t>《排放源统计调查产排污核算方法和系数手册》</w:t>
            </w:r>
            <w:r>
              <w:rPr>
                <w:rFonts w:hint="eastAsia"/>
                <w:color w:val="auto"/>
                <w:sz w:val="24"/>
                <w:szCs w:val="24"/>
                <w:lang w:val="en-US" w:eastAsia="zh-CN"/>
              </w:rPr>
              <w:t>“34通用设备制造业—06预处理核算环节-干式预处理件-打磨”中颗粒物2.19千克/吨—原料，</w:t>
            </w:r>
            <w:r>
              <w:rPr>
                <w:rFonts w:hint="eastAsia"/>
                <w:color w:val="auto"/>
                <w:sz w:val="24"/>
                <w:szCs w:val="24"/>
                <w:highlight w:val="none"/>
                <w:lang w:val="en-US" w:eastAsia="zh-CN"/>
              </w:rPr>
              <w:t>项目打磨原料用量为1000t/a，则打磨过程颗粒物产生量为2.19t/a</w:t>
            </w:r>
            <w:r>
              <w:rPr>
                <w:rFonts w:hint="eastAsia" w:ascii="Times New Roman" w:hAnsi="Times New Roman" w:eastAsia="宋体" w:cs="Times New Roman"/>
                <w:color w:val="auto"/>
                <w:sz w:val="24"/>
                <w:szCs w:val="24"/>
                <w:highlight w:val="none"/>
                <w:lang w:val="en-US" w:eastAsia="zh-CN"/>
              </w:rPr>
              <w:t>。</w:t>
            </w:r>
          </w:p>
          <w:p w14:paraId="3C97F9F9">
            <w:pPr>
              <w:adjustRightInd w:val="0"/>
              <w:snapToGrid w:val="0"/>
              <w:spacing w:line="480" w:lineRule="exact"/>
              <w:ind w:firstLine="480" w:firstLineChars="200"/>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fldChar w:fldCharType="begin"/>
            </w:r>
            <w:r>
              <w:rPr>
                <w:rFonts w:hint="eastAsia" w:cs="Times New Roman"/>
                <w:color w:val="auto"/>
                <w:sz w:val="24"/>
                <w:szCs w:val="24"/>
                <w:lang w:val="en-US" w:eastAsia="zh-CN"/>
              </w:rPr>
              <w:instrText xml:space="preserve"> = 2 \* GB3 \* MERGEFORMAT </w:instrText>
            </w:r>
            <w:r>
              <w:rPr>
                <w:rFonts w:hint="eastAsia" w:cs="Times New Roman"/>
                <w:color w:val="auto"/>
                <w:sz w:val="24"/>
                <w:szCs w:val="24"/>
                <w:lang w:val="en-US" w:eastAsia="zh-CN"/>
              </w:rPr>
              <w:fldChar w:fldCharType="separate"/>
            </w:r>
            <w:r>
              <w:rPr>
                <w:color w:val="auto"/>
              </w:rPr>
              <w:t>②</w:t>
            </w:r>
            <w:r>
              <w:rPr>
                <w:rFonts w:hint="eastAsia" w:cs="Times New Roman"/>
                <w:color w:val="auto"/>
                <w:sz w:val="24"/>
                <w:szCs w:val="24"/>
                <w:lang w:val="en-US" w:eastAsia="zh-CN"/>
              </w:rPr>
              <w:fldChar w:fldCharType="end"/>
            </w:r>
            <w:r>
              <w:rPr>
                <w:rFonts w:hint="eastAsia" w:cs="Times New Roman"/>
                <w:color w:val="auto"/>
                <w:sz w:val="24"/>
                <w:szCs w:val="24"/>
                <w:lang w:val="en-US" w:eastAsia="zh-CN"/>
              </w:rPr>
              <w:t>腻子</w:t>
            </w:r>
            <w:r>
              <w:rPr>
                <w:rFonts w:hint="eastAsia" w:ascii="Times New Roman" w:hAnsi="Times New Roman" w:eastAsia="宋体" w:cs="Times New Roman"/>
                <w:color w:val="auto"/>
                <w:sz w:val="24"/>
                <w:szCs w:val="24"/>
                <w:lang w:val="en-US" w:eastAsia="zh-CN"/>
              </w:rPr>
              <w:t>打磨粉尘</w:t>
            </w:r>
          </w:p>
          <w:p w14:paraId="410A59A3">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lang w:val="en-US" w:eastAsia="zh-CN"/>
              </w:rPr>
              <w:t>本项目设有一台</w:t>
            </w:r>
            <w:r>
              <w:rPr>
                <w:rFonts w:hint="eastAsia" w:cs="Times New Roman"/>
                <w:color w:val="auto"/>
                <w:sz w:val="24"/>
                <w:szCs w:val="24"/>
                <w:lang w:val="en-US" w:eastAsia="zh-CN"/>
              </w:rPr>
              <w:t>角磨机</w:t>
            </w:r>
            <w:r>
              <w:rPr>
                <w:rFonts w:hint="eastAsia" w:ascii="Times New Roman" w:hAnsi="Times New Roman" w:eastAsia="宋体" w:cs="Times New Roman"/>
                <w:color w:val="auto"/>
                <w:sz w:val="24"/>
                <w:szCs w:val="24"/>
                <w:lang w:val="en-US" w:eastAsia="zh-CN"/>
              </w:rPr>
              <w:t>用于</w:t>
            </w:r>
            <w:r>
              <w:rPr>
                <w:rFonts w:hint="eastAsia" w:cs="Times New Roman"/>
                <w:color w:val="auto"/>
                <w:sz w:val="24"/>
                <w:szCs w:val="24"/>
                <w:lang w:val="en-US" w:eastAsia="zh-CN"/>
              </w:rPr>
              <w:t>腻子涂抹前</w:t>
            </w:r>
            <w:r>
              <w:rPr>
                <w:rFonts w:hint="eastAsia" w:ascii="Times New Roman" w:hAnsi="Times New Roman" w:eastAsia="宋体" w:cs="Times New Roman"/>
                <w:color w:val="auto"/>
                <w:sz w:val="24"/>
                <w:szCs w:val="24"/>
                <w:lang w:val="en-US" w:eastAsia="zh-CN"/>
              </w:rPr>
              <w:t>打磨</w:t>
            </w:r>
            <w:r>
              <w:rPr>
                <w:rFonts w:hint="eastAsia" w:cs="Times New Roman"/>
                <w:color w:val="auto"/>
                <w:sz w:val="24"/>
                <w:szCs w:val="24"/>
                <w:lang w:val="en-US" w:eastAsia="zh-CN"/>
              </w:rPr>
              <w:t>和腻子打磨</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打磨</w:t>
            </w:r>
            <w:r>
              <w:rPr>
                <w:rFonts w:hint="eastAsia" w:ascii="Times New Roman" w:hAnsi="Times New Roman" w:eastAsia="宋体" w:cs="Times New Roman"/>
                <w:color w:val="auto"/>
                <w:sz w:val="24"/>
                <w:szCs w:val="24"/>
                <w:lang w:val="en-US" w:eastAsia="zh-CN"/>
              </w:rPr>
              <w:t>过程会产生一定量的废气，主要为颗粒物。</w:t>
            </w:r>
            <w:r>
              <w:rPr>
                <w:rFonts w:hint="default" w:ascii="Times New Roman" w:hAnsi="Times New Roman" w:eastAsia="宋体" w:cs="Times New Roman"/>
                <w:b w:val="0"/>
                <w:bCs/>
                <w:color w:val="auto"/>
                <w:sz w:val="24"/>
                <w:szCs w:val="24"/>
                <w:lang w:eastAsia="zh-CN"/>
              </w:rPr>
              <w:t>由于打磨量少，且间断打磨</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腻子涂抹前</w:t>
            </w:r>
            <w:r>
              <w:rPr>
                <w:rFonts w:hint="eastAsia" w:ascii="Times New Roman" w:hAnsi="Times New Roman" w:eastAsia="宋体" w:cs="Times New Roman"/>
                <w:color w:val="auto"/>
                <w:sz w:val="24"/>
                <w:szCs w:val="24"/>
                <w:lang w:val="en-US" w:eastAsia="zh-CN"/>
              </w:rPr>
              <w:t>打磨时间为</w:t>
            </w:r>
            <w:r>
              <w:rPr>
                <w:rFonts w:hint="eastAsia" w:cs="Times New Roman"/>
                <w:color w:val="auto"/>
                <w:sz w:val="24"/>
                <w:szCs w:val="24"/>
                <w:lang w:val="en-US" w:eastAsia="zh-CN"/>
              </w:rPr>
              <w:t>300</w:t>
            </w:r>
            <w:r>
              <w:rPr>
                <w:rFonts w:hint="eastAsia" w:ascii="Times New Roman" w:hAnsi="Times New Roman" w:eastAsia="宋体" w:cs="Times New Roman"/>
                <w:color w:val="auto"/>
                <w:sz w:val="24"/>
                <w:szCs w:val="24"/>
                <w:lang w:val="en-US" w:eastAsia="zh-CN"/>
              </w:rPr>
              <w:t>h/a，</w:t>
            </w:r>
            <w:r>
              <w:rPr>
                <w:rFonts w:hint="eastAsia" w:cs="Times New Roman"/>
                <w:color w:val="auto"/>
                <w:sz w:val="24"/>
                <w:szCs w:val="24"/>
                <w:lang w:val="en-US" w:eastAsia="zh-CN"/>
              </w:rPr>
              <w:t>腻子打磨时间为300</w:t>
            </w:r>
            <w:r>
              <w:rPr>
                <w:rFonts w:hint="eastAsia" w:ascii="Times New Roman" w:hAnsi="Times New Roman" w:eastAsia="宋体" w:cs="Times New Roman"/>
                <w:color w:val="auto"/>
                <w:sz w:val="24"/>
                <w:szCs w:val="24"/>
                <w:lang w:val="en-US" w:eastAsia="zh-CN"/>
              </w:rPr>
              <w:t>h/a，</w:t>
            </w:r>
            <w:r>
              <w:rPr>
                <w:rFonts w:hint="eastAsia" w:cs="Times New Roman"/>
                <w:color w:val="auto"/>
                <w:sz w:val="24"/>
                <w:szCs w:val="24"/>
                <w:lang w:val="en-US" w:eastAsia="zh-CN"/>
              </w:rPr>
              <w:t>类</w:t>
            </w:r>
            <w:r>
              <w:rPr>
                <w:rFonts w:hint="eastAsia" w:ascii="Times New Roman" w:hAnsi="Times New Roman" w:eastAsia="宋体" w:cs="Times New Roman"/>
                <w:color w:val="auto"/>
                <w:sz w:val="24"/>
                <w:szCs w:val="24"/>
                <w:lang w:val="en-US" w:eastAsia="zh-CN"/>
              </w:rPr>
              <w:t>比同类项目可知，</w:t>
            </w:r>
            <w:r>
              <w:rPr>
                <w:rFonts w:hint="eastAsia" w:cs="Times New Roman"/>
                <w:color w:val="auto"/>
                <w:sz w:val="24"/>
                <w:szCs w:val="24"/>
                <w:lang w:val="en-US" w:eastAsia="zh-CN"/>
              </w:rPr>
              <w:t>腻子涂抹前</w:t>
            </w:r>
            <w:r>
              <w:rPr>
                <w:rFonts w:hint="eastAsia" w:ascii="Times New Roman" w:hAnsi="Times New Roman" w:eastAsia="宋体" w:cs="Times New Roman"/>
                <w:color w:val="auto"/>
                <w:sz w:val="24"/>
                <w:szCs w:val="24"/>
                <w:lang w:val="en-US" w:eastAsia="zh-CN"/>
              </w:rPr>
              <w:t>打磨过程颗粒物产生速率为0.01kg/h，</w:t>
            </w:r>
            <w:r>
              <w:rPr>
                <w:rFonts w:hint="eastAsia" w:cs="Times New Roman"/>
                <w:color w:val="auto"/>
                <w:sz w:val="24"/>
                <w:szCs w:val="24"/>
                <w:lang w:val="en-US" w:eastAsia="zh-CN"/>
              </w:rPr>
              <w:t>则</w:t>
            </w:r>
            <w:r>
              <w:rPr>
                <w:rFonts w:hint="eastAsia" w:ascii="Times New Roman" w:hAnsi="Times New Roman" w:eastAsia="宋体" w:cs="Times New Roman"/>
                <w:color w:val="auto"/>
                <w:sz w:val="24"/>
                <w:szCs w:val="24"/>
                <w:lang w:val="en-US" w:eastAsia="zh-CN"/>
              </w:rPr>
              <w:t>颗粒物产生量为0.00</w:t>
            </w:r>
            <w:r>
              <w:rPr>
                <w:rFonts w:hint="eastAsia"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t/a</w:t>
            </w:r>
            <w:r>
              <w:rPr>
                <w:rFonts w:hint="eastAsia" w:cs="Times New Roman"/>
                <w:color w:val="auto"/>
                <w:sz w:val="24"/>
                <w:szCs w:val="24"/>
                <w:lang w:val="en-US" w:eastAsia="zh-CN"/>
              </w:rPr>
              <w:t>。腻子打磨过程颗粒物产生量</w:t>
            </w:r>
            <w:r>
              <w:rPr>
                <w:rFonts w:hint="eastAsia"/>
                <w:color w:val="auto"/>
                <w:sz w:val="24"/>
                <w:szCs w:val="24"/>
              </w:rPr>
              <w:t>参照</w:t>
            </w:r>
            <w:r>
              <w:rPr>
                <w:rFonts w:hint="eastAsia"/>
                <w:color w:val="auto"/>
                <w:sz w:val="24"/>
                <w:szCs w:val="24"/>
                <w:lang w:eastAsia="zh-CN"/>
              </w:rPr>
              <w:t>《排放源统计调查产排污核算方法和系数手册》</w:t>
            </w:r>
            <w:r>
              <w:rPr>
                <w:rFonts w:hint="eastAsia"/>
                <w:color w:val="auto"/>
                <w:sz w:val="24"/>
                <w:szCs w:val="24"/>
                <w:lang w:val="en-US" w:eastAsia="zh-CN"/>
              </w:rPr>
              <w:t>“34通用设备制造业—14涂装核算环节-腻子打磨过程”中颗粒物166千克/吨—原料</w:t>
            </w:r>
            <w:r>
              <w:rPr>
                <w:rFonts w:hint="eastAsia"/>
                <w:color w:val="auto"/>
                <w:sz w:val="24"/>
                <w:szCs w:val="24"/>
                <w:highlight w:val="none"/>
                <w:lang w:val="en-US" w:eastAsia="zh-CN"/>
              </w:rPr>
              <w:t>，项目腻子用量0.1t/a，腻子打磨过程颗粒物产生量为0.0166t/a，则打磨过程颗粒物产生量为0.0196t/a</w:t>
            </w:r>
            <w:r>
              <w:rPr>
                <w:rFonts w:hint="eastAsia" w:ascii="Times New Roman" w:hAnsi="Times New Roman" w:eastAsia="宋体" w:cs="Times New Roman"/>
                <w:color w:val="auto"/>
                <w:sz w:val="24"/>
                <w:szCs w:val="24"/>
                <w:highlight w:val="none"/>
                <w:lang w:val="en-US" w:eastAsia="zh-CN"/>
              </w:rPr>
              <w:t>。</w:t>
            </w:r>
          </w:p>
          <w:p w14:paraId="568D0BC6">
            <w:pPr>
              <w:adjustRightInd w:val="0"/>
              <w:snapToGrid w:val="0"/>
              <w:spacing w:line="480" w:lineRule="exact"/>
              <w:ind w:firstLine="480" w:firstLineChars="200"/>
              <w:rPr>
                <w:rFonts w:hint="eastAsia" w:ascii="Times New Roman" w:hAnsi="Times New Roman" w:eastAsia="宋体" w:cs="Times New Roman"/>
                <w:color w:val="auto"/>
                <w:sz w:val="24"/>
                <w:szCs w:val="24"/>
                <w:highlight w:val="yellow"/>
                <w:lang w:val="en-US" w:eastAsia="zh-CN"/>
              </w:rPr>
            </w:pPr>
            <w:r>
              <w:rPr>
                <w:rFonts w:hint="eastAsia" w:ascii="Times New Roman" w:hAnsi="Times New Roman" w:eastAsia="宋体" w:cs="Times New Roman"/>
                <w:color w:val="auto"/>
                <w:sz w:val="24"/>
                <w:szCs w:val="24"/>
                <w:highlight w:val="yellow"/>
                <w:lang w:val="en-US" w:eastAsia="zh-CN"/>
              </w:rPr>
              <w:fldChar w:fldCharType="begin"/>
            </w:r>
            <w:r>
              <w:rPr>
                <w:rFonts w:hint="eastAsia" w:ascii="Times New Roman" w:hAnsi="Times New Roman" w:eastAsia="宋体" w:cs="Times New Roman"/>
                <w:color w:val="auto"/>
                <w:sz w:val="24"/>
                <w:szCs w:val="24"/>
                <w:highlight w:val="yellow"/>
                <w:lang w:val="en-US" w:eastAsia="zh-CN"/>
              </w:rPr>
              <w:instrText xml:space="preserve"> = 3 \* GB3 \* MERGEFORMAT </w:instrText>
            </w:r>
            <w:r>
              <w:rPr>
                <w:rFonts w:hint="eastAsia" w:ascii="Times New Roman" w:hAnsi="Times New Roman" w:eastAsia="宋体" w:cs="Times New Roman"/>
                <w:color w:val="auto"/>
                <w:sz w:val="24"/>
                <w:szCs w:val="24"/>
                <w:highlight w:val="yellow"/>
                <w:lang w:val="en-US" w:eastAsia="zh-CN"/>
              </w:rPr>
              <w:fldChar w:fldCharType="separate"/>
            </w:r>
            <w:r>
              <w:rPr>
                <w:color w:val="auto"/>
              </w:rPr>
              <w:t>③</w:t>
            </w:r>
            <w:r>
              <w:rPr>
                <w:rFonts w:hint="eastAsia" w:ascii="Times New Roman" w:hAnsi="Times New Roman" w:eastAsia="宋体" w:cs="Times New Roman"/>
                <w:color w:val="auto"/>
                <w:sz w:val="24"/>
                <w:szCs w:val="24"/>
                <w:highlight w:val="yellow"/>
                <w:lang w:val="en-US" w:eastAsia="zh-CN"/>
              </w:rPr>
              <w:fldChar w:fldCharType="end"/>
            </w:r>
            <w:r>
              <w:rPr>
                <w:rFonts w:hint="eastAsia" w:cs="Times New Roman"/>
                <w:color w:val="auto"/>
                <w:sz w:val="24"/>
                <w:szCs w:val="24"/>
                <w:lang w:val="en-US" w:eastAsia="zh-CN"/>
              </w:rPr>
              <w:t>打砂废气</w:t>
            </w:r>
          </w:p>
          <w:p w14:paraId="31C7904D">
            <w:pPr>
              <w:adjustRightInd w:val="0"/>
              <w:snapToGrid w:val="0"/>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lang w:val="en-US" w:eastAsia="zh-CN"/>
              </w:rPr>
              <w:t>打砂过程颗粒物产生量</w:t>
            </w:r>
            <w:r>
              <w:rPr>
                <w:rFonts w:hint="eastAsia"/>
                <w:color w:val="auto"/>
                <w:sz w:val="24"/>
                <w:szCs w:val="24"/>
              </w:rPr>
              <w:t>参照</w:t>
            </w:r>
            <w:r>
              <w:rPr>
                <w:rFonts w:hint="eastAsia"/>
                <w:color w:val="auto"/>
                <w:sz w:val="24"/>
                <w:szCs w:val="24"/>
                <w:lang w:eastAsia="zh-CN"/>
              </w:rPr>
              <w:t>《排放源统计调查产排污核算方法和系数手册》</w:t>
            </w:r>
            <w:r>
              <w:rPr>
                <w:rFonts w:hint="eastAsia"/>
                <w:color w:val="auto"/>
                <w:sz w:val="24"/>
                <w:szCs w:val="24"/>
                <w:lang w:val="en-US" w:eastAsia="zh-CN"/>
              </w:rPr>
              <w:t>“34通用设备制造业—06预处理核算环节-干式预处理件-打砂”中颗粒物2.19千克/吨—原料，</w:t>
            </w:r>
            <w:r>
              <w:rPr>
                <w:rFonts w:hint="eastAsia"/>
                <w:color w:val="auto"/>
                <w:sz w:val="24"/>
                <w:szCs w:val="24"/>
                <w:highlight w:val="none"/>
                <w:lang w:val="en-US" w:eastAsia="zh-CN"/>
              </w:rPr>
              <w:t>本项目需要打砂的板材用量1000t/a，则打砂过程颗粒物产生量为2.19t/a</w:t>
            </w:r>
            <w:r>
              <w:rPr>
                <w:rFonts w:hint="eastAsia" w:ascii="Times New Roman" w:hAnsi="Times New Roman" w:eastAsia="宋体" w:cs="Times New Roman"/>
                <w:color w:val="auto"/>
                <w:sz w:val="24"/>
                <w:szCs w:val="24"/>
                <w:highlight w:val="none"/>
                <w:lang w:val="en-US" w:eastAsia="zh-CN"/>
              </w:rPr>
              <w:t>。</w:t>
            </w:r>
          </w:p>
          <w:p w14:paraId="6BA30BE7">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综上所述，打磨、腻子打磨、</w:t>
            </w:r>
            <w:r>
              <w:rPr>
                <w:rFonts w:hint="eastAsia"/>
                <w:color w:val="auto"/>
                <w:sz w:val="24"/>
                <w:szCs w:val="24"/>
                <w:vertAlign w:val="baseline"/>
                <w:lang w:val="en-US" w:eastAsia="zh-CN"/>
              </w:rPr>
              <w:t>打砂</w:t>
            </w:r>
            <w:r>
              <w:rPr>
                <w:rFonts w:hint="eastAsia" w:ascii="Times New Roman" w:hAnsi="Times New Roman" w:eastAsia="宋体" w:cs="Times New Roman"/>
                <w:color w:val="auto"/>
                <w:sz w:val="24"/>
                <w:szCs w:val="24"/>
                <w:highlight w:val="none"/>
                <w:lang w:val="en-US" w:eastAsia="zh-CN"/>
              </w:rPr>
              <w:t>过程颗粒物的产生量为4.3996t/a。</w:t>
            </w:r>
          </w:p>
          <w:p w14:paraId="37BAEE89">
            <w:pPr>
              <w:adjustRightInd w:val="0"/>
              <w:snapToGrid w:val="0"/>
              <w:spacing w:line="480" w:lineRule="exact"/>
              <w:ind w:firstLine="480" w:firstLineChars="200"/>
              <w:rPr>
                <w:rFonts w:hint="eastAsia"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w:t>
            </w:r>
            <w:r>
              <w:rPr>
                <w:rFonts w:hint="eastAsia"/>
                <w:color w:val="auto"/>
                <w:sz w:val="24"/>
                <w:szCs w:val="24"/>
                <w:highlight w:val="none"/>
                <w:lang w:val="en-US" w:eastAsia="zh-CN"/>
              </w:rPr>
              <w:t>打磨工位上方设置集气罩，腻子打磨间、打砂车间密闭，废气经集气管道收集后进入一套袋式除尘器进行处理，处理后通过一根15m高排气筒排放。袋式除尘器风机风量为</w:t>
            </w:r>
            <w:r>
              <w:rPr>
                <w:rFonts w:hint="eastAsia" w:cs="Times New Roman"/>
                <w:color w:val="auto"/>
                <w:sz w:val="24"/>
                <w:szCs w:val="24"/>
                <w:highlight w:val="none"/>
                <w:lang w:val="en-US" w:eastAsia="zh-CN"/>
              </w:rPr>
              <w:t>33000</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/h</w:t>
            </w:r>
            <w:r>
              <w:rPr>
                <w:rFonts w:hint="eastAsia" w:cs="Times New Roman"/>
                <w:color w:val="auto"/>
                <w:sz w:val="24"/>
                <w:szCs w:val="24"/>
                <w:highlight w:val="none"/>
                <w:lang w:val="en-US" w:eastAsia="zh-CN"/>
              </w:rPr>
              <w:t>，捕集效率为95%</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处理</w:t>
            </w:r>
            <w:r>
              <w:rPr>
                <w:rFonts w:hint="eastAsia" w:ascii="Times New Roman" w:hAnsi="Times New Roman" w:eastAsia="宋体" w:cs="Times New Roman"/>
                <w:color w:val="auto"/>
                <w:sz w:val="24"/>
                <w:szCs w:val="24"/>
                <w:highlight w:val="none"/>
                <w:lang w:val="en-US" w:eastAsia="zh-CN"/>
              </w:rPr>
              <w:t>效率为</w:t>
            </w:r>
            <w:r>
              <w:rPr>
                <w:rFonts w:hint="eastAsia" w:cs="Times New Roman"/>
                <w:color w:val="auto"/>
                <w:sz w:val="24"/>
                <w:szCs w:val="24"/>
                <w:highlight w:val="none"/>
                <w:lang w:val="en-US" w:eastAsia="zh-CN"/>
              </w:rPr>
              <w:t>95</w:t>
            </w:r>
            <w:r>
              <w:rPr>
                <w:rFonts w:hint="eastAsia" w:ascii="Times New Roman" w:hAnsi="Times New Roman" w:eastAsia="宋体" w:cs="Times New Roman"/>
                <w:color w:val="auto"/>
                <w:sz w:val="24"/>
                <w:szCs w:val="24"/>
                <w:highlight w:val="none"/>
                <w:lang w:val="en-US" w:eastAsia="zh-CN"/>
              </w:rPr>
              <w:t>%</w:t>
            </w:r>
            <w:r>
              <w:rPr>
                <w:rFonts w:hint="eastAsia"/>
                <w:color w:val="auto"/>
                <w:lang w:val="en-US" w:eastAsia="zh-CN"/>
              </w:rPr>
              <w:t>，</w:t>
            </w:r>
            <w:r>
              <w:rPr>
                <w:rFonts w:hint="eastAsia" w:cs="Times New Roman"/>
                <w:color w:val="auto"/>
                <w:sz w:val="24"/>
                <w:szCs w:val="24"/>
                <w:highlight w:val="none"/>
                <w:lang w:val="en-US" w:eastAsia="zh-CN"/>
              </w:rPr>
              <w:t>打磨、腻子打磨、</w:t>
            </w:r>
            <w:r>
              <w:rPr>
                <w:rFonts w:hint="eastAsia"/>
                <w:color w:val="auto"/>
                <w:sz w:val="24"/>
                <w:szCs w:val="24"/>
                <w:vertAlign w:val="baseline"/>
                <w:lang w:val="en-US" w:eastAsia="zh-CN"/>
              </w:rPr>
              <w:t>打砂</w:t>
            </w:r>
            <w:r>
              <w:rPr>
                <w:rFonts w:hint="eastAsia"/>
                <w:color w:val="auto"/>
                <w:lang w:val="en-US" w:eastAsia="zh-CN"/>
              </w:rPr>
              <w:t>工序年运行共</w:t>
            </w:r>
            <w:r>
              <w:rPr>
                <w:rFonts w:hint="eastAsia"/>
                <w:color w:val="auto"/>
                <w:highlight w:val="none"/>
                <w:lang w:val="en-US" w:eastAsia="zh-CN"/>
              </w:rPr>
              <w:t>1200h</w:t>
            </w:r>
            <w:r>
              <w:rPr>
                <w:rFonts w:hint="eastAsia" w:cs="Times New Roman"/>
                <w:color w:val="auto"/>
                <w:sz w:val="24"/>
                <w:szCs w:val="24"/>
                <w:highlight w:val="none"/>
                <w:lang w:val="en-US" w:eastAsia="zh-CN"/>
              </w:rPr>
              <w:t>。</w:t>
            </w:r>
          </w:p>
          <w:p w14:paraId="7EC849AC">
            <w:pPr>
              <w:pStyle w:val="41"/>
              <w:ind w:firstLine="0" w:firstLineChars="0"/>
              <w:jc w:val="center"/>
              <w:rPr>
                <w:rFonts w:hint="eastAsia" w:ascii="Times New Roman" w:hAnsi="Times New Roman" w:eastAsia="宋体" w:cs="Times New Roman"/>
                <w:b/>
                <w:color w:val="auto"/>
                <w:sz w:val="21"/>
                <w:szCs w:val="24"/>
                <w:highlight w:val="none"/>
              </w:rPr>
            </w:pPr>
            <w:r>
              <w:rPr>
                <w:rFonts w:hint="eastAsia" w:ascii="Times New Roman" w:hAnsi="Times New Roman" w:eastAsia="宋体" w:cs="Times New Roman"/>
                <w:b/>
                <w:color w:val="auto"/>
                <w:sz w:val="21"/>
                <w:szCs w:val="24"/>
                <w:highlight w:val="none"/>
              </w:rPr>
              <w:t>表</w:t>
            </w:r>
            <w:r>
              <w:rPr>
                <w:rFonts w:hint="eastAsia" w:cs="Times New Roman"/>
                <w:b/>
                <w:color w:val="auto"/>
                <w:sz w:val="21"/>
                <w:szCs w:val="24"/>
                <w:highlight w:val="none"/>
                <w:lang w:val="en-US" w:eastAsia="zh-CN"/>
              </w:rPr>
              <w:t>31</w:t>
            </w:r>
            <w:r>
              <w:rPr>
                <w:rFonts w:hint="eastAsia" w:ascii="Times New Roman" w:hAnsi="Times New Roman" w:eastAsia="宋体" w:cs="Times New Roman"/>
                <w:b/>
                <w:color w:val="auto"/>
                <w:sz w:val="21"/>
                <w:szCs w:val="24"/>
                <w:highlight w:val="none"/>
              </w:rPr>
              <w:t xml:space="preserve">  </w:t>
            </w:r>
            <w:r>
              <w:rPr>
                <w:rFonts w:hint="eastAsia" w:ascii="Times New Roman" w:hAnsi="Times New Roman" w:eastAsia="宋体" w:cs="Times New Roman"/>
                <w:b/>
                <w:color w:val="auto"/>
                <w:sz w:val="21"/>
                <w:szCs w:val="24"/>
                <w:highlight w:val="none"/>
                <w:lang w:val="en-US" w:eastAsia="zh-CN"/>
              </w:rPr>
              <w:t>打磨、</w:t>
            </w:r>
            <w:r>
              <w:rPr>
                <w:rFonts w:hint="eastAsia" w:eastAsia="宋体" w:cs="Times New Roman"/>
                <w:b/>
                <w:color w:val="auto"/>
                <w:sz w:val="21"/>
                <w:szCs w:val="24"/>
                <w:highlight w:val="none"/>
                <w:lang w:val="en-US" w:eastAsia="zh-CN"/>
              </w:rPr>
              <w:t>腻子</w:t>
            </w:r>
            <w:r>
              <w:rPr>
                <w:rFonts w:hint="eastAsia" w:ascii="Times New Roman" w:hAnsi="Times New Roman" w:eastAsia="宋体" w:cs="Times New Roman"/>
                <w:b/>
                <w:color w:val="auto"/>
                <w:sz w:val="21"/>
                <w:szCs w:val="24"/>
                <w:highlight w:val="none"/>
                <w:lang w:val="en-US" w:eastAsia="zh-CN"/>
              </w:rPr>
              <w:t>打磨、</w:t>
            </w:r>
            <w:r>
              <w:rPr>
                <w:rFonts w:hint="eastAsia" w:eastAsia="宋体" w:cs="Times New Roman"/>
                <w:b/>
                <w:color w:val="auto"/>
                <w:sz w:val="21"/>
                <w:szCs w:val="24"/>
                <w:highlight w:val="none"/>
                <w:lang w:val="en-US" w:eastAsia="zh-CN"/>
              </w:rPr>
              <w:t>打砂</w:t>
            </w:r>
            <w:r>
              <w:rPr>
                <w:rFonts w:hint="eastAsia" w:ascii="Times New Roman" w:hAnsi="Times New Roman" w:eastAsia="宋体" w:cs="Times New Roman"/>
                <w:b/>
                <w:color w:val="auto"/>
                <w:sz w:val="21"/>
                <w:szCs w:val="24"/>
                <w:highlight w:val="none"/>
              </w:rPr>
              <w:t>过程</w:t>
            </w:r>
            <w:r>
              <w:rPr>
                <w:rFonts w:hint="eastAsia" w:ascii="Times New Roman" w:hAnsi="Times New Roman" w:eastAsia="宋体" w:cs="Times New Roman"/>
                <w:b/>
                <w:color w:val="auto"/>
                <w:sz w:val="21"/>
                <w:szCs w:val="24"/>
                <w:highlight w:val="none"/>
                <w:lang w:val="en-US" w:eastAsia="zh-CN"/>
              </w:rPr>
              <w:t>污染物</w:t>
            </w:r>
            <w:r>
              <w:rPr>
                <w:rFonts w:hint="eastAsia" w:ascii="Times New Roman" w:hAnsi="Times New Roman" w:eastAsia="宋体" w:cs="Times New Roman"/>
                <w:b/>
                <w:color w:val="auto"/>
                <w:sz w:val="21"/>
                <w:szCs w:val="24"/>
                <w:highlight w:val="none"/>
              </w:rPr>
              <w:t>排放情况</w:t>
            </w:r>
          </w:p>
          <w:tbl>
            <w:tblPr>
              <w:tblStyle w:val="20"/>
              <w:tblW w:w="81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2"/>
              <w:gridCol w:w="565"/>
              <w:gridCol w:w="570"/>
              <w:gridCol w:w="1065"/>
              <w:gridCol w:w="643"/>
              <w:gridCol w:w="720"/>
              <w:gridCol w:w="645"/>
              <w:gridCol w:w="765"/>
              <w:gridCol w:w="696"/>
              <w:gridCol w:w="789"/>
              <w:gridCol w:w="831"/>
            </w:tblGrid>
            <w:tr w14:paraId="3EFD6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2" w:type="dxa"/>
                  <w:noWrap w:val="0"/>
                  <w:vAlign w:val="center"/>
                </w:tcPr>
                <w:p w14:paraId="5741BD05">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污染源</w:t>
                  </w:r>
                </w:p>
              </w:tc>
              <w:tc>
                <w:tcPr>
                  <w:tcW w:w="565" w:type="dxa"/>
                  <w:noWrap w:val="0"/>
                  <w:vAlign w:val="center"/>
                </w:tcPr>
                <w:p w14:paraId="2649F9AF">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color w:val="auto"/>
                      <w:sz w:val="21"/>
                      <w:szCs w:val="21"/>
                    </w:rPr>
                    <w:t>污染因子</w:t>
                  </w:r>
                </w:p>
              </w:tc>
              <w:tc>
                <w:tcPr>
                  <w:tcW w:w="570" w:type="dxa"/>
                  <w:noWrap w:val="0"/>
                  <w:vAlign w:val="center"/>
                </w:tcPr>
                <w:p w14:paraId="57DEA669">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收集率</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w:t>
                  </w:r>
                  <w:r>
                    <w:rPr>
                      <w:rFonts w:hint="eastAsia" w:eastAsia="宋体" w:cs="Times New Roman"/>
                      <w:color w:val="auto"/>
                      <w:sz w:val="21"/>
                      <w:szCs w:val="21"/>
                      <w:lang w:val="en-US" w:eastAsia="zh-CN"/>
                    </w:rPr>
                    <w:t>)</w:t>
                  </w:r>
                </w:p>
              </w:tc>
              <w:tc>
                <w:tcPr>
                  <w:tcW w:w="1708" w:type="dxa"/>
                  <w:gridSpan w:val="2"/>
                  <w:noWrap w:val="0"/>
                  <w:vAlign w:val="center"/>
                </w:tcPr>
                <w:p w14:paraId="628C0A14">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产生量</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rPr>
                    <w:t>t/a</w:t>
                  </w:r>
                  <w:r>
                    <w:rPr>
                      <w:rFonts w:hint="eastAsia" w:eastAsia="宋体" w:cs="Times New Roman"/>
                      <w:color w:val="auto"/>
                      <w:sz w:val="21"/>
                      <w:szCs w:val="21"/>
                      <w:lang w:val="en-US" w:eastAsia="zh-CN"/>
                    </w:rPr>
                    <w:t>)</w:t>
                  </w:r>
                </w:p>
              </w:tc>
              <w:tc>
                <w:tcPr>
                  <w:tcW w:w="720" w:type="dxa"/>
                  <w:noWrap w:val="0"/>
                  <w:vAlign w:val="center"/>
                </w:tcPr>
                <w:p w14:paraId="0BC45114">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处理</w:t>
                  </w:r>
                </w:p>
                <w:p w14:paraId="731232D6">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风量</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rPr>
                    <w:t>m</w:t>
                  </w:r>
                  <w:r>
                    <w:rPr>
                      <w:rFonts w:hint="eastAsia" w:ascii="Times New Roman" w:hAnsi="Times New Roman" w:eastAsia="宋体" w:cs="Times New Roman"/>
                      <w:color w:val="auto"/>
                      <w:sz w:val="21"/>
                      <w:szCs w:val="21"/>
                      <w:vertAlign w:val="superscript"/>
                    </w:rPr>
                    <w:t>3</w:t>
                  </w:r>
                  <w:r>
                    <w:rPr>
                      <w:rFonts w:hint="eastAsia" w:ascii="Times New Roman" w:hAnsi="Times New Roman" w:eastAsia="宋体" w:cs="Times New Roman"/>
                      <w:color w:val="auto"/>
                      <w:sz w:val="21"/>
                      <w:szCs w:val="21"/>
                    </w:rPr>
                    <w:t>/h</w:t>
                  </w:r>
                  <w:r>
                    <w:rPr>
                      <w:rFonts w:hint="eastAsia" w:eastAsia="宋体" w:cs="Times New Roman"/>
                      <w:color w:val="auto"/>
                      <w:sz w:val="21"/>
                      <w:szCs w:val="21"/>
                      <w:lang w:val="en-US" w:eastAsia="zh-CN"/>
                    </w:rPr>
                    <w:t>)</w:t>
                  </w:r>
                </w:p>
              </w:tc>
              <w:tc>
                <w:tcPr>
                  <w:tcW w:w="645" w:type="dxa"/>
                  <w:noWrap w:val="0"/>
                  <w:vAlign w:val="center"/>
                </w:tcPr>
                <w:p w14:paraId="4CC5F06B">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处理效率</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rPr>
                    <w:t>%</w:t>
                  </w:r>
                  <w:r>
                    <w:rPr>
                      <w:rFonts w:hint="eastAsia" w:eastAsia="宋体" w:cs="Times New Roman"/>
                      <w:color w:val="auto"/>
                      <w:sz w:val="21"/>
                      <w:szCs w:val="21"/>
                      <w:lang w:val="en-US" w:eastAsia="zh-CN"/>
                    </w:rPr>
                    <w:t>)</w:t>
                  </w:r>
                </w:p>
              </w:tc>
              <w:tc>
                <w:tcPr>
                  <w:tcW w:w="765" w:type="dxa"/>
                  <w:noWrap w:val="0"/>
                  <w:vAlign w:val="center"/>
                </w:tcPr>
                <w:p w14:paraId="73D6DE76">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运行时间</w:t>
                  </w:r>
                  <w:r>
                    <w:rPr>
                      <w:rFonts w:hint="eastAsia"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h/a</w:t>
                  </w:r>
                  <w:r>
                    <w:rPr>
                      <w:rFonts w:hint="eastAsia" w:eastAsia="宋体" w:cs="Times New Roman"/>
                      <w:color w:val="auto"/>
                      <w:sz w:val="21"/>
                      <w:szCs w:val="21"/>
                      <w:highlight w:val="none"/>
                      <w:lang w:val="en-US" w:eastAsia="zh-CN"/>
                    </w:rPr>
                    <w:t>)</w:t>
                  </w:r>
                </w:p>
              </w:tc>
              <w:tc>
                <w:tcPr>
                  <w:tcW w:w="696" w:type="dxa"/>
                  <w:noWrap w:val="0"/>
                  <w:vAlign w:val="center"/>
                </w:tcPr>
                <w:p w14:paraId="3BB44A7B">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排放量</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rPr>
                    <w:t>t/a</w:t>
                  </w:r>
                  <w:r>
                    <w:rPr>
                      <w:rFonts w:hint="eastAsia" w:eastAsia="宋体" w:cs="Times New Roman"/>
                      <w:color w:val="auto"/>
                      <w:sz w:val="21"/>
                      <w:szCs w:val="21"/>
                      <w:lang w:val="en-US" w:eastAsia="zh-CN"/>
                    </w:rPr>
                    <w:t>)</w:t>
                  </w:r>
                </w:p>
              </w:tc>
              <w:tc>
                <w:tcPr>
                  <w:tcW w:w="789" w:type="dxa"/>
                  <w:noWrap w:val="0"/>
                  <w:vAlign w:val="center"/>
                </w:tcPr>
                <w:p w14:paraId="1954F08B">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排放</w:t>
                  </w:r>
                  <w:r>
                    <w:rPr>
                      <w:rFonts w:hint="eastAsia" w:eastAsia="宋体" w:cs="Times New Roman"/>
                      <w:color w:val="auto"/>
                      <w:sz w:val="21"/>
                      <w:szCs w:val="21"/>
                      <w:lang w:val="en-US" w:eastAsia="zh-CN"/>
                    </w:rPr>
                    <w:t>速率(</w:t>
                  </w:r>
                  <w:r>
                    <w:rPr>
                      <w:rFonts w:hint="eastAsia" w:ascii="Times New Roman" w:hAnsi="Times New Roman" w:eastAsia="宋体" w:cs="Times New Roman"/>
                      <w:color w:val="auto"/>
                      <w:sz w:val="21"/>
                      <w:szCs w:val="21"/>
                    </w:rPr>
                    <w:t>kg/h</w:t>
                  </w:r>
                  <w:r>
                    <w:rPr>
                      <w:rFonts w:hint="eastAsia" w:eastAsia="宋体" w:cs="Times New Roman"/>
                      <w:color w:val="auto"/>
                      <w:sz w:val="21"/>
                      <w:szCs w:val="21"/>
                      <w:lang w:val="en-US" w:eastAsia="zh-CN"/>
                    </w:rPr>
                    <w:t>)</w:t>
                  </w:r>
                </w:p>
              </w:tc>
              <w:tc>
                <w:tcPr>
                  <w:tcW w:w="831" w:type="dxa"/>
                  <w:noWrap w:val="0"/>
                  <w:vAlign w:val="center"/>
                </w:tcPr>
                <w:p w14:paraId="2B090D4E">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排放</w:t>
                  </w:r>
                  <w:r>
                    <w:rPr>
                      <w:rFonts w:hint="eastAsia" w:eastAsia="宋体" w:cs="Times New Roman"/>
                      <w:color w:val="auto"/>
                      <w:sz w:val="21"/>
                      <w:szCs w:val="21"/>
                      <w:lang w:val="en-US" w:eastAsia="zh-CN"/>
                    </w:rPr>
                    <w:t>浓度(</w:t>
                  </w:r>
                  <w:r>
                    <w:rPr>
                      <w:rFonts w:hint="eastAsia"/>
                      <w:color w:val="auto"/>
                      <w:sz w:val="21"/>
                      <w:szCs w:val="21"/>
                      <w:lang w:val="en-US" w:eastAsia="zh-CN"/>
                    </w:rPr>
                    <w:t>mg/m</w:t>
                  </w:r>
                  <w:r>
                    <w:rPr>
                      <w:rFonts w:hint="eastAsia"/>
                      <w:color w:val="auto"/>
                      <w:sz w:val="21"/>
                      <w:szCs w:val="21"/>
                      <w:vertAlign w:val="superscript"/>
                      <w:lang w:val="en-US" w:eastAsia="zh-CN"/>
                    </w:rPr>
                    <w:t>3</w:t>
                  </w:r>
                  <w:r>
                    <w:rPr>
                      <w:rFonts w:hint="eastAsia" w:eastAsia="宋体" w:cs="Times New Roman"/>
                      <w:color w:val="auto"/>
                      <w:sz w:val="21"/>
                      <w:szCs w:val="21"/>
                      <w:lang w:val="en-US" w:eastAsia="zh-CN"/>
                    </w:rPr>
                    <w:t>)</w:t>
                  </w:r>
                </w:p>
              </w:tc>
            </w:tr>
            <w:tr w14:paraId="2406F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2" w:type="dxa"/>
                  <w:vMerge w:val="restart"/>
                  <w:noWrap w:val="0"/>
                  <w:vAlign w:val="center"/>
                </w:tcPr>
                <w:p w14:paraId="356CE03E">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打磨、腻子打磨、打砂工序</w:t>
                  </w:r>
                </w:p>
              </w:tc>
              <w:tc>
                <w:tcPr>
                  <w:tcW w:w="565" w:type="dxa"/>
                  <w:vMerge w:val="restart"/>
                  <w:noWrap w:val="0"/>
                  <w:vAlign w:val="center"/>
                </w:tcPr>
                <w:p w14:paraId="0B67DEBD">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color w:val="auto"/>
                      <w:sz w:val="21"/>
                      <w:szCs w:val="21"/>
                    </w:rPr>
                    <w:t>颗粒物</w:t>
                  </w:r>
                </w:p>
              </w:tc>
              <w:tc>
                <w:tcPr>
                  <w:tcW w:w="570" w:type="dxa"/>
                  <w:vMerge w:val="restart"/>
                  <w:noWrap w:val="0"/>
                  <w:vAlign w:val="center"/>
                </w:tcPr>
                <w:p w14:paraId="7FFBB775">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95</w:t>
                  </w:r>
                </w:p>
              </w:tc>
              <w:tc>
                <w:tcPr>
                  <w:tcW w:w="1065" w:type="dxa"/>
                  <w:noWrap w:val="0"/>
                  <w:vAlign w:val="center"/>
                </w:tcPr>
                <w:p w14:paraId="2648E437">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rPr>
                    <w:t>进入处理装置</w:t>
                  </w:r>
                </w:p>
              </w:tc>
              <w:tc>
                <w:tcPr>
                  <w:tcW w:w="643" w:type="dxa"/>
                  <w:noWrap w:val="0"/>
                  <w:vAlign w:val="center"/>
                </w:tcPr>
                <w:p w14:paraId="736B7C1F">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4.17962</w:t>
                  </w:r>
                </w:p>
              </w:tc>
              <w:tc>
                <w:tcPr>
                  <w:tcW w:w="720" w:type="dxa"/>
                  <w:noWrap w:val="0"/>
                  <w:vAlign w:val="center"/>
                </w:tcPr>
                <w:p w14:paraId="6B0893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33000</w:t>
                  </w:r>
                </w:p>
              </w:tc>
              <w:tc>
                <w:tcPr>
                  <w:tcW w:w="645" w:type="dxa"/>
                  <w:noWrap w:val="0"/>
                  <w:vAlign w:val="center"/>
                </w:tcPr>
                <w:p w14:paraId="4C5C47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95</w:t>
                  </w:r>
                </w:p>
              </w:tc>
              <w:tc>
                <w:tcPr>
                  <w:tcW w:w="765" w:type="dxa"/>
                  <w:noWrap w:val="0"/>
                  <w:vAlign w:val="center"/>
                </w:tcPr>
                <w:p w14:paraId="4C3ADF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1200</w:t>
                  </w:r>
                </w:p>
              </w:tc>
              <w:tc>
                <w:tcPr>
                  <w:tcW w:w="696" w:type="dxa"/>
                  <w:noWrap w:val="0"/>
                  <w:vAlign w:val="center"/>
                </w:tcPr>
                <w:p w14:paraId="568834E7">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0.209</w:t>
                  </w:r>
                </w:p>
              </w:tc>
              <w:tc>
                <w:tcPr>
                  <w:tcW w:w="789" w:type="dxa"/>
                  <w:noWrap w:val="0"/>
                  <w:vAlign w:val="center"/>
                </w:tcPr>
                <w:p w14:paraId="4EEBF3CE">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0.1742</w:t>
                  </w:r>
                </w:p>
              </w:tc>
              <w:tc>
                <w:tcPr>
                  <w:tcW w:w="831" w:type="dxa"/>
                  <w:noWrap w:val="0"/>
                  <w:vAlign w:val="center"/>
                </w:tcPr>
                <w:p w14:paraId="6B774220">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5.28</w:t>
                  </w:r>
                </w:p>
              </w:tc>
            </w:tr>
            <w:tr w14:paraId="76755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2" w:type="dxa"/>
                  <w:vMerge w:val="continue"/>
                  <w:noWrap w:val="0"/>
                  <w:vAlign w:val="center"/>
                </w:tcPr>
                <w:p w14:paraId="4D3C4F2F">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565" w:type="dxa"/>
                  <w:vMerge w:val="continue"/>
                  <w:noWrap w:val="0"/>
                  <w:vAlign w:val="center"/>
                </w:tcPr>
                <w:p w14:paraId="16795F49">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570" w:type="dxa"/>
                  <w:vMerge w:val="continue"/>
                  <w:noWrap w:val="0"/>
                  <w:vAlign w:val="center"/>
                </w:tcPr>
                <w:p w14:paraId="37044EC3">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1065" w:type="dxa"/>
                  <w:noWrap w:val="0"/>
                  <w:vAlign w:val="center"/>
                </w:tcPr>
                <w:p w14:paraId="2729ADA8">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rPr>
                    <w:t>未进入处理装置</w:t>
                  </w:r>
                </w:p>
              </w:tc>
              <w:tc>
                <w:tcPr>
                  <w:tcW w:w="643" w:type="dxa"/>
                  <w:noWrap w:val="0"/>
                  <w:vAlign w:val="center"/>
                </w:tcPr>
                <w:p w14:paraId="5F69BFC7">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0.21998</w:t>
                  </w:r>
                </w:p>
              </w:tc>
              <w:tc>
                <w:tcPr>
                  <w:tcW w:w="720" w:type="dxa"/>
                  <w:noWrap w:val="0"/>
                  <w:vAlign w:val="center"/>
                </w:tcPr>
                <w:p w14:paraId="4465EB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645" w:type="dxa"/>
                  <w:noWrap w:val="0"/>
                  <w:vAlign w:val="center"/>
                </w:tcPr>
                <w:p w14:paraId="6B63EA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765" w:type="dxa"/>
                  <w:noWrap w:val="0"/>
                  <w:vAlign w:val="center"/>
                </w:tcPr>
                <w:p w14:paraId="3ECC56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696" w:type="dxa"/>
                  <w:noWrap w:val="0"/>
                  <w:vAlign w:val="center"/>
                </w:tcPr>
                <w:p w14:paraId="4AACC008">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0.21998</w:t>
                  </w:r>
                </w:p>
              </w:tc>
              <w:tc>
                <w:tcPr>
                  <w:tcW w:w="789" w:type="dxa"/>
                  <w:noWrap w:val="0"/>
                  <w:vAlign w:val="center"/>
                </w:tcPr>
                <w:p w14:paraId="5E5AE7E5">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0.183</w:t>
                  </w:r>
                </w:p>
              </w:tc>
              <w:tc>
                <w:tcPr>
                  <w:tcW w:w="831" w:type="dxa"/>
                  <w:noWrap w:val="0"/>
                  <w:vAlign w:val="center"/>
                </w:tcPr>
                <w:p w14:paraId="7C8F1226">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w:t>
                  </w:r>
                </w:p>
              </w:tc>
            </w:tr>
          </w:tbl>
          <w:p w14:paraId="3B7B3F81">
            <w:pPr>
              <w:bidi w:val="0"/>
              <w:rPr>
                <w:rFonts w:hint="default"/>
                <w:color w:val="auto"/>
                <w:sz w:val="24"/>
                <w:szCs w:val="24"/>
                <w:vertAlign w:val="baseline"/>
                <w:lang w:val="en-US" w:eastAsia="zh-CN"/>
              </w:rPr>
            </w:pPr>
            <w:r>
              <w:rPr>
                <w:rFonts w:hint="eastAsia"/>
                <w:color w:val="auto"/>
                <w:sz w:val="24"/>
                <w:szCs w:val="24"/>
                <w:vertAlign w:val="baseline"/>
                <w:lang w:val="en-US" w:eastAsia="zh-CN"/>
              </w:rPr>
              <w:t>（5）抛丸废气</w:t>
            </w:r>
          </w:p>
          <w:p w14:paraId="7481A286">
            <w:pPr>
              <w:adjustRightInd w:val="0"/>
              <w:snapToGrid w:val="0"/>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lang w:val="en-US" w:eastAsia="zh-CN"/>
              </w:rPr>
              <w:t>抛丸过程颗粒物产生量</w:t>
            </w:r>
            <w:r>
              <w:rPr>
                <w:rFonts w:hint="eastAsia"/>
                <w:color w:val="auto"/>
                <w:sz w:val="24"/>
                <w:szCs w:val="24"/>
              </w:rPr>
              <w:t>参照</w:t>
            </w:r>
            <w:r>
              <w:rPr>
                <w:rFonts w:hint="eastAsia"/>
                <w:color w:val="auto"/>
                <w:sz w:val="24"/>
                <w:szCs w:val="24"/>
                <w:lang w:eastAsia="zh-CN"/>
              </w:rPr>
              <w:t>《排放源统计调查产排污核算方法和系数手册》</w:t>
            </w:r>
            <w:r>
              <w:rPr>
                <w:rFonts w:hint="eastAsia"/>
                <w:color w:val="auto"/>
                <w:sz w:val="24"/>
                <w:szCs w:val="24"/>
                <w:lang w:val="en-US" w:eastAsia="zh-CN"/>
              </w:rPr>
              <w:t>“34通用设备制造业—06预处理核算环节-干式预处理件-抛丸”中颗粒物2.19千克/吨—原料，</w:t>
            </w:r>
            <w:r>
              <w:rPr>
                <w:rFonts w:hint="eastAsia"/>
                <w:color w:val="auto"/>
                <w:sz w:val="24"/>
                <w:szCs w:val="24"/>
                <w:highlight w:val="none"/>
                <w:lang w:val="en-US" w:eastAsia="zh-CN"/>
              </w:rPr>
              <w:t>本项目需要抛丸的原料用量100t/a，则打砂过程颗粒物产生量为0.219t/a</w:t>
            </w:r>
            <w:r>
              <w:rPr>
                <w:rFonts w:hint="eastAsia" w:ascii="Times New Roman" w:hAnsi="Times New Roman" w:eastAsia="宋体" w:cs="Times New Roman"/>
                <w:color w:val="auto"/>
                <w:sz w:val="24"/>
                <w:szCs w:val="24"/>
                <w:highlight w:val="none"/>
                <w:lang w:val="en-US" w:eastAsia="zh-CN"/>
              </w:rPr>
              <w:t>。</w:t>
            </w:r>
          </w:p>
          <w:p w14:paraId="3AB52C08">
            <w:pPr>
              <w:adjustRightInd w:val="0"/>
              <w:snapToGrid w:val="0"/>
              <w:spacing w:line="480" w:lineRule="exact"/>
              <w:ind w:firstLine="480" w:firstLineChars="200"/>
              <w:rPr>
                <w:rFonts w:hint="default"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highlight w:val="none"/>
                <w:lang w:val="en-US" w:eastAsia="zh-CN"/>
              </w:rPr>
              <w:t>本项目</w:t>
            </w:r>
            <w:r>
              <w:rPr>
                <w:rFonts w:hint="eastAsia"/>
                <w:color w:val="auto"/>
                <w:sz w:val="24"/>
                <w:szCs w:val="24"/>
                <w:highlight w:val="none"/>
                <w:lang w:val="en-US" w:eastAsia="zh-CN"/>
              </w:rPr>
              <w:t>抛丸废气由设备自带除尘器处理后经管道与打磨、腻子打磨、打砂工序处理后的废气通过一根15m高排气筒排放。设备自带除尘器风机风量为</w:t>
            </w:r>
            <w:r>
              <w:rPr>
                <w:rFonts w:hint="eastAsia" w:cs="Times New Roman"/>
                <w:color w:val="auto"/>
                <w:sz w:val="24"/>
                <w:szCs w:val="24"/>
                <w:highlight w:val="none"/>
                <w:lang w:val="en-US" w:eastAsia="zh-CN"/>
              </w:rPr>
              <w:t>3000</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/h，</w:t>
            </w:r>
            <w:r>
              <w:rPr>
                <w:rFonts w:hint="eastAsia" w:cs="Times New Roman"/>
                <w:color w:val="auto"/>
                <w:sz w:val="24"/>
                <w:szCs w:val="24"/>
                <w:highlight w:val="none"/>
                <w:lang w:val="en-US" w:eastAsia="zh-CN"/>
              </w:rPr>
              <w:t>集气罩的捕集效率为90%</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除尘器的处理</w:t>
            </w:r>
            <w:r>
              <w:rPr>
                <w:rFonts w:hint="eastAsia" w:ascii="Times New Roman" w:hAnsi="Times New Roman" w:eastAsia="宋体" w:cs="Times New Roman"/>
                <w:color w:val="auto"/>
                <w:sz w:val="24"/>
                <w:szCs w:val="24"/>
                <w:highlight w:val="none"/>
                <w:lang w:val="en-US" w:eastAsia="zh-CN"/>
              </w:rPr>
              <w:t>效率为</w:t>
            </w:r>
            <w:r>
              <w:rPr>
                <w:rFonts w:hint="eastAsia" w:cs="Times New Roman"/>
                <w:color w:val="auto"/>
                <w:sz w:val="24"/>
                <w:szCs w:val="24"/>
                <w:highlight w:val="none"/>
                <w:lang w:val="en-US" w:eastAsia="zh-CN"/>
              </w:rPr>
              <w:t>95</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w:t>
            </w:r>
            <w:r>
              <w:rPr>
                <w:rFonts w:hint="eastAsia"/>
                <w:color w:val="auto"/>
                <w:sz w:val="24"/>
                <w:szCs w:val="24"/>
                <w:vertAlign w:val="baseline"/>
                <w:lang w:val="en-US" w:eastAsia="zh-CN"/>
              </w:rPr>
              <w:t>抛丸</w:t>
            </w:r>
            <w:r>
              <w:rPr>
                <w:rFonts w:hint="eastAsia" w:ascii="Times New Roman" w:hAnsi="Times New Roman" w:eastAsia="宋体" w:cs="Times New Roman"/>
                <w:color w:val="auto"/>
                <w:sz w:val="24"/>
                <w:szCs w:val="24"/>
                <w:highlight w:val="none"/>
                <w:lang w:val="en-US" w:eastAsia="zh-CN"/>
              </w:rPr>
              <w:t>过程颗粒物排放情况见下表。</w:t>
            </w:r>
          </w:p>
          <w:p w14:paraId="460A2D4B">
            <w:pPr>
              <w:pStyle w:val="41"/>
              <w:ind w:firstLine="0" w:firstLineChars="0"/>
              <w:jc w:val="center"/>
              <w:rPr>
                <w:rFonts w:hint="eastAsia" w:ascii="Times New Roman" w:hAnsi="Times New Roman" w:eastAsia="宋体" w:cs="Times New Roman"/>
                <w:b/>
                <w:color w:val="auto"/>
                <w:sz w:val="21"/>
                <w:szCs w:val="24"/>
                <w:highlight w:val="none"/>
              </w:rPr>
            </w:pPr>
            <w:r>
              <w:rPr>
                <w:rFonts w:hint="eastAsia" w:ascii="Times New Roman" w:hAnsi="Times New Roman" w:eastAsia="宋体" w:cs="Times New Roman"/>
                <w:b/>
                <w:color w:val="auto"/>
                <w:sz w:val="21"/>
                <w:szCs w:val="24"/>
                <w:highlight w:val="none"/>
              </w:rPr>
              <w:t>表</w:t>
            </w:r>
            <w:r>
              <w:rPr>
                <w:rFonts w:hint="eastAsia" w:cs="Times New Roman"/>
                <w:b/>
                <w:color w:val="auto"/>
                <w:sz w:val="21"/>
                <w:szCs w:val="24"/>
                <w:highlight w:val="none"/>
                <w:lang w:val="en-US" w:eastAsia="zh-CN"/>
              </w:rPr>
              <w:t>32</w:t>
            </w:r>
            <w:r>
              <w:rPr>
                <w:rFonts w:hint="eastAsia" w:ascii="Times New Roman" w:hAnsi="Times New Roman" w:eastAsia="宋体" w:cs="Times New Roman"/>
                <w:b/>
                <w:color w:val="auto"/>
                <w:sz w:val="21"/>
                <w:szCs w:val="24"/>
                <w:highlight w:val="none"/>
              </w:rPr>
              <w:t xml:space="preserve">  </w:t>
            </w:r>
            <w:r>
              <w:rPr>
                <w:rFonts w:hint="eastAsia" w:ascii="Times New Roman" w:hAnsi="Times New Roman" w:eastAsia="宋体" w:cs="Times New Roman"/>
                <w:b/>
                <w:color w:val="auto"/>
                <w:sz w:val="21"/>
                <w:szCs w:val="24"/>
                <w:highlight w:val="none"/>
                <w:lang w:val="en-US" w:eastAsia="zh-CN"/>
              </w:rPr>
              <w:t>抛丸</w:t>
            </w:r>
            <w:r>
              <w:rPr>
                <w:rFonts w:hint="eastAsia" w:ascii="Times New Roman" w:hAnsi="Times New Roman" w:eastAsia="宋体" w:cs="Times New Roman"/>
                <w:b/>
                <w:color w:val="auto"/>
                <w:sz w:val="21"/>
                <w:szCs w:val="24"/>
                <w:highlight w:val="none"/>
              </w:rPr>
              <w:t>过程</w:t>
            </w:r>
            <w:r>
              <w:rPr>
                <w:rFonts w:hint="eastAsia" w:ascii="Times New Roman" w:hAnsi="Times New Roman" w:eastAsia="宋体" w:cs="Times New Roman"/>
                <w:b/>
                <w:color w:val="auto"/>
                <w:sz w:val="21"/>
                <w:szCs w:val="24"/>
                <w:highlight w:val="none"/>
                <w:lang w:val="en-US" w:eastAsia="zh-CN"/>
              </w:rPr>
              <w:t>污染物</w:t>
            </w:r>
            <w:r>
              <w:rPr>
                <w:rFonts w:hint="eastAsia" w:ascii="Times New Roman" w:hAnsi="Times New Roman" w:eastAsia="宋体" w:cs="Times New Roman"/>
                <w:b/>
                <w:color w:val="auto"/>
                <w:sz w:val="21"/>
                <w:szCs w:val="24"/>
                <w:highlight w:val="none"/>
              </w:rPr>
              <w:t>排放情况</w:t>
            </w:r>
          </w:p>
          <w:tbl>
            <w:tblPr>
              <w:tblStyle w:val="20"/>
              <w:tblW w:w="84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552"/>
              <w:gridCol w:w="585"/>
              <w:gridCol w:w="1116"/>
              <w:gridCol w:w="590"/>
              <w:gridCol w:w="797"/>
              <w:gridCol w:w="675"/>
              <w:gridCol w:w="658"/>
              <w:gridCol w:w="696"/>
              <w:gridCol w:w="789"/>
              <w:gridCol w:w="932"/>
            </w:tblGrid>
            <w:tr w14:paraId="2ABAB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9" w:type="dxa"/>
                  <w:noWrap w:val="0"/>
                  <w:vAlign w:val="center"/>
                </w:tcPr>
                <w:p w14:paraId="40E056CF">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污染源</w:t>
                  </w:r>
                </w:p>
              </w:tc>
              <w:tc>
                <w:tcPr>
                  <w:tcW w:w="552" w:type="dxa"/>
                  <w:noWrap w:val="0"/>
                  <w:vAlign w:val="center"/>
                </w:tcPr>
                <w:p w14:paraId="6EB764F9">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color w:val="auto"/>
                      <w:sz w:val="21"/>
                      <w:szCs w:val="21"/>
                    </w:rPr>
                    <w:t>污染因子</w:t>
                  </w:r>
                </w:p>
              </w:tc>
              <w:tc>
                <w:tcPr>
                  <w:tcW w:w="585" w:type="dxa"/>
                  <w:noWrap w:val="0"/>
                  <w:vAlign w:val="center"/>
                </w:tcPr>
                <w:p w14:paraId="240CA954">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收集率</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w:t>
                  </w:r>
                  <w:r>
                    <w:rPr>
                      <w:rFonts w:hint="eastAsia" w:eastAsia="宋体" w:cs="Times New Roman"/>
                      <w:color w:val="auto"/>
                      <w:sz w:val="21"/>
                      <w:szCs w:val="21"/>
                      <w:lang w:val="en-US" w:eastAsia="zh-CN"/>
                    </w:rPr>
                    <w:t>)</w:t>
                  </w:r>
                </w:p>
              </w:tc>
              <w:tc>
                <w:tcPr>
                  <w:tcW w:w="1706" w:type="dxa"/>
                  <w:gridSpan w:val="2"/>
                  <w:noWrap w:val="0"/>
                  <w:vAlign w:val="center"/>
                </w:tcPr>
                <w:p w14:paraId="0CFCF9B4">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产生量</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rPr>
                    <w:t>t/a</w:t>
                  </w:r>
                  <w:r>
                    <w:rPr>
                      <w:rFonts w:hint="eastAsia" w:eastAsia="宋体" w:cs="Times New Roman"/>
                      <w:color w:val="auto"/>
                      <w:sz w:val="21"/>
                      <w:szCs w:val="21"/>
                      <w:lang w:val="en-US" w:eastAsia="zh-CN"/>
                    </w:rPr>
                    <w:t>)</w:t>
                  </w:r>
                </w:p>
              </w:tc>
              <w:tc>
                <w:tcPr>
                  <w:tcW w:w="797" w:type="dxa"/>
                  <w:noWrap w:val="0"/>
                  <w:vAlign w:val="center"/>
                </w:tcPr>
                <w:p w14:paraId="62398E5A">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处理</w:t>
                  </w:r>
                </w:p>
                <w:p w14:paraId="0CC5FCFC">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风量</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rPr>
                    <w:t>m</w:t>
                  </w:r>
                  <w:r>
                    <w:rPr>
                      <w:rFonts w:hint="eastAsia" w:ascii="Times New Roman" w:hAnsi="Times New Roman" w:eastAsia="宋体" w:cs="Times New Roman"/>
                      <w:color w:val="auto"/>
                      <w:sz w:val="21"/>
                      <w:szCs w:val="21"/>
                      <w:vertAlign w:val="superscript"/>
                    </w:rPr>
                    <w:t>3</w:t>
                  </w:r>
                  <w:r>
                    <w:rPr>
                      <w:rFonts w:hint="eastAsia" w:ascii="Times New Roman" w:hAnsi="Times New Roman" w:eastAsia="宋体" w:cs="Times New Roman"/>
                      <w:color w:val="auto"/>
                      <w:sz w:val="21"/>
                      <w:szCs w:val="21"/>
                    </w:rPr>
                    <w:t>/h</w:t>
                  </w:r>
                  <w:r>
                    <w:rPr>
                      <w:rFonts w:hint="eastAsia" w:eastAsia="宋体" w:cs="Times New Roman"/>
                      <w:color w:val="auto"/>
                      <w:sz w:val="21"/>
                      <w:szCs w:val="21"/>
                      <w:lang w:val="en-US" w:eastAsia="zh-CN"/>
                    </w:rPr>
                    <w:t>)</w:t>
                  </w:r>
                </w:p>
              </w:tc>
              <w:tc>
                <w:tcPr>
                  <w:tcW w:w="675" w:type="dxa"/>
                  <w:noWrap w:val="0"/>
                  <w:vAlign w:val="center"/>
                </w:tcPr>
                <w:p w14:paraId="72D7C72B">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处理效率</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rPr>
                    <w:t>%</w:t>
                  </w:r>
                  <w:r>
                    <w:rPr>
                      <w:rFonts w:hint="eastAsia" w:eastAsia="宋体" w:cs="Times New Roman"/>
                      <w:color w:val="auto"/>
                      <w:sz w:val="21"/>
                      <w:szCs w:val="21"/>
                      <w:lang w:val="en-US" w:eastAsia="zh-CN"/>
                    </w:rPr>
                    <w:t>)</w:t>
                  </w:r>
                </w:p>
              </w:tc>
              <w:tc>
                <w:tcPr>
                  <w:tcW w:w="658" w:type="dxa"/>
                  <w:noWrap w:val="0"/>
                  <w:vAlign w:val="center"/>
                </w:tcPr>
                <w:p w14:paraId="208A00F1">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运行时间</w:t>
                  </w:r>
                  <w:r>
                    <w:rPr>
                      <w:rFonts w:hint="eastAsia"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h/a</w:t>
                  </w:r>
                  <w:r>
                    <w:rPr>
                      <w:rFonts w:hint="eastAsia" w:eastAsia="宋体" w:cs="Times New Roman"/>
                      <w:color w:val="auto"/>
                      <w:sz w:val="21"/>
                      <w:szCs w:val="21"/>
                      <w:highlight w:val="none"/>
                      <w:lang w:val="en-US" w:eastAsia="zh-CN"/>
                    </w:rPr>
                    <w:t>)</w:t>
                  </w:r>
                </w:p>
              </w:tc>
              <w:tc>
                <w:tcPr>
                  <w:tcW w:w="696" w:type="dxa"/>
                  <w:noWrap w:val="0"/>
                  <w:vAlign w:val="center"/>
                </w:tcPr>
                <w:p w14:paraId="14E86DF8">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排放量</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rPr>
                    <w:t>t/a</w:t>
                  </w:r>
                  <w:r>
                    <w:rPr>
                      <w:rFonts w:hint="eastAsia" w:eastAsia="宋体" w:cs="Times New Roman"/>
                      <w:color w:val="auto"/>
                      <w:sz w:val="21"/>
                      <w:szCs w:val="21"/>
                      <w:lang w:val="en-US" w:eastAsia="zh-CN"/>
                    </w:rPr>
                    <w:t>)</w:t>
                  </w:r>
                </w:p>
              </w:tc>
              <w:tc>
                <w:tcPr>
                  <w:tcW w:w="789" w:type="dxa"/>
                  <w:noWrap w:val="0"/>
                  <w:vAlign w:val="center"/>
                </w:tcPr>
                <w:p w14:paraId="7B5CCAF2">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排放</w:t>
                  </w:r>
                  <w:r>
                    <w:rPr>
                      <w:rFonts w:hint="eastAsia" w:eastAsia="宋体" w:cs="Times New Roman"/>
                      <w:color w:val="auto"/>
                      <w:sz w:val="21"/>
                      <w:szCs w:val="21"/>
                      <w:lang w:val="en-US" w:eastAsia="zh-CN"/>
                    </w:rPr>
                    <w:t>速率(</w:t>
                  </w:r>
                  <w:r>
                    <w:rPr>
                      <w:rFonts w:hint="eastAsia" w:ascii="Times New Roman" w:hAnsi="Times New Roman" w:eastAsia="宋体" w:cs="Times New Roman"/>
                      <w:color w:val="auto"/>
                      <w:sz w:val="21"/>
                      <w:szCs w:val="21"/>
                    </w:rPr>
                    <w:t>kg/h</w:t>
                  </w:r>
                  <w:r>
                    <w:rPr>
                      <w:rFonts w:hint="eastAsia" w:eastAsia="宋体" w:cs="Times New Roman"/>
                      <w:color w:val="auto"/>
                      <w:sz w:val="21"/>
                      <w:szCs w:val="21"/>
                      <w:lang w:val="en-US" w:eastAsia="zh-CN"/>
                    </w:rPr>
                    <w:t>)</w:t>
                  </w:r>
                </w:p>
              </w:tc>
              <w:tc>
                <w:tcPr>
                  <w:tcW w:w="932" w:type="dxa"/>
                  <w:noWrap w:val="0"/>
                  <w:vAlign w:val="center"/>
                </w:tcPr>
                <w:p w14:paraId="4AF7E196">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排放</w:t>
                  </w:r>
                  <w:r>
                    <w:rPr>
                      <w:rFonts w:hint="eastAsia" w:eastAsia="宋体" w:cs="Times New Roman"/>
                      <w:color w:val="auto"/>
                      <w:sz w:val="21"/>
                      <w:szCs w:val="21"/>
                      <w:lang w:val="en-US" w:eastAsia="zh-CN"/>
                    </w:rPr>
                    <w:t>浓度(</w:t>
                  </w:r>
                  <w:r>
                    <w:rPr>
                      <w:rFonts w:hint="eastAsia"/>
                      <w:color w:val="auto"/>
                      <w:sz w:val="21"/>
                      <w:szCs w:val="21"/>
                      <w:lang w:val="en-US" w:eastAsia="zh-CN"/>
                    </w:rPr>
                    <w:t>mg/m</w:t>
                  </w:r>
                  <w:r>
                    <w:rPr>
                      <w:rFonts w:hint="eastAsia"/>
                      <w:color w:val="auto"/>
                      <w:sz w:val="21"/>
                      <w:szCs w:val="21"/>
                      <w:vertAlign w:val="superscript"/>
                      <w:lang w:val="en-US" w:eastAsia="zh-CN"/>
                    </w:rPr>
                    <w:t>3</w:t>
                  </w:r>
                  <w:r>
                    <w:rPr>
                      <w:rFonts w:hint="eastAsia" w:eastAsia="宋体" w:cs="Times New Roman"/>
                      <w:color w:val="auto"/>
                      <w:sz w:val="21"/>
                      <w:szCs w:val="21"/>
                      <w:lang w:val="en-US" w:eastAsia="zh-CN"/>
                    </w:rPr>
                    <w:t>)</w:t>
                  </w:r>
                </w:p>
              </w:tc>
            </w:tr>
            <w:tr w14:paraId="146CA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9" w:type="dxa"/>
                  <w:vMerge w:val="restart"/>
                  <w:noWrap w:val="0"/>
                  <w:vAlign w:val="center"/>
                </w:tcPr>
                <w:p w14:paraId="3EF978E3">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抛丸</w:t>
                  </w:r>
                </w:p>
              </w:tc>
              <w:tc>
                <w:tcPr>
                  <w:tcW w:w="552" w:type="dxa"/>
                  <w:vMerge w:val="restart"/>
                  <w:noWrap w:val="0"/>
                  <w:vAlign w:val="center"/>
                </w:tcPr>
                <w:p w14:paraId="42D35219">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color w:val="auto"/>
                      <w:sz w:val="21"/>
                      <w:szCs w:val="21"/>
                    </w:rPr>
                    <w:t>颗粒物</w:t>
                  </w:r>
                </w:p>
              </w:tc>
              <w:tc>
                <w:tcPr>
                  <w:tcW w:w="585" w:type="dxa"/>
                  <w:vMerge w:val="restart"/>
                  <w:noWrap w:val="0"/>
                  <w:vAlign w:val="center"/>
                </w:tcPr>
                <w:p w14:paraId="179B534D">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9</w:t>
                  </w:r>
                  <w:r>
                    <w:rPr>
                      <w:rFonts w:hint="eastAsia" w:ascii="Times New Roman" w:hAnsi="Times New Roman" w:eastAsia="宋体" w:cs="Times New Roman"/>
                      <w:color w:val="auto"/>
                      <w:sz w:val="21"/>
                      <w:szCs w:val="21"/>
                      <w:lang w:val="en-US" w:eastAsia="zh-CN"/>
                    </w:rPr>
                    <w:t>0</w:t>
                  </w:r>
                </w:p>
              </w:tc>
              <w:tc>
                <w:tcPr>
                  <w:tcW w:w="1116" w:type="dxa"/>
                  <w:noWrap w:val="0"/>
                  <w:vAlign w:val="center"/>
                </w:tcPr>
                <w:p w14:paraId="1F0880BC">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进入处理装置</w:t>
                  </w:r>
                </w:p>
              </w:tc>
              <w:tc>
                <w:tcPr>
                  <w:tcW w:w="590" w:type="dxa"/>
                  <w:noWrap w:val="0"/>
                  <w:vAlign w:val="center"/>
                </w:tcPr>
                <w:p w14:paraId="413E5362">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0.1971</w:t>
                  </w:r>
                </w:p>
              </w:tc>
              <w:tc>
                <w:tcPr>
                  <w:tcW w:w="797" w:type="dxa"/>
                  <w:noWrap w:val="0"/>
                  <w:vAlign w:val="center"/>
                </w:tcPr>
                <w:p w14:paraId="40978F53">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3000</w:t>
                  </w:r>
                </w:p>
              </w:tc>
              <w:tc>
                <w:tcPr>
                  <w:tcW w:w="675" w:type="dxa"/>
                  <w:noWrap w:val="0"/>
                  <w:vAlign w:val="center"/>
                </w:tcPr>
                <w:p w14:paraId="10F614B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95</w:t>
                  </w:r>
                </w:p>
              </w:tc>
              <w:tc>
                <w:tcPr>
                  <w:tcW w:w="658" w:type="dxa"/>
                  <w:noWrap w:val="0"/>
                  <w:vAlign w:val="center"/>
                </w:tcPr>
                <w:p w14:paraId="058481B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1200</w:t>
                  </w:r>
                </w:p>
              </w:tc>
              <w:tc>
                <w:tcPr>
                  <w:tcW w:w="696" w:type="dxa"/>
                  <w:noWrap w:val="0"/>
                  <w:vAlign w:val="center"/>
                </w:tcPr>
                <w:p w14:paraId="365E17BD">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0.01</w:t>
                  </w:r>
                </w:p>
              </w:tc>
              <w:tc>
                <w:tcPr>
                  <w:tcW w:w="789" w:type="dxa"/>
                  <w:noWrap w:val="0"/>
                  <w:vAlign w:val="center"/>
                </w:tcPr>
                <w:p w14:paraId="767DDA85">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0.008</w:t>
                  </w:r>
                </w:p>
              </w:tc>
              <w:tc>
                <w:tcPr>
                  <w:tcW w:w="932" w:type="dxa"/>
                  <w:noWrap w:val="0"/>
                  <w:vAlign w:val="center"/>
                </w:tcPr>
                <w:p w14:paraId="37A7C1B0">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2.74</w:t>
                  </w:r>
                </w:p>
              </w:tc>
            </w:tr>
            <w:tr w14:paraId="5ACA3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9" w:type="dxa"/>
                  <w:vMerge w:val="continue"/>
                  <w:noWrap w:val="0"/>
                  <w:vAlign w:val="center"/>
                </w:tcPr>
                <w:p w14:paraId="45C3FC7F">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552" w:type="dxa"/>
                  <w:vMerge w:val="continue"/>
                  <w:noWrap w:val="0"/>
                  <w:vAlign w:val="center"/>
                </w:tcPr>
                <w:p w14:paraId="324B6C0A">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585" w:type="dxa"/>
                  <w:vMerge w:val="continue"/>
                  <w:noWrap w:val="0"/>
                  <w:vAlign w:val="center"/>
                </w:tcPr>
                <w:p w14:paraId="7BFE85C6">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1116" w:type="dxa"/>
                  <w:noWrap w:val="0"/>
                  <w:vAlign w:val="center"/>
                </w:tcPr>
                <w:p w14:paraId="70452F7D">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未进入处理装置</w:t>
                  </w:r>
                </w:p>
              </w:tc>
              <w:tc>
                <w:tcPr>
                  <w:tcW w:w="590" w:type="dxa"/>
                  <w:noWrap w:val="0"/>
                  <w:vAlign w:val="center"/>
                </w:tcPr>
                <w:p w14:paraId="58DF09AA">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0.0219</w:t>
                  </w:r>
                </w:p>
              </w:tc>
              <w:tc>
                <w:tcPr>
                  <w:tcW w:w="797" w:type="dxa"/>
                  <w:noWrap w:val="0"/>
                  <w:vAlign w:val="center"/>
                </w:tcPr>
                <w:p w14:paraId="65C572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675" w:type="dxa"/>
                  <w:noWrap w:val="0"/>
                  <w:vAlign w:val="center"/>
                </w:tcPr>
                <w:p w14:paraId="58C107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658" w:type="dxa"/>
                  <w:noWrap w:val="0"/>
                  <w:vAlign w:val="center"/>
                </w:tcPr>
                <w:p w14:paraId="3258BE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96" w:type="dxa"/>
                  <w:noWrap w:val="0"/>
                  <w:vAlign w:val="center"/>
                </w:tcPr>
                <w:p w14:paraId="2C9F6D8F">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0.0219</w:t>
                  </w:r>
                </w:p>
              </w:tc>
              <w:tc>
                <w:tcPr>
                  <w:tcW w:w="789" w:type="dxa"/>
                  <w:noWrap w:val="0"/>
                  <w:vAlign w:val="center"/>
                </w:tcPr>
                <w:p w14:paraId="6B32A1B2">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0.02</w:t>
                  </w:r>
                </w:p>
              </w:tc>
              <w:tc>
                <w:tcPr>
                  <w:tcW w:w="932" w:type="dxa"/>
                  <w:noWrap w:val="0"/>
                  <w:vAlign w:val="center"/>
                </w:tcPr>
                <w:p w14:paraId="7515AC11">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w:t>
                  </w:r>
                </w:p>
              </w:tc>
            </w:tr>
            <w:tr w14:paraId="36AA1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9" w:type="dxa"/>
                  <w:vMerge w:val="restart"/>
                  <w:noWrap w:val="0"/>
                  <w:vAlign w:val="center"/>
                </w:tcPr>
                <w:p w14:paraId="59146932">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与打磨、腻子打磨、打砂合计</w:t>
                  </w:r>
                </w:p>
              </w:tc>
              <w:tc>
                <w:tcPr>
                  <w:tcW w:w="552" w:type="dxa"/>
                  <w:vMerge w:val="continue"/>
                  <w:noWrap w:val="0"/>
                  <w:vAlign w:val="center"/>
                </w:tcPr>
                <w:p w14:paraId="2B430DAB">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585" w:type="dxa"/>
                  <w:vMerge w:val="restart"/>
                  <w:noWrap w:val="0"/>
                  <w:vAlign w:val="center"/>
                </w:tcPr>
                <w:p w14:paraId="3C530746">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w:t>
                  </w:r>
                </w:p>
              </w:tc>
              <w:tc>
                <w:tcPr>
                  <w:tcW w:w="1116" w:type="dxa"/>
                  <w:noWrap w:val="0"/>
                  <w:vAlign w:val="center"/>
                </w:tcPr>
                <w:p w14:paraId="52408F55">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rPr>
                    <w:t>进入处理装置</w:t>
                  </w:r>
                </w:p>
              </w:tc>
              <w:tc>
                <w:tcPr>
                  <w:tcW w:w="590" w:type="dxa"/>
                  <w:noWrap w:val="0"/>
                  <w:vAlign w:val="center"/>
                </w:tcPr>
                <w:p w14:paraId="0EBEA2F4">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w:t>
                  </w:r>
                </w:p>
              </w:tc>
              <w:tc>
                <w:tcPr>
                  <w:tcW w:w="797" w:type="dxa"/>
                  <w:noWrap w:val="0"/>
                  <w:vAlign w:val="center"/>
                </w:tcPr>
                <w:p w14:paraId="584A47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675" w:type="dxa"/>
                  <w:noWrap w:val="0"/>
                  <w:vAlign w:val="center"/>
                </w:tcPr>
                <w:p w14:paraId="75FE5C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658" w:type="dxa"/>
                  <w:noWrap w:val="0"/>
                  <w:vAlign w:val="center"/>
                </w:tcPr>
                <w:p w14:paraId="29D09A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696" w:type="dxa"/>
                  <w:noWrap w:val="0"/>
                  <w:vAlign w:val="center"/>
                </w:tcPr>
                <w:p w14:paraId="36580D2E">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w:t>
                  </w:r>
                  <w:r>
                    <w:rPr>
                      <w:rFonts w:hint="eastAsia" w:eastAsia="宋体" w:cs="Times New Roman"/>
                      <w:color w:val="auto"/>
                      <w:kern w:val="0"/>
                      <w:sz w:val="21"/>
                      <w:szCs w:val="21"/>
                      <w:lang w:val="en-US" w:eastAsia="zh-CN" w:bidi="ar-SA"/>
                    </w:rPr>
                    <w:t>219</w:t>
                  </w:r>
                </w:p>
              </w:tc>
              <w:tc>
                <w:tcPr>
                  <w:tcW w:w="789" w:type="dxa"/>
                  <w:noWrap w:val="0"/>
                  <w:vAlign w:val="center"/>
                </w:tcPr>
                <w:p w14:paraId="7F8D3C00">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0.18</w:t>
                  </w:r>
                  <w:r>
                    <w:rPr>
                      <w:rFonts w:hint="eastAsia" w:eastAsia="宋体" w:cs="Times New Roman"/>
                      <w:color w:val="auto"/>
                      <w:kern w:val="0"/>
                      <w:sz w:val="21"/>
                      <w:szCs w:val="21"/>
                      <w:lang w:val="en-US" w:eastAsia="zh-CN" w:bidi="ar-SA"/>
                    </w:rPr>
                    <w:t>22</w:t>
                  </w:r>
                </w:p>
              </w:tc>
              <w:tc>
                <w:tcPr>
                  <w:tcW w:w="932" w:type="dxa"/>
                  <w:noWrap w:val="0"/>
                  <w:vAlign w:val="center"/>
                </w:tcPr>
                <w:p w14:paraId="32023F2C">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bidi="ar-SA"/>
                    </w:rPr>
                    <w:t>8.02</w:t>
                  </w:r>
                </w:p>
              </w:tc>
            </w:tr>
            <w:tr w14:paraId="3F289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9" w:type="dxa"/>
                  <w:vMerge w:val="continue"/>
                </w:tcPr>
                <w:p w14:paraId="35631094">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552" w:type="dxa"/>
                  <w:vMerge w:val="continue"/>
                </w:tcPr>
                <w:p w14:paraId="3529FC0F">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585" w:type="dxa"/>
                  <w:vMerge w:val="continue"/>
                </w:tcPr>
                <w:p w14:paraId="638276E3">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1116" w:type="dxa"/>
                  <w:vAlign w:val="center"/>
                </w:tcPr>
                <w:p w14:paraId="49FF4E91">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rPr>
                    <w:t>未进入处理装置</w:t>
                  </w:r>
                </w:p>
              </w:tc>
              <w:tc>
                <w:tcPr>
                  <w:tcW w:w="590" w:type="dxa"/>
                  <w:vAlign w:val="center"/>
                </w:tcPr>
                <w:p w14:paraId="568F25F8">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w:t>
                  </w:r>
                </w:p>
              </w:tc>
              <w:tc>
                <w:tcPr>
                  <w:tcW w:w="797" w:type="dxa"/>
                  <w:vAlign w:val="center"/>
                </w:tcPr>
                <w:p w14:paraId="22531B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675" w:type="dxa"/>
                  <w:vAlign w:val="center"/>
                </w:tcPr>
                <w:p w14:paraId="10FF00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658" w:type="dxa"/>
                  <w:vAlign w:val="center"/>
                </w:tcPr>
                <w:p w14:paraId="50DA9D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696" w:type="dxa"/>
                  <w:vAlign w:val="center"/>
                </w:tcPr>
                <w:p w14:paraId="7CE670D6">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w:t>
                  </w:r>
                  <w:r>
                    <w:rPr>
                      <w:rFonts w:hint="eastAsia" w:eastAsia="宋体" w:cs="Times New Roman"/>
                      <w:color w:val="auto"/>
                      <w:kern w:val="0"/>
                      <w:sz w:val="21"/>
                      <w:szCs w:val="21"/>
                      <w:lang w:val="en-US" w:eastAsia="zh-CN" w:bidi="ar-SA"/>
                    </w:rPr>
                    <w:t>242</w:t>
                  </w:r>
                </w:p>
              </w:tc>
              <w:tc>
                <w:tcPr>
                  <w:tcW w:w="789" w:type="dxa"/>
                  <w:vAlign w:val="center"/>
                </w:tcPr>
                <w:p w14:paraId="12BA6BA9">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0.2</w:t>
                  </w:r>
                  <w:r>
                    <w:rPr>
                      <w:rFonts w:hint="eastAsia" w:eastAsia="宋体" w:cs="Times New Roman"/>
                      <w:color w:val="auto"/>
                      <w:kern w:val="0"/>
                      <w:sz w:val="21"/>
                      <w:szCs w:val="21"/>
                      <w:lang w:val="en-US" w:eastAsia="zh-CN" w:bidi="ar-SA"/>
                    </w:rPr>
                    <w:t>03</w:t>
                  </w:r>
                </w:p>
              </w:tc>
              <w:tc>
                <w:tcPr>
                  <w:tcW w:w="932" w:type="dxa"/>
                  <w:vAlign w:val="center"/>
                </w:tcPr>
                <w:p w14:paraId="6B4B15F9">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eastAsia="宋体" w:cs="Times New Roman"/>
                      <w:color w:val="auto"/>
                      <w:sz w:val="21"/>
                      <w:szCs w:val="21"/>
                      <w:lang w:val="en-US" w:eastAsia="zh-CN"/>
                    </w:rPr>
                    <w:t>-</w:t>
                  </w:r>
                </w:p>
              </w:tc>
            </w:tr>
          </w:tbl>
          <w:p w14:paraId="073B75F2">
            <w:pPr>
              <w:numPr>
                <w:ilvl w:val="0"/>
                <w:numId w:val="0"/>
              </w:numPr>
              <w:bidi w:val="0"/>
              <w:ind w:leftChars="200"/>
              <w:rPr>
                <w:rFonts w:hint="default"/>
                <w:color w:val="auto"/>
                <w:sz w:val="24"/>
                <w:szCs w:val="24"/>
                <w:highlight w:val="yellow"/>
                <w:lang w:val="en-US" w:eastAsia="zh-CN"/>
              </w:rPr>
            </w:pPr>
            <w:r>
              <w:rPr>
                <w:rFonts w:hint="eastAsia"/>
                <w:color w:val="auto"/>
                <w:sz w:val="24"/>
                <w:szCs w:val="24"/>
                <w:highlight w:val="none"/>
                <w:lang w:val="en-US" w:eastAsia="zh-CN"/>
              </w:rPr>
              <w:t>（6）烘干过程使用液化石油气燃料过程废气量</w:t>
            </w:r>
          </w:p>
          <w:p w14:paraId="604204F6">
            <w:pPr>
              <w:adjustRightInd w:val="0"/>
              <w:snapToGrid w:val="0"/>
              <w:spacing w:line="48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烘干过程燃料燃烧污染物的产生量</w:t>
            </w:r>
            <w:r>
              <w:rPr>
                <w:rFonts w:hint="eastAsia"/>
                <w:color w:val="auto"/>
                <w:sz w:val="24"/>
                <w:szCs w:val="24"/>
                <w:highlight w:val="none"/>
              </w:rPr>
              <w:t>参照</w:t>
            </w:r>
            <w:r>
              <w:rPr>
                <w:rFonts w:hint="eastAsia"/>
                <w:color w:val="auto"/>
                <w:sz w:val="24"/>
                <w:szCs w:val="24"/>
                <w:highlight w:val="none"/>
                <w:lang w:eastAsia="zh-CN"/>
              </w:rPr>
              <w:t>《排放源统计调查产排污核算方法和系数手册》</w:t>
            </w:r>
            <w:r>
              <w:rPr>
                <w:rFonts w:hint="eastAsia"/>
                <w:color w:val="auto"/>
                <w:sz w:val="24"/>
                <w:szCs w:val="24"/>
                <w:highlight w:val="none"/>
                <w:lang w:val="en-US" w:eastAsia="zh-CN"/>
              </w:rPr>
              <w:t>“34通用设备制造业—14涂装核算环节-液化石油气”中</w:t>
            </w:r>
            <w:r>
              <w:rPr>
                <w:rFonts w:hint="eastAsia" w:cs="Times New Roman"/>
                <w:color w:val="auto"/>
                <w:sz w:val="24"/>
                <w:szCs w:val="24"/>
                <w:highlight w:val="none"/>
                <w:lang w:val="en-US" w:eastAsia="zh-CN"/>
              </w:rPr>
              <w:t>颗粒物</w:t>
            </w:r>
            <w:r>
              <w:rPr>
                <w:rFonts w:hint="eastAsia"/>
                <w:color w:val="auto"/>
                <w:sz w:val="24"/>
                <w:szCs w:val="24"/>
                <w:highlight w:val="none"/>
                <w:lang w:val="en-US" w:eastAsia="zh-CN"/>
              </w:rPr>
              <w:t>0.000220千克/立方米—原料，二氧化硫0.000002千克/立方米—原料，氮氧化物0.00596千克/立方米—原料，项目液化石油气用量200m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/a，则</w:t>
            </w:r>
            <w:r>
              <w:rPr>
                <w:rFonts w:hint="eastAsia" w:cs="Times New Roman"/>
                <w:color w:val="auto"/>
                <w:sz w:val="24"/>
                <w:szCs w:val="24"/>
                <w:highlight w:val="none"/>
                <w:lang w:val="en-US" w:eastAsia="zh-CN"/>
              </w:rPr>
              <w:t>颗粒物的产生量</w:t>
            </w:r>
            <w:r>
              <w:rPr>
                <w:rFonts w:hint="eastAsia"/>
                <w:color w:val="auto"/>
                <w:sz w:val="24"/>
                <w:szCs w:val="24"/>
                <w:highlight w:val="none"/>
                <w:lang w:val="en-US" w:eastAsia="zh-CN"/>
              </w:rPr>
              <w:t>为0.000044t/a、SO</w:t>
            </w:r>
            <w:r>
              <w:rPr>
                <w:rFonts w:hint="eastAsia"/>
                <w:color w:val="auto"/>
                <w:sz w:val="24"/>
                <w:szCs w:val="24"/>
                <w:highlight w:val="none"/>
                <w:vertAlign w:val="subscript"/>
                <w:lang w:val="en-US" w:eastAsia="zh-CN"/>
              </w:rPr>
              <w:t>2</w:t>
            </w:r>
            <w:r>
              <w:rPr>
                <w:rFonts w:hint="eastAsia"/>
                <w:color w:val="auto"/>
                <w:sz w:val="24"/>
                <w:szCs w:val="24"/>
                <w:highlight w:val="none"/>
                <w:lang w:val="en-US" w:eastAsia="zh-CN"/>
              </w:rPr>
              <w:t>的产生量为0.0000004t/a、NO</w:t>
            </w:r>
            <w:r>
              <w:rPr>
                <w:rFonts w:hint="eastAsia"/>
                <w:color w:val="auto"/>
                <w:sz w:val="24"/>
                <w:szCs w:val="24"/>
                <w:highlight w:val="none"/>
                <w:vertAlign w:val="subscript"/>
                <w:lang w:val="en-US" w:eastAsia="zh-CN"/>
              </w:rPr>
              <w:t>X</w:t>
            </w:r>
            <w:r>
              <w:rPr>
                <w:rFonts w:hint="eastAsia"/>
                <w:color w:val="auto"/>
                <w:sz w:val="24"/>
                <w:szCs w:val="24"/>
                <w:highlight w:val="none"/>
                <w:lang w:val="en-US" w:eastAsia="zh-CN"/>
              </w:rPr>
              <w:t>的产生量为0.001192t/a</w:t>
            </w:r>
            <w:r>
              <w:rPr>
                <w:rFonts w:hint="eastAsia" w:ascii="Times New Roman" w:hAnsi="Times New Roman" w:eastAsia="宋体" w:cs="Times New Roman"/>
                <w:color w:val="auto"/>
                <w:sz w:val="24"/>
                <w:szCs w:val="24"/>
                <w:highlight w:val="none"/>
                <w:lang w:val="en-US" w:eastAsia="zh-CN"/>
              </w:rPr>
              <w:t>。</w:t>
            </w:r>
          </w:p>
          <w:p w14:paraId="6D152BFD">
            <w:pPr>
              <w:adjustRightInd w:val="0"/>
              <w:snapToGrid w:val="0"/>
              <w:spacing w:line="480" w:lineRule="exact"/>
              <w:ind w:firstLine="480" w:firstLineChars="200"/>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b w:val="0"/>
                <w:bCs w:val="0"/>
                <w:color w:val="auto"/>
                <w:kern w:val="0"/>
                <w:sz w:val="24"/>
                <w:szCs w:val="24"/>
                <w:highlight w:val="none"/>
                <w:lang w:val="en-US" w:eastAsia="zh-CN" w:bidi="ar"/>
              </w:rPr>
              <w:t>废气</w:t>
            </w:r>
            <w:r>
              <w:rPr>
                <w:rFonts w:hint="eastAsia" w:cs="Times New Roman"/>
                <w:b w:val="0"/>
                <w:bCs w:val="0"/>
                <w:color w:val="auto"/>
                <w:kern w:val="0"/>
                <w:sz w:val="24"/>
                <w:szCs w:val="24"/>
                <w:highlight w:val="none"/>
                <w:lang w:val="en-US" w:eastAsia="zh-CN" w:bidi="ar"/>
              </w:rPr>
              <w:t>与喷漆废气</w:t>
            </w:r>
            <w:r>
              <w:rPr>
                <w:rFonts w:hint="default" w:ascii="Times New Roman" w:hAnsi="Times New Roman" w:eastAsia="宋体" w:cs="Times New Roman"/>
                <w:b w:val="0"/>
                <w:bCs w:val="0"/>
                <w:color w:val="auto"/>
                <w:kern w:val="0"/>
                <w:sz w:val="24"/>
                <w:szCs w:val="24"/>
                <w:highlight w:val="none"/>
                <w:lang w:val="en-US" w:eastAsia="zh-CN" w:bidi="ar"/>
              </w:rPr>
              <w:t>经滤棉箱+活性炭吸附+催化燃烧装置</w:t>
            </w:r>
            <w:r>
              <w:rPr>
                <w:rFonts w:hint="eastAsia" w:cs="Times New Roman"/>
                <w:b w:val="0"/>
                <w:bCs w:val="0"/>
                <w:color w:val="auto"/>
                <w:kern w:val="0"/>
                <w:sz w:val="24"/>
                <w:szCs w:val="24"/>
                <w:highlight w:val="none"/>
                <w:lang w:val="en-US" w:eastAsia="zh-CN" w:bidi="ar"/>
              </w:rPr>
              <w:t>（离线）</w:t>
            </w:r>
            <w:r>
              <w:rPr>
                <w:rFonts w:hint="default" w:ascii="Times New Roman" w:hAnsi="Times New Roman" w:eastAsia="宋体" w:cs="Times New Roman"/>
                <w:b w:val="0"/>
                <w:bCs w:val="0"/>
                <w:color w:val="auto"/>
                <w:kern w:val="0"/>
                <w:sz w:val="24"/>
                <w:szCs w:val="24"/>
                <w:highlight w:val="none"/>
                <w:lang w:val="en-US" w:eastAsia="zh-CN" w:bidi="ar"/>
              </w:rPr>
              <w:t>处理</w:t>
            </w:r>
            <w:r>
              <w:rPr>
                <w:rFonts w:hint="eastAsia" w:cs="Times New Roman"/>
                <w:b w:val="0"/>
                <w:bCs w:val="0"/>
                <w:color w:val="auto"/>
                <w:kern w:val="0"/>
                <w:sz w:val="24"/>
                <w:szCs w:val="24"/>
                <w:highlight w:val="none"/>
                <w:lang w:val="en-US" w:eastAsia="zh-CN" w:bidi="ar"/>
              </w:rPr>
              <w:t>后经1根15m高排气筒排放，</w:t>
            </w:r>
            <w:r>
              <w:rPr>
                <w:rFonts w:hint="eastAsia"/>
                <w:color w:val="auto"/>
                <w:sz w:val="24"/>
                <w:szCs w:val="24"/>
                <w:highlight w:val="none"/>
                <w:lang w:val="en-US" w:eastAsia="zh-CN"/>
              </w:rPr>
              <w:t>风机风量为30000m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/h，</w:t>
            </w:r>
            <w:r>
              <w:rPr>
                <w:rFonts w:hint="eastAsia" w:cs="Times New Roman"/>
                <w:color w:val="auto"/>
                <w:sz w:val="24"/>
                <w:szCs w:val="24"/>
                <w:highlight w:val="none"/>
                <w:lang w:val="en-US" w:eastAsia="zh-CN"/>
              </w:rPr>
              <w:t>污染物</w:t>
            </w:r>
            <w:r>
              <w:rPr>
                <w:rFonts w:hint="eastAsia" w:ascii="Times New Roman" w:hAnsi="Times New Roman" w:eastAsia="宋体" w:cs="Times New Roman"/>
                <w:color w:val="auto"/>
                <w:sz w:val="24"/>
                <w:szCs w:val="24"/>
                <w:highlight w:val="none"/>
                <w:lang w:val="en-US" w:eastAsia="zh-CN"/>
              </w:rPr>
              <w:t>排放情况见下表。</w:t>
            </w:r>
          </w:p>
          <w:p w14:paraId="15F37337">
            <w:pPr>
              <w:pStyle w:val="41"/>
              <w:ind w:firstLine="0" w:firstLineChars="0"/>
              <w:jc w:val="center"/>
              <w:rPr>
                <w:rFonts w:hint="eastAsia" w:ascii="Times New Roman" w:hAnsi="Times New Roman" w:eastAsia="宋体" w:cs="Times New Roman"/>
                <w:b/>
                <w:color w:val="auto"/>
                <w:sz w:val="21"/>
                <w:szCs w:val="24"/>
                <w:highlight w:val="none"/>
              </w:rPr>
            </w:pPr>
            <w:r>
              <w:rPr>
                <w:rFonts w:hint="eastAsia" w:ascii="Times New Roman" w:hAnsi="Times New Roman" w:eastAsia="宋体" w:cs="Times New Roman"/>
                <w:b/>
                <w:color w:val="auto"/>
                <w:sz w:val="21"/>
                <w:szCs w:val="24"/>
                <w:highlight w:val="none"/>
              </w:rPr>
              <w:t>表</w:t>
            </w:r>
            <w:r>
              <w:rPr>
                <w:rFonts w:hint="eastAsia" w:cs="Times New Roman"/>
                <w:b/>
                <w:color w:val="auto"/>
                <w:sz w:val="21"/>
                <w:szCs w:val="24"/>
                <w:highlight w:val="none"/>
                <w:lang w:val="en-US" w:eastAsia="zh-CN"/>
              </w:rPr>
              <w:t>33</w:t>
            </w:r>
            <w:r>
              <w:rPr>
                <w:rFonts w:hint="eastAsia" w:ascii="Times New Roman" w:hAnsi="Times New Roman" w:eastAsia="宋体" w:cs="Times New Roman"/>
                <w:b/>
                <w:color w:val="auto"/>
                <w:sz w:val="21"/>
                <w:szCs w:val="24"/>
                <w:highlight w:val="none"/>
              </w:rPr>
              <w:t xml:space="preserve">  </w:t>
            </w:r>
            <w:r>
              <w:rPr>
                <w:rFonts w:hint="eastAsia" w:eastAsia="宋体" w:cs="Times New Roman"/>
                <w:b/>
                <w:color w:val="auto"/>
                <w:sz w:val="21"/>
                <w:szCs w:val="24"/>
                <w:highlight w:val="none"/>
                <w:lang w:val="en-US" w:eastAsia="zh-CN"/>
              </w:rPr>
              <w:t>液化石油气使用</w:t>
            </w:r>
            <w:r>
              <w:rPr>
                <w:rFonts w:hint="eastAsia" w:ascii="Times New Roman" w:hAnsi="Times New Roman" w:eastAsia="宋体" w:cs="Times New Roman"/>
                <w:b/>
                <w:color w:val="auto"/>
                <w:sz w:val="21"/>
                <w:szCs w:val="24"/>
                <w:highlight w:val="none"/>
              </w:rPr>
              <w:t>过程</w:t>
            </w:r>
            <w:r>
              <w:rPr>
                <w:rFonts w:hint="eastAsia" w:ascii="Times New Roman" w:hAnsi="Times New Roman" w:eastAsia="宋体" w:cs="Times New Roman"/>
                <w:b/>
                <w:color w:val="auto"/>
                <w:sz w:val="21"/>
                <w:szCs w:val="24"/>
                <w:highlight w:val="none"/>
                <w:lang w:val="en-US" w:eastAsia="zh-CN"/>
              </w:rPr>
              <w:t>污染物</w:t>
            </w:r>
            <w:r>
              <w:rPr>
                <w:rFonts w:hint="eastAsia" w:ascii="Times New Roman" w:hAnsi="Times New Roman" w:eastAsia="宋体" w:cs="Times New Roman"/>
                <w:b/>
                <w:color w:val="auto"/>
                <w:sz w:val="21"/>
                <w:szCs w:val="24"/>
                <w:highlight w:val="none"/>
              </w:rPr>
              <w:t>排放情况</w:t>
            </w:r>
          </w:p>
          <w:tbl>
            <w:tblPr>
              <w:tblStyle w:val="20"/>
              <w:tblW w:w="78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5"/>
              <w:gridCol w:w="938"/>
              <w:gridCol w:w="887"/>
              <w:gridCol w:w="765"/>
              <w:gridCol w:w="645"/>
              <w:gridCol w:w="646"/>
              <w:gridCol w:w="953"/>
              <w:gridCol w:w="963"/>
              <w:gridCol w:w="1125"/>
            </w:tblGrid>
            <w:tr w14:paraId="466C4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5" w:type="dxa"/>
                  <w:noWrap w:val="0"/>
                  <w:vAlign w:val="center"/>
                </w:tcPr>
                <w:p w14:paraId="2A902B49">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污染源</w:t>
                  </w:r>
                </w:p>
              </w:tc>
              <w:tc>
                <w:tcPr>
                  <w:tcW w:w="938" w:type="dxa"/>
                  <w:noWrap w:val="0"/>
                  <w:vAlign w:val="center"/>
                </w:tcPr>
                <w:p w14:paraId="050A0FD8">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污染</w:t>
                  </w:r>
                </w:p>
                <w:p w14:paraId="5468FBD4">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color w:val="auto"/>
                      <w:sz w:val="21"/>
                      <w:szCs w:val="21"/>
                    </w:rPr>
                    <w:t>因子</w:t>
                  </w:r>
                </w:p>
              </w:tc>
              <w:tc>
                <w:tcPr>
                  <w:tcW w:w="887" w:type="dxa"/>
                  <w:noWrap w:val="0"/>
                  <w:vAlign w:val="center"/>
                </w:tcPr>
                <w:p w14:paraId="6BE0623B">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产生量</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rPr>
                    <w:t>t/a</w:t>
                  </w:r>
                  <w:r>
                    <w:rPr>
                      <w:rFonts w:hint="eastAsia" w:eastAsia="宋体" w:cs="Times New Roman"/>
                      <w:color w:val="auto"/>
                      <w:sz w:val="21"/>
                      <w:szCs w:val="21"/>
                      <w:lang w:val="en-US" w:eastAsia="zh-CN"/>
                    </w:rPr>
                    <w:t>)</w:t>
                  </w:r>
                </w:p>
              </w:tc>
              <w:tc>
                <w:tcPr>
                  <w:tcW w:w="765" w:type="dxa"/>
                  <w:noWrap w:val="0"/>
                  <w:vAlign w:val="center"/>
                </w:tcPr>
                <w:p w14:paraId="2E1B0BBE">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处理</w:t>
                  </w:r>
                </w:p>
                <w:p w14:paraId="1EA0EB23">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rPr>
                    <w:t>风量</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rPr>
                    <w:t>m</w:t>
                  </w:r>
                  <w:r>
                    <w:rPr>
                      <w:rFonts w:hint="eastAsia" w:ascii="Times New Roman" w:hAnsi="Times New Roman" w:eastAsia="宋体" w:cs="Times New Roman"/>
                      <w:color w:val="auto"/>
                      <w:sz w:val="21"/>
                      <w:szCs w:val="21"/>
                      <w:vertAlign w:val="superscript"/>
                    </w:rPr>
                    <w:t>3</w:t>
                  </w:r>
                  <w:r>
                    <w:rPr>
                      <w:rFonts w:hint="eastAsia" w:ascii="Times New Roman" w:hAnsi="Times New Roman" w:eastAsia="宋体" w:cs="Times New Roman"/>
                      <w:color w:val="auto"/>
                      <w:sz w:val="21"/>
                      <w:szCs w:val="21"/>
                    </w:rPr>
                    <w:t>/h</w:t>
                  </w:r>
                  <w:r>
                    <w:rPr>
                      <w:rFonts w:hint="eastAsia" w:eastAsia="宋体" w:cs="Times New Roman"/>
                      <w:color w:val="auto"/>
                      <w:sz w:val="21"/>
                      <w:szCs w:val="21"/>
                      <w:lang w:val="en-US" w:eastAsia="zh-CN"/>
                    </w:rPr>
                    <w:t>)</w:t>
                  </w:r>
                </w:p>
              </w:tc>
              <w:tc>
                <w:tcPr>
                  <w:tcW w:w="645" w:type="dxa"/>
                  <w:noWrap w:val="0"/>
                  <w:vAlign w:val="center"/>
                </w:tcPr>
                <w:p w14:paraId="2D6A40AB">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处理效率</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rPr>
                    <w:t>%</w:t>
                  </w:r>
                  <w:r>
                    <w:rPr>
                      <w:rFonts w:hint="eastAsia" w:eastAsia="宋体" w:cs="Times New Roman"/>
                      <w:color w:val="auto"/>
                      <w:sz w:val="21"/>
                      <w:szCs w:val="21"/>
                      <w:lang w:val="en-US" w:eastAsia="zh-CN"/>
                    </w:rPr>
                    <w:t>)</w:t>
                  </w:r>
                </w:p>
              </w:tc>
              <w:tc>
                <w:tcPr>
                  <w:tcW w:w="646" w:type="dxa"/>
                  <w:noWrap w:val="0"/>
                  <w:vAlign w:val="center"/>
                </w:tcPr>
                <w:p w14:paraId="3F9F240B">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运行时间</w:t>
                  </w:r>
                  <w:r>
                    <w:rPr>
                      <w:rFonts w:hint="eastAsia"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h/a</w:t>
                  </w:r>
                  <w:r>
                    <w:rPr>
                      <w:rFonts w:hint="eastAsia" w:eastAsia="宋体" w:cs="Times New Roman"/>
                      <w:color w:val="auto"/>
                      <w:sz w:val="21"/>
                      <w:szCs w:val="21"/>
                      <w:highlight w:val="none"/>
                      <w:lang w:val="en-US" w:eastAsia="zh-CN"/>
                    </w:rPr>
                    <w:t>)</w:t>
                  </w:r>
                </w:p>
              </w:tc>
              <w:tc>
                <w:tcPr>
                  <w:tcW w:w="953" w:type="dxa"/>
                  <w:noWrap w:val="0"/>
                  <w:vAlign w:val="center"/>
                </w:tcPr>
                <w:p w14:paraId="1D4227AE">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排放量</w:t>
                  </w:r>
                  <w:r>
                    <w:rPr>
                      <w:rFonts w:hint="eastAsia" w:eastAsia="宋体" w:cs="Times New Roman"/>
                      <w:color w:val="auto"/>
                      <w:sz w:val="21"/>
                      <w:szCs w:val="21"/>
                      <w:lang w:val="en-US" w:eastAsia="zh-CN"/>
                    </w:rPr>
                    <w:t>(</w:t>
                  </w:r>
                  <w:r>
                    <w:rPr>
                      <w:rFonts w:hint="eastAsia" w:ascii="Times New Roman" w:hAnsi="Times New Roman" w:eastAsia="宋体" w:cs="Times New Roman"/>
                      <w:color w:val="auto"/>
                      <w:sz w:val="21"/>
                      <w:szCs w:val="21"/>
                    </w:rPr>
                    <w:t>t/a</w:t>
                  </w:r>
                  <w:r>
                    <w:rPr>
                      <w:rFonts w:hint="eastAsia" w:eastAsia="宋体" w:cs="Times New Roman"/>
                      <w:color w:val="auto"/>
                      <w:sz w:val="21"/>
                      <w:szCs w:val="21"/>
                      <w:lang w:val="en-US" w:eastAsia="zh-CN"/>
                    </w:rPr>
                    <w:t>)</w:t>
                  </w:r>
                </w:p>
              </w:tc>
              <w:tc>
                <w:tcPr>
                  <w:tcW w:w="963" w:type="dxa"/>
                  <w:noWrap w:val="0"/>
                  <w:vAlign w:val="center"/>
                </w:tcPr>
                <w:p w14:paraId="12F57F6B">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排放</w:t>
                  </w:r>
                  <w:r>
                    <w:rPr>
                      <w:rFonts w:hint="eastAsia" w:eastAsia="宋体" w:cs="Times New Roman"/>
                      <w:color w:val="auto"/>
                      <w:sz w:val="21"/>
                      <w:szCs w:val="21"/>
                      <w:lang w:val="en-US" w:eastAsia="zh-CN"/>
                    </w:rPr>
                    <w:t>速率(</w:t>
                  </w:r>
                  <w:r>
                    <w:rPr>
                      <w:rFonts w:hint="eastAsia" w:ascii="Times New Roman" w:hAnsi="Times New Roman" w:eastAsia="宋体" w:cs="Times New Roman"/>
                      <w:color w:val="auto"/>
                      <w:sz w:val="21"/>
                      <w:szCs w:val="21"/>
                    </w:rPr>
                    <w:t>kg/h</w:t>
                  </w:r>
                  <w:r>
                    <w:rPr>
                      <w:rFonts w:hint="eastAsia" w:eastAsia="宋体" w:cs="Times New Roman"/>
                      <w:color w:val="auto"/>
                      <w:sz w:val="21"/>
                      <w:szCs w:val="21"/>
                      <w:lang w:val="en-US" w:eastAsia="zh-CN"/>
                    </w:rPr>
                    <w:t>)</w:t>
                  </w:r>
                </w:p>
              </w:tc>
              <w:tc>
                <w:tcPr>
                  <w:tcW w:w="1125" w:type="dxa"/>
                  <w:noWrap w:val="0"/>
                  <w:vAlign w:val="center"/>
                </w:tcPr>
                <w:p w14:paraId="7971EC2F">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排放</w:t>
                  </w:r>
                  <w:r>
                    <w:rPr>
                      <w:rFonts w:hint="eastAsia" w:eastAsia="宋体" w:cs="Times New Roman"/>
                      <w:color w:val="auto"/>
                      <w:sz w:val="21"/>
                      <w:szCs w:val="21"/>
                      <w:lang w:val="en-US" w:eastAsia="zh-CN"/>
                    </w:rPr>
                    <w:t>浓度(</w:t>
                  </w:r>
                  <w:r>
                    <w:rPr>
                      <w:rFonts w:hint="eastAsia"/>
                      <w:color w:val="auto"/>
                      <w:sz w:val="21"/>
                      <w:szCs w:val="21"/>
                      <w:lang w:val="en-US" w:eastAsia="zh-CN"/>
                    </w:rPr>
                    <w:t>mg/m</w:t>
                  </w:r>
                  <w:r>
                    <w:rPr>
                      <w:rFonts w:hint="eastAsia"/>
                      <w:color w:val="auto"/>
                      <w:sz w:val="21"/>
                      <w:szCs w:val="21"/>
                      <w:vertAlign w:val="superscript"/>
                      <w:lang w:val="en-US" w:eastAsia="zh-CN"/>
                    </w:rPr>
                    <w:t>3</w:t>
                  </w:r>
                  <w:r>
                    <w:rPr>
                      <w:rFonts w:hint="eastAsia" w:eastAsia="宋体" w:cs="Times New Roman"/>
                      <w:color w:val="auto"/>
                      <w:sz w:val="21"/>
                      <w:szCs w:val="21"/>
                      <w:lang w:val="en-US" w:eastAsia="zh-CN"/>
                    </w:rPr>
                    <w:t>)</w:t>
                  </w:r>
                </w:p>
              </w:tc>
            </w:tr>
            <w:tr w14:paraId="3DFEAF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5" w:type="dxa"/>
                  <w:vMerge w:val="restart"/>
                  <w:noWrap w:val="0"/>
                  <w:vAlign w:val="center"/>
                </w:tcPr>
                <w:p w14:paraId="2C416D14">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b w:val="0"/>
                      <w:bCs/>
                      <w:color w:val="auto"/>
                      <w:sz w:val="21"/>
                      <w:szCs w:val="21"/>
                    </w:rPr>
                  </w:pPr>
                  <w:r>
                    <w:rPr>
                      <w:rFonts w:hint="eastAsia" w:eastAsia="宋体" w:cs="Times New Roman"/>
                      <w:b w:val="0"/>
                      <w:bCs/>
                      <w:color w:val="auto"/>
                      <w:sz w:val="21"/>
                      <w:szCs w:val="24"/>
                      <w:highlight w:val="none"/>
                      <w:lang w:val="en-US" w:eastAsia="zh-CN"/>
                    </w:rPr>
                    <w:t>液化石油气使用</w:t>
                  </w:r>
                  <w:r>
                    <w:rPr>
                      <w:rFonts w:hint="eastAsia" w:ascii="Times New Roman" w:hAnsi="Times New Roman" w:eastAsia="宋体" w:cs="Times New Roman"/>
                      <w:b w:val="0"/>
                      <w:bCs/>
                      <w:color w:val="auto"/>
                      <w:sz w:val="21"/>
                      <w:szCs w:val="24"/>
                      <w:highlight w:val="none"/>
                    </w:rPr>
                    <w:t>过程</w:t>
                  </w:r>
                </w:p>
              </w:tc>
              <w:tc>
                <w:tcPr>
                  <w:tcW w:w="938" w:type="dxa"/>
                  <w:noWrap w:val="0"/>
                  <w:vAlign w:val="center"/>
                </w:tcPr>
                <w:p w14:paraId="0E034D1E">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eastAsia="宋体"/>
                      <w:color w:val="auto"/>
                      <w:sz w:val="21"/>
                      <w:szCs w:val="21"/>
                      <w:lang w:val="en-US" w:eastAsia="zh-CN"/>
                    </w:rPr>
                    <w:t>颗粒物</w:t>
                  </w:r>
                </w:p>
              </w:tc>
              <w:tc>
                <w:tcPr>
                  <w:tcW w:w="887" w:type="dxa"/>
                  <w:noWrap w:val="0"/>
                  <w:vAlign w:val="center"/>
                </w:tcPr>
                <w:p w14:paraId="0D8A0D7F">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color w:val="auto"/>
                      <w:sz w:val="21"/>
                      <w:szCs w:val="21"/>
                      <w:highlight w:val="none"/>
                      <w:lang w:val="en-US" w:eastAsia="zh-CN"/>
                    </w:rPr>
                    <w:t>0.000044</w:t>
                  </w:r>
                </w:p>
              </w:tc>
              <w:tc>
                <w:tcPr>
                  <w:tcW w:w="765" w:type="dxa"/>
                  <w:vMerge w:val="restart"/>
                  <w:noWrap w:val="0"/>
                  <w:vAlign w:val="center"/>
                </w:tcPr>
                <w:p w14:paraId="56D710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30000</w:t>
                  </w:r>
                </w:p>
              </w:tc>
              <w:tc>
                <w:tcPr>
                  <w:tcW w:w="645" w:type="dxa"/>
                  <w:vMerge w:val="restart"/>
                  <w:noWrap w:val="0"/>
                  <w:vAlign w:val="center"/>
                </w:tcPr>
                <w:p w14:paraId="4EAF6B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646" w:type="dxa"/>
                  <w:vMerge w:val="restart"/>
                  <w:noWrap w:val="0"/>
                  <w:vAlign w:val="center"/>
                </w:tcPr>
                <w:p w14:paraId="6BCB9F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1200</w:t>
                  </w:r>
                </w:p>
              </w:tc>
              <w:tc>
                <w:tcPr>
                  <w:tcW w:w="953" w:type="dxa"/>
                  <w:noWrap w:val="0"/>
                  <w:vAlign w:val="center"/>
                </w:tcPr>
                <w:p w14:paraId="7375F0B9">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olor w:val="auto"/>
                      <w:sz w:val="21"/>
                      <w:szCs w:val="21"/>
                      <w:highlight w:val="none"/>
                      <w:lang w:val="en-US" w:eastAsia="zh-CN"/>
                    </w:rPr>
                    <w:t>0.000044</w:t>
                  </w:r>
                </w:p>
              </w:tc>
              <w:tc>
                <w:tcPr>
                  <w:tcW w:w="963" w:type="dxa"/>
                  <w:noWrap w:val="0"/>
                  <w:vAlign w:val="center"/>
                </w:tcPr>
                <w:p w14:paraId="21A1A7A0">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0.00004</w:t>
                  </w:r>
                </w:p>
              </w:tc>
              <w:tc>
                <w:tcPr>
                  <w:tcW w:w="1125" w:type="dxa"/>
                  <w:noWrap w:val="0"/>
                  <w:vAlign w:val="center"/>
                </w:tcPr>
                <w:p w14:paraId="7F9752E9">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0.0012</w:t>
                  </w:r>
                </w:p>
              </w:tc>
            </w:tr>
            <w:tr w14:paraId="4ACAF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5" w:type="dxa"/>
                  <w:vMerge w:val="continue"/>
                  <w:noWrap w:val="0"/>
                  <w:vAlign w:val="center"/>
                </w:tcPr>
                <w:p w14:paraId="6166F006">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938" w:type="dxa"/>
                  <w:noWrap w:val="0"/>
                  <w:vAlign w:val="center"/>
                </w:tcPr>
                <w:p w14:paraId="3BBF9C2F">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eastAsia="宋体"/>
                      <w:color w:val="auto"/>
                      <w:sz w:val="21"/>
                      <w:szCs w:val="21"/>
                      <w:lang w:val="en-US" w:eastAsia="zh-CN"/>
                    </w:rPr>
                    <w:t>SO</w:t>
                  </w:r>
                  <w:r>
                    <w:rPr>
                      <w:rFonts w:hint="eastAsia" w:eastAsia="宋体"/>
                      <w:color w:val="auto"/>
                      <w:sz w:val="21"/>
                      <w:szCs w:val="21"/>
                      <w:vertAlign w:val="subscript"/>
                      <w:lang w:val="en-US" w:eastAsia="zh-CN"/>
                    </w:rPr>
                    <w:t>2</w:t>
                  </w:r>
                </w:p>
              </w:tc>
              <w:tc>
                <w:tcPr>
                  <w:tcW w:w="887" w:type="dxa"/>
                  <w:noWrap w:val="0"/>
                  <w:vAlign w:val="center"/>
                </w:tcPr>
                <w:p w14:paraId="3610244E">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color w:val="auto"/>
                      <w:sz w:val="21"/>
                      <w:szCs w:val="21"/>
                      <w:highlight w:val="none"/>
                      <w:lang w:val="en-US" w:eastAsia="zh-CN"/>
                    </w:rPr>
                    <w:t>0.0000004</w:t>
                  </w:r>
                </w:p>
              </w:tc>
              <w:tc>
                <w:tcPr>
                  <w:tcW w:w="765" w:type="dxa"/>
                  <w:vMerge w:val="continue"/>
                  <w:noWrap w:val="0"/>
                  <w:vAlign w:val="center"/>
                </w:tcPr>
                <w:p w14:paraId="0CF9FD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p>
              </w:tc>
              <w:tc>
                <w:tcPr>
                  <w:tcW w:w="645" w:type="dxa"/>
                  <w:vMerge w:val="continue"/>
                  <w:noWrap w:val="0"/>
                  <w:vAlign w:val="center"/>
                </w:tcPr>
                <w:p w14:paraId="344E40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p>
              </w:tc>
              <w:tc>
                <w:tcPr>
                  <w:tcW w:w="646" w:type="dxa"/>
                  <w:vMerge w:val="continue"/>
                  <w:noWrap w:val="0"/>
                  <w:vAlign w:val="center"/>
                </w:tcPr>
                <w:p w14:paraId="48C52C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p>
              </w:tc>
              <w:tc>
                <w:tcPr>
                  <w:tcW w:w="953" w:type="dxa"/>
                  <w:noWrap w:val="0"/>
                  <w:vAlign w:val="center"/>
                </w:tcPr>
                <w:p w14:paraId="5E438EFA">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olor w:val="auto"/>
                      <w:sz w:val="21"/>
                      <w:szCs w:val="21"/>
                      <w:highlight w:val="none"/>
                      <w:lang w:val="en-US" w:eastAsia="zh-CN"/>
                    </w:rPr>
                    <w:t>0.0000004</w:t>
                  </w:r>
                </w:p>
              </w:tc>
              <w:tc>
                <w:tcPr>
                  <w:tcW w:w="963" w:type="dxa"/>
                  <w:noWrap w:val="0"/>
                  <w:vAlign w:val="center"/>
                </w:tcPr>
                <w:p w14:paraId="6F1AA821">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0.00000033</w:t>
                  </w:r>
                </w:p>
              </w:tc>
              <w:tc>
                <w:tcPr>
                  <w:tcW w:w="1125" w:type="dxa"/>
                  <w:noWrap w:val="0"/>
                  <w:vAlign w:val="center"/>
                </w:tcPr>
                <w:p w14:paraId="6B185CCC">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0.000011</w:t>
                  </w:r>
                </w:p>
              </w:tc>
            </w:tr>
            <w:tr w14:paraId="22DEF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5" w:type="dxa"/>
                  <w:vMerge w:val="continue"/>
                  <w:noWrap w:val="0"/>
                  <w:vAlign w:val="center"/>
                </w:tcPr>
                <w:p w14:paraId="397AA426">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938" w:type="dxa"/>
                  <w:noWrap w:val="0"/>
                  <w:vAlign w:val="center"/>
                </w:tcPr>
                <w:p w14:paraId="3B1A76B6">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olor w:val="auto"/>
                      <w:sz w:val="21"/>
                      <w:szCs w:val="21"/>
                      <w:lang w:val="en-US" w:eastAsia="zh-CN"/>
                    </w:rPr>
                  </w:pPr>
                  <w:r>
                    <w:rPr>
                      <w:rFonts w:hint="eastAsia" w:eastAsia="宋体"/>
                      <w:color w:val="auto"/>
                      <w:sz w:val="21"/>
                      <w:szCs w:val="21"/>
                      <w:lang w:val="en-US" w:eastAsia="zh-CN"/>
                    </w:rPr>
                    <w:t>NO</w:t>
                  </w:r>
                  <w:r>
                    <w:rPr>
                      <w:rFonts w:hint="eastAsia" w:eastAsia="宋体"/>
                      <w:color w:val="auto"/>
                      <w:sz w:val="21"/>
                      <w:szCs w:val="21"/>
                      <w:vertAlign w:val="subscript"/>
                      <w:lang w:val="en-US" w:eastAsia="zh-CN"/>
                    </w:rPr>
                    <w:t>X</w:t>
                  </w:r>
                </w:p>
              </w:tc>
              <w:tc>
                <w:tcPr>
                  <w:tcW w:w="887" w:type="dxa"/>
                  <w:noWrap w:val="0"/>
                  <w:vAlign w:val="center"/>
                </w:tcPr>
                <w:p w14:paraId="4FCD8901">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color w:val="auto"/>
                      <w:sz w:val="21"/>
                      <w:szCs w:val="21"/>
                      <w:highlight w:val="none"/>
                      <w:lang w:val="en-US" w:eastAsia="zh-CN"/>
                    </w:rPr>
                    <w:t>0.001192</w:t>
                  </w:r>
                </w:p>
              </w:tc>
              <w:tc>
                <w:tcPr>
                  <w:tcW w:w="765" w:type="dxa"/>
                  <w:vMerge w:val="continue"/>
                  <w:noWrap w:val="0"/>
                  <w:vAlign w:val="center"/>
                </w:tcPr>
                <w:p w14:paraId="57B5B3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p>
              </w:tc>
              <w:tc>
                <w:tcPr>
                  <w:tcW w:w="645" w:type="dxa"/>
                  <w:vMerge w:val="continue"/>
                  <w:noWrap w:val="0"/>
                  <w:vAlign w:val="center"/>
                </w:tcPr>
                <w:p w14:paraId="62B8FF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p>
              </w:tc>
              <w:tc>
                <w:tcPr>
                  <w:tcW w:w="646" w:type="dxa"/>
                  <w:vMerge w:val="continue"/>
                  <w:noWrap w:val="0"/>
                  <w:vAlign w:val="center"/>
                </w:tcPr>
                <w:p w14:paraId="093C68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p>
              </w:tc>
              <w:tc>
                <w:tcPr>
                  <w:tcW w:w="953" w:type="dxa"/>
                  <w:noWrap w:val="0"/>
                  <w:vAlign w:val="center"/>
                </w:tcPr>
                <w:p w14:paraId="6C88314C">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olor w:val="auto"/>
                      <w:sz w:val="21"/>
                      <w:szCs w:val="21"/>
                      <w:highlight w:val="none"/>
                      <w:lang w:val="en-US" w:eastAsia="zh-CN"/>
                    </w:rPr>
                    <w:t>0.001192</w:t>
                  </w:r>
                </w:p>
              </w:tc>
              <w:tc>
                <w:tcPr>
                  <w:tcW w:w="963" w:type="dxa"/>
                  <w:noWrap w:val="0"/>
                  <w:vAlign w:val="center"/>
                </w:tcPr>
                <w:p w14:paraId="0007C83C">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0.001</w:t>
                  </w:r>
                </w:p>
              </w:tc>
              <w:tc>
                <w:tcPr>
                  <w:tcW w:w="1125" w:type="dxa"/>
                  <w:noWrap w:val="0"/>
                  <w:vAlign w:val="center"/>
                </w:tcPr>
                <w:p w14:paraId="430128E2">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0.0333</w:t>
                  </w:r>
                </w:p>
              </w:tc>
            </w:tr>
            <w:tr w14:paraId="6F440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5" w:type="dxa"/>
                  <w:vMerge w:val="continue"/>
                  <w:noWrap w:val="0"/>
                  <w:vAlign w:val="center"/>
                </w:tcPr>
                <w:p w14:paraId="327D823B">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938" w:type="dxa"/>
                  <w:noWrap w:val="0"/>
                  <w:vAlign w:val="center"/>
                </w:tcPr>
                <w:p w14:paraId="36481F49">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烟气黑度</w:t>
                  </w:r>
                </w:p>
              </w:tc>
              <w:tc>
                <w:tcPr>
                  <w:tcW w:w="5984" w:type="dxa"/>
                  <w:gridSpan w:val="7"/>
                  <w:noWrap w:val="0"/>
                  <w:vAlign w:val="center"/>
                </w:tcPr>
                <w:p w14:paraId="7C637565">
                  <w:pPr>
                    <w:pStyle w:val="41"/>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default" w:eastAsia="宋体" w:cs="Times New Roman"/>
                      <w:color w:val="auto"/>
                      <w:sz w:val="21"/>
                      <w:szCs w:val="21"/>
                      <w:lang w:val="en-US" w:eastAsia="zh-CN"/>
                    </w:rPr>
                  </w:pPr>
                  <w:r>
                    <w:rPr>
                      <w:rFonts w:hint="eastAsia" w:ascii="宋体" w:hAnsi="宋体" w:eastAsia="宋体" w:cs="宋体"/>
                      <w:color w:val="auto"/>
                      <w:sz w:val="21"/>
                      <w:szCs w:val="21"/>
                      <w:lang w:val="en-US" w:eastAsia="zh-CN"/>
                    </w:rPr>
                    <w:t>﹤</w:t>
                  </w:r>
                  <w:r>
                    <w:rPr>
                      <w:rFonts w:hint="eastAsia" w:eastAsia="宋体" w:cs="Times New Roman"/>
                      <w:color w:val="auto"/>
                      <w:sz w:val="21"/>
                      <w:szCs w:val="21"/>
                      <w:lang w:val="en-US" w:eastAsia="zh-CN"/>
                    </w:rPr>
                    <w:t>1</w:t>
                  </w:r>
                </w:p>
              </w:tc>
            </w:tr>
          </w:tbl>
          <w:p w14:paraId="0EA25E7E">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1.2.2.2无组织废气</w:t>
            </w:r>
          </w:p>
          <w:p w14:paraId="7CD201AB">
            <w:pPr>
              <w:bidi w:val="0"/>
              <w:rPr>
                <w:rFonts w:hint="eastAsia"/>
                <w:color w:val="auto"/>
                <w:sz w:val="24"/>
                <w:szCs w:val="24"/>
                <w:lang w:val="en-US" w:eastAsia="zh-CN"/>
              </w:rPr>
            </w:pPr>
            <w:r>
              <w:rPr>
                <w:rFonts w:hint="eastAsia" w:cs="Times New Roman"/>
                <w:color w:val="auto"/>
                <w:sz w:val="24"/>
                <w:szCs w:val="24"/>
                <w:lang w:val="en-US" w:eastAsia="zh-CN"/>
              </w:rPr>
              <w:t>（1）</w:t>
            </w:r>
            <w:r>
              <w:rPr>
                <w:rFonts w:hint="eastAsia"/>
                <w:color w:val="auto"/>
                <w:sz w:val="24"/>
                <w:szCs w:val="24"/>
                <w:lang w:val="en-US" w:eastAsia="zh-CN"/>
              </w:rPr>
              <w:t>焊接烟尘</w:t>
            </w:r>
          </w:p>
          <w:p w14:paraId="55A6DCD1">
            <w:pPr>
              <w:spacing w:line="480" w:lineRule="exact"/>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本项目焊接过程会产生一定量的焊接烟尘，主要为颗粒物，焊接烟尘是由金属及非金属物质在过热条件下产生的，其成分主要为氧化铁、氧化锰、氟化物及非结晶质二氧化硅，</w:t>
            </w:r>
            <w:r>
              <w:rPr>
                <w:rFonts w:ascii="Times New Roman" w:hAnsi="Times New Roman" w:eastAsia="宋体" w:cs="Times New Roman"/>
                <w:color w:val="auto"/>
                <w:sz w:val="24"/>
                <w:szCs w:val="24"/>
              </w:rPr>
              <w:t>根据</w:t>
            </w:r>
            <w:r>
              <w:rPr>
                <w:rFonts w:hint="eastAsia" w:ascii="Times New Roman" w:hAnsi="Times New Roman" w:eastAsia="宋体" w:cs="Times New Roman"/>
                <w:color w:val="auto"/>
                <w:sz w:val="24"/>
                <w:szCs w:val="24"/>
              </w:rPr>
              <w:t>《焊接技术手册》（王文翰主编）</w:t>
            </w:r>
            <w:r>
              <w:rPr>
                <w:rFonts w:ascii="Times New Roman" w:hAnsi="Times New Roman" w:eastAsia="宋体" w:cs="Times New Roman"/>
                <w:color w:val="auto"/>
                <w:sz w:val="24"/>
                <w:szCs w:val="24"/>
              </w:rPr>
              <w:t>中</w:t>
            </w:r>
            <w:r>
              <w:rPr>
                <w:rFonts w:hint="eastAsia" w:ascii="Times New Roman" w:hAnsi="Times New Roman" w:eastAsia="宋体" w:cs="Times New Roman"/>
                <w:color w:val="auto"/>
                <w:sz w:val="24"/>
                <w:szCs w:val="24"/>
              </w:rPr>
              <w:t>介绍，各种焊接工艺发尘量见表</w:t>
            </w:r>
            <w:r>
              <w:rPr>
                <w:rFonts w:hint="eastAsia" w:cs="Times New Roman"/>
                <w:color w:val="auto"/>
                <w:sz w:val="24"/>
                <w:szCs w:val="24"/>
                <w:lang w:val="en-US" w:eastAsia="zh-CN"/>
              </w:rPr>
              <w:t>34</w:t>
            </w:r>
            <w:r>
              <w:rPr>
                <w:rFonts w:hint="eastAsia" w:ascii="Times New Roman" w:hAnsi="Times New Roman" w:eastAsia="宋体" w:cs="Times New Roman"/>
                <w:color w:val="auto"/>
                <w:sz w:val="24"/>
                <w:szCs w:val="24"/>
              </w:rPr>
              <w:t>。</w:t>
            </w:r>
          </w:p>
          <w:p w14:paraId="13049EA3">
            <w:pPr>
              <w:spacing w:line="480" w:lineRule="exact"/>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w:t>
            </w:r>
            <w:r>
              <w:rPr>
                <w:rFonts w:hint="eastAsia" w:cs="Times New Roman"/>
                <w:b/>
                <w:bCs/>
                <w:color w:val="auto"/>
                <w:sz w:val="21"/>
                <w:szCs w:val="21"/>
                <w:lang w:val="en-US" w:eastAsia="zh-CN"/>
              </w:rPr>
              <w:t>34</w:t>
            </w:r>
            <w:r>
              <w:rPr>
                <w:rFonts w:hint="eastAsia" w:ascii="Times New Roman" w:hAnsi="Times New Roman" w:eastAsia="宋体" w:cs="Times New Roman"/>
                <w:b/>
                <w:bCs/>
                <w:color w:val="auto"/>
                <w:sz w:val="21"/>
                <w:szCs w:val="21"/>
              </w:rPr>
              <w:t xml:space="preserve">  焊接工序发尘量经验值</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2826"/>
              <w:gridCol w:w="2772"/>
            </w:tblGrid>
            <w:tr w14:paraId="261FC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3" w:type="dxa"/>
                  <w:noWrap w:val="0"/>
                  <w:vAlign w:val="center"/>
                </w:tcPr>
                <w:p w14:paraId="6658B7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焊接方法</w:t>
                  </w:r>
                </w:p>
              </w:tc>
              <w:tc>
                <w:tcPr>
                  <w:tcW w:w="2826" w:type="dxa"/>
                  <w:noWrap w:val="0"/>
                  <w:vAlign w:val="center"/>
                </w:tcPr>
                <w:p w14:paraId="34CC8C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型号</w:t>
                  </w:r>
                </w:p>
              </w:tc>
              <w:tc>
                <w:tcPr>
                  <w:tcW w:w="2772" w:type="dxa"/>
                  <w:noWrap w:val="0"/>
                  <w:vAlign w:val="center"/>
                </w:tcPr>
                <w:p w14:paraId="6588F6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焊接材料的发尘量（</w:t>
                  </w:r>
                  <w:r>
                    <w:rPr>
                      <w:rFonts w:ascii="Times New Roman" w:hAnsi="Times New Roman" w:eastAsia="宋体" w:cs="Times New Roman"/>
                      <w:color w:val="auto"/>
                      <w:sz w:val="21"/>
                      <w:szCs w:val="21"/>
                    </w:rPr>
                    <w:t>g/kg</w:t>
                  </w:r>
                  <w:r>
                    <w:rPr>
                      <w:rFonts w:hint="eastAsia" w:ascii="Times New Roman" w:hAnsi="Times New Roman" w:eastAsia="宋体" w:cs="Times New Roman"/>
                      <w:color w:val="auto"/>
                      <w:sz w:val="21"/>
                      <w:szCs w:val="21"/>
                    </w:rPr>
                    <w:t>）</w:t>
                  </w:r>
                </w:p>
              </w:tc>
            </w:tr>
            <w:tr w14:paraId="7026C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3" w:type="dxa"/>
                  <w:vMerge w:val="restart"/>
                  <w:noWrap w:val="0"/>
                  <w:vAlign w:val="center"/>
                </w:tcPr>
                <w:p w14:paraId="1FA65B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手工电弧焊</w:t>
                  </w:r>
                </w:p>
              </w:tc>
              <w:tc>
                <w:tcPr>
                  <w:tcW w:w="2826" w:type="dxa"/>
                  <w:noWrap w:val="0"/>
                  <w:vAlign w:val="center"/>
                </w:tcPr>
                <w:p w14:paraId="48CE99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低氢型焊条（J507，φ4mm）</w:t>
                  </w:r>
                </w:p>
              </w:tc>
              <w:tc>
                <w:tcPr>
                  <w:tcW w:w="2772" w:type="dxa"/>
                  <w:noWrap w:val="0"/>
                  <w:vAlign w:val="center"/>
                </w:tcPr>
                <w:p w14:paraId="262560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11</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16</w:t>
                  </w:r>
                </w:p>
              </w:tc>
            </w:tr>
            <w:tr w14:paraId="43928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3" w:type="dxa"/>
                  <w:vMerge w:val="continue"/>
                  <w:noWrap w:val="0"/>
                  <w:vAlign w:val="center"/>
                </w:tcPr>
                <w:p w14:paraId="49B7BE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2826" w:type="dxa"/>
                  <w:noWrap w:val="0"/>
                  <w:vAlign w:val="center"/>
                </w:tcPr>
                <w:p w14:paraId="1AF9CD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钛钙型焊条（J422，φ4mm）</w:t>
                  </w:r>
                </w:p>
              </w:tc>
              <w:tc>
                <w:tcPr>
                  <w:tcW w:w="2772" w:type="dxa"/>
                  <w:noWrap w:val="0"/>
                  <w:vAlign w:val="center"/>
                </w:tcPr>
                <w:p w14:paraId="0087DD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6~8</w:t>
                  </w:r>
                </w:p>
              </w:tc>
            </w:tr>
            <w:tr w14:paraId="0CCDE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3" w:type="dxa"/>
                  <w:noWrap w:val="0"/>
                  <w:vAlign w:val="center"/>
                </w:tcPr>
                <w:p w14:paraId="535B26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自保护焊</w:t>
                  </w:r>
                </w:p>
              </w:tc>
              <w:tc>
                <w:tcPr>
                  <w:tcW w:w="2826" w:type="dxa"/>
                  <w:noWrap w:val="0"/>
                  <w:vAlign w:val="center"/>
                </w:tcPr>
                <w:p w14:paraId="29AD7D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药芯焊丝（φ3.2mm）</w:t>
                  </w:r>
                </w:p>
              </w:tc>
              <w:tc>
                <w:tcPr>
                  <w:tcW w:w="2772" w:type="dxa"/>
                  <w:noWrap w:val="0"/>
                  <w:vAlign w:val="center"/>
                </w:tcPr>
                <w:p w14:paraId="22E476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20～25</w:t>
                  </w:r>
                </w:p>
              </w:tc>
            </w:tr>
            <w:tr w14:paraId="4CF64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3" w:type="dxa"/>
                  <w:vMerge w:val="restart"/>
                  <w:noWrap w:val="0"/>
                  <w:vAlign w:val="center"/>
                </w:tcPr>
                <w:p w14:paraId="464DC0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二氧化碳保护焊</w:t>
                  </w:r>
                </w:p>
              </w:tc>
              <w:tc>
                <w:tcPr>
                  <w:tcW w:w="2826" w:type="dxa"/>
                  <w:noWrap w:val="0"/>
                  <w:vAlign w:val="center"/>
                </w:tcPr>
                <w:p w14:paraId="33B4A5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实芯焊丝（φ1.6mm）</w:t>
                  </w:r>
                </w:p>
              </w:tc>
              <w:tc>
                <w:tcPr>
                  <w:tcW w:w="2772" w:type="dxa"/>
                  <w:noWrap w:val="0"/>
                  <w:vAlign w:val="center"/>
                </w:tcPr>
                <w:p w14:paraId="256F84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8</w:t>
                  </w:r>
                </w:p>
              </w:tc>
            </w:tr>
            <w:tr w14:paraId="05898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3" w:type="dxa"/>
                  <w:vMerge w:val="continue"/>
                  <w:noWrap w:val="0"/>
                  <w:vAlign w:val="center"/>
                </w:tcPr>
                <w:p w14:paraId="1ACFF3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2826" w:type="dxa"/>
                  <w:noWrap w:val="0"/>
                  <w:vAlign w:val="center"/>
                </w:tcPr>
                <w:p w14:paraId="4F3F8F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药芯焊丝（φ1.6mm）</w:t>
                  </w:r>
                </w:p>
              </w:tc>
              <w:tc>
                <w:tcPr>
                  <w:tcW w:w="2772" w:type="dxa"/>
                  <w:noWrap w:val="0"/>
                  <w:vAlign w:val="center"/>
                </w:tcPr>
                <w:p w14:paraId="2D4CB6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10</w:t>
                  </w:r>
                </w:p>
              </w:tc>
            </w:tr>
            <w:tr w14:paraId="7A0CB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3" w:type="dxa"/>
                  <w:noWrap w:val="0"/>
                  <w:vAlign w:val="center"/>
                </w:tcPr>
                <w:p w14:paraId="0A3325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氩弧焊</w:t>
                  </w:r>
                </w:p>
              </w:tc>
              <w:tc>
                <w:tcPr>
                  <w:tcW w:w="2826" w:type="dxa"/>
                  <w:noWrap w:val="0"/>
                  <w:vAlign w:val="center"/>
                </w:tcPr>
                <w:p w14:paraId="38F4F6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实芯焊丝（φ1.6mm）</w:t>
                  </w:r>
                </w:p>
              </w:tc>
              <w:tc>
                <w:tcPr>
                  <w:tcW w:w="2772" w:type="dxa"/>
                  <w:noWrap w:val="0"/>
                  <w:vAlign w:val="center"/>
                </w:tcPr>
                <w:p w14:paraId="64E5CB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5</w:t>
                  </w:r>
                </w:p>
              </w:tc>
            </w:tr>
            <w:tr w14:paraId="60148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3" w:type="dxa"/>
                  <w:noWrap w:val="0"/>
                  <w:vAlign w:val="center"/>
                </w:tcPr>
                <w:p w14:paraId="063A7D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埋弧焊</w:t>
                  </w:r>
                </w:p>
              </w:tc>
              <w:tc>
                <w:tcPr>
                  <w:tcW w:w="2826" w:type="dxa"/>
                  <w:noWrap w:val="0"/>
                  <w:vAlign w:val="center"/>
                </w:tcPr>
                <w:p w14:paraId="14D9AA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实芯焊丝（φ5mm）</w:t>
                  </w:r>
                </w:p>
              </w:tc>
              <w:tc>
                <w:tcPr>
                  <w:tcW w:w="2772" w:type="dxa"/>
                  <w:noWrap w:val="0"/>
                  <w:vAlign w:val="center"/>
                </w:tcPr>
                <w:p w14:paraId="441BF3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0.1</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0.3</w:t>
                  </w:r>
                </w:p>
              </w:tc>
            </w:tr>
          </w:tbl>
          <w:p w14:paraId="0907B8E3">
            <w:pPr>
              <w:adjustRightInd w:val="0"/>
              <w:snapToGrid w:val="0"/>
              <w:spacing w:line="480" w:lineRule="exact"/>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本项目有</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台</w:t>
            </w:r>
            <w:r>
              <w:rPr>
                <w:rFonts w:hint="eastAsia" w:cs="Times New Roman"/>
                <w:color w:val="auto"/>
                <w:sz w:val="24"/>
                <w:szCs w:val="24"/>
                <w:highlight w:val="none"/>
                <w:lang w:val="en-US" w:eastAsia="zh-CN"/>
              </w:rPr>
              <w:t>二氧化碳</w:t>
            </w:r>
            <w:r>
              <w:rPr>
                <w:rFonts w:hint="eastAsia" w:ascii="Times New Roman" w:hAnsi="Times New Roman" w:eastAsia="宋体" w:cs="Times New Roman"/>
                <w:color w:val="auto"/>
                <w:sz w:val="24"/>
                <w:szCs w:val="24"/>
                <w:highlight w:val="none"/>
              </w:rPr>
              <w:t>保护焊</w:t>
            </w:r>
            <w:r>
              <w:rPr>
                <w:rFonts w:hint="eastAsia" w:cs="Times New Roman"/>
                <w:color w:val="auto"/>
                <w:sz w:val="24"/>
                <w:szCs w:val="24"/>
                <w:highlight w:val="none"/>
                <w:lang w:val="en-US" w:eastAsia="zh-CN"/>
              </w:rPr>
              <w:t>机</w:t>
            </w:r>
            <w:r>
              <w:rPr>
                <w:rFonts w:hint="eastAsia" w:ascii="Times New Roman" w:hAnsi="Times New Roman" w:eastAsia="宋体" w:cs="Times New Roman"/>
                <w:color w:val="auto"/>
                <w:sz w:val="24"/>
                <w:szCs w:val="24"/>
                <w:highlight w:val="none"/>
              </w:rPr>
              <w:t>，使用的焊接材料为实芯焊丝</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2台氩弧焊机，</w:t>
            </w:r>
            <w:r>
              <w:rPr>
                <w:rFonts w:hint="eastAsia" w:ascii="Times New Roman" w:hAnsi="Times New Roman" w:eastAsia="宋体" w:cs="Times New Roman"/>
                <w:color w:val="auto"/>
                <w:sz w:val="24"/>
                <w:szCs w:val="24"/>
                <w:highlight w:val="none"/>
              </w:rPr>
              <w:t>使用的焊接材料为实芯焊丝</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2台电焊机，</w:t>
            </w:r>
            <w:r>
              <w:rPr>
                <w:rFonts w:hint="eastAsia" w:ascii="Times New Roman" w:hAnsi="Times New Roman" w:eastAsia="宋体" w:cs="Times New Roman"/>
                <w:color w:val="auto"/>
                <w:sz w:val="24"/>
                <w:szCs w:val="24"/>
                <w:highlight w:val="none"/>
              </w:rPr>
              <w:t>使用的焊接材料为</w:t>
            </w:r>
            <w:r>
              <w:rPr>
                <w:rFonts w:ascii="Times New Roman" w:hAnsi="Times New Roman" w:eastAsia="宋体" w:cs="Times New Roman"/>
                <w:color w:val="auto"/>
                <w:sz w:val="24"/>
                <w:szCs w:val="24"/>
                <w:highlight w:val="none"/>
              </w:rPr>
              <w:t>钛钙型焊条</w:t>
            </w:r>
            <w:r>
              <w:rPr>
                <w:rFonts w:hint="eastAsia"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因此，</w:t>
            </w:r>
            <w:r>
              <w:rPr>
                <w:rFonts w:hint="eastAsia" w:cs="Times New Roman"/>
                <w:color w:val="auto"/>
                <w:sz w:val="24"/>
                <w:szCs w:val="24"/>
                <w:highlight w:val="none"/>
                <w:lang w:val="en-US" w:eastAsia="zh-CN"/>
              </w:rPr>
              <w:t>二氧化碳</w:t>
            </w:r>
            <w:r>
              <w:rPr>
                <w:rFonts w:hint="eastAsia" w:ascii="Times New Roman" w:hAnsi="Times New Roman" w:eastAsia="宋体" w:cs="Times New Roman"/>
                <w:color w:val="auto"/>
                <w:sz w:val="24"/>
                <w:szCs w:val="24"/>
                <w:highlight w:val="none"/>
              </w:rPr>
              <w:t>保护焊</w:t>
            </w:r>
            <w:r>
              <w:rPr>
                <w:rFonts w:hint="eastAsia" w:cs="Times New Roman"/>
                <w:color w:val="auto"/>
                <w:sz w:val="24"/>
                <w:szCs w:val="24"/>
                <w:highlight w:val="none"/>
                <w:lang w:val="en-US" w:eastAsia="zh-CN"/>
              </w:rPr>
              <w:t>机使用的</w:t>
            </w:r>
            <w:r>
              <w:rPr>
                <w:rFonts w:hint="eastAsia" w:ascii="Times New Roman" w:hAnsi="Times New Roman" w:eastAsia="宋体" w:cs="Times New Roman"/>
                <w:color w:val="auto"/>
                <w:sz w:val="24"/>
                <w:szCs w:val="24"/>
                <w:highlight w:val="none"/>
              </w:rPr>
              <w:t>焊接材料的发尘量取经验值的最大值8g/kg，</w:t>
            </w:r>
            <w:r>
              <w:rPr>
                <w:rFonts w:hint="eastAsia" w:cs="Times New Roman"/>
                <w:color w:val="auto"/>
                <w:sz w:val="24"/>
                <w:szCs w:val="24"/>
                <w:highlight w:val="none"/>
                <w:lang w:val="en-US" w:eastAsia="zh-CN"/>
              </w:rPr>
              <w:t>氩弧焊机使用的</w:t>
            </w:r>
            <w:r>
              <w:rPr>
                <w:rFonts w:hint="eastAsia" w:ascii="Times New Roman" w:hAnsi="Times New Roman" w:eastAsia="宋体" w:cs="Times New Roman"/>
                <w:color w:val="auto"/>
                <w:sz w:val="24"/>
                <w:szCs w:val="24"/>
                <w:highlight w:val="none"/>
              </w:rPr>
              <w:t>焊接材料的发尘量取经验值的最大值</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g/kg，</w:t>
            </w:r>
            <w:r>
              <w:rPr>
                <w:rFonts w:hint="eastAsia" w:cs="Times New Roman"/>
                <w:color w:val="auto"/>
                <w:sz w:val="24"/>
                <w:szCs w:val="24"/>
                <w:highlight w:val="none"/>
                <w:lang w:val="en-US" w:eastAsia="zh-CN"/>
              </w:rPr>
              <w:t>电焊机使用的</w:t>
            </w:r>
            <w:r>
              <w:rPr>
                <w:rFonts w:hint="eastAsia" w:ascii="Times New Roman" w:hAnsi="Times New Roman" w:eastAsia="宋体" w:cs="Times New Roman"/>
                <w:color w:val="auto"/>
                <w:sz w:val="24"/>
                <w:szCs w:val="24"/>
                <w:highlight w:val="none"/>
              </w:rPr>
              <w:t>焊接材料的发尘量取经验值的最大值</w:t>
            </w:r>
            <w:r>
              <w:rPr>
                <w:rFonts w:hint="eastAsia"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rPr>
              <w:t>g/kg</w:t>
            </w:r>
            <w:r>
              <w:rPr>
                <w:rFonts w:hint="eastAsia"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本项目</w:t>
            </w:r>
            <w:r>
              <w:rPr>
                <w:rFonts w:hint="eastAsia" w:cs="Times New Roman"/>
                <w:color w:val="auto"/>
                <w:sz w:val="24"/>
                <w:szCs w:val="24"/>
                <w:highlight w:val="none"/>
                <w:lang w:val="en-US" w:eastAsia="zh-CN"/>
              </w:rPr>
              <w:t>二氧化碳</w:t>
            </w:r>
            <w:r>
              <w:rPr>
                <w:rFonts w:hint="eastAsia" w:ascii="Times New Roman" w:hAnsi="Times New Roman" w:eastAsia="宋体" w:cs="Times New Roman"/>
                <w:color w:val="auto"/>
                <w:sz w:val="24"/>
                <w:szCs w:val="24"/>
                <w:highlight w:val="none"/>
              </w:rPr>
              <w:t>保护焊</w:t>
            </w:r>
            <w:r>
              <w:rPr>
                <w:rFonts w:hint="eastAsia" w:cs="Times New Roman"/>
                <w:color w:val="auto"/>
                <w:sz w:val="24"/>
                <w:szCs w:val="24"/>
                <w:highlight w:val="none"/>
                <w:lang w:val="en-US" w:eastAsia="zh-CN"/>
              </w:rPr>
              <w:t>机、氩弧焊机</w:t>
            </w:r>
            <w:r>
              <w:rPr>
                <w:rFonts w:hint="eastAsia" w:ascii="Times New Roman" w:hAnsi="Times New Roman" w:eastAsia="宋体" w:cs="Times New Roman"/>
                <w:color w:val="auto"/>
                <w:sz w:val="24"/>
                <w:szCs w:val="24"/>
                <w:highlight w:val="none"/>
              </w:rPr>
              <w:t>使用焊丝量</w:t>
            </w:r>
            <w:r>
              <w:rPr>
                <w:rFonts w:hint="eastAsia" w:cs="Times New Roman"/>
                <w:color w:val="auto"/>
                <w:sz w:val="24"/>
                <w:szCs w:val="24"/>
                <w:highlight w:val="none"/>
                <w:lang w:val="en-US" w:eastAsia="zh-CN"/>
              </w:rPr>
              <w:t>分别</w:t>
            </w:r>
            <w:r>
              <w:rPr>
                <w:rFonts w:hint="eastAsia" w:ascii="Times New Roman" w:hAnsi="Times New Roman" w:eastAsia="宋体" w:cs="Times New Roman"/>
                <w:color w:val="auto"/>
                <w:sz w:val="24"/>
                <w:szCs w:val="24"/>
                <w:highlight w:val="none"/>
              </w:rPr>
              <w:t>为</w:t>
            </w:r>
            <w:r>
              <w:rPr>
                <w:rFonts w:hint="eastAsia" w:cs="Times New Roman"/>
                <w:color w:val="auto"/>
                <w:sz w:val="24"/>
                <w:szCs w:val="24"/>
                <w:highlight w:val="none"/>
                <w:lang w:val="en-US" w:eastAsia="zh-CN"/>
              </w:rPr>
              <w:t>0.05</w:t>
            </w:r>
            <w:r>
              <w:rPr>
                <w:rFonts w:hint="eastAsia" w:ascii="Times New Roman" w:hAnsi="Times New Roman" w:eastAsia="宋体" w:cs="Times New Roman"/>
                <w:color w:val="auto"/>
                <w:sz w:val="24"/>
                <w:szCs w:val="24"/>
                <w:highlight w:val="none"/>
              </w:rPr>
              <w:t>t/a，</w:t>
            </w:r>
            <w:r>
              <w:rPr>
                <w:rFonts w:hint="eastAsia" w:cs="Times New Roman"/>
                <w:color w:val="auto"/>
                <w:sz w:val="24"/>
                <w:szCs w:val="24"/>
                <w:highlight w:val="none"/>
                <w:lang w:val="en-US" w:eastAsia="zh-CN"/>
              </w:rPr>
              <w:t>电焊机</w:t>
            </w:r>
            <w:r>
              <w:rPr>
                <w:rFonts w:hint="eastAsia" w:ascii="Times New Roman" w:hAnsi="Times New Roman" w:eastAsia="宋体" w:cs="Times New Roman"/>
                <w:color w:val="auto"/>
                <w:sz w:val="24"/>
                <w:szCs w:val="24"/>
                <w:highlight w:val="none"/>
              </w:rPr>
              <w:t>使用</w:t>
            </w:r>
            <w:r>
              <w:rPr>
                <w:rFonts w:ascii="Times New Roman" w:hAnsi="Times New Roman" w:eastAsia="宋体" w:cs="Times New Roman"/>
                <w:color w:val="auto"/>
                <w:sz w:val="24"/>
                <w:szCs w:val="24"/>
                <w:highlight w:val="none"/>
              </w:rPr>
              <w:t>焊条</w:t>
            </w:r>
            <w:r>
              <w:rPr>
                <w:rFonts w:hint="eastAsia" w:ascii="Times New Roman" w:hAnsi="Times New Roman" w:eastAsia="宋体" w:cs="Times New Roman"/>
                <w:color w:val="auto"/>
                <w:sz w:val="24"/>
                <w:szCs w:val="24"/>
                <w:highlight w:val="none"/>
              </w:rPr>
              <w:t>量为</w:t>
            </w:r>
            <w:r>
              <w:rPr>
                <w:rFonts w:hint="eastAsia" w:cs="Times New Roman"/>
                <w:color w:val="auto"/>
                <w:sz w:val="24"/>
                <w:szCs w:val="24"/>
                <w:highlight w:val="none"/>
                <w:lang w:val="en-US" w:eastAsia="zh-CN"/>
              </w:rPr>
              <w:t>0.05</w:t>
            </w:r>
            <w:r>
              <w:rPr>
                <w:rFonts w:hint="eastAsia" w:ascii="Times New Roman" w:hAnsi="Times New Roman" w:eastAsia="宋体" w:cs="Times New Roman"/>
                <w:color w:val="auto"/>
                <w:sz w:val="24"/>
                <w:szCs w:val="24"/>
                <w:highlight w:val="none"/>
              </w:rPr>
              <w:t>t/a，则总</w:t>
            </w:r>
            <w:r>
              <w:rPr>
                <w:rFonts w:hint="eastAsia" w:ascii="Times New Roman" w:hAnsi="Times New Roman" w:eastAsia="宋体" w:cs="Times New Roman"/>
                <w:color w:val="auto"/>
                <w:sz w:val="24"/>
                <w:szCs w:val="24"/>
                <w:highlight w:val="none"/>
                <w:lang w:val="en-US" w:eastAsia="zh-CN"/>
              </w:rPr>
              <w:t>产</w:t>
            </w:r>
            <w:r>
              <w:rPr>
                <w:rFonts w:hint="eastAsia" w:ascii="Times New Roman" w:hAnsi="Times New Roman" w:eastAsia="宋体" w:cs="Times New Roman"/>
                <w:color w:val="auto"/>
                <w:sz w:val="24"/>
                <w:szCs w:val="24"/>
                <w:highlight w:val="none"/>
              </w:rPr>
              <w:t>尘量为</w:t>
            </w:r>
            <w:r>
              <w:rPr>
                <w:rFonts w:hint="eastAsia" w:ascii="Times New Roman" w:hAnsi="Times New Roman" w:eastAsia="宋体" w:cs="Times New Roman"/>
                <w:color w:val="auto"/>
                <w:sz w:val="24"/>
                <w:szCs w:val="24"/>
                <w:highlight w:val="none"/>
                <w:lang w:val="en-US" w:eastAsia="zh-CN"/>
              </w:rPr>
              <w:t>0.0</w:t>
            </w:r>
            <w:r>
              <w:rPr>
                <w:rFonts w:hint="eastAsia" w:cs="Times New Roman"/>
                <w:color w:val="auto"/>
                <w:sz w:val="24"/>
                <w:szCs w:val="24"/>
                <w:highlight w:val="none"/>
                <w:lang w:val="en-US" w:eastAsia="zh-CN"/>
              </w:rPr>
              <w:t>0105</w:t>
            </w:r>
            <w:r>
              <w:rPr>
                <w:rFonts w:hint="eastAsia" w:ascii="Times New Roman" w:hAnsi="Times New Roman" w:eastAsia="宋体" w:cs="Times New Roman"/>
                <w:color w:val="auto"/>
                <w:sz w:val="24"/>
                <w:szCs w:val="24"/>
                <w:highlight w:val="none"/>
              </w:rPr>
              <w:t>t/a，该过程工作时间为</w:t>
            </w:r>
            <w:r>
              <w:rPr>
                <w:rFonts w:hint="eastAsia" w:ascii="Times New Roman" w:hAnsi="Times New Roman"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rPr>
              <w:t>0h/a。</w:t>
            </w:r>
          </w:p>
          <w:p w14:paraId="06D52B79">
            <w:pPr>
              <w:bidi w:val="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本项目焊机配备</w:t>
            </w:r>
            <w:r>
              <w:rPr>
                <w:rFonts w:hint="eastAsia" w:cs="Times New Roman"/>
                <w:color w:val="auto"/>
                <w:sz w:val="24"/>
                <w:szCs w:val="24"/>
                <w:lang w:val="en-US" w:eastAsia="zh-CN"/>
              </w:rPr>
              <w:t>3台双臂</w:t>
            </w:r>
            <w:r>
              <w:rPr>
                <w:rFonts w:hint="eastAsia" w:ascii="Times New Roman" w:hAnsi="Times New Roman" w:eastAsia="宋体" w:cs="Times New Roman"/>
                <w:color w:val="auto"/>
                <w:sz w:val="24"/>
                <w:szCs w:val="24"/>
                <w:lang w:val="en-US" w:eastAsia="zh-CN"/>
              </w:rPr>
              <w:t>移动式烟尘净化器，焊接过程产生的废气经移动式烟尘净化器处理后，无组织排放于车间内，移动式烟尘</w:t>
            </w:r>
            <w:r>
              <w:rPr>
                <w:rFonts w:hint="eastAsia" w:cs="Times New Roman"/>
                <w:color w:val="auto"/>
                <w:sz w:val="24"/>
                <w:szCs w:val="24"/>
                <w:lang w:val="en-US" w:eastAsia="zh-CN"/>
              </w:rPr>
              <w:t>净</w:t>
            </w:r>
            <w:r>
              <w:rPr>
                <w:rFonts w:hint="eastAsia" w:ascii="Times New Roman" w:hAnsi="Times New Roman" w:eastAsia="宋体" w:cs="Times New Roman"/>
                <w:color w:val="auto"/>
                <w:sz w:val="24"/>
                <w:szCs w:val="24"/>
                <w:lang w:val="en-US" w:eastAsia="zh-CN"/>
              </w:rPr>
              <w:t>化器的风量为3000m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/h，收集效率为90%，处理效率为90%，则焊接过程污染物排放情况见下表。</w:t>
            </w:r>
          </w:p>
          <w:p w14:paraId="04277303">
            <w:pPr>
              <w:pStyle w:val="41"/>
              <w:ind w:firstLine="0" w:firstLineChars="0"/>
              <w:jc w:val="center"/>
              <w:rPr>
                <w:rFonts w:hint="eastAsia" w:ascii="Times New Roman" w:hAnsi="Times New Roman" w:eastAsia="宋体" w:cs="Times New Roman"/>
                <w:b/>
                <w:color w:val="auto"/>
                <w:sz w:val="21"/>
                <w:szCs w:val="24"/>
                <w:highlight w:val="none"/>
              </w:rPr>
            </w:pPr>
            <w:r>
              <w:rPr>
                <w:rFonts w:hint="eastAsia" w:ascii="Times New Roman" w:hAnsi="Times New Roman" w:eastAsia="宋体" w:cs="Times New Roman"/>
                <w:b/>
                <w:color w:val="auto"/>
                <w:sz w:val="21"/>
                <w:szCs w:val="24"/>
                <w:highlight w:val="none"/>
              </w:rPr>
              <w:t>表</w:t>
            </w:r>
            <w:r>
              <w:rPr>
                <w:rFonts w:hint="eastAsia" w:cs="Times New Roman"/>
                <w:b/>
                <w:color w:val="auto"/>
                <w:sz w:val="21"/>
                <w:szCs w:val="24"/>
                <w:highlight w:val="none"/>
                <w:lang w:val="en-US" w:eastAsia="zh-CN"/>
              </w:rPr>
              <w:t>35</w:t>
            </w:r>
            <w:r>
              <w:rPr>
                <w:rFonts w:hint="eastAsia" w:ascii="Times New Roman" w:hAnsi="Times New Roman" w:eastAsia="宋体" w:cs="Times New Roman"/>
                <w:b/>
                <w:color w:val="auto"/>
                <w:sz w:val="21"/>
                <w:szCs w:val="24"/>
                <w:highlight w:val="none"/>
              </w:rPr>
              <w:t xml:space="preserve">  焊接过程</w:t>
            </w:r>
            <w:r>
              <w:rPr>
                <w:rFonts w:hint="eastAsia" w:ascii="Times New Roman" w:hAnsi="Times New Roman" w:eastAsia="宋体" w:cs="Times New Roman"/>
                <w:b/>
                <w:color w:val="auto"/>
                <w:sz w:val="21"/>
                <w:szCs w:val="24"/>
                <w:highlight w:val="none"/>
                <w:lang w:val="en-US" w:eastAsia="zh-CN"/>
              </w:rPr>
              <w:t>污染物</w:t>
            </w:r>
            <w:r>
              <w:rPr>
                <w:rFonts w:hint="eastAsia" w:ascii="Times New Roman" w:hAnsi="Times New Roman" w:eastAsia="宋体" w:cs="Times New Roman"/>
                <w:b/>
                <w:color w:val="auto"/>
                <w:sz w:val="21"/>
                <w:szCs w:val="24"/>
                <w:highlight w:val="none"/>
              </w:rPr>
              <w:t>排放情况</w:t>
            </w:r>
          </w:p>
          <w:tbl>
            <w:tblPr>
              <w:tblStyle w:val="20"/>
              <w:tblW w:w="81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9"/>
              <w:gridCol w:w="600"/>
              <w:gridCol w:w="585"/>
              <w:gridCol w:w="1110"/>
              <w:gridCol w:w="736"/>
              <w:gridCol w:w="787"/>
              <w:gridCol w:w="690"/>
              <w:gridCol w:w="786"/>
              <w:gridCol w:w="783"/>
              <w:gridCol w:w="735"/>
              <w:gridCol w:w="782"/>
            </w:tblGrid>
            <w:tr w14:paraId="4ED16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noWrap w:val="0"/>
                  <w:vAlign w:val="center"/>
                </w:tcPr>
                <w:p w14:paraId="48478E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污染源</w:t>
                  </w:r>
                </w:p>
              </w:tc>
              <w:tc>
                <w:tcPr>
                  <w:tcW w:w="600" w:type="dxa"/>
                  <w:noWrap w:val="0"/>
                  <w:vAlign w:val="center"/>
                </w:tcPr>
                <w:p w14:paraId="4E3A1F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污染因子</w:t>
                  </w:r>
                </w:p>
              </w:tc>
              <w:tc>
                <w:tcPr>
                  <w:tcW w:w="585" w:type="dxa"/>
                  <w:noWrap w:val="0"/>
                  <w:vAlign w:val="center"/>
                </w:tcPr>
                <w:p w14:paraId="28EEC5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收集率</w:t>
                  </w:r>
                  <w:r>
                    <w:rPr>
                      <w:rFonts w:hint="eastAsia" w:cs="Times New Roman"/>
                      <w:color w:val="auto"/>
                      <w:sz w:val="21"/>
                      <w:szCs w:val="21"/>
                      <w:lang w:val="en-US" w:eastAsia="zh-CN"/>
                    </w:rPr>
                    <w:t>(%)</w:t>
                  </w:r>
                </w:p>
              </w:tc>
              <w:tc>
                <w:tcPr>
                  <w:tcW w:w="1846" w:type="dxa"/>
                  <w:gridSpan w:val="2"/>
                  <w:noWrap w:val="0"/>
                  <w:vAlign w:val="center"/>
                </w:tcPr>
                <w:p w14:paraId="57391B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产生量</w:t>
                  </w:r>
                  <w:r>
                    <w:rPr>
                      <w:rFonts w:hint="eastAsia" w:cs="Times New Roman"/>
                      <w:color w:val="auto"/>
                      <w:sz w:val="21"/>
                      <w:szCs w:val="21"/>
                      <w:lang w:val="en-US" w:eastAsia="zh-CN"/>
                    </w:rPr>
                    <w:t>（</w:t>
                  </w:r>
                  <w:r>
                    <w:rPr>
                      <w:rFonts w:hint="default" w:ascii="Times New Roman" w:hAnsi="Times New Roman" w:cs="Times New Roman"/>
                      <w:color w:val="auto"/>
                      <w:sz w:val="21"/>
                      <w:szCs w:val="21"/>
                    </w:rPr>
                    <w:t>t/a</w:t>
                  </w:r>
                  <w:r>
                    <w:rPr>
                      <w:rFonts w:hint="eastAsia" w:cs="Times New Roman"/>
                      <w:color w:val="auto"/>
                      <w:sz w:val="21"/>
                      <w:szCs w:val="21"/>
                      <w:lang w:val="en-US" w:eastAsia="zh-CN"/>
                    </w:rPr>
                    <w:t>）</w:t>
                  </w:r>
                </w:p>
              </w:tc>
              <w:tc>
                <w:tcPr>
                  <w:tcW w:w="787" w:type="dxa"/>
                  <w:noWrap w:val="0"/>
                  <w:vAlign w:val="center"/>
                </w:tcPr>
                <w:p w14:paraId="4310CB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处理</w:t>
                  </w:r>
                </w:p>
                <w:p w14:paraId="116501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风量</w:t>
                  </w:r>
                  <w:r>
                    <w:rPr>
                      <w:rFonts w:hint="eastAsia" w:cs="Times New Roman"/>
                      <w:color w:val="auto"/>
                      <w:sz w:val="21"/>
                      <w:szCs w:val="21"/>
                      <w:lang w:val="en-US" w:eastAsia="zh-CN"/>
                    </w:rPr>
                    <w:t>(</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/h</w:t>
                  </w:r>
                  <w:r>
                    <w:rPr>
                      <w:rFonts w:hint="eastAsia" w:cs="Times New Roman"/>
                      <w:color w:val="auto"/>
                      <w:sz w:val="21"/>
                      <w:szCs w:val="21"/>
                      <w:lang w:val="en-US" w:eastAsia="zh-CN"/>
                    </w:rPr>
                    <w:t>)</w:t>
                  </w:r>
                </w:p>
              </w:tc>
              <w:tc>
                <w:tcPr>
                  <w:tcW w:w="690" w:type="dxa"/>
                  <w:noWrap w:val="0"/>
                  <w:vAlign w:val="center"/>
                </w:tcPr>
                <w:p w14:paraId="629DDA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处理效率</w:t>
                  </w:r>
                  <w:r>
                    <w:rPr>
                      <w:rFonts w:hint="eastAsia" w:cs="Times New Roman"/>
                      <w:color w:val="auto"/>
                      <w:sz w:val="21"/>
                      <w:szCs w:val="21"/>
                      <w:lang w:val="en-US" w:eastAsia="zh-CN"/>
                    </w:rPr>
                    <w:t>(</w:t>
                  </w:r>
                  <w:r>
                    <w:rPr>
                      <w:rFonts w:hint="default" w:ascii="Times New Roman" w:hAnsi="Times New Roman" w:cs="Times New Roman"/>
                      <w:color w:val="auto"/>
                      <w:sz w:val="21"/>
                      <w:szCs w:val="21"/>
                    </w:rPr>
                    <w:t>%</w:t>
                  </w:r>
                  <w:r>
                    <w:rPr>
                      <w:rFonts w:hint="eastAsia" w:cs="Times New Roman"/>
                      <w:color w:val="auto"/>
                      <w:sz w:val="21"/>
                      <w:szCs w:val="21"/>
                      <w:lang w:val="en-US" w:eastAsia="zh-CN"/>
                    </w:rPr>
                    <w:t>)</w:t>
                  </w:r>
                </w:p>
              </w:tc>
              <w:tc>
                <w:tcPr>
                  <w:tcW w:w="786" w:type="dxa"/>
                  <w:noWrap w:val="0"/>
                  <w:vAlign w:val="center"/>
                </w:tcPr>
                <w:p w14:paraId="32ED77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运行时间</w:t>
                  </w:r>
                  <w:r>
                    <w:rPr>
                      <w:rFonts w:hint="eastAsia" w:cs="Times New Roman"/>
                      <w:color w:val="auto"/>
                      <w:sz w:val="21"/>
                      <w:szCs w:val="21"/>
                      <w:lang w:val="en-US" w:eastAsia="zh-CN"/>
                    </w:rPr>
                    <w:t>(</w:t>
                  </w:r>
                  <w:r>
                    <w:rPr>
                      <w:rFonts w:hint="default" w:ascii="Times New Roman" w:hAnsi="Times New Roman" w:cs="Times New Roman"/>
                      <w:color w:val="auto"/>
                      <w:sz w:val="21"/>
                      <w:szCs w:val="21"/>
                    </w:rPr>
                    <w:t>h/a</w:t>
                  </w:r>
                  <w:r>
                    <w:rPr>
                      <w:rFonts w:hint="eastAsia" w:cs="Times New Roman"/>
                      <w:color w:val="auto"/>
                      <w:sz w:val="21"/>
                      <w:szCs w:val="21"/>
                      <w:lang w:val="en-US" w:eastAsia="zh-CN"/>
                    </w:rPr>
                    <w:t>)</w:t>
                  </w:r>
                </w:p>
              </w:tc>
              <w:tc>
                <w:tcPr>
                  <w:tcW w:w="783" w:type="dxa"/>
                  <w:noWrap w:val="0"/>
                  <w:vAlign w:val="center"/>
                </w:tcPr>
                <w:p w14:paraId="6A519E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排放量</w:t>
                  </w:r>
                  <w:r>
                    <w:rPr>
                      <w:rFonts w:hint="eastAsia" w:cs="Times New Roman"/>
                      <w:color w:val="auto"/>
                      <w:sz w:val="21"/>
                      <w:szCs w:val="21"/>
                      <w:lang w:val="en-US" w:eastAsia="zh-CN"/>
                    </w:rPr>
                    <w:t>(</w:t>
                  </w:r>
                  <w:r>
                    <w:rPr>
                      <w:rFonts w:hint="default" w:ascii="Times New Roman" w:hAnsi="Times New Roman" w:cs="Times New Roman"/>
                      <w:color w:val="auto"/>
                      <w:sz w:val="21"/>
                      <w:szCs w:val="21"/>
                    </w:rPr>
                    <w:t>t/a</w:t>
                  </w:r>
                  <w:r>
                    <w:rPr>
                      <w:rFonts w:hint="eastAsia" w:cs="Times New Roman"/>
                      <w:color w:val="auto"/>
                      <w:sz w:val="21"/>
                      <w:szCs w:val="21"/>
                      <w:lang w:val="en-US" w:eastAsia="zh-CN"/>
                    </w:rPr>
                    <w:t>)</w:t>
                  </w:r>
                </w:p>
              </w:tc>
              <w:tc>
                <w:tcPr>
                  <w:tcW w:w="735" w:type="dxa"/>
                  <w:noWrap w:val="0"/>
                  <w:vAlign w:val="center"/>
                </w:tcPr>
                <w:p w14:paraId="405183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合计排放量</w:t>
                  </w:r>
                  <w:r>
                    <w:rPr>
                      <w:rFonts w:hint="eastAsia" w:cs="Times New Roman"/>
                      <w:color w:val="auto"/>
                      <w:sz w:val="21"/>
                      <w:szCs w:val="21"/>
                      <w:lang w:val="en-US" w:eastAsia="zh-CN"/>
                    </w:rPr>
                    <w:t>(</w:t>
                  </w:r>
                  <w:r>
                    <w:rPr>
                      <w:rFonts w:hint="default" w:ascii="Times New Roman" w:hAnsi="Times New Roman" w:cs="Times New Roman"/>
                      <w:color w:val="auto"/>
                      <w:sz w:val="21"/>
                      <w:szCs w:val="21"/>
                    </w:rPr>
                    <w:t>t/a</w:t>
                  </w:r>
                  <w:r>
                    <w:rPr>
                      <w:rFonts w:hint="eastAsia" w:cs="Times New Roman"/>
                      <w:color w:val="auto"/>
                      <w:sz w:val="21"/>
                      <w:szCs w:val="21"/>
                      <w:lang w:val="en-US" w:eastAsia="zh-CN"/>
                    </w:rPr>
                    <w:t>)</w:t>
                  </w:r>
                </w:p>
              </w:tc>
              <w:tc>
                <w:tcPr>
                  <w:tcW w:w="782" w:type="dxa"/>
                  <w:noWrap w:val="0"/>
                  <w:vAlign w:val="center"/>
                </w:tcPr>
                <w:p w14:paraId="3E9DB6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合计排放</w:t>
                  </w:r>
                  <w:r>
                    <w:rPr>
                      <w:rFonts w:hint="default" w:ascii="Times New Roman" w:hAnsi="Times New Roman" w:cs="Times New Roman"/>
                      <w:color w:val="auto"/>
                      <w:sz w:val="21"/>
                      <w:szCs w:val="21"/>
                    </w:rPr>
                    <w:t>速率</w:t>
                  </w:r>
                  <w:r>
                    <w:rPr>
                      <w:rFonts w:hint="eastAsia" w:cs="Times New Roman"/>
                      <w:color w:val="auto"/>
                      <w:sz w:val="21"/>
                      <w:szCs w:val="21"/>
                      <w:lang w:val="en-US" w:eastAsia="zh-CN"/>
                    </w:rPr>
                    <w:t>(</w:t>
                  </w:r>
                  <w:r>
                    <w:rPr>
                      <w:rFonts w:hint="default" w:ascii="Times New Roman" w:hAnsi="Times New Roman" w:cs="Times New Roman"/>
                      <w:color w:val="auto"/>
                      <w:sz w:val="21"/>
                      <w:szCs w:val="21"/>
                    </w:rPr>
                    <w:t>kg/h</w:t>
                  </w:r>
                  <w:r>
                    <w:rPr>
                      <w:rFonts w:hint="eastAsia" w:cs="Times New Roman"/>
                      <w:color w:val="auto"/>
                      <w:sz w:val="21"/>
                      <w:szCs w:val="21"/>
                      <w:lang w:val="en-US" w:eastAsia="zh-CN"/>
                    </w:rPr>
                    <w:t>)</w:t>
                  </w:r>
                </w:p>
              </w:tc>
            </w:tr>
            <w:tr w14:paraId="06E1B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restart"/>
                  <w:noWrap w:val="0"/>
                  <w:vAlign w:val="center"/>
                </w:tcPr>
                <w:p w14:paraId="23EB11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焊接过程</w:t>
                  </w:r>
                </w:p>
              </w:tc>
              <w:tc>
                <w:tcPr>
                  <w:tcW w:w="600" w:type="dxa"/>
                  <w:vMerge w:val="restart"/>
                  <w:noWrap w:val="0"/>
                  <w:vAlign w:val="center"/>
                </w:tcPr>
                <w:p w14:paraId="02D8BE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颗粒物</w:t>
                  </w:r>
                </w:p>
              </w:tc>
              <w:tc>
                <w:tcPr>
                  <w:tcW w:w="585" w:type="dxa"/>
                  <w:vMerge w:val="restart"/>
                  <w:noWrap w:val="0"/>
                  <w:vAlign w:val="center"/>
                </w:tcPr>
                <w:p w14:paraId="42294E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w:t>
                  </w:r>
                </w:p>
              </w:tc>
              <w:tc>
                <w:tcPr>
                  <w:tcW w:w="1110" w:type="dxa"/>
                  <w:noWrap w:val="0"/>
                  <w:vAlign w:val="center"/>
                </w:tcPr>
                <w:p w14:paraId="0B4364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进入处理装置</w:t>
                  </w:r>
                </w:p>
              </w:tc>
              <w:tc>
                <w:tcPr>
                  <w:tcW w:w="736" w:type="dxa"/>
                  <w:noWrap w:val="0"/>
                  <w:vAlign w:val="center"/>
                </w:tcPr>
                <w:p w14:paraId="712475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0.000945</w:t>
                  </w:r>
                </w:p>
              </w:tc>
              <w:tc>
                <w:tcPr>
                  <w:tcW w:w="787" w:type="dxa"/>
                  <w:noWrap w:val="0"/>
                  <w:vAlign w:val="center"/>
                </w:tcPr>
                <w:p w14:paraId="758160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3000</w:t>
                  </w:r>
                </w:p>
              </w:tc>
              <w:tc>
                <w:tcPr>
                  <w:tcW w:w="690" w:type="dxa"/>
                  <w:noWrap w:val="0"/>
                  <w:vAlign w:val="center"/>
                </w:tcPr>
                <w:p w14:paraId="08B272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786" w:type="dxa"/>
                  <w:noWrap w:val="0"/>
                  <w:vAlign w:val="center"/>
                </w:tcPr>
                <w:p w14:paraId="5298E5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300</w:t>
                  </w:r>
                </w:p>
              </w:tc>
              <w:tc>
                <w:tcPr>
                  <w:tcW w:w="783" w:type="dxa"/>
                  <w:noWrap w:val="0"/>
                  <w:vAlign w:val="center"/>
                </w:tcPr>
                <w:p w14:paraId="4AC7EA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0.0000945</w:t>
                  </w:r>
                </w:p>
              </w:tc>
              <w:tc>
                <w:tcPr>
                  <w:tcW w:w="735" w:type="dxa"/>
                  <w:vMerge w:val="restart"/>
                  <w:noWrap w:val="0"/>
                  <w:vAlign w:val="center"/>
                </w:tcPr>
                <w:p w14:paraId="72CAE4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0.0002</w:t>
                  </w:r>
                </w:p>
              </w:tc>
              <w:tc>
                <w:tcPr>
                  <w:tcW w:w="782" w:type="dxa"/>
                  <w:vMerge w:val="restart"/>
                  <w:noWrap w:val="0"/>
                  <w:vAlign w:val="center"/>
                </w:tcPr>
                <w:p w14:paraId="73AFE3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0.0007</w:t>
                  </w:r>
                </w:p>
              </w:tc>
            </w:tr>
            <w:tr w14:paraId="09CC6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9" w:type="dxa"/>
                  <w:vMerge w:val="continue"/>
                  <w:noWrap w:val="0"/>
                  <w:vAlign w:val="center"/>
                </w:tcPr>
                <w:p w14:paraId="0DE1FBB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rPr>
                  </w:pPr>
                </w:p>
              </w:tc>
              <w:tc>
                <w:tcPr>
                  <w:tcW w:w="600" w:type="dxa"/>
                  <w:vMerge w:val="continue"/>
                  <w:noWrap w:val="0"/>
                  <w:vAlign w:val="center"/>
                </w:tcPr>
                <w:p w14:paraId="1E214EF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rPr>
                  </w:pPr>
                </w:p>
              </w:tc>
              <w:tc>
                <w:tcPr>
                  <w:tcW w:w="585" w:type="dxa"/>
                  <w:vMerge w:val="continue"/>
                  <w:noWrap w:val="0"/>
                  <w:vAlign w:val="center"/>
                </w:tcPr>
                <w:p w14:paraId="19B0B6C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rPr>
                  </w:pPr>
                </w:p>
              </w:tc>
              <w:tc>
                <w:tcPr>
                  <w:tcW w:w="1110" w:type="dxa"/>
                  <w:noWrap w:val="0"/>
                  <w:vAlign w:val="center"/>
                </w:tcPr>
                <w:p w14:paraId="1A67D8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未进入处理装置</w:t>
                  </w:r>
                </w:p>
              </w:tc>
              <w:tc>
                <w:tcPr>
                  <w:tcW w:w="736" w:type="dxa"/>
                  <w:noWrap w:val="0"/>
                  <w:vAlign w:val="center"/>
                </w:tcPr>
                <w:p w14:paraId="5507FE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0.000105</w:t>
                  </w:r>
                </w:p>
              </w:tc>
              <w:tc>
                <w:tcPr>
                  <w:tcW w:w="787" w:type="dxa"/>
                  <w:noWrap w:val="0"/>
                  <w:vAlign w:val="center"/>
                </w:tcPr>
                <w:p w14:paraId="057629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690" w:type="dxa"/>
                  <w:noWrap w:val="0"/>
                  <w:vAlign w:val="center"/>
                </w:tcPr>
                <w:p w14:paraId="5B0164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786" w:type="dxa"/>
                  <w:noWrap w:val="0"/>
                  <w:vAlign w:val="center"/>
                </w:tcPr>
                <w:p w14:paraId="62DF19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783" w:type="dxa"/>
                  <w:noWrap w:val="0"/>
                  <w:vAlign w:val="center"/>
                </w:tcPr>
                <w:p w14:paraId="3B6623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0.000105</w:t>
                  </w:r>
                </w:p>
              </w:tc>
              <w:tc>
                <w:tcPr>
                  <w:tcW w:w="735" w:type="dxa"/>
                  <w:vMerge w:val="continue"/>
                  <w:noWrap w:val="0"/>
                  <w:vAlign w:val="center"/>
                </w:tcPr>
                <w:p w14:paraId="3D62AFA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rPr>
                  </w:pPr>
                </w:p>
              </w:tc>
              <w:tc>
                <w:tcPr>
                  <w:tcW w:w="782" w:type="dxa"/>
                  <w:vMerge w:val="continue"/>
                  <w:noWrap w:val="0"/>
                  <w:vAlign w:val="center"/>
                </w:tcPr>
                <w:p w14:paraId="2D70AF8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rPr>
                  </w:pPr>
                </w:p>
              </w:tc>
            </w:tr>
          </w:tbl>
          <w:p w14:paraId="2C916F8C">
            <w:pPr>
              <w:numPr>
                <w:ilvl w:val="0"/>
                <w:numId w:val="0"/>
              </w:numPr>
              <w:bidi w:val="0"/>
              <w:ind w:leftChars="200"/>
              <w:rPr>
                <w:rFonts w:hint="eastAsia"/>
                <w:b/>
                <w:bCs/>
                <w:color w:val="auto"/>
                <w:sz w:val="24"/>
                <w:szCs w:val="24"/>
                <w:highlight w:val="none"/>
                <w:lang w:val="en-US" w:eastAsia="zh-CN"/>
              </w:rPr>
            </w:pPr>
            <w:r>
              <w:rPr>
                <w:rFonts w:hint="eastAsia"/>
                <w:color w:val="auto"/>
                <w:sz w:val="24"/>
                <w:szCs w:val="24"/>
                <w:highlight w:val="none"/>
                <w:vertAlign w:val="baseline"/>
                <w:lang w:val="en-US" w:eastAsia="zh-CN"/>
              </w:rPr>
              <w:t>（2）</w:t>
            </w:r>
            <w:r>
              <w:rPr>
                <w:rFonts w:hint="eastAsia"/>
                <w:color w:val="auto"/>
                <w:highlight w:val="none"/>
                <w:lang w:val="en-US" w:eastAsia="zh-CN"/>
              </w:rPr>
              <w:t>调漆、喷漆、烤漆、塑粉固化过程未捕集</w:t>
            </w:r>
            <w:r>
              <w:rPr>
                <w:rFonts w:hint="eastAsia"/>
                <w:color w:val="auto"/>
                <w:sz w:val="24"/>
                <w:szCs w:val="24"/>
                <w:highlight w:val="none"/>
                <w:lang w:val="en-US" w:eastAsia="zh-CN"/>
              </w:rPr>
              <w:t>废气</w:t>
            </w:r>
          </w:p>
          <w:p w14:paraId="14737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color w:val="auto"/>
                <w:sz w:val="24"/>
                <w:szCs w:val="24"/>
                <w:highlight w:val="none"/>
                <w:lang w:val="en-US" w:eastAsia="zh-CN"/>
              </w:rPr>
            </w:pPr>
            <w:r>
              <w:rPr>
                <w:rFonts w:hint="eastAsia"/>
                <w:color w:val="auto"/>
                <w:highlight w:val="none"/>
                <w:lang w:val="en-US" w:eastAsia="zh-CN"/>
              </w:rPr>
              <w:t>本项目调漆、喷漆、烤漆、塑粉固化过</w:t>
            </w:r>
            <w:r>
              <w:rPr>
                <w:rFonts w:hint="eastAsia"/>
                <w:color w:val="auto"/>
                <w:lang w:val="en-US" w:eastAsia="zh-CN"/>
              </w:rPr>
              <w:t>程未捕集的颗粒物、非甲烷总烃、苯、甲苯、二甲苯无组织排放于封闭的车间内，</w:t>
            </w:r>
            <w:r>
              <w:rPr>
                <w:rFonts w:hint="eastAsia"/>
                <w:color w:val="auto"/>
                <w:sz w:val="24"/>
                <w:szCs w:val="24"/>
                <w:highlight w:val="none"/>
                <w:lang w:val="en-US" w:eastAsia="zh-CN"/>
              </w:rPr>
              <w:t>颗粒物无组织排放量为0.0112t/a，排放速率为0.0124kg/h；非甲烷总烃无组织排放量为0.03788t/a，排放速率为0.0421kg/h；苯无组织排放量为0.0008t/a，排放速率为0.0009kg/h；甲苯无组织排放量为0.00192t/a，排放速率为0.00213kg/h</w:t>
            </w:r>
            <w:r>
              <w:rPr>
                <w:rFonts w:hint="eastAsia"/>
                <w:color w:val="auto"/>
                <w:sz w:val="24"/>
                <w:szCs w:val="24"/>
                <w:highlight w:val="none"/>
                <w:lang w:eastAsia="zh-CN"/>
              </w:rPr>
              <w:t>；</w:t>
            </w:r>
            <w:r>
              <w:rPr>
                <w:rFonts w:hint="eastAsia"/>
                <w:color w:val="auto"/>
                <w:sz w:val="24"/>
                <w:szCs w:val="24"/>
                <w:highlight w:val="none"/>
                <w:lang w:val="en-US" w:eastAsia="zh-CN"/>
              </w:rPr>
              <w:t>二甲苯无组织排放量为0.00584t/a，排放速率为0.00649kg/h</w:t>
            </w:r>
            <w:r>
              <w:rPr>
                <w:rFonts w:hint="default"/>
                <w:color w:val="auto"/>
                <w:sz w:val="24"/>
                <w:szCs w:val="24"/>
                <w:highlight w:val="none"/>
              </w:rPr>
              <w:t>。</w:t>
            </w:r>
          </w:p>
          <w:p w14:paraId="0AB78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（3）喷塑、打磨、腻子打磨、打砂、抛丸</w:t>
            </w:r>
            <w:r>
              <w:rPr>
                <w:rFonts w:hint="eastAsia"/>
                <w:color w:val="auto"/>
                <w:highlight w:val="none"/>
                <w:lang w:val="en-US" w:eastAsia="zh-CN"/>
              </w:rPr>
              <w:t>过程未捕集</w:t>
            </w:r>
            <w:r>
              <w:rPr>
                <w:rFonts w:hint="eastAsia"/>
                <w:color w:val="auto"/>
                <w:sz w:val="24"/>
                <w:szCs w:val="24"/>
                <w:highlight w:val="none"/>
                <w:lang w:val="en-US" w:eastAsia="zh-CN"/>
              </w:rPr>
              <w:t>废气</w:t>
            </w:r>
          </w:p>
          <w:p w14:paraId="42F10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color w:val="auto"/>
                <w:sz w:val="24"/>
                <w:szCs w:val="24"/>
                <w:highlight w:val="none"/>
                <w:lang w:val="en-US" w:eastAsia="zh-CN"/>
              </w:rPr>
            </w:pPr>
            <w:r>
              <w:rPr>
                <w:rFonts w:hint="eastAsia"/>
                <w:color w:val="auto"/>
                <w:highlight w:val="none"/>
                <w:lang w:val="en-US" w:eastAsia="zh-CN"/>
              </w:rPr>
              <w:t>本项目</w:t>
            </w:r>
            <w:r>
              <w:rPr>
                <w:rFonts w:hint="eastAsia"/>
                <w:color w:val="auto"/>
                <w:sz w:val="24"/>
                <w:szCs w:val="24"/>
                <w:highlight w:val="none"/>
                <w:lang w:val="en-US" w:eastAsia="zh-CN"/>
              </w:rPr>
              <w:t>喷塑、打磨、腻子打磨、打砂、抛丸</w:t>
            </w:r>
            <w:r>
              <w:rPr>
                <w:rFonts w:hint="eastAsia"/>
                <w:color w:val="auto"/>
                <w:highlight w:val="none"/>
                <w:lang w:val="en-US" w:eastAsia="zh-CN"/>
              </w:rPr>
              <w:t>过程未捕集的颗粒物无组织排放于封闭的车间内，</w:t>
            </w:r>
            <w:r>
              <w:rPr>
                <w:rFonts w:hint="eastAsia"/>
                <w:color w:val="auto"/>
                <w:sz w:val="24"/>
                <w:szCs w:val="24"/>
                <w:highlight w:val="none"/>
                <w:lang w:val="en-US" w:eastAsia="zh-CN"/>
              </w:rPr>
              <w:t>喷塑过程颗粒物无组织排放量为0.015t/a，排放速率为0.0125kg/h；打磨、腻子打磨、打砂、抛丸过程颗粒物无组织排放量为0.242t/a，排放速率为0.203kg/h。</w:t>
            </w:r>
          </w:p>
          <w:p w14:paraId="534C0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eastAsia="宋体"/>
                <w:color w:val="auto"/>
                <w:sz w:val="24"/>
                <w:szCs w:val="24"/>
                <w:highlight w:val="yellow"/>
                <w:lang w:val="en-US" w:eastAsia="zh-CN"/>
              </w:rPr>
            </w:pPr>
            <w:r>
              <w:rPr>
                <w:rFonts w:hint="eastAsia"/>
                <w:color w:val="auto"/>
                <w:highlight w:val="none"/>
                <w:lang w:val="en-US" w:eastAsia="zh-CN"/>
              </w:rPr>
              <w:t>综上，本项目颗粒物无组织排放量为0.2684t/a，排放速率为0.2286kg/h，非甲烷总烃无组织排放量为0.038t/a，排放速率为0.0421kg/h，苯无组织排放量为0.0008t/a，排放速率为0.0009kg/h，甲苯无组织排放量为0.002t/a，排放速率为0.00213kg/h，二甲苯无组织排放量为0.006t/a，排放速率为0.00649kg/h，</w:t>
            </w:r>
            <w:r>
              <w:rPr>
                <w:rFonts w:ascii="Times New Roman" w:hAnsi="Times New Roman"/>
                <w:color w:val="auto"/>
                <w:sz w:val="24"/>
                <w:szCs w:val="24"/>
                <w:highlight w:val="none"/>
              </w:rPr>
              <w:t>经AERSCREEN预测</w:t>
            </w:r>
            <w:r>
              <w:rPr>
                <w:rFonts w:hint="eastAsia" w:ascii="Times New Roman" w:hAnsi="Times New Roman"/>
                <w:color w:val="auto"/>
                <w:sz w:val="24"/>
                <w:szCs w:val="24"/>
                <w:highlight w:val="none"/>
                <w:lang w:eastAsia="zh-CN"/>
              </w:rPr>
              <w:t>，</w:t>
            </w:r>
            <w:r>
              <w:rPr>
                <w:rFonts w:hint="eastAsia"/>
                <w:color w:val="auto"/>
                <w:sz w:val="24"/>
                <w:szCs w:val="24"/>
                <w:highlight w:val="none"/>
                <w:lang w:val="en-US" w:eastAsia="zh-CN"/>
              </w:rPr>
              <w:t>颗粒物</w:t>
            </w:r>
            <w:r>
              <w:rPr>
                <w:rFonts w:hint="eastAsia"/>
                <w:color w:val="auto"/>
                <w:sz w:val="24"/>
                <w:szCs w:val="24"/>
                <w:highlight w:val="none"/>
                <w:vertAlign w:val="baseline"/>
                <w:lang w:val="en-US" w:eastAsia="zh-CN"/>
              </w:rPr>
              <w:t>最大落地浓度为0.39552</w:t>
            </w:r>
            <w:r>
              <w:rPr>
                <w:rFonts w:hint="eastAsia"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lang w:val="en-US" w:eastAsia="zh-CN"/>
              </w:rPr>
              <w:t>非甲烷总烃</w:t>
            </w:r>
            <w:r>
              <w:rPr>
                <w:rFonts w:hint="eastAsia"/>
                <w:color w:val="auto"/>
                <w:sz w:val="24"/>
                <w:szCs w:val="24"/>
                <w:highlight w:val="none"/>
                <w:vertAlign w:val="baseline"/>
                <w:lang w:val="en-US" w:eastAsia="zh-CN"/>
              </w:rPr>
              <w:t>最大落地浓度为0.10035</w:t>
            </w:r>
            <w:r>
              <w:rPr>
                <w:rFonts w:hint="eastAsia" w:ascii="Times New Roman" w:hAnsi="Times New Roman"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lang w:val="en-US" w:eastAsia="zh-CN"/>
              </w:rPr>
              <w:t>苯</w:t>
            </w:r>
            <w:r>
              <w:rPr>
                <w:rFonts w:hint="eastAsia"/>
                <w:color w:val="auto"/>
                <w:sz w:val="24"/>
                <w:szCs w:val="24"/>
                <w:highlight w:val="none"/>
                <w:vertAlign w:val="baseline"/>
                <w:lang w:val="en-US" w:eastAsia="zh-CN"/>
              </w:rPr>
              <w:t>最大落地浓度为0.002145</w:t>
            </w:r>
            <w:r>
              <w:rPr>
                <w:rFonts w:hint="eastAsia" w:ascii="Times New Roman" w:hAnsi="Times New Roman"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lang w:val="en-US" w:eastAsia="zh-CN"/>
              </w:rPr>
              <w:t>甲苯</w:t>
            </w:r>
            <w:r>
              <w:rPr>
                <w:rFonts w:hint="eastAsia"/>
                <w:color w:val="auto"/>
                <w:sz w:val="24"/>
                <w:szCs w:val="24"/>
                <w:highlight w:val="none"/>
                <w:vertAlign w:val="baseline"/>
                <w:lang w:val="en-US" w:eastAsia="zh-CN"/>
              </w:rPr>
              <w:t>最大落地浓度为0.005076</w:t>
            </w:r>
            <w:r>
              <w:rPr>
                <w:rFonts w:hint="eastAsia" w:ascii="Times New Roman" w:hAnsi="Times New Roman"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lang w:val="en-US" w:eastAsia="zh-CN"/>
              </w:rPr>
              <w:t>二甲苯</w:t>
            </w:r>
            <w:r>
              <w:rPr>
                <w:rFonts w:hint="eastAsia"/>
                <w:color w:val="auto"/>
                <w:sz w:val="24"/>
                <w:szCs w:val="24"/>
                <w:highlight w:val="none"/>
                <w:vertAlign w:val="baseline"/>
                <w:lang w:val="en-US" w:eastAsia="zh-CN"/>
              </w:rPr>
              <w:t>最大落地浓度为0.015466</w:t>
            </w:r>
            <w:r>
              <w:rPr>
                <w:rFonts w:hint="eastAsia" w:ascii="Times New Roman" w:hAnsi="Times New Roman"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非甲烷总烃、苯、甲苯、二甲苯无组织排放浓度</w:t>
            </w:r>
            <w:r>
              <w:rPr>
                <w:rFonts w:hint="eastAsia" w:ascii="Times New Roman" w:hAnsi="Times New Roman"/>
                <w:color w:val="auto"/>
                <w:sz w:val="24"/>
                <w:szCs w:val="24"/>
                <w:highlight w:val="none"/>
                <w:vertAlign w:val="baseline"/>
                <w:lang w:val="en-US" w:eastAsia="zh-CN"/>
              </w:rPr>
              <w:t>满足</w:t>
            </w:r>
            <w:r>
              <w:rPr>
                <w:rFonts w:hint="default"/>
                <w:color w:val="auto"/>
                <w:sz w:val="24"/>
                <w:szCs w:val="24"/>
                <w:highlight w:val="none"/>
              </w:rPr>
              <w:t>《工业企业挥发性有机物排放控制标准》（DB13/2322-2016）表2企业边界大气污染物浓度限值中其他企业：</w:t>
            </w:r>
            <w:r>
              <w:rPr>
                <w:rFonts w:hint="eastAsia"/>
                <w:color w:val="auto"/>
                <w:sz w:val="24"/>
                <w:szCs w:val="24"/>
                <w:highlight w:val="none"/>
                <w:lang w:val="en-US" w:eastAsia="zh-CN"/>
              </w:rPr>
              <w:t>非甲烷总烃</w:t>
            </w:r>
            <w:r>
              <w:rPr>
                <w:rFonts w:hint="default"/>
                <w:color w:val="auto"/>
                <w:sz w:val="24"/>
                <w:szCs w:val="24"/>
                <w:highlight w:val="none"/>
              </w:rPr>
              <w:t>2.0mg/m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苯</w:t>
            </w:r>
            <w:r>
              <w:rPr>
                <w:rFonts w:hint="eastAsia"/>
                <w:color w:val="auto"/>
                <w:sz w:val="24"/>
                <w:szCs w:val="24"/>
                <w:highlight w:val="none"/>
                <w:lang w:val="en-US" w:eastAsia="zh-CN"/>
              </w:rPr>
              <w:t>0.1</w:t>
            </w:r>
            <w:r>
              <w:rPr>
                <w:rFonts w:hint="default"/>
                <w:color w:val="auto"/>
                <w:sz w:val="24"/>
                <w:szCs w:val="24"/>
                <w:highlight w:val="none"/>
              </w:rPr>
              <w:t>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甲苯</w:t>
            </w:r>
            <w:r>
              <w:rPr>
                <w:rFonts w:hint="eastAsia"/>
                <w:color w:val="auto"/>
                <w:sz w:val="24"/>
                <w:szCs w:val="24"/>
                <w:highlight w:val="none"/>
                <w:lang w:val="en-US" w:eastAsia="zh-CN"/>
              </w:rPr>
              <w:t>0.6</w:t>
            </w:r>
            <w:r>
              <w:rPr>
                <w:rFonts w:hint="default"/>
                <w:color w:val="auto"/>
                <w:sz w:val="24"/>
                <w:szCs w:val="24"/>
                <w:highlight w:val="none"/>
              </w:rPr>
              <w:t>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二甲苯</w:t>
            </w:r>
            <w:r>
              <w:rPr>
                <w:rFonts w:hint="eastAsia"/>
                <w:color w:val="auto"/>
                <w:sz w:val="24"/>
                <w:szCs w:val="24"/>
                <w:highlight w:val="none"/>
                <w:lang w:val="en-US" w:eastAsia="zh-CN"/>
              </w:rPr>
              <w:t>0.2</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的要求</w:t>
            </w:r>
            <w:r>
              <w:rPr>
                <w:rFonts w:hint="eastAsia"/>
                <w:color w:val="auto"/>
                <w:sz w:val="24"/>
                <w:szCs w:val="24"/>
                <w:highlight w:val="none"/>
              </w:rPr>
              <w:t>；表3中生产车间或生产设备边界大气污染物浓度限值：</w:t>
            </w:r>
            <w:r>
              <w:rPr>
                <w:rFonts w:hint="eastAsia"/>
                <w:color w:val="auto"/>
                <w:sz w:val="24"/>
                <w:szCs w:val="24"/>
                <w:highlight w:val="none"/>
                <w:lang w:val="en-US" w:eastAsia="zh-CN"/>
              </w:rPr>
              <w:t>非甲烷总烃</w:t>
            </w:r>
            <w:r>
              <w:rPr>
                <w:rFonts w:hint="eastAsia"/>
                <w:color w:val="auto"/>
                <w:sz w:val="24"/>
                <w:szCs w:val="24"/>
                <w:highlight w:val="none"/>
              </w:rPr>
              <w:t>4</w:t>
            </w:r>
            <w:r>
              <w:rPr>
                <w:rFonts w:hint="default"/>
                <w:color w:val="auto"/>
                <w:sz w:val="24"/>
                <w:szCs w:val="24"/>
                <w:highlight w:val="none"/>
              </w:rPr>
              <w:t>.0mg/m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苯</w:t>
            </w:r>
            <w:r>
              <w:rPr>
                <w:rFonts w:hint="eastAsia"/>
                <w:color w:val="auto"/>
                <w:sz w:val="24"/>
                <w:szCs w:val="24"/>
                <w:highlight w:val="none"/>
                <w:lang w:val="en-US" w:eastAsia="zh-CN"/>
              </w:rPr>
              <w:t>0.4</w:t>
            </w:r>
            <w:r>
              <w:rPr>
                <w:rFonts w:hint="default"/>
                <w:color w:val="auto"/>
                <w:sz w:val="24"/>
                <w:szCs w:val="24"/>
                <w:highlight w:val="none"/>
              </w:rPr>
              <w:t>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甲苯</w:t>
            </w:r>
            <w:r>
              <w:rPr>
                <w:rFonts w:hint="eastAsia"/>
                <w:color w:val="auto"/>
                <w:sz w:val="24"/>
                <w:szCs w:val="24"/>
                <w:highlight w:val="none"/>
                <w:lang w:val="en-US" w:eastAsia="zh-CN"/>
              </w:rPr>
              <w:t>1.0</w:t>
            </w:r>
            <w:r>
              <w:rPr>
                <w:rFonts w:hint="default"/>
                <w:color w:val="auto"/>
                <w:sz w:val="24"/>
                <w:szCs w:val="24"/>
                <w:highlight w:val="none"/>
              </w:rPr>
              <w:t>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二甲苯</w:t>
            </w:r>
            <w:r>
              <w:rPr>
                <w:rFonts w:hint="eastAsia"/>
                <w:color w:val="auto"/>
                <w:sz w:val="24"/>
                <w:szCs w:val="24"/>
                <w:highlight w:val="none"/>
                <w:lang w:val="en-US" w:eastAsia="zh-CN"/>
              </w:rPr>
              <w:t>1.2</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的要求</w:t>
            </w:r>
            <w:r>
              <w:rPr>
                <w:rFonts w:hint="eastAsia"/>
                <w:color w:val="auto"/>
                <w:highlight w:val="none"/>
                <w:lang w:eastAsia="zh-CN"/>
              </w:rPr>
              <w:t>，</w:t>
            </w:r>
            <w:r>
              <w:rPr>
                <w:rFonts w:hint="eastAsia"/>
                <w:color w:val="auto"/>
                <w:highlight w:val="none"/>
                <w:lang w:val="en-US" w:eastAsia="zh-CN"/>
              </w:rPr>
              <w:t>同时满足</w:t>
            </w:r>
            <w:r>
              <w:rPr>
                <w:rFonts w:hint="eastAsia"/>
                <w:color w:val="auto"/>
                <w:highlight w:val="none"/>
                <w:lang w:eastAsia="zh-CN"/>
              </w:rPr>
              <w:t>《</w:t>
            </w:r>
            <w:r>
              <w:rPr>
                <w:rFonts w:hint="eastAsia"/>
                <w:color w:val="auto"/>
                <w:highlight w:val="none"/>
                <w:lang w:val="en-US" w:eastAsia="zh-CN"/>
              </w:rPr>
              <w:t>挥发性有机物无组织排放控制标准</w:t>
            </w:r>
            <w:r>
              <w:rPr>
                <w:rFonts w:hint="eastAsia"/>
                <w:color w:val="auto"/>
                <w:highlight w:val="none"/>
                <w:lang w:eastAsia="zh-CN"/>
              </w:rPr>
              <w:t>》（</w:t>
            </w:r>
            <w:r>
              <w:rPr>
                <w:rFonts w:hint="eastAsia"/>
                <w:color w:val="auto"/>
                <w:highlight w:val="none"/>
                <w:lang w:val="en-US" w:eastAsia="zh-CN"/>
              </w:rPr>
              <w:t>GB37822-2019</w:t>
            </w:r>
            <w:r>
              <w:rPr>
                <w:rFonts w:hint="eastAsia"/>
                <w:color w:val="auto"/>
                <w:highlight w:val="none"/>
                <w:lang w:eastAsia="zh-CN"/>
              </w:rPr>
              <w:t>）</w:t>
            </w:r>
            <w:r>
              <w:rPr>
                <w:rFonts w:hint="eastAsia"/>
                <w:color w:val="auto"/>
                <w:highlight w:val="none"/>
                <w:lang w:val="en-US" w:eastAsia="zh-CN"/>
              </w:rPr>
              <w:t>附录A表A.1 厂区内VOC</w:t>
            </w:r>
            <w:r>
              <w:rPr>
                <w:rFonts w:hint="eastAsia"/>
                <w:color w:val="auto"/>
                <w:highlight w:val="none"/>
                <w:vertAlign w:val="subscript"/>
                <w:lang w:val="en-US" w:eastAsia="zh-CN"/>
              </w:rPr>
              <w:t>S</w:t>
            </w:r>
            <w:r>
              <w:rPr>
                <w:rFonts w:hint="eastAsia"/>
                <w:color w:val="auto"/>
                <w:highlight w:val="none"/>
                <w:lang w:val="en-US" w:eastAsia="zh-CN"/>
              </w:rPr>
              <w:t>无组织排放限值中厂房外监控点1h平均浓度限值：非甲烷总烃6mg</w:t>
            </w:r>
            <w:r>
              <w:rPr>
                <w:rFonts w:hint="default"/>
                <w:color w:val="auto"/>
                <w:highlight w:val="none"/>
              </w:rPr>
              <w:t>/m</w:t>
            </w:r>
            <w:r>
              <w:rPr>
                <w:rFonts w:hint="default"/>
                <w:color w:val="auto"/>
                <w:highlight w:val="none"/>
                <w:vertAlign w:val="superscript"/>
              </w:rPr>
              <w:t>3</w:t>
            </w:r>
            <w:r>
              <w:rPr>
                <w:rFonts w:hint="eastAsia"/>
                <w:color w:val="auto"/>
                <w:highlight w:val="none"/>
                <w:lang w:eastAsia="zh-CN"/>
              </w:rPr>
              <w:t>，</w:t>
            </w:r>
            <w:r>
              <w:rPr>
                <w:rFonts w:hint="eastAsia"/>
                <w:color w:val="auto"/>
                <w:highlight w:val="none"/>
                <w:lang w:val="en-US" w:eastAsia="zh-CN"/>
              </w:rPr>
              <w:t>任意一次浓度限值：非甲烷总烃20mg</w:t>
            </w:r>
            <w:r>
              <w:rPr>
                <w:rFonts w:hint="default"/>
                <w:color w:val="auto"/>
                <w:highlight w:val="none"/>
              </w:rPr>
              <w:t>/m</w:t>
            </w:r>
            <w:r>
              <w:rPr>
                <w:rFonts w:hint="default"/>
                <w:color w:val="auto"/>
                <w:highlight w:val="none"/>
                <w:vertAlign w:val="superscript"/>
              </w:rPr>
              <w:t>3</w:t>
            </w:r>
            <w:r>
              <w:rPr>
                <w:rFonts w:hint="eastAsia"/>
                <w:color w:val="auto"/>
                <w:highlight w:val="none"/>
                <w:lang w:val="en-US" w:eastAsia="zh-CN"/>
              </w:rPr>
              <w:t>的要求，颗粒物无组织排放浓度满足</w:t>
            </w:r>
            <w:r>
              <w:rPr>
                <w:rFonts w:hint="default"/>
                <w:color w:val="auto"/>
                <w:sz w:val="24"/>
                <w:szCs w:val="24"/>
                <w:lang w:bidi="ar"/>
              </w:rPr>
              <w:t>《大气污染物综合排放标准》（GB16297-1996）表2中</w:t>
            </w:r>
            <w:r>
              <w:rPr>
                <w:rFonts w:hint="default"/>
                <w:color w:val="auto"/>
                <w:sz w:val="24"/>
                <w:szCs w:val="24"/>
                <w:lang w:val="en-US" w:eastAsia="zh-CN" w:bidi="ar"/>
              </w:rPr>
              <w:t>颗粒物</w:t>
            </w:r>
            <w:r>
              <w:rPr>
                <w:rFonts w:hint="default"/>
                <w:color w:val="auto"/>
                <w:sz w:val="24"/>
                <w:szCs w:val="24"/>
                <w:lang w:bidi="ar"/>
              </w:rPr>
              <w:t>无组织排放浓度限值</w:t>
            </w:r>
            <w:r>
              <w:rPr>
                <w:rFonts w:hint="default"/>
                <w:color w:val="auto"/>
                <w:sz w:val="24"/>
                <w:szCs w:val="24"/>
                <w:lang w:val="en-US" w:eastAsia="zh-CN" w:bidi="ar"/>
              </w:rPr>
              <w:t>1.0</w:t>
            </w:r>
            <w:r>
              <w:rPr>
                <w:rFonts w:hint="default"/>
                <w:color w:val="auto"/>
                <w:sz w:val="24"/>
                <w:szCs w:val="24"/>
                <w:lang w:bidi="ar"/>
              </w:rPr>
              <w:t>mg/m</w:t>
            </w:r>
            <w:r>
              <w:rPr>
                <w:rFonts w:hint="default"/>
                <w:color w:val="auto"/>
                <w:sz w:val="24"/>
                <w:szCs w:val="24"/>
                <w:vertAlign w:val="superscript"/>
                <w:lang w:bidi="ar"/>
              </w:rPr>
              <w:t>3</w:t>
            </w:r>
            <w:r>
              <w:rPr>
                <w:rFonts w:hint="default"/>
                <w:color w:val="auto"/>
                <w:sz w:val="24"/>
                <w:szCs w:val="24"/>
                <w:highlight w:val="none"/>
              </w:rPr>
              <w:t>。</w:t>
            </w:r>
          </w:p>
          <w:p w14:paraId="4DD74DCF">
            <w:pPr>
              <w:rPr>
                <w:rFonts w:hint="eastAsia"/>
                <w:b/>
                <w:bCs/>
                <w:color w:val="auto"/>
                <w:highlight w:val="none"/>
                <w:lang w:val="en-US" w:eastAsia="zh-CN"/>
              </w:rPr>
            </w:pPr>
            <w:r>
              <w:rPr>
                <w:rFonts w:hint="eastAsia"/>
                <w:b/>
                <w:bCs/>
                <w:color w:val="auto"/>
                <w:highlight w:val="none"/>
                <w:lang w:val="en-US" w:eastAsia="zh-CN"/>
              </w:rPr>
              <w:t>1.3达标情况分析</w:t>
            </w:r>
          </w:p>
          <w:p w14:paraId="5CDA1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经核算分析，调漆、喷漆、烤漆过程产生的漆雾、非甲烷总烃、苯、甲苯、二甲苯，塑粉固化过程产生的非甲烷总烃，进入一套过滤棉+活性炭吸附/脱附+催化燃烧装置（离线）处理后经一根15m高排气筒排放；</w:t>
            </w:r>
            <w:r>
              <w:rPr>
                <w:rFonts w:hint="eastAsia"/>
                <w:color w:val="auto"/>
                <w:sz w:val="24"/>
                <w:szCs w:val="24"/>
                <w:highlight w:val="none"/>
                <w:lang w:val="en-US" w:eastAsia="zh-CN"/>
              </w:rPr>
              <w:t>烘干过程燃料燃烧废气经低氮燃烧器进入烘干房，与喷漆烘干废气经一套过滤棉+活性炭吸附+催化燃烧装置处理后经同一根15m高排气筒排放；</w:t>
            </w:r>
            <w:r>
              <w:rPr>
                <w:rFonts w:hint="eastAsia"/>
                <w:color w:val="auto"/>
                <w:sz w:val="24"/>
                <w:szCs w:val="24"/>
                <w:lang w:val="en-US" w:eastAsia="zh-CN"/>
              </w:rPr>
              <w:t>喷塑废气经一套袋式除尘器处理后通过一根15m高排气筒排放；打磨、腻子打磨、打砂废气经一套袋式除尘器处理后通过一根15m高排气筒排放（与喷塑废气共用一根排气筒）；</w:t>
            </w:r>
            <w:r>
              <w:rPr>
                <w:rFonts w:hint="eastAsia" w:ascii="Times New Roman" w:hAnsi="Times New Roman" w:eastAsia="宋体" w:cs="Times New Roman"/>
                <w:color w:val="auto"/>
                <w:sz w:val="24"/>
                <w:szCs w:val="24"/>
                <w:lang w:val="en-US" w:eastAsia="zh-CN"/>
              </w:rPr>
              <w:t>抛丸废气经设备自带除尘装置处理后与打磨等废气经同一根15m高排气筒排放；</w:t>
            </w:r>
            <w:r>
              <w:rPr>
                <w:rFonts w:hint="eastAsia"/>
                <w:color w:val="auto"/>
                <w:sz w:val="24"/>
                <w:szCs w:val="24"/>
                <w:lang w:val="en-US" w:eastAsia="zh-CN"/>
              </w:rPr>
              <w:t>焊接废气经焊烟净化器处理后无组织排放于封闭车间内。</w:t>
            </w:r>
          </w:p>
          <w:p w14:paraId="339AFC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eastAsia="宋体"/>
                <w:color w:val="auto"/>
                <w:sz w:val="24"/>
                <w:szCs w:val="24"/>
                <w:vertAlign w:val="baseline"/>
                <w:lang w:val="en-US" w:eastAsia="zh-CN"/>
              </w:rPr>
            </w:pPr>
            <w:r>
              <w:rPr>
                <w:rFonts w:hint="eastAsia"/>
                <w:color w:val="auto"/>
                <w:sz w:val="24"/>
                <w:szCs w:val="24"/>
                <w:lang w:val="en-US" w:eastAsia="zh-CN"/>
              </w:rPr>
              <w:t>调漆、喷漆、烘干产生的有组织废气排放浓度满足</w:t>
            </w:r>
            <w:r>
              <w:rPr>
                <w:rFonts w:hint="default"/>
                <w:color w:val="auto"/>
                <w:sz w:val="24"/>
                <w:szCs w:val="24"/>
              </w:rPr>
              <w:t>《工业企业挥发性有机物排放控制标准》（DB13/2322-2016）表1</w:t>
            </w:r>
            <w:r>
              <w:rPr>
                <w:rFonts w:hint="eastAsia"/>
                <w:color w:val="auto"/>
              </w:rPr>
              <w:t>表面涂装业</w:t>
            </w:r>
            <w:r>
              <w:rPr>
                <w:rFonts w:hint="eastAsia"/>
                <w:color w:val="auto"/>
                <w:sz w:val="24"/>
                <w:szCs w:val="24"/>
                <w:lang w:val="en-US" w:eastAsia="zh-CN"/>
              </w:rPr>
              <w:t>非甲烷总烃最高允许有组织排放浓度60mg/m</w:t>
            </w:r>
            <w:r>
              <w:rPr>
                <w:rFonts w:hint="eastAsia"/>
                <w:color w:val="auto"/>
                <w:sz w:val="24"/>
                <w:szCs w:val="24"/>
                <w:vertAlign w:val="superscript"/>
                <w:lang w:val="en-US" w:eastAsia="zh-CN"/>
              </w:rPr>
              <w:t>3</w:t>
            </w:r>
            <w:r>
              <w:rPr>
                <w:rFonts w:hint="eastAsia"/>
                <w:color w:val="auto"/>
                <w:sz w:val="24"/>
                <w:szCs w:val="24"/>
                <w:lang w:val="en-US" w:eastAsia="zh-CN"/>
              </w:rPr>
              <w:t>，苯最高允许有组织排放浓度1mg/m</w:t>
            </w:r>
            <w:r>
              <w:rPr>
                <w:rFonts w:hint="eastAsia"/>
                <w:color w:val="auto"/>
                <w:sz w:val="24"/>
                <w:szCs w:val="24"/>
                <w:vertAlign w:val="superscript"/>
                <w:lang w:val="en-US" w:eastAsia="zh-CN"/>
              </w:rPr>
              <w:t>3</w:t>
            </w:r>
            <w:r>
              <w:rPr>
                <w:rFonts w:hint="eastAsia"/>
                <w:color w:val="auto"/>
                <w:sz w:val="24"/>
                <w:szCs w:val="24"/>
                <w:lang w:val="en-US" w:eastAsia="zh-CN"/>
              </w:rPr>
              <w:t>，甲苯与二甲苯合计最高允许排放浓度20mg/m</w:t>
            </w:r>
            <w:r>
              <w:rPr>
                <w:rFonts w:hint="eastAsia"/>
                <w:color w:val="auto"/>
                <w:sz w:val="24"/>
                <w:szCs w:val="24"/>
                <w:vertAlign w:val="superscript"/>
                <w:lang w:val="en-US" w:eastAsia="zh-CN"/>
              </w:rPr>
              <w:t>3</w:t>
            </w:r>
            <w:r>
              <w:rPr>
                <w:rFonts w:hint="eastAsia"/>
                <w:color w:val="auto"/>
                <w:sz w:val="24"/>
                <w:szCs w:val="24"/>
                <w:vertAlign w:val="baseline"/>
                <w:lang w:eastAsia="zh-CN"/>
              </w:rPr>
              <w:t>，</w:t>
            </w:r>
            <w:r>
              <w:rPr>
                <w:rFonts w:hint="eastAsia"/>
                <w:color w:val="auto"/>
                <w:sz w:val="24"/>
                <w:szCs w:val="24"/>
              </w:rPr>
              <w:t>排气筒高度不低于15m，且高于200m范围内最高建筑物5m</w:t>
            </w:r>
            <w:r>
              <w:rPr>
                <w:rFonts w:hint="eastAsia"/>
                <w:color w:val="auto"/>
                <w:sz w:val="24"/>
                <w:szCs w:val="24"/>
                <w:lang w:val="en-US" w:eastAsia="zh-CN"/>
              </w:rPr>
              <w:t>的要求。喷塑、漆雾有组织排放浓度满足</w:t>
            </w:r>
            <w:r>
              <w:rPr>
                <w:rFonts w:hint="eastAsia"/>
                <w:color w:val="auto"/>
                <w:sz w:val="24"/>
                <w:szCs w:val="24"/>
              </w:rPr>
              <w:t>《大气污染物综合排放标准》（</w:t>
            </w:r>
            <w:r>
              <w:rPr>
                <w:color w:val="auto"/>
                <w:sz w:val="24"/>
                <w:szCs w:val="24"/>
              </w:rPr>
              <w:t>GB16297-1996</w:t>
            </w:r>
            <w:r>
              <w:rPr>
                <w:rFonts w:hint="eastAsia"/>
                <w:color w:val="auto"/>
                <w:sz w:val="24"/>
                <w:szCs w:val="24"/>
              </w:rPr>
              <w:t>）表</w:t>
            </w:r>
            <w:r>
              <w:rPr>
                <w:color w:val="auto"/>
                <w:sz w:val="24"/>
                <w:szCs w:val="24"/>
              </w:rPr>
              <w:t>2</w:t>
            </w:r>
            <w:r>
              <w:rPr>
                <w:rFonts w:hint="eastAsia"/>
                <w:color w:val="auto"/>
                <w:sz w:val="24"/>
                <w:szCs w:val="24"/>
              </w:rPr>
              <w:t>中</w:t>
            </w:r>
            <w:r>
              <w:rPr>
                <w:color w:val="auto"/>
                <w:sz w:val="24"/>
                <w:szCs w:val="24"/>
              </w:rPr>
              <w:t>二级标准</w:t>
            </w:r>
            <w:r>
              <w:rPr>
                <w:rFonts w:hint="eastAsia"/>
                <w:color w:val="auto"/>
                <w:sz w:val="24"/>
                <w:szCs w:val="24"/>
              </w:rPr>
              <w:t>：颗粒物（染料尘）排放浓度限值</w:t>
            </w:r>
            <w:r>
              <w:rPr>
                <w:color w:val="auto"/>
                <w:sz w:val="24"/>
                <w:szCs w:val="24"/>
              </w:rPr>
              <w:t>18mg/m</w:t>
            </w:r>
            <w:r>
              <w:rPr>
                <w:color w:val="auto"/>
                <w:sz w:val="24"/>
                <w:szCs w:val="24"/>
                <w:vertAlign w:val="superscript"/>
              </w:rPr>
              <w:t>3</w:t>
            </w:r>
            <w:r>
              <w:rPr>
                <w:color w:val="auto"/>
                <w:sz w:val="24"/>
                <w:szCs w:val="24"/>
              </w:rPr>
              <w:t>，</w:t>
            </w:r>
            <w:r>
              <w:rPr>
                <w:rFonts w:hint="eastAsia"/>
                <w:color w:val="auto"/>
                <w:sz w:val="24"/>
                <w:szCs w:val="24"/>
              </w:rPr>
              <w:t>排放速率小于0.</w:t>
            </w:r>
            <w:r>
              <w:rPr>
                <w:rFonts w:hint="eastAsia"/>
                <w:color w:val="auto"/>
                <w:sz w:val="24"/>
                <w:szCs w:val="24"/>
                <w:lang w:val="en-US" w:eastAsia="zh-CN"/>
              </w:rPr>
              <w:t>51</w:t>
            </w:r>
            <w:r>
              <w:rPr>
                <w:rFonts w:hint="eastAsia"/>
                <w:color w:val="auto"/>
                <w:sz w:val="24"/>
                <w:szCs w:val="24"/>
              </w:rPr>
              <w:t>kg/h（</w:t>
            </w:r>
            <w:r>
              <w:rPr>
                <w:rFonts w:hint="eastAsia"/>
                <w:color w:val="auto"/>
                <w:sz w:val="24"/>
                <w:szCs w:val="24"/>
                <w:lang w:val="en-US" w:eastAsia="zh-CN"/>
              </w:rPr>
              <w:t>15</w:t>
            </w:r>
            <w:r>
              <w:rPr>
                <w:rFonts w:hint="eastAsia"/>
                <w:color w:val="auto"/>
                <w:sz w:val="24"/>
                <w:szCs w:val="24"/>
              </w:rPr>
              <w:t>m）</w:t>
            </w:r>
            <w:r>
              <w:rPr>
                <w:rFonts w:hint="eastAsia"/>
                <w:color w:val="auto"/>
                <w:sz w:val="24"/>
                <w:szCs w:val="24"/>
                <w:lang w:eastAsia="zh-CN"/>
              </w:rPr>
              <w:t>，</w:t>
            </w:r>
            <w:r>
              <w:rPr>
                <w:rFonts w:hint="eastAsia"/>
                <w:color w:val="auto"/>
                <w:sz w:val="24"/>
                <w:szCs w:val="24"/>
              </w:rPr>
              <w:t>排气筒高度不低于15m且高于200m范围内最高建筑物5m的要求</w:t>
            </w:r>
            <w:r>
              <w:rPr>
                <w:rFonts w:hint="eastAsia"/>
                <w:color w:val="auto"/>
                <w:sz w:val="24"/>
                <w:szCs w:val="24"/>
                <w:lang w:eastAsia="zh-CN"/>
              </w:rPr>
              <w:t>。</w:t>
            </w:r>
            <w:r>
              <w:rPr>
                <w:rFonts w:hint="eastAsia"/>
                <w:color w:val="auto"/>
                <w:sz w:val="24"/>
                <w:szCs w:val="24"/>
                <w:lang w:val="en-US" w:eastAsia="zh-CN"/>
              </w:rPr>
              <w:t>SO</w:t>
            </w:r>
            <w:r>
              <w:rPr>
                <w:rFonts w:hint="eastAsia"/>
                <w:color w:val="auto"/>
                <w:sz w:val="24"/>
                <w:szCs w:val="24"/>
                <w:vertAlign w:val="subscript"/>
                <w:lang w:val="en-US" w:eastAsia="zh-CN"/>
              </w:rPr>
              <w:t>2</w:t>
            </w:r>
            <w:r>
              <w:rPr>
                <w:rFonts w:hint="eastAsia"/>
                <w:color w:val="auto"/>
                <w:sz w:val="24"/>
                <w:szCs w:val="24"/>
                <w:lang w:val="en-US" w:eastAsia="zh-CN"/>
              </w:rPr>
              <w:t>、NO</w:t>
            </w:r>
            <w:r>
              <w:rPr>
                <w:rFonts w:hint="eastAsia"/>
                <w:color w:val="auto"/>
                <w:sz w:val="24"/>
                <w:szCs w:val="24"/>
                <w:vertAlign w:val="subscript"/>
                <w:lang w:val="en-US" w:eastAsia="zh-CN"/>
              </w:rPr>
              <w:t>X</w:t>
            </w:r>
            <w:r>
              <w:rPr>
                <w:rFonts w:hint="eastAsia"/>
                <w:color w:val="auto"/>
                <w:sz w:val="24"/>
                <w:szCs w:val="24"/>
                <w:lang w:val="en-US" w:eastAsia="zh-CN"/>
              </w:rPr>
              <w:t>、</w:t>
            </w:r>
            <w:r>
              <w:rPr>
                <w:rFonts w:hint="eastAsia"/>
                <w:color w:val="auto"/>
                <w:sz w:val="24"/>
                <w:szCs w:val="24"/>
                <w:highlight w:val="none"/>
                <w:lang w:val="en-US" w:eastAsia="zh-CN"/>
              </w:rPr>
              <w:t>烟气黑度</w:t>
            </w:r>
            <w:r>
              <w:rPr>
                <w:rFonts w:hint="eastAsia"/>
                <w:color w:val="auto"/>
                <w:sz w:val="24"/>
                <w:szCs w:val="24"/>
                <w:lang w:val="en-US" w:eastAsia="zh-CN"/>
              </w:rPr>
              <w:t>满足</w:t>
            </w:r>
            <w:r>
              <w:rPr>
                <w:rFonts w:hint="eastAsia"/>
                <w:color w:val="auto"/>
                <w:sz w:val="24"/>
                <w:szCs w:val="24"/>
                <w:highlight w:val="none"/>
                <w:lang w:val="en-US" w:eastAsia="zh-CN"/>
              </w:rPr>
              <w:t>《工业窑炉大气污染物排放标准》（DB13/1640-2012）表2中SO</w:t>
            </w:r>
            <w:r>
              <w:rPr>
                <w:rFonts w:hint="eastAsia"/>
                <w:color w:val="auto"/>
                <w:sz w:val="24"/>
                <w:szCs w:val="24"/>
                <w:highlight w:val="none"/>
                <w:vertAlign w:val="subscript"/>
                <w:lang w:val="en-US" w:eastAsia="zh-CN"/>
              </w:rPr>
              <w:t>2</w:t>
            </w:r>
            <w:r>
              <w:rPr>
                <w:rFonts w:hint="eastAsia"/>
                <w:color w:val="auto"/>
                <w:sz w:val="24"/>
                <w:szCs w:val="24"/>
                <w:highlight w:val="none"/>
                <w:lang w:val="en-US" w:eastAsia="zh-CN"/>
              </w:rPr>
              <w:t>最高允许排放浓度400mg/m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，NO</w:t>
            </w:r>
            <w:r>
              <w:rPr>
                <w:rFonts w:hint="eastAsia"/>
                <w:color w:val="auto"/>
                <w:sz w:val="24"/>
                <w:szCs w:val="24"/>
                <w:highlight w:val="none"/>
                <w:vertAlign w:val="subscript"/>
                <w:lang w:val="en-US" w:eastAsia="zh-CN"/>
              </w:rPr>
              <w:t>X</w:t>
            </w:r>
            <w:r>
              <w:rPr>
                <w:rFonts w:hint="eastAsia"/>
                <w:color w:val="auto"/>
                <w:sz w:val="24"/>
                <w:szCs w:val="24"/>
                <w:highlight w:val="none"/>
                <w:lang w:val="en-US" w:eastAsia="zh-CN"/>
              </w:rPr>
              <w:t>最高允许排放浓度400mg/m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，烟气黑度小于1级（格林曼黑度），</w:t>
            </w:r>
            <w:r>
              <w:rPr>
                <w:rFonts w:hint="default" w:ascii="Times New Roman" w:hAnsi="Times New Roman" w:eastAsia="宋体" w:cs="Times New Roman"/>
                <w:color w:val="auto"/>
                <w:sz w:val="24"/>
                <w:szCs w:val="24"/>
                <w:highlight w:val="none"/>
                <w:lang w:val="en-US" w:eastAsia="zh-CN"/>
              </w:rPr>
              <w:t>同时应满足</w:t>
            </w:r>
            <w:r>
              <w:rPr>
                <w:rFonts w:hint="default" w:ascii="Times New Roman" w:hAnsi="Times New Roman" w:cs="Times New Roman"/>
                <w:b w:val="0"/>
                <w:color w:val="auto"/>
                <w:sz w:val="24"/>
                <w:szCs w:val="24"/>
                <w:highlight w:val="none"/>
              </w:rPr>
              <w:t>中共唐山市委办公室 唐山市人民政府办公室 关于印发《2019</w:t>
            </w:r>
            <w:r>
              <w:rPr>
                <w:rFonts w:hint="eastAsia" w:ascii="宋体" w:hAnsi="宋体" w:eastAsia="宋体" w:cs="宋体"/>
                <w:b w:val="0"/>
                <w:color w:val="auto"/>
                <w:sz w:val="24"/>
                <w:szCs w:val="24"/>
                <w:highlight w:val="none"/>
              </w:rPr>
              <w:t>年“十项重点工作”工</w:t>
            </w:r>
            <w:r>
              <w:rPr>
                <w:rFonts w:hint="default" w:ascii="Times New Roman" w:hAnsi="Times New Roman" w:cs="Times New Roman"/>
                <w:b w:val="0"/>
                <w:color w:val="auto"/>
                <w:sz w:val="24"/>
                <w:szCs w:val="24"/>
                <w:highlight w:val="none"/>
              </w:rPr>
              <w:t>作方案》的通知</w:t>
            </w:r>
            <w:r>
              <w:rPr>
                <w:rFonts w:hint="default" w:ascii="Times New Roman" w:hAnsi="Times New Roman" w:cs="Times New Roman"/>
                <w:b w:val="0"/>
                <w:color w:val="auto"/>
                <w:sz w:val="24"/>
                <w:szCs w:val="24"/>
                <w:highlight w:val="none"/>
                <w:lang w:val="en-US" w:eastAsia="zh-CN"/>
              </w:rPr>
              <w:t>中</w:t>
            </w:r>
            <w:r>
              <w:rPr>
                <w:rFonts w:hint="default" w:ascii="Times New Roman" w:hAnsi="Times New Roman" w:cs="Times New Roman"/>
                <w:color w:val="auto"/>
                <w:sz w:val="24"/>
                <w:szCs w:val="24"/>
                <w:highlight w:val="none"/>
                <w:lang w:val="en-US" w:eastAsia="zh-CN"/>
              </w:rPr>
              <w:t>无行业排放标准的颗粒物、二氧化硫、氮氧化物排放浓度控制在30mg/Nm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、200mg/Nm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、300mg/Nm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以下要求</w:t>
            </w:r>
            <w:r>
              <w:rPr>
                <w:rFonts w:hint="eastAsia"/>
                <w:color w:val="auto"/>
                <w:sz w:val="24"/>
                <w:szCs w:val="24"/>
                <w:highlight w:val="none"/>
                <w:lang w:val="en-US" w:eastAsia="zh-CN"/>
              </w:rPr>
              <w:t>。</w:t>
            </w:r>
            <w:r>
              <w:rPr>
                <w:rFonts w:hint="default"/>
                <w:color w:val="auto"/>
                <w:sz w:val="24"/>
                <w:szCs w:val="24"/>
              </w:rPr>
              <w:t>非甲烷总烃</w:t>
            </w:r>
            <w:r>
              <w:rPr>
                <w:rFonts w:hint="eastAsia"/>
                <w:color w:val="auto"/>
                <w:sz w:val="24"/>
                <w:szCs w:val="24"/>
                <w:lang w:eastAsia="zh-CN"/>
              </w:rPr>
              <w:t>、</w:t>
            </w:r>
            <w:r>
              <w:rPr>
                <w:rFonts w:hint="eastAsia"/>
                <w:color w:val="auto"/>
                <w:sz w:val="24"/>
                <w:szCs w:val="24"/>
                <w:lang w:val="en-US" w:eastAsia="zh-CN"/>
              </w:rPr>
              <w:t>苯、甲苯、二甲苯</w:t>
            </w:r>
            <w:r>
              <w:rPr>
                <w:rFonts w:hint="default"/>
                <w:color w:val="auto"/>
                <w:sz w:val="24"/>
                <w:szCs w:val="24"/>
              </w:rPr>
              <w:t>无组织排放浓度满足《工业企业挥发性有机物排放控制标准》（DB13/2322-2016）表2企业边界大气污染物浓度限值中其他企业：</w:t>
            </w:r>
            <w:r>
              <w:rPr>
                <w:rFonts w:hint="eastAsia"/>
                <w:color w:val="auto"/>
                <w:sz w:val="24"/>
                <w:szCs w:val="24"/>
                <w:lang w:val="en-US" w:eastAsia="zh-CN"/>
              </w:rPr>
              <w:t>非甲烷总烃</w:t>
            </w:r>
            <w:r>
              <w:rPr>
                <w:rFonts w:hint="default"/>
                <w:color w:val="auto"/>
                <w:sz w:val="24"/>
                <w:szCs w:val="24"/>
              </w:rPr>
              <w:t>2.0mg/m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苯</w:t>
            </w:r>
            <w:r>
              <w:rPr>
                <w:rFonts w:hint="eastAsia"/>
                <w:color w:val="auto"/>
                <w:sz w:val="24"/>
                <w:szCs w:val="24"/>
                <w:lang w:val="en-US" w:eastAsia="zh-CN"/>
              </w:rPr>
              <w:t>0.1</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甲苯</w:t>
            </w:r>
            <w:r>
              <w:rPr>
                <w:rFonts w:hint="eastAsia"/>
                <w:color w:val="auto"/>
                <w:sz w:val="24"/>
                <w:szCs w:val="24"/>
                <w:lang w:val="en-US" w:eastAsia="zh-CN"/>
              </w:rPr>
              <w:t>0.6</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二甲苯</w:t>
            </w:r>
            <w:r>
              <w:rPr>
                <w:rFonts w:hint="eastAsia"/>
                <w:color w:val="auto"/>
                <w:sz w:val="24"/>
                <w:szCs w:val="24"/>
                <w:lang w:val="en-US" w:eastAsia="zh-CN"/>
              </w:rPr>
              <w:t>0.2</w:t>
            </w:r>
            <w:r>
              <w:rPr>
                <w:rFonts w:hint="default"/>
                <w:color w:val="auto"/>
                <w:sz w:val="24"/>
                <w:szCs w:val="24"/>
              </w:rPr>
              <w:t>mg/m</w:t>
            </w:r>
            <w:r>
              <w:rPr>
                <w:rFonts w:hint="default"/>
                <w:color w:val="auto"/>
                <w:sz w:val="24"/>
                <w:szCs w:val="24"/>
                <w:vertAlign w:val="superscript"/>
              </w:rPr>
              <w:t>3</w:t>
            </w:r>
            <w:r>
              <w:rPr>
                <w:rFonts w:hint="default"/>
                <w:color w:val="auto"/>
                <w:sz w:val="24"/>
                <w:szCs w:val="24"/>
              </w:rPr>
              <w:t>的要求</w:t>
            </w:r>
            <w:r>
              <w:rPr>
                <w:rFonts w:hint="eastAsia"/>
                <w:color w:val="auto"/>
                <w:sz w:val="24"/>
                <w:szCs w:val="24"/>
              </w:rPr>
              <w:t>；表3中生产车间或生产设备边界大气污染物浓度限值：</w:t>
            </w:r>
            <w:r>
              <w:rPr>
                <w:rFonts w:hint="eastAsia"/>
                <w:color w:val="auto"/>
                <w:sz w:val="24"/>
                <w:szCs w:val="24"/>
                <w:lang w:val="en-US" w:eastAsia="zh-CN"/>
              </w:rPr>
              <w:t>非甲烷总烃</w:t>
            </w:r>
            <w:r>
              <w:rPr>
                <w:rFonts w:hint="eastAsia"/>
                <w:color w:val="auto"/>
                <w:sz w:val="24"/>
                <w:szCs w:val="24"/>
              </w:rPr>
              <w:t>4</w:t>
            </w:r>
            <w:r>
              <w:rPr>
                <w:rFonts w:hint="default"/>
                <w:color w:val="auto"/>
                <w:sz w:val="24"/>
                <w:szCs w:val="24"/>
              </w:rPr>
              <w:t>.0mg/m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苯</w:t>
            </w:r>
            <w:r>
              <w:rPr>
                <w:rFonts w:hint="eastAsia"/>
                <w:color w:val="auto"/>
                <w:sz w:val="24"/>
                <w:szCs w:val="24"/>
                <w:lang w:val="en-US" w:eastAsia="zh-CN"/>
              </w:rPr>
              <w:t>0.4</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甲苯</w:t>
            </w:r>
            <w:r>
              <w:rPr>
                <w:rFonts w:hint="eastAsia"/>
                <w:color w:val="auto"/>
                <w:sz w:val="24"/>
                <w:szCs w:val="24"/>
                <w:lang w:val="en-US" w:eastAsia="zh-CN"/>
              </w:rPr>
              <w:t>1.0</w:t>
            </w:r>
            <w:r>
              <w:rPr>
                <w:rFonts w:hint="default"/>
                <w:color w:val="auto"/>
                <w:sz w:val="24"/>
                <w:szCs w:val="24"/>
              </w:rPr>
              <w:t>mg/m</w:t>
            </w:r>
            <w:r>
              <w:rPr>
                <w:rFonts w:hint="default"/>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二甲苯</w:t>
            </w:r>
            <w:r>
              <w:rPr>
                <w:rFonts w:hint="eastAsia"/>
                <w:color w:val="auto"/>
                <w:sz w:val="24"/>
                <w:szCs w:val="24"/>
                <w:lang w:val="en-US" w:eastAsia="zh-CN"/>
              </w:rPr>
              <w:t>1.2</w:t>
            </w:r>
            <w:r>
              <w:rPr>
                <w:rFonts w:hint="default"/>
                <w:color w:val="auto"/>
                <w:sz w:val="24"/>
                <w:szCs w:val="24"/>
              </w:rPr>
              <w:t>mg/m</w:t>
            </w:r>
            <w:r>
              <w:rPr>
                <w:rFonts w:hint="default"/>
                <w:color w:val="auto"/>
                <w:sz w:val="24"/>
                <w:szCs w:val="24"/>
                <w:vertAlign w:val="superscript"/>
              </w:rPr>
              <w:t>3</w:t>
            </w:r>
            <w:r>
              <w:rPr>
                <w:rFonts w:hint="default"/>
                <w:color w:val="auto"/>
                <w:sz w:val="24"/>
                <w:szCs w:val="24"/>
              </w:rPr>
              <w:t>的要求</w:t>
            </w:r>
            <w:r>
              <w:rPr>
                <w:rFonts w:hint="eastAsia"/>
                <w:color w:val="auto"/>
                <w:sz w:val="24"/>
                <w:szCs w:val="24"/>
                <w:lang w:eastAsia="zh-CN"/>
              </w:rPr>
              <w:t>，</w:t>
            </w:r>
            <w:r>
              <w:rPr>
                <w:rFonts w:hint="eastAsia"/>
                <w:color w:val="auto"/>
                <w:sz w:val="24"/>
                <w:szCs w:val="24"/>
                <w:lang w:val="en-US" w:eastAsia="zh-CN"/>
              </w:rPr>
              <w:t>同时满足</w:t>
            </w:r>
            <w:r>
              <w:rPr>
                <w:rFonts w:hint="eastAsia"/>
                <w:color w:val="auto"/>
                <w:sz w:val="24"/>
                <w:szCs w:val="24"/>
                <w:lang w:eastAsia="zh-CN"/>
              </w:rPr>
              <w:t>《</w:t>
            </w:r>
            <w:r>
              <w:rPr>
                <w:rFonts w:hint="eastAsia"/>
                <w:color w:val="auto"/>
                <w:sz w:val="24"/>
                <w:szCs w:val="24"/>
                <w:lang w:val="en-US" w:eastAsia="zh-CN"/>
              </w:rPr>
              <w:t>挥发性有机物无组织排放控制标准</w:t>
            </w:r>
            <w:r>
              <w:rPr>
                <w:rFonts w:hint="eastAsia"/>
                <w:color w:val="auto"/>
                <w:sz w:val="24"/>
                <w:szCs w:val="24"/>
                <w:lang w:eastAsia="zh-CN"/>
              </w:rPr>
              <w:t>》（</w:t>
            </w:r>
            <w:r>
              <w:rPr>
                <w:rFonts w:hint="eastAsia"/>
                <w:color w:val="auto"/>
                <w:sz w:val="24"/>
                <w:szCs w:val="24"/>
                <w:lang w:val="en-US" w:eastAsia="zh-CN"/>
              </w:rPr>
              <w:t>GB37822-2019</w:t>
            </w:r>
            <w:r>
              <w:rPr>
                <w:rFonts w:hint="eastAsia"/>
                <w:color w:val="auto"/>
                <w:sz w:val="24"/>
                <w:szCs w:val="24"/>
                <w:lang w:eastAsia="zh-CN"/>
              </w:rPr>
              <w:t>）</w:t>
            </w:r>
            <w:r>
              <w:rPr>
                <w:rFonts w:hint="eastAsia"/>
                <w:color w:val="auto"/>
                <w:sz w:val="24"/>
                <w:szCs w:val="24"/>
                <w:lang w:val="en-US" w:eastAsia="zh-CN"/>
              </w:rPr>
              <w:t>附录A表A.1 厂区内VOC</w:t>
            </w:r>
            <w:r>
              <w:rPr>
                <w:rFonts w:hint="eastAsia"/>
                <w:color w:val="auto"/>
                <w:sz w:val="24"/>
                <w:szCs w:val="24"/>
                <w:vertAlign w:val="subscript"/>
                <w:lang w:val="en-US" w:eastAsia="zh-CN"/>
              </w:rPr>
              <w:t>S</w:t>
            </w:r>
            <w:r>
              <w:rPr>
                <w:rFonts w:hint="eastAsia"/>
                <w:color w:val="auto"/>
                <w:sz w:val="24"/>
                <w:szCs w:val="24"/>
                <w:lang w:val="en-US" w:eastAsia="zh-CN"/>
              </w:rPr>
              <w:t>无组织排放限值中厂房外监控点1h平均浓度限值：非甲烷总烃6mg</w:t>
            </w:r>
            <w:r>
              <w:rPr>
                <w:rFonts w:hint="default"/>
                <w:color w:val="auto"/>
                <w:sz w:val="24"/>
                <w:szCs w:val="24"/>
              </w:rPr>
              <w:t>/m</w:t>
            </w:r>
            <w:r>
              <w:rPr>
                <w:rFonts w:hint="default"/>
                <w:color w:val="auto"/>
                <w:sz w:val="24"/>
                <w:szCs w:val="24"/>
                <w:vertAlign w:val="superscript"/>
              </w:rPr>
              <w:t>3</w:t>
            </w:r>
            <w:r>
              <w:rPr>
                <w:rFonts w:hint="eastAsia"/>
                <w:color w:val="auto"/>
                <w:sz w:val="24"/>
                <w:szCs w:val="24"/>
                <w:lang w:eastAsia="zh-CN"/>
              </w:rPr>
              <w:t>，</w:t>
            </w:r>
            <w:r>
              <w:rPr>
                <w:rFonts w:hint="eastAsia"/>
                <w:color w:val="auto"/>
                <w:sz w:val="24"/>
                <w:szCs w:val="24"/>
                <w:lang w:val="en-US" w:eastAsia="zh-CN"/>
              </w:rPr>
              <w:t>任意一次浓度限值：非甲烷总烃20mg</w:t>
            </w:r>
            <w:r>
              <w:rPr>
                <w:rFonts w:hint="default"/>
                <w:color w:val="auto"/>
                <w:sz w:val="24"/>
                <w:szCs w:val="24"/>
              </w:rPr>
              <w:t>/m</w:t>
            </w:r>
            <w:r>
              <w:rPr>
                <w:rFonts w:hint="default"/>
                <w:color w:val="auto"/>
                <w:sz w:val="24"/>
                <w:szCs w:val="24"/>
                <w:vertAlign w:val="superscript"/>
              </w:rPr>
              <w:t>3</w:t>
            </w:r>
            <w:r>
              <w:rPr>
                <w:rFonts w:hint="eastAsia"/>
                <w:color w:val="auto"/>
                <w:sz w:val="24"/>
                <w:szCs w:val="24"/>
                <w:vertAlign w:val="baseline"/>
                <w:lang w:val="en-US" w:eastAsia="zh-CN"/>
              </w:rPr>
              <w:t>的要求。打磨、抛丸、打砂颗粒物有组织排放浓度满足</w:t>
            </w:r>
            <w:r>
              <w:rPr>
                <w:rFonts w:hint="eastAsia"/>
                <w:color w:val="auto"/>
                <w:sz w:val="24"/>
                <w:szCs w:val="24"/>
                <w:lang w:val="en-US" w:eastAsia="zh-CN"/>
              </w:rPr>
              <w:t>《钢铁工业大气污染物超低排放标准》（DB13/2169-2018）表1颗粒物排放限值：10mg/m</w:t>
            </w:r>
            <w:r>
              <w:rPr>
                <w:rFonts w:hint="eastAsia"/>
                <w:color w:val="auto"/>
                <w:sz w:val="24"/>
                <w:szCs w:val="24"/>
                <w:vertAlign w:val="superscript"/>
                <w:lang w:val="en-US" w:eastAsia="zh-CN"/>
              </w:rPr>
              <w:t>3</w:t>
            </w:r>
            <w:r>
              <w:rPr>
                <w:rFonts w:hint="default"/>
                <w:color w:val="auto"/>
                <w:sz w:val="24"/>
                <w:szCs w:val="24"/>
              </w:rPr>
              <w:t>的要求</w:t>
            </w:r>
            <w:r>
              <w:rPr>
                <w:rFonts w:hint="eastAsia"/>
                <w:color w:val="auto"/>
                <w:sz w:val="24"/>
                <w:szCs w:val="24"/>
                <w:vertAlign w:val="baseline"/>
                <w:lang w:val="en-US" w:eastAsia="zh-CN"/>
              </w:rPr>
              <w:t>。颗粒物无组织排放浓度满足</w:t>
            </w:r>
            <w:r>
              <w:rPr>
                <w:rFonts w:hint="eastAsia"/>
                <w:color w:val="auto"/>
                <w:sz w:val="24"/>
                <w:szCs w:val="24"/>
              </w:rPr>
              <w:t>《大气污染物综合排放标准》（</w:t>
            </w:r>
            <w:r>
              <w:rPr>
                <w:color w:val="auto"/>
                <w:sz w:val="24"/>
                <w:szCs w:val="24"/>
              </w:rPr>
              <w:t>GB16297-1996</w:t>
            </w:r>
            <w:r>
              <w:rPr>
                <w:rFonts w:hint="eastAsia"/>
                <w:color w:val="auto"/>
                <w:sz w:val="24"/>
                <w:szCs w:val="24"/>
              </w:rPr>
              <w:t>）表</w:t>
            </w:r>
            <w:r>
              <w:rPr>
                <w:color w:val="auto"/>
                <w:sz w:val="24"/>
                <w:szCs w:val="24"/>
              </w:rPr>
              <w:t>2</w:t>
            </w:r>
            <w:r>
              <w:rPr>
                <w:rFonts w:hint="eastAsia"/>
                <w:color w:val="auto"/>
                <w:sz w:val="24"/>
                <w:szCs w:val="24"/>
              </w:rPr>
              <w:t>中</w:t>
            </w:r>
            <w:r>
              <w:rPr>
                <w:rFonts w:hint="eastAsia"/>
                <w:color w:val="auto"/>
                <w:sz w:val="24"/>
                <w:szCs w:val="24"/>
                <w:lang w:val="en-US" w:eastAsia="zh-CN"/>
              </w:rPr>
              <w:t>颗粒物</w:t>
            </w:r>
            <w:r>
              <w:rPr>
                <w:rFonts w:hint="eastAsia"/>
                <w:color w:val="auto"/>
                <w:sz w:val="24"/>
                <w:szCs w:val="24"/>
              </w:rPr>
              <w:t>无组织排放浓度限值</w:t>
            </w:r>
            <w:r>
              <w:rPr>
                <w:rFonts w:hint="eastAsia"/>
                <w:color w:val="auto"/>
                <w:sz w:val="24"/>
                <w:szCs w:val="24"/>
                <w:lang w:val="en-US" w:eastAsia="zh-CN"/>
              </w:rPr>
              <w:t>1.0</w:t>
            </w:r>
            <w:r>
              <w:rPr>
                <w:color w:val="auto"/>
                <w:sz w:val="24"/>
                <w:szCs w:val="24"/>
              </w:rPr>
              <w:t>mg/m</w:t>
            </w:r>
            <w:r>
              <w:rPr>
                <w:color w:val="auto"/>
                <w:sz w:val="24"/>
                <w:szCs w:val="24"/>
                <w:vertAlign w:val="superscript"/>
              </w:rPr>
              <w:t>3</w:t>
            </w:r>
            <w:r>
              <w:rPr>
                <w:rFonts w:hint="eastAsia"/>
                <w:color w:val="auto"/>
                <w:sz w:val="24"/>
                <w:szCs w:val="24"/>
                <w:lang w:val="en-US" w:eastAsia="zh-CN"/>
              </w:rPr>
              <w:t>的要求</w:t>
            </w:r>
            <w:r>
              <w:rPr>
                <w:rFonts w:hint="default"/>
                <w:color w:val="auto"/>
                <w:sz w:val="24"/>
                <w:szCs w:val="24"/>
              </w:rPr>
              <w:t>。</w:t>
            </w:r>
          </w:p>
          <w:p w14:paraId="2FCC9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b/>
                <w:bCs/>
                <w:color w:val="auto"/>
                <w:highlight w:val="none"/>
                <w:lang w:val="en-US" w:eastAsia="zh-CN"/>
              </w:rPr>
            </w:pPr>
            <w:r>
              <w:rPr>
                <w:rFonts w:hint="eastAsia"/>
                <w:b/>
                <w:bCs/>
                <w:color w:val="auto"/>
                <w:highlight w:val="none"/>
                <w:lang w:val="en-US" w:eastAsia="zh-CN"/>
              </w:rPr>
              <w:t>1.4非正常情况分析</w:t>
            </w:r>
          </w:p>
          <w:p w14:paraId="4DF82AE2">
            <w:pPr>
              <w:rPr>
                <w:rFonts w:hint="eastAsia"/>
                <w:color w:val="auto"/>
                <w:lang w:val="en-US" w:eastAsia="zh-CN"/>
              </w:rPr>
            </w:pPr>
            <w:r>
              <w:rPr>
                <w:rFonts w:hint="eastAsia"/>
                <w:color w:val="auto"/>
                <w:lang w:val="en-US" w:eastAsia="zh-CN"/>
              </w:rPr>
              <w:t>本项目可能发生的非正常工况主要为环保设施发生故障，发生故障时污染物不经过处理，直接排放至大气中。本次评价分别分析</w:t>
            </w:r>
            <w:r>
              <w:rPr>
                <w:rFonts w:hint="eastAsia" w:ascii="Times New Roman" w:hAnsi="Times New Roman" w:eastAsia="宋体" w:cs="Times New Roman"/>
                <w:snapToGrid w:val="0"/>
                <w:color w:val="auto"/>
                <w:kern w:val="0"/>
                <w:sz w:val="24"/>
                <w:lang w:val="en-US" w:eastAsia="zh-CN"/>
              </w:rPr>
              <w:t>过滤棉箱过滤+活性炭吸附工况</w:t>
            </w:r>
            <w:r>
              <w:rPr>
                <w:rFonts w:hint="eastAsia" w:cs="Times New Roman"/>
                <w:snapToGrid w:val="0"/>
                <w:color w:val="auto"/>
                <w:kern w:val="0"/>
                <w:sz w:val="24"/>
                <w:lang w:val="en-US" w:eastAsia="zh-CN"/>
              </w:rPr>
              <w:t>和</w:t>
            </w:r>
            <w:r>
              <w:rPr>
                <w:rFonts w:hint="eastAsia" w:ascii="Times New Roman" w:hAnsi="Times New Roman" w:eastAsia="宋体" w:cs="Times New Roman"/>
                <w:snapToGrid w:val="0"/>
                <w:color w:val="auto"/>
                <w:kern w:val="0"/>
                <w:sz w:val="24"/>
                <w:lang w:val="en-US" w:eastAsia="zh-CN"/>
              </w:rPr>
              <w:t>活性炭</w:t>
            </w:r>
            <w:r>
              <w:rPr>
                <w:rFonts w:hint="eastAsia" w:ascii="Times New Roman" w:hAnsi="Times New Roman" w:cs="Times New Roman"/>
                <w:snapToGrid w:val="0"/>
                <w:color w:val="auto"/>
                <w:kern w:val="0"/>
                <w:sz w:val="24"/>
                <w:lang w:val="en-US" w:eastAsia="zh-CN"/>
              </w:rPr>
              <w:t>脱附</w:t>
            </w:r>
            <w:r>
              <w:rPr>
                <w:rFonts w:hint="eastAsia" w:ascii="Times New Roman" w:hAnsi="Times New Roman" w:eastAsia="宋体" w:cs="Times New Roman"/>
                <w:snapToGrid w:val="0"/>
                <w:color w:val="auto"/>
                <w:kern w:val="0"/>
                <w:sz w:val="24"/>
                <w:lang w:val="en-US" w:eastAsia="zh-CN"/>
              </w:rPr>
              <w:t>+催化燃烧工况</w:t>
            </w:r>
            <w:r>
              <w:rPr>
                <w:rFonts w:hint="eastAsia" w:cs="Times New Roman"/>
                <w:snapToGrid w:val="0"/>
                <w:color w:val="auto"/>
                <w:kern w:val="0"/>
                <w:sz w:val="24"/>
                <w:lang w:val="en-US" w:eastAsia="zh-CN"/>
              </w:rPr>
              <w:t>环保设施、袋式除尘器发生故障，</w:t>
            </w:r>
            <w:r>
              <w:rPr>
                <w:rFonts w:hint="eastAsia" w:ascii="Times New Roman" w:hAnsi="Times New Roman" w:eastAsia="宋体" w:cs="Times New Roman"/>
                <w:snapToGrid w:val="0"/>
                <w:color w:val="auto"/>
                <w:kern w:val="0"/>
                <w:sz w:val="24"/>
                <w:lang w:val="en-US" w:eastAsia="zh-CN"/>
              </w:rPr>
              <w:t>过滤棉箱过滤+活性炭吸附工况</w:t>
            </w:r>
            <w:r>
              <w:rPr>
                <w:rFonts w:hint="eastAsia"/>
                <w:color w:val="auto"/>
                <w:lang w:val="en-US" w:eastAsia="zh-CN"/>
              </w:rPr>
              <w:t>故障频次按每年发生1次，每次持续2h计，</w:t>
            </w:r>
            <w:r>
              <w:rPr>
                <w:rFonts w:hint="eastAsia" w:ascii="Times New Roman" w:hAnsi="Times New Roman" w:eastAsia="宋体" w:cs="Times New Roman"/>
                <w:snapToGrid w:val="0"/>
                <w:color w:val="auto"/>
                <w:kern w:val="0"/>
                <w:sz w:val="24"/>
                <w:lang w:val="en-US" w:eastAsia="zh-CN"/>
              </w:rPr>
              <w:t>活性炭</w:t>
            </w:r>
            <w:r>
              <w:rPr>
                <w:rFonts w:hint="eastAsia" w:ascii="Times New Roman" w:hAnsi="Times New Roman" w:cs="Times New Roman"/>
                <w:snapToGrid w:val="0"/>
                <w:color w:val="auto"/>
                <w:kern w:val="0"/>
                <w:sz w:val="24"/>
                <w:lang w:val="en-US" w:eastAsia="zh-CN"/>
              </w:rPr>
              <w:t>脱附</w:t>
            </w:r>
            <w:r>
              <w:rPr>
                <w:rFonts w:hint="eastAsia" w:ascii="Times New Roman" w:hAnsi="Times New Roman" w:eastAsia="宋体" w:cs="Times New Roman"/>
                <w:snapToGrid w:val="0"/>
                <w:color w:val="auto"/>
                <w:kern w:val="0"/>
                <w:sz w:val="24"/>
                <w:lang w:val="en-US" w:eastAsia="zh-CN"/>
              </w:rPr>
              <w:t>+催化燃烧工况</w:t>
            </w:r>
            <w:r>
              <w:rPr>
                <w:rFonts w:hint="eastAsia" w:cs="Times New Roman"/>
                <w:snapToGrid w:val="0"/>
                <w:color w:val="auto"/>
                <w:kern w:val="0"/>
                <w:sz w:val="24"/>
                <w:lang w:val="en-US" w:eastAsia="zh-CN"/>
              </w:rPr>
              <w:t>故障频次按每年发生1次，每次持续1h计，袋式除尘器故障频次按每年发生1次，每次持续1h计</w:t>
            </w:r>
            <w:r>
              <w:rPr>
                <w:rFonts w:hint="eastAsia"/>
                <w:color w:val="auto"/>
                <w:lang w:val="en-US" w:eastAsia="zh-CN"/>
              </w:rPr>
              <w:t>。环保设施发生故障后，立即停产，对故障设施进行检修，待故障设施恢复正常后恢复生产。本项目非正常工况污染物排放情况见下表。</w:t>
            </w:r>
          </w:p>
          <w:p w14:paraId="18969BAD">
            <w:pPr>
              <w:pStyle w:val="8"/>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color w:val="auto"/>
                <w:sz w:val="21"/>
                <w:szCs w:val="21"/>
                <w:highlight w:val="none"/>
                <w:shd w:val="clear" w:color="auto" w:fill="auto"/>
              </w:rPr>
            </w:pPr>
            <w:r>
              <w:rPr>
                <w:rFonts w:hint="default"/>
                <w:color w:val="auto"/>
                <w:sz w:val="21"/>
                <w:szCs w:val="21"/>
                <w:highlight w:val="none"/>
                <w:shd w:val="clear" w:color="auto" w:fill="auto"/>
              </w:rPr>
              <w:t>表</w:t>
            </w:r>
            <w:r>
              <w:rPr>
                <w:rFonts w:hint="eastAsia"/>
                <w:color w:val="auto"/>
                <w:sz w:val="21"/>
                <w:szCs w:val="21"/>
                <w:highlight w:val="none"/>
                <w:shd w:val="clear" w:color="auto" w:fill="auto"/>
                <w:lang w:val="en-US" w:eastAsia="zh-CN"/>
              </w:rPr>
              <w:t>36</w:t>
            </w:r>
            <w:r>
              <w:rPr>
                <w:rFonts w:hint="default"/>
                <w:color w:val="auto"/>
                <w:sz w:val="21"/>
                <w:szCs w:val="21"/>
                <w:highlight w:val="none"/>
                <w:shd w:val="clear" w:color="auto" w:fill="auto"/>
              </w:rPr>
              <w:t xml:space="preserve">  </w:t>
            </w:r>
            <w:r>
              <w:rPr>
                <w:rFonts w:hint="eastAsia"/>
                <w:color w:val="auto"/>
                <w:sz w:val="21"/>
                <w:szCs w:val="21"/>
                <w:highlight w:val="none"/>
                <w:shd w:val="clear" w:color="auto" w:fill="auto"/>
                <w:lang w:eastAsia="zh-CN"/>
              </w:rPr>
              <w:t>非正常</w:t>
            </w:r>
            <w:r>
              <w:rPr>
                <w:rFonts w:hint="eastAsia"/>
                <w:color w:val="auto"/>
                <w:sz w:val="21"/>
                <w:szCs w:val="21"/>
                <w:highlight w:val="none"/>
                <w:shd w:val="clear" w:color="auto" w:fill="auto"/>
                <w:lang w:val="en-US" w:eastAsia="zh-CN"/>
              </w:rPr>
              <w:t>工况污染物排放情况</w:t>
            </w:r>
            <w:r>
              <w:rPr>
                <w:rFonts w:hint="eastAsia"/>
                <w:color w:val="auto"/>
                <w:sz w:val="21"/>
                <w:szCs w:val="21"/>
                <w:highlight w:val="none"/>
                <w:shd w:val="clear" w:color="auto" w:fill="auto"/>
                <w:lang w:eastAsia="zh-CN"/>
              </w:rPr>
              <w:t>一</w:t>
            </w:r>
            <w:r>
              <w:rPr>
                <w:rFonts w:hint="default"/>
                <w:color w:val="auto"/>
                <w:sz w:val="21"/>
                <w:szCs w:val="21"/>
                <w:highlight w:val="none"/>
                <w:shd w:val="clear" w:color="auto" w:fill="auto"/>
              </w:rPr>
              <w:t>览表</w:t>
            </w:r>
          </w:p>
          <w:tbl>
            <w:tblPr>
              <w:tblStyle w:val="20"/>
              <w:tblW w:w="839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20"/>
              <w:gridCol w:w="803"/>
              <w:gridCol w:w="955"/>
              <w:gridCol w:w="1233"/>
              <w:gridCol w:w="1071"/>
              <w:gridCol w:w="1079"/>
              <w:gridCol w:w="1118"/>
              <w:gridCol w:w="1120"/>
            </w:tblGrid>
            <w:tr w14:paraId="41FE2A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70" w:hRule="atLeast"/>
                <w:jc w:val="center"/>
              </w:trPr>
              <w:tc>
                <w:tcPr>
                  <w:tcW w:w="1823" w:type="dxa"/>
                  <w:gridSpan w:val="2"/>
                  <w:tcBorders>
                    <w:tl2br w:val="nil"/>
                    <w:tr2bl w:val="nil"/>
                  </w:tcBorders>
                  <w:noWrap w:val="0"/>
                  <w:vAlign w:val="center"/>
                </w:tcPr>
                <w:p w14:paraId="78A3CB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t>非正常排放源</w:t>
                  </w:r>
                </w:p>
              </w:tc>
              <w:tc>
                <w:tcPr>
                  <w:tcW w:w="955" w:type="dxa"/>
                  <w:tcBorders>
                    <w:tl2br w:val="nil"/>
                    <w:tr2bl w:val="nil"/>
                  </w:tcBorders>
                  <w:noWrap w:val="0"/>
                  <w:vAlign w:val="center"/>
                </w:tcPr>
                <w:p w14:paraId="3033B7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t>频次</w:t>
                  </w:r>
                </w:p>
              </w:tc>
              <w:tc>
                <w:tcPr>
                  <w:tcW w:w="1233" w:type="dxa"/>
                  <w:tcBorders>
                    <w:tl2br w:val="nil"/>
                    <w:tr2bl w:val="nil"/>
                  </w:tcBorders>
                  <w:noWrap w:val="0"/>
                  <w:vAlign w:val="center"/>
                </w:tcPr>
                <w:p w14:paraId="03183D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aps w:val="0"/>
                      <w:color w:val="auto"/>
                      <w:spacing w:val="0"/>
                      <w:position w:val="0"/>
                      <w:sz w:val="21"/>
                      <w:szCs w:val="21"/>
                      <w:highlight w:val="none"/>
                      <w:shd w:val="clear" w:color="auto" w:fill="auto"/>
                      <w:lang w:eastAsia="zh-CN"/>
                    </w:rPr>
                  </w:pPr>
                  <w:r>
                    <w:rPr>
                      <w:rFonts w:hint="eastAsia" w:cs="Times New Roman"/>
                      <w:b w:val="0"/>
                      <w:bCs/>
                      <w:caps w:val="0"/>
                      <w:color w:val="auto"/>
                      <w:spacing w:val="0"/>
                      <w:position w:val="0"/>
                      <w:sz w:val="21"/>
                      <w:szCs w:val="21"/>
                      <w:highlight w:val="none"/>
                      <w:shd w:val="clear" w:color="auto" w:fill="auto"/>
                      <w:lang w:val="en-US" w:eastAsia="zh-CN"/>
                    </w:rPr>
                    <w:t>污染物</w:t>
                  </w:r>
                </w:p>
              </w:tc>
              <w:tc>
                <w:tcPr>
                  <w:tcW w:w="1071" w:type="dxa"/>
                  <w:tcBorders>
                    <w:tl2br w:val="nil"/>
                    <w:tr2bl w:val="nil"/>
                  </w:tcBorders>
                  <w:noWrap w:val="0"/>
                  <w:vAlign w:val="center"/>
                </w:tcPr>
                <w:p w14:paraId="66E6BA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aps w:val="0"/>
                      <w:color w:val="auto"/>
                      <w:spacing w:val="0"/>
                      <w:position w:val="0"/>
                      <w:sz w:val="21"/>
                      <w:szCs w:val="21"/>
                      <w:highlight w:val="none"/>
                      <w:shd w:val="clear" w:color="auto" w:fill="auto"/>
                      <w:lang w:val="en-US" w:eastAsia="zh-CN"/>
                    </w:rPr>
                  </w:pPr>
                  <w:r>
                    <w:rPr>
                      <w:rFonts w:hint="eastAsia" w:cs="Times New Roman"/>
                      <w:b w:val="0"/>
                      <w:bCs/>
                      <w:caps w:val="0"/>
                      <w:color w:val="auto"/>
                      <w:spacing w:val="0"/>
                      <w:position w:val="0"/>
                      <w:sz w:val="21"/>
                      <w:szCs w:val="21"/>
                      <w:highlight w:val="none"/>
                      <w:shd w:val="clear" w:color="auto" w:fill="auto"/>
                      <w:lang w:val="en-US" w:eastAsia="zh-CN"/>
                    </w:rPr>
                    <w:t>排放浓度</w:t>
                  </w:r>
                </w:p>
              </w:tc>
              <w:tc>
                <w:tcPr>
                  <w:tcW w:w="1079" w:type="dxa"/>
                  <w:tcBorders>
                    <w:tl2br w:val="nil"/>
                    <w:tr2bl w:val="nil"/>
                  </w:tcBorders>
                  <w:noWrap w:val="0"/>
                  <w:vAlign w:val="center"/>
                </w:tcPr>
                <w:p w14:paraId="4E225A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aps w:val="0"/>
                      <w:color w:val="auto"/>
                      <w:spacing w:val="0"/>
                      <w:position w:val="0"/>
                      <w:sz w:val="21"/>
                      <w:szCs w:val="21"/>
                      <w:highlight w:val="none"/>
                      <w:shd w:val="clear" w:color="auto" w:fill="auto"/>
                      <w:lang w:val="en-US"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t>持续时间</w:t>
                  </w:r>
                </w:p>
              </w:tc>
              <w:tc>
                <w:tcPr>
                  <w:tcW w:w="1118" w:type="dxa"/>
                  <w:tcBorders>
                    <w:tl2br w:val="nil"/>
                    <w:tr2bl w:val="nil"/>
                  </w:tcBorders>
                  <w:noWrap w:val="0"/>
                  <w:vAlign w:val="center"/>
                </w:tcPr>
                <w:p w14:paraId="081222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t>排放量</w:t>
                  </w:r>
                </w:p>
              </w:tc>
              <w:tc>
                <w:tcPr>
                  <w:tcW w:w="1120" w:type="dxa"/>
                  <w:tcBorders>
                    <w:tl2br w:val="nil"/>
                    <w:tr2bl w:val="nil"/>
                  </w:tcBorders>
                  <w:noWrap w:val="0"/>
                  <w:vAlign w:val="center"/>
                </w:tcPr>
                <w:p w14:paraId="171643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val="0"/>
                      <w:bCs/>
                      <w:caps w:val="0"/>
                      <w:color w:val="auto"/>
                      <w:spacing w:val="0"/>
                      <w:position w:val="0"/>
                      <w:sz w:val="21"/>
                      <w:szCs w:val="21"/>
                      <w:highlight w:val="none"/>
                      <w:shd w:val="clear" w:color="auto" w:fill="auto"/>
                      <w:lang w:eastAsia="zh-CN"/>
                    </w:rPr>
                    <w:t>措施</w:t>
                  </w:r>
                </w:p>
              </w:tc>
            </w:tr>
            <w:tr w14:paraId="68146E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020" w:type="dxa"/>
                  <w:vMerge w:val="restart"/>
                  <w:tcBorders>
                    <w:tl2br w:val="nil"/>
                    <w:tr2bl w:val="nil"/>
                  </w:tcBorders>
                  <w:noWrap w:val="0"/>
                  <w:vAlign w:val="center"/>
                </w:tcPr>
                <w:p w14:paraId="5BF5949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lang w:val="en-US" w:eastAsia="zh-CN"/>
                    </w:rPr>
                    <w:t>调漆、喷漆、烤漆、固化</w:t>
                  </w:r>
                  <w:r>
                    <w:rPr>
                      <w:rFonts w:hint="eastAsia" w:ascii="Times New Roman" w:hAnsi="Times New Roman" w:cs="Times New Roman"/>
                      <w:bCs/>
                      <w:caps w:val="0"/>
                      <w:color w:val="auto"/>
                      <w:spacing w:val="0"/>
                      <w:position w:val="0"/>
                      <w:sz w:val="21"/>
                      <w:szCs w:val="21"/>
                      <w:highlight w:val="none"/>
                      <w:lang w:val="en-US" w:eastAsia="zh-CN"/>
                    </w:rPr>
                    <w:t>废气排放口</w:t>
                  </w:r>
                </w:p>
              </w:tc>
              <w:tc>
                <w:tcPr>
                  <w:tcW w:w="803" w:type="dxa"/>
                  <w:vMerge w:val="restart"/>
                  <w:tcBorders>
                    <w:tl2br w:val="nil"/>
                    <w:tr2bl w:val="nil"/>
                  </w:tcBorders>
                  <w:noWrap w:val="0"/>
                  <w:vAlign w:val="center"/>
                </w:tcPr>
                <w:p w14:paraId="2B6F5A8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过滤棉箱过滤+活性炭吸附工况</w:t>
                  </w:r>
                </w:p>
              </w:tc>
              <w:tc>
                <w:tcPr>
                  <w:tcW w:w="955" w:type="dxa"/>
                  <w:vMerge w:val="restart"/>
                  <w:tcBorders>
                    <w:tl2br w:val="nil"/>
                    <w:tr2bl w:val="nil"/>
                  </w:tcBorders>
                  <w:noWrap w:val="0"/>
                  <w:vAlign w:val="center"/>
                </w:tcPr>
                <w:p w14:paraId="258049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shd w:val="clear" w:color="auto" w:fill="auto"/>
                      <w:lang w:val="en-US" w:eastAsia="zh-CN" w:bidi="ar-SA"/>
                    </w:rPr>
                  </w:pPr>
                  <w:r>
                    <w:rPr>
                      <w:rFonts w:hint="eastAsia" w:ascii="Times New Roman" w:hAnsi="Times New Roman" w:cs="Times New Roman"/>
                      <w:bCs/>
                      <w:caps w:val="0"/>
                      <w:color w:val="auto"/>
                      <w:spacing w:val="0"/>
                      <w:position w:val="0"/>
                      <w:sz w:val="21"/>
                      <w:szCs w:val="21"/>
                      <w:highlight w:val="none"/>
                      <w:shd w:val="clear" w:color="auto" w:fill="auto"/>
                      <w:lang w:val="en-US" w:eastAsia="zh-CN"/>
                    </w:rPr>
                    <w:t>1次/年</w:t>
                  </w:r>
                </w:p>
              </w:tc>
              <w:tc>
                <w:tcPr>
                  <w:tcW w:w="1233" w:type="dxa"/>
                  <w:tcBorders>
                    <w:tl2br w:val="nil"/>
                    <w:tr2bl w:val="nil"/>
                  </w:tcBorders>
                  <w:noWrap w:val="0"/>
                  <w:vAlign w:val="center"/>
                </w:tcPr>
                <w:p w14:paraId="116202E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shd w:val="clear" w:color="auto" w:fill="auto"/>
                      <w:vertAlign w:val="superscript"/>
                      <w:lang w:val="en-US" w:eastAsia="zh-CN" w:bidi="ar-SA"/>
                    </w:rPr>
                  </w:pPr>
                  <w:r>
                    <w:rPr>
                      <w:rFonts w:hint="eastAsia" w:cs="Times New Roman"/>
                      <w:caps w:val="0"/>
                      <w:color w:val="auto"/>
                      <w:spacing w:val="0"/>
                      <w:position w:val="0"/>
                      <w:sz w:val="21"/>
                      <w:szCs w:val="21"/>
                      <w:highlight w:val="none"/>
                      <w:shd w:val="clear" w:color="auto" w:fill="auto"/>
                      <w:lang w:val="en-US" w:eastAsia="zh-CN"/>
                    </w:rPr>
                    <w:t>颗粒物</w:t>
                  </w:r>
                </w:p>
              </w:tc>
              <w:tc>
                <w:tcPr>
                  <w:tcW w:w="1071" w:type="dxa"/>
                  <w:tcBorders>
                    <w:tl2br w:val="nil"/>
                    <w:tr2bl w:val="nil"/>
                  </w:tcBorders>
                  <w:noWrap w:val="0"/>
                  <w:vAlign w:val="center"/>
                </w:tcPr>
                <w:p w14:paraId="6BC4AAC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olor w:val="auto"/>
                      <w:sz w:val="21"/>
                      <w:highlight w:val="none"/>
                      <w:lang w:val="en-US" w:eastAsia="zh-CN"/>
                    </w:rPr>
                    <w:t>20.33</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restart"/>
                  <w:tcBorders>
                    <w:tl2br w:val="nil"/>
                    <w:tr2bl w:val="nil"/>
                  </w:tcBorders>
                  <w:noWrap w:val="0"/>
                  <w:vAlign w:val="center"/>
                </w:tcPr>
                <w:p w14:paraId="3E54648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shd w:val="clear" w:color="auto" w:fill="auto"/>
                      <w:lang w:val="en-US" w:eastAsia="zh-CN" w:bidi="ar-SA"/>
                    </w:rPr>
                  </w:pPr>
                  <w:r>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t>单次2h</w:t>
                  </w:r>
                </w:p>
              </w:tc>
              <w:tc>
                <w:tcPr>
                  <w:tcW w:w="1118" w:type="dxa"/>
                  <w:tcBorders>
                    <w:tl2br w:val="nil"/>
                    <w:tr2bl w:val="nil"/>
                  </w:tcBorders>
                  <w:noWrap w:val="0"/>
                  <w:vAlign w:val="center"/>
                </w:tcPr>
                <w:p w14:paraId="0A07C6E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shd w:val="clear" w:color="auto" w:fill="auto"/>
                      <w:lang w:val="en-US" w:eastAsia="zh-CN" w:bidi="ar-SA"/>
                    </w:rPr>
                  </w:pPr>
                  <w:r>
                    <w:rPr>
                      <w:rFonts w:hint="eastAsia" w:cs="Times New Roman"/>
                      <w:bCs/>
                      <w:caps w:val="0"/>
                      <w:color w:val="auto"/>
                      <w:spacing w:val="0"/>
                      <w:position w:val="0"/>
                      <w:sz w:val="21"/>
                      <w:szCs w:val="21"/>
                      <w:highlight w:val="none"/>
                      <w:shd w:val="clear" w:color="auto" w:fill="auto"/>
                      <w:lang w:val="en-US" w:eastAsia="zh-CN"/>
                    </w:rPr>
                    <w:t>1.22kg</w:t>
                  </w:r>
                </w:p>
              </w:tc>
              <w:tc>
                <w:tcPr>
                  <w:tcW w:w="1120" w:type="dxa"/>
                  <w:vMerge w:val="restart"/>
                  <w:tcBorders>
                    <w:tl2br w:val="nil"/>
                    <w:tr2bl w:val="nil"/>
                  </w:tcBorders>
                  <w:noWrap w:val="0"/>
                  <w:vAlign w:val="center"/>
                </w:tcPr>
                <w:p w14:paraId="7DF73FA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t>停产、维修</w:t>
                  </w:r>
                </w:p>
              </w:tc>
            </w:tr>
            <w:tr w14:paraId="404F69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020" w:type="dxa"/>
                  <w:vMerge w:val="continue"/>
                  <w:tcBorders>
                    <w:tl2br w:val="nil"/>
                    <w:tr2bl w:val="nil"/>
                  </w:tcBorders>
                  <w:noWrap w:val="0"/>
                  <w:vAlign w:val="center"/>
                </w:tcPr>
                <w:p w14:paraId="0AD4114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803" w:type="dxa"/>
                  <w:vMerge w:val="continue"/>
                  <w:tcBorders>
                    <w:tl2br w:val="nil"/>
                    <w:tr2bl w:val="nil"/>
                  </w:tcBorders>
                  <w:noWrap w:val="0"/>
                  <w:vAlign w:val="center"/>
                </w:tcPr>
                <w:p w14:paraId="1B0B540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955" w:type="dxa"/>
                  <w:vMerge w:val="continue"/>
                  <w:tcBorders>
                    <w:tl2br w:val="nil"/>
                    <w:tr2bl w:val="nil"/>
                  </w:tcBorders>
                  <w:noWrap w:val="0"/>
                  <w:vAlign w:val="center"/>
                </w:tcPr>
                <w:p w14:paraId="4CD694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p>
              </w:tc>
              <w:tc>
                <w:tcPr>
                  <w:tcW w:w="1233" w:type="dxa"/>
                  <w:tcBorders>
                    <w:tl2br w:val="nil"/>
                    <w:tr2bl w:val="nil"/>
                  </w:tcBorders>
                  <w:noWrap w:val="0"/>
                  <w:vAlign w:val="center"/>
                </w:tcPr>
                <w:p w14:paraId="4251920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caps w:val="0"/>
                      <w:color w:val="auto"/>
                      <w:spacing w:val="0"/>
                      <w:position w:val="0"/>
                      <w:sz w:val="21"/>
                      <w:szCs w:val="21"/>
                      <w:highlight w:val="none"/>
                      <w:shd w:val="clear" w:color="auto" w:fill="auto"/>
                      <w:lang w:val="en-US" w:eastAsia="zh-CN"/>
                    </w:rPr>
                  </w:pPr>
                  <w:r>
                    <w:rPr>
                      <w:rFonts w:hint="eastAsia" w:cs="Times New Roman"/>
                      <w:caps w:val="0"/>
                      <w:color w:val="auto"/>
                      <w:spacing w:val="0"/>
                      <w:position w:val="0"/>
                      <w:sz w:val="21"/>
                      <w:szCs w:val="21"/>
                      <w:highlight w:val="none"/>
                      <w:shd w:val="clear" w:color="auto" w:fill="auto"/>
                      <w:lang w:val="en-US" w:eastAsia="zh-CN"/>
                    </w:rPr>
                    <w:t>非甲烷总烃</w:t>
                  </w:r>
                </w:p>
              </w:tc>
              <w:tc>
                <w:tcPr>
                  <w:tcW w:w="1071" w:type="dxa"/>
                  <w:tcBorders>
                    <w:tl2br w:val="nil"/>
                    <w:tr2bl w:val="nil"/>
                  </w:tcBorders>
                  <w:noWrap w:val="0"/>
                  <w:vAlign w:val="center"/>
                </w:tcPr>
                <w:p w14:paraId="285AB4D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r>
                    <w:rPr>
                      <w:rFonts w:hint="eastAsia"/>
                      <w:color w:val="auto"/>
                      <w:sz w:val="21"/>
                      <w:highlight w:val="none"/>
                      <w:lang w:val="en-US" w:eastAsia="zh-CN"/>
                    </w:rPr>
                    <w:t>68.75</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continue"/>
                  <w:tcBorders>
                    <w:tl2br w:val="nil"/>
                    <w:tr2bl w:val="nil"/>
                  </w:tcBorders>
                  <w:noWrap w:val="0"/>
                  <w:vAlign w:val="center"/>
                </w:tcPr>
                <w:p w14:paraId="2D935B4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p>
              </w:tc>
              <w:tc>
                <w:tcPr>
                  <w:tcW w:w="1118" w:type="dxa"/>
                  <w:tcBorders>
                    <w:tl2br w:val="nil"/>
                    <w:tr2bl w:val="nil"/>
                  </w:tcBorders>
                  <w:noWrap w:val="0"/>
                  <w:vAlign w:val="center"/>
                </w:tcPr>
                <w:p w14:paraId="2C1724D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4.125kg</w:t>
                  </w:r>
                </w:p>
              </w:tc>
              <w:tc>
                <w:tcPr>
                  <w:tcW w:w="1120" w:type="dxa"/>
                  <w:vMerge w:val="continue"/>
                  <w:tcBorders>
                    <w:tl2br w:val="nil"/>
                    <w:tr2bl w:val="nil"/>
                  </w:tcBorders>
                  <w:noWrap w:val="0"/>
                  <w:vAlign w:val="center"/>
                </w:tcPr>
                <w:p w14:paraId="715EAC6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r>
            <w:tr w14:paraId="12F597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20" w:type="dxa"/>
                  <w:vMerge w:val="continue"/>
                  <w:tcBorders>
                    <w:tl2br w:val="nil"/>
                    <w:tr2bl w:val="nil"/>
                  </w:tcBorders>
                  <w:noWrap w:val="0"/>
                  <w:vAlign w:val="center"/>
                </w:tcPr>
                <w:p w14:paraId="485B135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803" w:type="dxa"/>
                  <w:vMerge w:val="continue"/>
                  <w:tcBorders>
                    <w:tl2br w:val="nil"/>
                    <w:tr2bl w:val="nil"/>
                  </w:tcBorders>
                  <w:noWrap w:val="0"/>
                  <w:vAlign w:val="center"/>
                </w:tcPr>
                <w:p w14:paraId="3E7D0BB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955" w:type="dxa"/>
                  <w:vMerge w:val="continue"/>
                  <w:tcBorders>
                    <w:tl2br w:val="nil"/>
                    <w:tr2bl w:val="nil"/>
                  </w:tcBorders>
                  <w:noWrap w:val="0"/>
                  <w:vAlign w:val="center"/>
                </w:tcPr>
                <w:p w14:paraId="65A80F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p>
              </w:tc>
              <w:tc>
                <w:tcPr>
                  <w:tcW w:w="1233" w:type="dxa"/>
                  <w:tcBorders>
                    <w:tl2br w:val="nil"/>
                    <w:tr2bl w:val="nil"/>
                  </w:tcBorders>
                  <w:noWrap w:val="0"/>
                  <w:vAlign w:val="center"/>
                </w:tcPr>
                <w:p w14:paraId="5723A46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caps w:val="0"/>
                      <w:color w:val="auto"/>
                      <w:spacing w:val="0"/>
                      <w:position w:val="0"/>
                      <w:sz w:val="21"/>
                      <w:szCs w:val="21"/>
                      <w:highlight w:val="none"/>
                      <w:shd w:val="clear" w:color="auto" w:fill="auto"/>
                      <w:lang w:val="en-US" w:eastAsia="zh-CN"/>
                    </w:rPr>
                  </w:pPr>
                  <w:r>
                    <w:rPr>
                      <w:rFonts w:hint="eastAsia" w:cs="Times New Roman"/>
                      <w:caps w:val="0"/>
                      <w:color w:val="auto"/>
                      <w:spacing w:val="0"/>
                      <w:position w:val="0"/>
                      <w:sz w:val="21"/>
                      <w:szCs w:val="21"/>
                      <w:highlight w:val="none"/>
                      <w:shd w:val="clear" w:color="auto" w:fill="auto"/>
                      <w:lang w:val="en-US" w:eastAsia="zh-CN"/>
                    </w:rPr>
                    <w:t>苯</w:t>
                  </w:r>
                </w:p>
              </w:tc>
              <w:tc>
                <w:tcPr>
                  <w:tcW w:w="1071" w:type="dxa"/>
                  <w:tcBorders>
                    <w:tl2br w:val="nil"/>
                    <w:tr2bl w:val="nil"/>
                  </w:tcBorders>
                  <w:noWrap w:val="0"/>
                  <w:vAlign w:val="center"/>
                </w:tcPr>
                <w:p w14:paraId="5D05BFC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r>
                    <w:rPr>
                      <w:rFonts w:hint="eastAsia"/>
                      <w:color w:val="auto"/>
                      <w:sz w:val="21"/>
                      <w:szCs w:val="21"/>
                      <w:highlight w:val="none"/>
                      <w:lang w:val="en-US" w:eastAsia="zh-CN"/>
                    </w:rPr>
                    <w:t>1.45</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continue"/>
                  <w:tcBorders>
                    <w:tl2br w:val="nil"/>
                    <w:tr2bl w:val="nil"/>
                  </w:tcBorders>
                  <w:noWrap w:val="0"/>
                  <w:vAlign w:val="center"/>
                </w:tcPr>
                <w:p w14:paraId="3A2AF37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p>
              </w:tc>
              <w:tc>
                <w:tcPr>
                  <w:tcW w:w="1118" w:type="dxa"/>
                  <w:tcBorders>
                    <w:tl2br w:val="nil"/>
                    <w:tr2bl w:val="nil"/>
                  </w:tcBorders>
                  <w:noWrap w:val="0"/>
                  <w:vAlign w:val="center"/>
                </w:tcPr>
                <w:p w14:paraId="10DECA3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0.087kg</w:t>
                  </w:r>
                </w:p>
              </w:tc>
              <w:tc>
                <w:tcPr>
                  <w:tcW w:w="1120" w:type="dxa"/>
                  <w:vMerge w:val="continue"/>
                  <w:tcBorders>
                    <w:tl2br w:val="nil"/>
                    <w:tr2bl w:val="nil"/>
                  </w:tcBorders>
                  <w:noWrap w:val="0"/>
                  <w:vAlign w:val="center"/>
                </w:tcPr>
                <w:p w14:paraId="384DDDE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r>
            <w:tr w14:paraId="256BD7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27" w:hRule="atLeast"/>
                <w:jc w:val="center"/>
              </w:trPr>
              <w:tc>
                <w:tcPr>
                  <w:tcW w:w="1020" w:type="dxa"/>
                  <w:vMerge w:val="continue"/>
                  <w:tcBorders>
                    <w:tl2br w:val="nil"/>
                    <w:tr2bl w:val="nil"/>
                  </w:tcBorders>
                  <w:noWrap w:val="0"/>
                  <w:vAlign w:val="center"/>
                </w:tcPr>
                <w:p w14:paraId="2D77E7D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803" w:type="dxa"/>
                  <w:vMerge w:val="continue"/>
                  <w:tcBorders>
                    <w:tl2br w:val="nil"/>
                    <w:tr2bl w:val="nil"/>
                  </w:tcBorders>
                  <w:noWrap w:val="0"/>
                  <w:vAlign w:val="center"/>
                </w:tcPr>
                <w:p w14:paraId="7C7AE1C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955" w:type="dxa"/>
                  <w:vMerge w:val="continue"/>
                  <w:tcBorders>
                    <w:tl2br w:val="nil"/>
                    <w:tr2bl w:val="nil"/>
                  </w:tcBorders>
                  <w:noWrap w:val="0"/>
                  <w:vAlign w:val="center"/>
                </w:tcPr>
                <w:p w14:paraId="5BCCDB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p>
              </w:tc>
              <w:tc>
                <w:tcPr>
                  <w:tcW w:w="1233" w:type="dxa"/>
                  <w:tcBorders>
                    <w:tl2br w:val="nil"/>
                    <w:tr2bl w:val="nil"/>
                  </w:tcBorders>
                  <w:noWrap w:val="0"/>
                  <w:vAlign w:val="center"/>
                </w:tcPr>
                <w:p w14:paraId="3171693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caps w:val="0"/>
                      <w:color w:val="auto"/>
                      <w:spacing w:val="0"/>
                      <w:position w:val="0"/>
                      <w:sz w:val="21"/>
                      <w:szCs w:val="21"/>
                      <w:highlight w:val="none"/>
                      <w:shd w:val="clear" w:color="auto" w:fill="auto"/>
                      <w:lang w:val="en-US" w:eastAsia="zh-CN"/>
                    </w:rPr>
                  </w:pPr>
                  <w:r>
                    <w:rPr>
                      <w:rFonts w:hint="eastAsia" w:cs="Times New Roman"/>
                      <w:caps w:val="0"/>
                      <w:color w:val="auto"/>
                      <w:spacing w:val="0"/>
                      <w:position w:val="0"/>
                      <w:sz w:val="21"/>
                      <w:szCs w:val="21"/>
                      <w:highlight w:val="none"/>
                      <w:shd w:val="clear" w:color="auto" w:fill="auto"/>
                      <w:lang w:val="en-US" w:eastAsia="zh-CN"/>
                    </w:rPr>
                    <w:t>甲苯与二甲苯合计</w:t>
                  </w:r>
                </w:p>
              </w:tc>
              <w:tc>
                <w:tcPr>
                  <w:tcW w:w="1071" w:type="dxa"/>
                  <w:tcBorders>
                    <w:tl2br w:val="nil"/>
                    <w:tr2bl w:val="nil"/>
                  </w:tcBorders>
                  <w:noWrap w:val="0"/>
                  <w:vAlign w:val="center"/>
                </w:tcPr>
                <w:p w14:paraId="157B9B5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r>
                    <w:rPr>
                      <w:rFonts w:hint="eastAsia"/>
                      <w:color w:val="auto"/>
                      <w:sz w:val="21"/>
                      <w:highlight w:val="none"/>
                      <w:lang w:val="en-US" w:eastAsia="zh-CN"/>
                    </w:rPr>
                    <w:t>14.08</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continue"/>
                  <w:tcBorders>
                    <w:tl2br w:val="nil"/>
                    <w:tr2bl w:val="nil"/>
                  </w:tcBorders>
                  <w:noWrap w:val="0"/>
                  <w:vAlign w:val="center"/>
                </w:tcPr>
                <w:p w14:paraId="44252A3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p>
              </w:tc>
              <w:tc>
                <w:tcPr>
                  <w:tcW w:w="1118" w:type="dxa"/>
                  <w:tcBorders>
                    <w:tl2br w:val="nil"/>
                    <w:tr2bl w:val="nil"/>
                  </w:tcBorders>
                  <w:noWrap w:val="0"/>
                  <w:vAlign w:val="center"/>
                </w:tcPr>
                <w:p w14:paraId="6FF563D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0.8448kg</w:t>
                  </w:r>
                </w:p>
              </w:tc>
              <w:tc>
                <w:tcPr>
                  <w:tcW w:w="1120" w:type="dxa"/>
                  <w:vMerge w:val="continue"/>
                  <w:tcBorders>
                    <w:tl2br w:val="nil"/>
                    <w:tr2bl w:val="nil"/>
                  </w:tcBorders>
                  <w:noWrap w:val="0"/>
                  <w:vAlign w:val="center"/>
                </w:tcPr>
                <w:p w14:paraId="79E259D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r>
            <w:tr w14:paraId="00DC69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020" w:type="dxa"/>
                  <w:vMerge w:val="continue"/>
                  <w:tcBorders>
                    <w:tl2br w:val="nil"/>
                    <w:tr2bl w:val="nil"/>
                  </w:tcBorders>
                  <w:noWrap w:val="0"/>
                  <w:vAlign w:val="center"/>
                </w:tcPr>
                <w:p w14:paraId="4D5011E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803" w:type="dxa"/>
                  <w:vMerge w:val="restart"/>
                  <w:tcBorders>
                    <w:tl2br w:val="nil"/>
                    <w:tr2bl w:val="nil"/>
                  </w:tcBorders>
                  <w:noWrap w:val="0"/>
                  <w:vAlign w:val="center"/>
                </w:tcPr>
                <w:p w14:paraId="4A884D6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活性炭脱附+催化燃烧工况</w:t>
                  </w:r>
                </w:p>
              </w:tc>
              <w:tc>
                <w:tcPr>
                  <w:tcW w:w="955" w:type="dxa"/>
                  <w:vMerge w:val="restart"/>
                  <w:tcBorders>
                    <w:tl2br w:val="nil"/>
                    <w:tr2bl w:val="nil"/>
                  </w:tcBorders>
                  <w:noWrap w:val="0"/>
                  <w:vAlign w:val="center"/>
                </w:tcPr>
                <w:p w14:paraId="610562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1次/年</w:t>
                  </w:r>
                </w:p>
              </w:tc>
              <w:tc>
                <w:tcPr>
                  <w:tcW w:w="1233" w:type="dxa"/>
                  <w:tcBorders>
                    <w:tl2br w:val="nil"/>
                    <w:tr2bl w:val="nil"/>
                  </w:tcBorders>
                  <w:noWrap w:val="0"/>
                  <w:vAlign w:val="center"/>
                </w:tcPr>
                <w:p w14:paraId="7EF215D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position w:val="0"/>
                      <w:sz w:val="21"/>
                      <w:szCs w:val="21"/>
                      <w:highlight w:val="none"/>
                      <w:shd w:val="clear" w:color="auto" w:fill="auto"/>
                      <w:lang w:val="en-US" w:eastAsia="zh-CN"/>
                    </w:rPr>
                    <w:t>非甲烷总烃</w:t>
                  </w:r>
                </w:p>
              </w:tc>
              <w:tc>
                <w:tcPr>
                  <w:tcW w:w="1071" w:type="dxa"/>
                  <w:tcBorders>
                    <w:tl2br w:val="nil"/>
                    <w:tr2bl w:val="nil"/>
                  </w:tcBorders>
                  <w:noWrap w:val="0"/>
                  <w:vAlign w:val="center"/>
                </w:tcPr>
                <w:p w14:paraId="0A75CA5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kern w:val="2"/>
                      <w:position w:val="0"/>
                      <w:sz w:val="21"/>
                      <w:szCs w:val="21"/>
                      <w:highlight w:val="none"/>
                      <w:shd w:val="clear" w:color="auto" w:fill="auto"/>
                      <w:lang w:val="en-US" w:eastAsia="zh-CN" w:bidi="ar-SA"/>
                    </w:rPr>
                    <w:t>2321mg/m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restart"/>
                  <w:tcBorders>
                    <w:tl2br w:val="nil"/>
                    <w:tr2bl w:val="nil"/>
                  </w:tcBorders>
                  <w:noWrap w:val="0"/>
                  <w:vAlign w:val="center"/>
                </w:tcPr>
                <w:p w14:paraId="62C6CA1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单次1h</w:t>
                  </w:r>
                </w:p>
              </w:tc>
              <w:tc>
                <w:tcPr>
                  <w:tcW w:w="1118" w:type="dxa"/>
                  <w:tcBorders>
                    <w:tl2br w:val="nil"/>
                    <w:tr2bl w:val="nil"/>
                  </w:tcBorders>
                  <w:noWrap w:val="0"/>
                  <w:vAlign w:val="center"/>
                </w:tcPr>
                <w:p w14:paraId="1954493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6.963kg</w:t>
                  </w:r>
                </w:p>
              </w:tc>
              <w:tc>
                <w:tcPr>
                  <w:tcW w:w="1120" w:type="dxa"/>
                  <w:vMerge w:val="restart"/>
                  <w:tcBorders>
                    <w:tl2br w:val="nil"/>
                    <w:tr2bl w:val="nil"/>
                  </w:tcBorders>
                  <w:noWrap w:val="0"/>
                  <w:vAlign w:val="center"/>
                </w:tcPr>
                <w:p w14:paraId="4B31C34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r>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t>停产、维修</w:t>
                  </w:r>
                </w:p>
              </w:tc>
            </w:tr>
            <w:tr w14:paraId="504CD9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020" w:type="dxa"/>
                  <w:vMerge w:val="continue"/>
                  <w:tcBorders>
                    <w:tl2br w:val="nil"/>
                    <w:tr2bl w:val="nil"/>
                  </w:tcBorders>
                  <w:noWrap w:val="0"/>
                  <w:vAlign w:val="center"/>
                </w:tcPr>
                <w:p w14:paraId="542FFC0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803" w:type="dxa"/>
                  <w:vMerge w:val="continue"/>
                  <w:tcBorders>
                    <w:tl2br w:val="nil"/>
                    <w:tr2bl w:val="nil"/>
                  </w:tcBorders>
                  <w:noWrap w:val="0"/>
                  <w:vAlign w:val="center"/>
                </w:tcPr>
                <w:p w14:paraId="48457CF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955" w:type="dxa"/>
                  <w:vMerge w:val="continue"/>
                  <w:tcBorders>
                    <w:tl2br w:val="nil"/>
                    <w:tr2bl w:val="nil"/>
                  </w:tcBorders>
                  <w:noWrap w:val="0"/>
                  <w:vAlign w:val="center"/>
                </w:tcPr>
                <w:p w14:paraId="4C2079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p>
              </w:tc>
              <w:tc>
                <w:tcPr>
                  <w:tcW w:w="1233" w:type="dxa"/>
                  <w:tcBorders>
                    <w:tl2br w:val="nil"/>
                    <w:tr2bl w:val="nil"/>
                  </w:tcBorders>
                  <w:noWrap w:val="0"/>
                  <w:vAlign w:val="center"/>
                </w:tcPr>
                <w:p w14:paraId="2A5CE50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position w:val="0"/>
                      <w:sz w:val="21"/>
                      <w:szCs w:val="21"/>
                      <w:highlight w:val="none"/>
                      <w:shd w:val="clear" w:color="auto" w:fill="auto"/>
                      <w:lang w:val="en-US" w:eastAsia="zh-CN"/>
                    </w:rPr>
                    <w:t>苯</w:t>
                  </w:r>
                </w:p>
              </w:tc>
              <w:tc>
                <w:tcPr>
                  <w:tcW w:w="1071" w:type="dxa"/>
                  <w:tcBorders>
                    <w:tl2br w:val="nil"/>
                    <w:tr2bl w:val="nil"/>
                  </w:tcBorders>
                  <w:noWrap w:val="0"/>
                  <w:vAlign w:val="center"/>
                </w:tcPr>
                <w:p w14:paraId="5F14885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kern w:val="2"/>
                      <w:position w:val="0"/>
                      <w:sz w:val="21"/>
                      <w:szCs w:val="21"/>
                      <w:highlight w:val="none"/>
                      <w:shd w:val="clear" w:color="auto" w:fill="auto"/>
                      <w:lang w:val="en-US" w:eastAsia="zh-CN" w:bidi="ar-SA"/>
                    </w:rPr>
                    <w:t>49mg/m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continue"/>
                  <w:tcBorders>
                    <w:tl2br w:val="nil"/>
                    <w:tr2bl w:val="nil"/>
                  </w:tcBorders>
                  <w:noWrap w:val="0"/>
                  <w:vAlign w:val="center"/>
                </w:tcPr>
                <w:p w14:paraId="2900E32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p>
              </w:tc>
              <w:tc>
                <w:tcPr>
                  <w:tcW w:w="1118" w:type="dxa"/>
                  <w:tcBorders>
                    <w:tl2br w:val="nil"/>
                    <w:tr2bl w:val="nil"/>
                  </w:tcBorders>
                  <w:noWrap w:val="0"/>
                  <w:vAlign w:val="center"/>
                </w:tcPr>
                <w:p w14:paraId="0EDC9CC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0.147kg</w:t>
                  </w:r>
                </w:p>
              </w:tc>
              <w:tc>
                <w:tcPr>
                  <w:tcW w:w="1120" w:type="dxa"/>
                  <w:vMerge w:val="continue"/>
                  <w:tcBorders>
                    <w:tl2br w:val="nil"/>
                    <w:tr2bl w:val="nil"/>
                  </w:tcBorders>
                  <w:noWrap w:val="0"/>
                  <w:vAlign w:val="center"/>
                </w:tcPr>
                <w:p w14:paraId="7C5490F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r>
            <w:tr w14:paraId="086295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020" w:type="dxa"/>
                  <w:vMerge w:val="continue"/>
                  <w:tcBorders>
                    <w:tl2br w:val="nil"/>
                    <w:tr2bl w:val="nil"/>
                  </w:tcBorders>
                  <w:noWrap w:val="0"/>
                  <w:vAlign w:val="center"/>
                </w:tcPr>
                <w:p w14:paraId="516BB88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803" w:type="dxa"/>
                  <w:vMerge w:val="continue"/>
                  <w:tcBorders>
                    <w:tl2br w:val="nil"/>
                    <w:tr2bl w:val="nil"/>
                  </w:tcBorders>
                  <w:noWrap w:val="0"/>
                  <w:vAlign w:val="center"/>
                </w:tcPr>
                <w:p w14:paraId="2D7CEF3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955" w:type="dxa"/>
                  <w:vMerge w:val="continue"/>
                  <w:tcBorders>
                    <w:tl2br w:val="nil"/>
                    <w:tr2bl w:val="nil"/>
                  </w:tcBorders>
                  <w:noWrap w:val="0"/>
                  <w:vAlign w:val="center"/>
                </w:tcPr>
                <w:p w14:paraId="72CDC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p>
              </w:tc>
              <w:tc>
                <w:tcPr>
                  <w:tcW w:w="1233" w:type="dxa"/>
                  <w:tcBorders>
                    <w:tl2br w:val="nil"/>
                    <w:tr2bl w:val="nil"/>
                  </w:tcBorders>
                  <w:noWrap w:val="0"/>
                  <w:vAlign w:val="center"/>
                </w:tcPr>
                <w:p w14:paraId="04E7119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position w:val="0"/>
                      <w:sz w:val="21"/>
                      <w:szCs w:val="21"/>
                      <w:highlight w:val="none"/>
                      <w:shd w:val="clear" w:color="auto" w:fill="auto"/>
                      <w:lang w:val="en-US" w:eastAsia="zh-CN"/>
                    </w:rPr>
                    <w:t>甲苯与二甲苯合计</w:t>
                  </w:r>
                </w:p>
              </w:tc>
              <w:tc>
                <w:tcPr>
                  <w:tcW w:w="1071" w:type="dxa"/>
                  <w:tcBorders>
                    <w:tl2br w:val="nil"/>
                    <w:tr2bl w:val="nil"/>
                  </w:tcBorders>
                  <w:noWrap w:val="0"/>
                  <w:vAlign w:val="center"/>
                </w:tcPr>
                <w:p w14:paraId="0B9CB47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kern w:val="2"/>
                      <w:position w:val="0"/>
                      <w:sz w:val="21"/>
                      <w:szCs w:val="21"/>
                      <w:highlight w:val="none"/>
                      <w:shd w:val="clear" w:color="auto" w:fill="auto"/>
                      <w:lang w:val="en-US" w:eastAsia="zh-CN" w:bidi="ar-SA"/>
                    </w:rPr>
                    <w:t>475mg/m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continue"/>
                  <w:tcBorders>
                    <w:tl2br w:val="nil"/>
                    <w:tr2bl w:val="nil"/>
                  </w:tcBorders>
                  <w:noWrap w:val="0"/>
                  <w:vAlign w:val="center"/>
                </w:tcPr>
                <w:p w14:paraId="6B165B7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p>
              </w:tc>
              <w:tc>
                <w:tcPr>
                  <w:tcW w:w="1118" w:type="dxa"/>
                  <w:tcBorders>
                    <w:tl2br w:val="nil"/>
                    <w:tr2bl w:val="nil"/>
                  </w:tcBorders>
                  <w:noWrap w:val="0"/>
                  <w:vAlign w:val="center"/>
                </w:tcPr>
                <w:p w14:paraId="396DD62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1.425kg</w:t>
                  </w:r>
                </w:p>
              </w:tc>
              <w:tc>
                <w:tcPr>
                  <w:tcW w:w="1120" w:type="dxa"/>
                  <w:vMerge w:val="continue"/>
                  <w:tcBorders>
                    <w:tl2br w:val="nil"/>
                    <w:tr2bl w:val="nil"/>
                  </w:tcBorders>
                  <w:noWrap w:val="0"/>
                  <w:vAlign w:val="center"/>
                </w:tcPr>
                <w:p w14:paraId="2E12D63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r>
            <w:tr w14:paraId="13C750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020" w:type="dxa"/>
                  <w:tcBorders>
                    <w:tl2br w:val="nil"/>
                    <w:tr2bl w:val="nil"/>
                  </w:tcBorders>
                  <w:noWrap w:val="0"/>
                  <w:vAlign w:val="center"/>
                </w:tcPr>
                <w:p w14:paraId="65A63FA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喷塑、打磨、腻子打磨、打砂废气排放口</w:t>
                  </w:r>
                </w:p>
              </w:tc>
              <w:tc>
                <w:tcPr>
                  <w:tcW w:w="803" w:type="dxa"/>
                  <w:tcBorders>
                    <w:tl2br w:val="nil"/>
                    <w:tr2bl w:val="nil"/>
                  </w:tcBorders>
                  <w:noWrap w:val="0"/>
                  <w:vAlign w:val="center"/>
                </w:tcPr>
                <w:p w14:paraId="02BC641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袋式除尘器</w:t>
                  </w:r>
                </w:p>
              </w:tc>
              <w:tc>
                <w:tcPr>
                  <w:tcW w:w="955" w:type="dxa"/>
                  <w:tcBorders>
                    <w:tl2br w:val="nil"/>
                    <w:tr2bl w:val="nil"/>
                  </w:tcBorders>
                  <w:noWrap w:val="0"/>
                  <w:vAlign w:val="center"/>
                </w:tcPr>
                <w:p w14:paraId="1EC81E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1次/年</w:t>
                  </w:r>
                </w:p>
              </w:tc>
              <w:tc>
                <w:tcPr>
                  <w:tcW w:w="1233" w:type="dxa"/>
                  <w:tcBorders>
                    <w:tl2br w:val="nil"/>
                    <w:tr2bl w:val="nil"/>
                  </w:tcBorders>
                  <w:noWrap w:val="0"/>
                  <w:vAlign w:val="center"/>
                </w:tcPr>
                <w:p w14:paraId="08D6766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caps w:val="0"/>
                      <w:color w:val="auto"/>
                      <w:spacing w:val="0"/>
                      <w:position w:val="0"/>
                      <w:sz w:val="21"/>
                      <w:szCs w:val="21"/>
                      <w:highlight w:val="none"/>
                      <w:shd w:val="clear" w:color="auto" w:fill="auto"/>
                      <w:lang w:val="en-US" w:eastAsia="zh-CN"/>
                    </w:rPr>
                  </w:pPr>
                  <w:r>
                    <w:rPr>
                      <w:rFonts w:hint="eastAsia" w:cs="Times New Roman"/>
                      <w:caps w:val="0"/>
                      <w:color w:val="auto"/>
                      <w:spacing w:val="0"/>
                      <w:position w:val="0"/>
                      <w:sz w:val="21"/>
                      <w:szCs w:val="21"/>
                      <w:highlight w:val="none"/>
                      <w:shd w:val="clear" w:color="auto" w:fill="auto"/>
                      <w:lang w:val="en-US" w:eastAsia="zh-CN"/>
                    </w:rPr>
                    <w:t>颗粒物</w:t>
                  </w:r>
                </w:p>
              </w:tc>
              <w:tc>
                <w:tcPr>
                  <w:tcW w:w="1071" w:type="dxa"/>
                  <w:tcBorders>
                    <w:tl2br w:val="nil"/>
                    <w:tr2bl w:val="nil"/>
                  </w:tcBorders>
                  <w:noWrap w:val="0"/>
                  <w:vAlign w:val="center"/>
                </w:tcPr>
                <w:p w14:paraId="18CC58E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kern w:val="2"/>
                      <w:position w:val="0"/>
                      <w:sz w:val="21"/>
                      <w:szCs w:val="21"/>
                      <w:highlight w:val="none"/>
                      <w:shd w:val="clear" w:color="auto" w:fill="auto"/>
                      <w:lang w:val="en-US" w:eastAsia="zh-CN" w:bidi="ar-SA"/>
                    </w:rPr>
                    <w:t>231mg/m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tcBorders>
                    <w:tl2br w:val="nil"/>
                    <w:tr2bl w:val="nil"/>
                  </w:tcBorders>
                  <w:noWrap w:val="0"/>
                  <w:vAlign w:val="center"/>
                </w:tcPr>
                <w:p w14:paraId="22935AB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单次1h</w:t>
                  </w:r>
                </w:p>
              </w:tc>
              <w:tc>
                <w:tcPr>
                  <w:tcW w:w="1118" w:type="dxa"/>
                  <w:tcBorders>
                    <w:tl2br w:val="nil"/>
                    <w:tr2bl w:val="nil"/>
                  </w:tcBorders>
                  <w:noWrap w:val="0"/>
                  <w:vAlign w:val="center"/>
                </w:tcPr>
                <w:p w14:paraId="5546899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4.72kg</w:t>
                  </w:r>
                </w:p>
              </w:tc>
              <w:tc>
                <w:tcPr>
                  <w:tcW w:w="1120" w:type="dxa"/>
                  <w:tcBorders>
                    <w:tl2br w:val="nil"/>
                    <w:tr2bl w:val="nil"/>
                  </w:tcBorders>
                  <w:noWrap w:val="0"/>
                  <w:vAlign w:val="center"/>
                </w:tcPr>
                <w:p w14:paraId="0E42C9E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r>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t>停产、维修</w:t>
                  </w:r>
                </w:p>
              </w:tc>
            </w:tr>
          </w:tbl>
          <w:p w14:paraId="29C167A9">
            <w:pPr>
              <w:bidi w:val="0"/>
              <w:rPr>
                <w:rFonts w:hint="eastAsia"/>
                <w:b/>
                <w:bCs/>
                <w:color w:val="auto"/>
              </w:rPr>
            </w:pPr>
            <w:r>
              <w:rPr>
                <w:rFonts w:hint="default"/>
                <w:b/>
                <w:bCs/>
                <w:color w:val="auto"/>
              </w:rPr>
              <w:t>1.</w:t>
            </w:r>
            <w:r>
              <w:rPr>
                <w:rFonts w:hint="eastAsia"/>
                <w:b/>
                <w:bCs/>
                <w:color w:val="auto"/>
                <w:lang w:val="en-US" w:eastAsia="zh-CN"/>
              </w:rPr>
              <w:t>5</w:t>
            </w:r>
            <w:r>
              <w:rPr>
                <w:rFonts w:hint="eastAsia"/>
                <w:b/>
                <w:bCs/>
                <w:color w:val="auto"/>
              </w:rPr>
              <w:t>废气治理设施可行性分析</w:t>
            </w:r>
          </w:p>
          <w:p w14:paraId="7892A525">
            <w:pPr>
              <w:bidi w:val="0"/>
              <w:rPr>
                <w:rFonts w:hint="default"/>
                <w:color w:val="auto"/>
                <w:lang w:val="en-US"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lang w:val="en-US" w:eastAsia="zh-CN"/>
              </w:rPr>
              <w:t>移动烟尘净化器</w:t>
            </w:r>
          </w:p>
          <w:p w14:paraId="266C9EB0">
            <w:pPr>
              <w:bidi w:val="0"/>
              <w:rPr>
                <w:color w:val="auto"/>
                <w:sz w:val="24"/>
                <w:szCs w:val="24"/>
              </w:rPr>
            </w:pPr>
            <w:r>
              <w:rPr>
                <w:rFonts w:hint="eastAsia"/>
                <w:color w:val="auto"/>
                <w:sz w:val="24"/>
                <w:szCs w:val="24"/>
              </w:rPr>
              <w:t>移动烟尘净化器工作原理：内部高压风机在吸气臂罩口处形成负压区域，焊接烟尘在负压的作用下由吸气臂进入焊接烟尘净化器设备主体，进风口处阻火器阻留焊接火花，烟尘气体进入焊接烟尘净化器设备主体净化室，高效过滤棉将微小烟雾粉尘颗粒过滤在焊接烟尘净化器设备净化室内，洁净气体经过滤棉过滤净化后进入焊接烟雾净化器设备洁净室，洁净空气又经</w:t>
            </w:r>
            <w:r>
              <w:rPr>
                <w:rFonts w:hint="eastAsia"/>
                <w:color w:val="auto"/>
                <w:sz w:val="24"/>
                <w:szCs w:val="24"/>
                <w:lang w:eastAsia="zh-CN"/>
              </w:rPr>
              <w:t>活性炭</w:t>
            </w:r>
            <w:r>
              <w:rPr>
                <w:rFonts w:hint="eastAsia"/>
                <w:color w:val="auto"/>
                <w:sz w:val="24"/>
                <w:szCs w:val="24"/>
              </w:rPr>
              <w:t>过滤器进一步吸附净化后经出风口排出。</w:t>
            </w:r>
            <w:r>
              <w:rPr>
                <w:color w:val="auto"/>
                <w:sz w:val="24"/>
                <w:szCs w:val="24"/>
              </w:rPr>
              <w:t>焊接烟雾</w:t>
            </w:r>
            <w:r>
              <w:rPr>
                <w:color w:val="auto"/>
                <w:sz w:val="24"/>
                <w:szCs w:val="24"/>
              </w:rPr>
              <w:fldChar w:fldCharType="begin"/>
            </w:r>
            <w:r>
              <w:rPr>
                <w:color w:val="auto"/>
                <w:sz w:val="24"/>
                <w:szCs w:val="24"/>
              </w:rPr>
              <w:instrText xml:space="preserve"> HYPERLINK "https://baike.baidu.com/item/%E5%87%80%E5%8C%96%E5%99%A8" \t "https://baike.baidu.com/item/%E7%A7%BB%E5%8A%A8%E5%BC%8F%E7%84%8A%E6%8E%A5%E7%83%9F%E5%B0%98%E5%87%80%E5%8C%96%E5%99%A8/_blank" </w:instrText>
            </w:r>
            <w:r>
              <w:rPr>
                <w:color w:val="auto"/>
                <w:sz w:val="24"/>
                <w:szCs w:val="24"/>
              </w:rPr>
              <w:fldChar w:fldCharType="separate"/>
            </w:r>
            <w:r>
              <w:rPr>
                <w:rStyle w:val="25"/>
                <w:rFonts w:ascii="Times New Roman" w:hAnsi="Times New Roman" w:eastAsia="宋体" w:cs="Times New Roman"/>
                <w:b w:val="0"/>
                <w:color w:val="auto"/>
                <w:sz w:val="24"/>
                <w:szCs w:val="24"/>
                <w:shd w:val="clear" w:color="auto" w:fill="FFFFFF"/>
              </w:rPr>
              <w:t>净化器</w:t>
            </w:r>
            <w:r>
              <w:rPr>
                <w:color w:val="auto"/>
                <w:sz w:val="24"/>
                <w:szCs w:val="24"/>
              </w:rPr>
              <w:fldChar w:fldCharType="end"/>
            </w:r>
            <w:r>
              <w:rPr>
                <w:color w:val="auto"/>
                <w:sz w:val="24"/>
                <w:szCs w:val="24"/>
              </w:rPr>
              <w:t>就此完成了焊接</w:t>
            </w:r>
            <w:r>
              <w:rPr>
                <w:color w:val="auto"/>
                <w:sz w:val="24"/>
                <w:szCs w:val="24"/>
              </w:rPr>
              <w:fldChar w:fldCharType="begin"/>
            </w:r>
            <w:r>
              <w:rPr>
                <w:color w:val="auto"/>
                <w:sz w:val="24"/>
                <w:szCs w:val="24"/>
              </w:rPr>
              <w:instrText xml:space="preserve"> HYPERLINK "https://baike.baidu.com/item/%E7%83%9F%E5%B0%98%E5%87%80%E5%8C%96" \t "https://baike.baidu.com/item/%E7%A7%BB%E5%8A%A8%E5%BC%8F%E7%84%8A%E6%8E%A5%E7%83%9F%E5%B0%98%E5%87%80%E5%8C%96%E5%99%A8/_blank" </w:instrText>
            </w:r>
            <w:r>
              <w:rPr>
                <w:color w:val="auto"/>
                <w:sz w:val="24"/>
                <w:szCs w:val="24"/>
              </w:rPr>
              <w:fldChar w:fldCharType="separate"/>
            </w:r>
            <w:r>
              <w:rPr>
                <w:rStyle w:val="25"/>
                <w:rFonts w:ascii="Times New Roman" w:hAnsi="Times New Roman" w:eastAsia="宋体" w:cs="Times New Roman"/>
                <w:b w:val="0"/>
                <w:color w:val="auto"/>
                <w:sz w:val="24"/>
                <w:szCs w:val="24"/>
                <w:shd w:val="clear" w:color="auto" w:fill="FFFFFF"/>
              </w:rPr>
              <w:t>烟尘净化</w:t>
            </w:r>
            <w:r>
              <w:rPr>
                <w:color w:val="auto"/>
                <w:sz w:val="24"/>
                <w:szCs w:val="24"/>
              </w:rPr>
              <w:fldChar w:fldCharType="end"/>
            </w:r>
            <w:r>
              <w:rPr>
                <w:color w:val="auto"/>
                <w:sz w:val="24"/>
                <w:szCs w:val="24"/>
              </w:rPr>
              <w:t>的整个过程</w:t>
            </w:r>
            <w:r>
              <w:rPr>
                <w:rFonts w:hint="eastAsia"/>
                <w:color w:val="auto"/>
                <w:sz w:val="24"/>
                <w:szCs w:val="24"/>
              </w:rPr>
              <w:t>，移动烟尘净化器广泛用于各种焊接、</w:t>
            </w:r>
            <w:r>
              <w:rPr>
                <w:color w:val="auto"/>
                <w:sz w:val="24"/>
                <w:szCs w:val="24"/>
              </w:rPr>
              <w:fldChar w:fldCharType="begin"/>
            </w:r>
            <w:r>
              <w:rPr>
                <w:color w:val="auto"/>
                <w:sz w:val="24"/>
                <w:szCs w:val="24"/>
              </w:rPr>
              <w:instrText xml:space="preserve"> HYPERLINK "https://baike.baidu.com/item/%E6%8A%9B%E5%85%89" \t "https://baike.baidu.com/item/%E7%A7%BB%E5%8A%A8%E5%BC%8F%E7%84%8A%E6%8E%A5%E7%83%9F%E5%B0%98%E5%87%80%E5%8C%96%E5%99%A8/_blank" </w:instrText>
            </w:r>
            <w:r>
              <w:rPr>
                <w:color w:val="auto"/>
                <w:sz w:val="24"/>
                <w:szCs w:val="24"/>
              </w:rPr>
              <w:fldChar w:fldCharType="separate"/>
            </w:r>
            <w:r>
              <w:rPr>
                <w:rStyle w:val="25"/>
                <w:rFonts w:ascii="Times New Roman" w:hAnsi="Times New Roman" w:eastAsia="宋体" w:cs="Times New Roman"/>
                <w:b w:val="0"/>
                <w:color w:val="auto"/>
                <w:sz w:val="24"/>
                <w:szCs w:val="24"/>
                <w:shd w:val="clear" w:color="auto" w:fill="FFFFFF"/>
              </w:rPr>
              <w:t>抛光</w:t>
            </w:r>
            <w:r>
              <w:rPr>
                <w:color w:val="auto"/>
                <w:sz w:val="24"/>
                <w:szCs w:val="24"/>
              </w:rPr>
              <w:fldChar w:fldCharType="end"/>
            </w:r>
            <w:r>
              <w:rPr>
                <w:color w:val="auto"/>
                <w:sz w:val="24"/>
                <w:szCs w:val="24"/>
              </w:rPr>
              <w:t>、打磨等工序中产生烟尘和粉尘的净化以及对稀有金属、贵重物料的回收等适用于除尘比较分散</w:t>
            </w:r>
            <w:r>
              <w:rPr>
                <w:rFonts w:hint="eastAsia"/>
                <w:color w:val="auto"/>
                <w:sz w:val="24"/>
                <w:szCs w:val="24"/>
              </w:rPr>
              <w:t>，</w:t>
            </w:r>
            <w:r>
              <w:rPr>
                <w:color w:val="auto"/>
                <w:sz w:val="24"/>
                <w:szCs w:val="24"/>
              </w:rPr>
              <w:t>烟尘量也较大的工位</w:t>
            </w:r>
            <w:r>
              <w:rPr>
                <w:rFonts w:hint="eastAsia"/>
                <w:color w:val="auto"/>
                <w:sz w:val="24"/>
                <w:szCs w:val="24"/>
              </w:rPr>
              <w:t>，因此，本项目使用移动烟尘净化器处理焊接烟尘可行。</w:t>
            </w:r>
          </w:p>
          <w:p w14:paraId="12B7544A">
            <w:pPr>
              <w:keepNext w:val="0"/>
              <w:keepLines w:val="0"/>
              <w:widowControl/>
              <w:suppressLineNumbers w:val="0"/>
              <w:jc w:val="left"/>
              <w:rPr>
                <w:rFonts w:hint="eastAsia"/>
                <w:color w:val="auto"/>
                <w:lang w:val="en-US" w:eastAsia="zh-CN"/>
              </w:rPr>
            </w:pPr>
            <w:r>
              <w:rPr>
                <w:rFonts w:hint="eastAsia"/>
                <w:color w:val="auto"/>
                <w:lang w:val="en-US" w:eastAsia="zh-CN"/>
              </w:rPr>
              <w:t>（2）</w:t>
            </w:r>
            <w:r>
              <w:rPr>
                <w:rFonts w:ascii="脣脦脤氓" w:hAnsi="脣脦脤氓" w:eastAsia="脣脦脤氓" w:cs="脣脦脤氓"/>
                <w:color w:val="auto"/>
                <w:kern w:val="0"/>
                <w:sz w:val="25"/>
                <w:szCs w:val="25"/>
                <w:lang w:val="en-US" w:eastAsia="zh-CN" w:bidi="ar"/>
              </w:rPr>
              <w:t>脉冲袋式除尘器</w:t>
            </w:r>
          </w:p>
          <w:p w14:paraId="3E8DD50D">
            <w:pPr>
              <w:keepNext w:val="0"/>
              <w:keepLines w:val="0"/>
              <w:widowControl/>
              <w:suppressLineNumbers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脉冲袋式除尘器是通过滤袋滤除含尘气体中颗粒物的分离净化装置，是一种干式高效过滤除尘器，脉冲袋式除尘器的工作原理是通过袋式缝隙的过滤作用而阻挡粉尘，当滤袋上的颗粒物沉积到一定程度时，通过脉冲作用使滤袋抖动并变形，沉积的颗粒物落入集灰斗，避免了喷吹清灰产生二次扬尘，同时运行平稳，除尘效率高。</w:t>
            </w:r>
          </w:p>
          <w:p w14:paraId="3D33D5A6">
            <w:pPr>
              <w:keepNext w:val="0"/>
              <w:keepLines w:val="0"/>
              <w:widowControl/>
              <w:suppressLineNumbers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随着科技的发展，袋式除尘器滤料已出现多种形式，从过滤效果可分为普通滤料和覆膜滤料。</w:t>
            </w:r>
          </w:p>
          <w:p w14:paraId="1E6589C2">
            <w:pPr>
              <w:keepNext w:val="0"/>
              <w:keepLines w:val="0"/>
              <w:widowControl/>
              <w:suppressLineNumbers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覆膜滤料是在普通滤料表面复合一层高效过滤薄膜而形成的一种新型滤料。这层薄膜相当于起</w:t>
            </w:r>
            <w:r>
              <w:rPr>
                <w:rFonts w:hint="eastAsia" w:ascii="宋体" w:hAnsi="宋体" w:eastAsia="宋体" w:cs="宋体"/>
                <w:color w:val="auto"/>
                <w:kern w:val="0"/>
                <w:sz w:val="24"/>
                <w:szCs w:val="24"/>
                <w:lang w:val="en-US" w:eastAsia="zh-CN" w:bidi="ar"/>
              </w:rPr>
              <w:t>到了“一次粉尘层”的</w:t>
            </w:r>
            <w:r>
              <w:rPr>
                <w:rFonts w:hint="default" w:ascii="Times New Roman" w:hAnsi="Times New Roman" w:eastAsia="宋体" w:cs="Times New Roman"/>
                <w:color w:val="auto"/>
                <w:kern w:val="0"/>
                <w:sz w:val="24"/>
                <w:szCs w:val="24"/>
                <w:lang w:val="en-US" w:eastAsia="zh-CN" w:bidi="ar"/>
              </w:rPr>
              <w:t>作用，物料交换是在膜表面进行的，使用之初就能进行有效的过滤。薄膜特有的立体网状结构，使颗粒物无法穿过，不会造成孔隙堵塞。</w:t>
            </w:r>
          </w:p>
          <w:p w14:paraId="0D1AD5D7">
            <w:pPr>
              <w:keepNext w:val="0"/>
              <w:keepLines w:val="0"/>
              <w:widowControl/>
              <w:suppressLineNumbers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覆膜滤料过滤方式称</w:t>
            </w:r>
            <w:r>
              <w:rPr>
                <w:rFonts w:hint="eastAsia" w:ascii="宋体" w:hAnsi="宋体" w:eastAsia="宋体" w:cs="宋体"/>
                <w:color w:val="auto"/>
                <w:kern w:val="0"/>
                <w:sz w:val="24"/>
                <w:szCs w:val="24"/>
                <w:lang w:val="en-US" w:eastAsia="zh-CN" w:bidi="ar"/>
              </w:rPr>
              <w:t>为“表面过滤”</w:t>
            </w:r>
            <w:r>
              <w:rPr>
                <w:rFonts w:hint="default" w:ascii="Times New Roman" w:hAnsi="Times New Roman" w:eastAsia="宋体" w:cs="Times New Roman"/>
                <w:color w:val="auto"/>
                <w:kern w:val="0"/>
                <w:sz w:val="24"/>
                <w:szCs w:val="24"/>
                <w:lang w:val="en-US" w:eastAsia="zh-CN" w:bidi="ar"/>
              </w:rPr>
              <w:t>，性能优异，与普通滤料相比，其优点是：</w:t>
            </w:r>
          </w:p>
          <w:p w14:paraId="496C286A">
            <w:pPr>
              <w:keepNext w:val="0"/>
              <w:keepLines w:val="0"/>
              <w:widowControl/>
              <w:suppressLineNumbers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①表面过滤效率高。通常工业用滤材是依赖在滤材表面先建立一次粉尘层进行有效过滤，建立有效过滤时间</w:t>
            </w:r>
            <w:r>
              <w:rPr>
                <w:rFonts w:hint="eastAsia" w:ascii="宋体" w:hAnsi="宋体" w:eastAsia="宋体" w:cs="宋体"/>
                <w:color w:val="auto"/>
                <w:kern w:val="0"/>
                <w:sz w:val="24"/>
                <w:szCs w:val="24"/>
                <w:lang w:val="en-US" w:eastAsia="zh-CN" w:bidi="ar"/>
              </w:rPr>
              <w:t>长(约需</w:t>
            </w:r>
            <w:r>
              <w:rPr>
                <w:rFonts w:hint="default" w:ascii="Times New Roman" w:hAnsi="Times New Roman" w:eastAsia="宋体" w:cs="Times New Roman"/>
                <w:color w:val="auto"/>
                <w:kern w:val="0"/>
                <w:sz w:val="24"/>
                <w:szCs w:val="24"/>
                <w:lang w:val="en-US" w:eastAsia="zh-CN" w:bidi="ar"/>
              </w:rPr>
              <w:t>整个滤程的10</w:t>
            </w:r>
            <w:r>
              <w:rPr>
                <w:rFonts w:hint="eastAsia" w:ascii="Times New Roman" w:hAnsi="Times New Roman" w:eastAsia="宋体"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阻力大，效率低，截留不完全，损耗也大，过滤和反吹压力高，清灰频繁，能耗较高，使用寿命不长，设备占地面积大。使用覆膜滤布，颗粒物不能透入滤料，只是表面过滤，无论是粗、细颗粒物，全部沉积在滤料表面，即靠膜本身孔径截留被滤物，无初滤期，开始就是有效过滤，近百分之百的时间处于有效过滤。</w:t>
            </w:r>
          </w:p>
          <w:p w14:paraId="6E694730">
            <w:pPr>
              <w:keepNext w:val="0"/>
              <w:keepLines w:val="0"/>
              <w:widowControl/>
              <w:suppressLineNumbers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②低压、高通量连续工作。传统的深层过滤的滤料，一旦投入使用，颗粒物穿透，建立一次粉尘层，透气性便迅速下降。过滤时，内部堆积的颗粒物造成阻塞现象，从而增加了除尘设备的阻力。覆膜滤料以微细孔径及其不黏性，使颗粒物穿透率近于零，投入使用后提供极佳的过滤效率，当沉积在覆膜滤料表面的颗粒物达到一定厚度时，就会自动脱落，易清灰，使过滤压力始终保持在很低的水平，空气流量始终保持在较高水平，可连续工作。而过滤压力的降低，使其可以选择长滤袋形式，以减少占地面积。</w:t>
            </w:r>
          </w:p>
          <w:p w14:paraId="190DA884">
            <w:pPr>
              <w:keepNext w:val="0"/>
              <w:keepLines w:val="0"/>
              <w:widowControl/>
              <w:suppressLineNumbers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③容易清灰。任何一种滤料的操作压力损失直接取决于清灰后残留在滤料表面上、下的颗粒物量。覆膜滤料清灰容易，具有非常优越的清灰特性，每次清灰都能彻底除去尘层，滤料内部不会产生堵塞，不会改变孔隙率和质密度，能经常维持于较低压力损失工作。</w:t>
            </w:r>
          </w:p>
          <w:p w14:paraId="1789AE6A">
            <w:pPr>
              <w:keepNext w:val="0"/>
              <w:keepLines w:val="0"/>
              <w:widowControl/>
              <w:suppressLineNumbers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④寿命长。覆膜滤料无论采用什么清灰机制，都可以发挥其优越的特性，是一种将工业除尘器设计机能完全过滤作用的过滤材料，因而成本低廉。覆膜滤料是一种强韧而柔软的纤维结构，与坚强的基材复合而成，所以有足够的机械强度，加之有卓越的脱灰性，降低了清灰强度，在低而稳的压力损失下，能长期使用，延长了滤袋寿命。覆膜滤料不同的膜孔径对颗粒物的去除效率不同，一般对应情况见下表。</w:t>
            </w:r>
          </w:p>
          <w:p w14:paraId="31894868">
            <w:pPr>
              <w:keepNext w:val="0"/>
              <w:keepLines w:val="0"/>
              <w:suppressLineNumbers w:val="0"/>
              <w:spacing w:before="0" w:beforeAutospacing="0" w:after="0" w:afterAutospacing="0" w:line="480" w:lineRule="exact"/>
              <w:ind w:left="0" w:right="0"/>
              <w:jc w:val="center"/>
              <w:rPr>
                <w:rFonts w:hint="eastAsia"/>
                <w:b/>
                <w:bCs/>
                <w:color w:val="auto"/>
                <w:sz w:val="21"/>
                <w:szCs w:val="21"/>
                <w:lang w:val="en-US" w:eastAsia="zh-CN"/>
              </w:rPr>
            </w:pPr>
            <w:r>
              <w:rPr>
                <w:rFonts w:hint="eastAsia"/>
                <w:b/>
                <w:bCs/>
                <w:color w:val="auto"/>
                <w:sz w:val="21"/>
                <w:szCs w:val="21"/>
              </w:rPr>
              <w:t>表</w:t>
            </w:r>
            <w:r>
              <w:rPr>
                <w:rFonts w:hint="eastAsia"/>
                <w:b/>
                <w:bCs/>
                <w:color w:val="auto"/>
                <w:sz w:val="21"/>
                <w:szCs w:val="21"/>
                <w:lang w:val="en-US" w:eastAsia="zh-CN"/>
              </w:rPr>
              <w:t>37</w:t>
            </w:r>
            <w:r>
              <w:rPr>
                <w:rFonts w:hint="eastAsia"/>
                <w:b/>
                <w:bCs/>
                <w:color w:val="auto"/>
                <w:sz w:val="21"/>
                <w:szCs w:val="21"/>
              </w:rPr>
              <w:t xml:space="preserve">  </w:t>
            </w:r>
            <w:r>
              <w:rPr>
                <w:rFonts w:hint="eastAsia"/>
                <w:b/>
                <w:bCs/>
                <w:color w:val="auto"/>
                <w:sz w:val="21"/>
                <w:szCs w:val="21"/>
                <w:lang w:val="en-US" w:eastAsia="zh-CN"/>
              </w:rPr>
              <w:t>覆膜滤料不同的膜孔径与颗粒物粒径对应情况一览表</w:t>
            </w:r>
          </w:p>
          <w:tbl>
            <w:tblPr>
              <w:tblStyle w:val="20"/>
              <w:tblW w:w="64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22"/>
              <w:gridCol w:w="2535"/>
              <w:gridCol w:w="2626"/>
            </w:tblGrid>
            <w:tr w14:paraId="206BA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22" w:type="dxa"/>
                  <w:noWrap w:val="0"/>
                  <w:vAlign w:val="center"/>
                </w:tcPr>
                <w:p w14:paraId="2398D0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序号</w:t>
                  </w:r>
                </w:p>
              </w:tc>
              <w:tc>
                <w:tcPr>
                  <w:tcW w:w="2535" w:type="dxa"/>
                  <w:noWrap w:val="0"/>
                  <w:vAlign w:val="center"/>
                </w:tcPr>
                <w:p w14:paraId="260246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
                    </w:rPr>
                    <w:t>覆膜滤料孔径(µm)</w:t>
                  </w:r>
                </w:p>
              </w:tc>
              <w:tc>
                <w:tcPr>
                  <w:tcW w:w="2626" w:type="dxa"/>
                  <w:noWrap w:val="0"/>
                  <w:vAlign w:val="center"/>
                </w:tcPr>
                <w:p w14:paraId="3A1270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
                    </w:rPr>
                    <w:t>颗粒物粒径(µm)</w:t>
                  </w:r>
                </w:p>
              </w:tc>
            </w:tr>
            <w:tr w14:paraId="2713E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14:paraId="69097F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535" w:type="dxa"/>
                  <w:noWrap w:val="0"/>
                  <w:vAlign w:val="center"/>
                </w:tcPr>
                <w:p w14:paraId="143D75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150.0</w:t>
                  </w:r>
                </w:p>
              </w:tc>
              <w:tc>
                <w:tcPr>
                  <w:tcW w:w="2626" w:type="dxa"/>
                  <w:noWrap w:val="0"/>
                  <w:vAlign w:val="center"/>
                </w:tcPr>
                <w:p w14:paraId="0AFFE3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150</w:t>
                  </w:r>
                </w:p>
              </w:tc>
            </w:tr>
            <w:tr w14:paraId="0D8A6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14:paraId="118517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535" w:type="dxa"/>
                  <w:noWrap w:val="0"/>
                  <w:vAlign w:val="center"/>
                </w:tcPr>
                <w:p w14:paraId="609193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100.0</w:t>
                  </w:r>
                </w:p>
              </w:tc>
              <w:tc>
                <w:tcPr>
                  <w:tcW w:w="2626" w:type="dxa"/>
                  <w:noWrap w:val="0"/>
                  <w:vAlign w:val="center"/>
                </w:tcPr>
                <w:p w14:paraId="514A91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106</w:t>
                  </w:r>
                </w:p>
              </w:tc>
            </w:tr>
            <w:tr w14:paraId="43435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14:paraId="7D1D06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p>
              </w:tc>
              <w:tc>
                <w:tcPr>
                  <w:tcW w:w="2535" w:type="dxa"/>
                  <w:noWrap w:val="0"/>
                  <w:vAlign w:val="center"/>
                </w:tcPr>
                <w:p w14:paraId="74D23F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93.8</w:t>
                  </w:r>
                </w:p>
              </w:tc>
              <w:tc>
                <w:tcPr>
                  <w:tcW w:w="2626" w:type="dxa"/>
                  <w:noWrap w:val="0"/>
                  <w:vAlign w:val="center"/>
                </w:tcPr>
                <w:p w14:paraId="6C270E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96</w:t>
                  </w:r>
                </w:p>
              </w:tc>
            </w:tr>
            <w:tr w14:paraId="652D1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14:paraId="1F5474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w:t>
                  </w:r>
                </w:p>
              </w:tc>
              <w:tc>
                <w:tcPr>
                  <w:tcW w:w="2535" w:type="dxa"/>
                  <w:noWrap w:val="0"/>
                  <w:vAlign w:val="center"/>
                </w:tcPr>
                <w:p w14:paraId="671A3E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75.0</w:t>
                  </w:r>
                </w:p>
              </w:tc>
              <w:tc>
                <w:tcPr>
                  <w:tcW w:w="2626" w:type="dxa"/>
                  <w:noWrap w:val="0"/>
                  <w:vAlign w:val="center"/>
                </w:tcPr>
                <w:p w14:paraId="5F5C44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75</w:t>
                  </w:r>
                </w:p>
              </w:tc>
            </w:tr>
            <w:tr w14:paraId="697DC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14:paraId="1C46F6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w:t>
                  </w:r>
                </w:p>
              </w:tc>
              <w:tc>
                <w:tcPr>
                  <w:tcW w:w="2535" w:type="dxa"/>
                  <w:noWrap w:val="0"/>
                  <w:vAlign w:val="center"/>
                </w:tcPr>
                <w:p w14:paraId="7E9BC8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50.0</w:t>
                  </w:r>
                </w:p>
              </w:tc>
              <w:tc>
                <w:tcPr>
                  <w:tcW w:w="2626" w:type="dxa"/>
                  <w:noWrap w:val="0"/>
                  <w:vAlign w:val="center"/>
                </w:tcPr>
                <w:p w14:paraId="38A858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48</w:t>
                  </w:r>
                </w:p>
              </w:tc>
            </w:tr>
            <w:tr w14:paraId="74C09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14:paraId="76A63F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w:t>
                  </w:r>
                </w:p>
              </w:tc>
              <w:tc>
                <w:tcPr>
                  <w:tcW w:w="2535" w:type="dxa"/>
                  <w:noWrap w:val="0"/>
                  <w:vAlign w:val="center"/>
                </w:tcPr>
                <w:p w14:paraId="03FB67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30.0</w:t>
                  </w:r>
                </w:p>
              </w:tc>
              <w:tc>
                <w:tcPr>
                  <w:tcW w:w="2626" w:type="dxa"/>
                  <w:noWrap w:val="0"/>
                  <w:vAlign w:val="center"/>
                </w:tcPr>
                <w:p w14:paraId="48F5A3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25</w:t>
                  </w:r>
                </w:p>
              </w:tc>
            </w:tr>
            <w:tr w14:paraId="223CD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14:paraId="09840E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w:t>
                  </w:r>
                </w:p>
              </w:tc>
              <w:tc>
                <w:tcPr>
                  <w:tcW w:w="2535" w:type="dxa"/>
                  <w:noWrap w:val="0"/>
                  <w:vAlign w:val="center"/>
                </w:tcPr>
                <w:p w14:paraId="17AB97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15.0</w:t>
                  </w:r>
                </w:p>
              </w:tc>
              <w:tc>
                <w:tcPr>
                  <w:tcW w:w="2626" w:type="dxa"/>
                  <w:noWrap w:val="0"/>
                  <w:vAlign w:val="center"/>
                </w:tcPr>
                <w:p w14:paraId="7B763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13</w:t>
                  </w:r>
                </w:p>
              </w:tc>
            </w:tr>
            <w:tr w14:paraId="02F3F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14:paraId="6AF595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w:t>
                  </w:r>
                </w:p>
              </w:tc>
              <w:tc>
                <w:tcPr>
                  <w:tcW w:w="2535" w:type="dxa"/>
                  <w:noWrap w:val="0"/>
                  <w:vAlign w:val="center"/>
                </w:tcPr>
                <w:p w14:paraId="27F6C3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11.2</w:t>
                  </w:r>
                </w:p>
              </w:tc>
              <w:tc>
                <w:tcPr>
                  <w:tcW w:w="2626" w:type="dxa"/>
                  <w:noWrap w:val="0"/>
                  <w:vAlign w:val="center"/>
                </w:tcPr>
                <w:p w14:paraId="29A12E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10</w:t>
                  </w:r>
                </w:p>
              </w:tc>
            </w:tr>
            <w:tr w14:paraId="5425C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14:paraId="7BEDD7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w:t>
                  </w:r>
                </w:p>
              </w:tc>
              <w:tc>
                <w:tcPr>
                  <w:tcW w:w="2535" w:type="dxa"/>
                  <w:noWrap w:val="0"/>
                  <w:vAlign w:val="center"/>
                </w:tcPr>
                <w:p w14:paraId="77FB81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7.5</w:t>
                  </w:r>
                </w:p>
              </w:tc>
              <w:tc>
                <w:tcPr>
                  <w:tcW w:w="2626" w:type="dxa"/>
                  <w:noWrap w:val="0"/>
                  <w:vAlign w:val="center"/>
                </w:tcPr>
                <w:p w14:paraId="4EC681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6.5</w:t>
                  </w:r>
                </w:p>
              </w:tc>
            </w:tr>
            <w:tr w14:paraId="51CA5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14:paraId="12E997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535" w:type="dxa"/>
                  <w:noWrap w:val="0"/>
                  <w:vAlign w:val="center"/>
                </w:tcPr>
                <w:p w14:paraId="00D054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3.0</w:t>
                  </w:r>
                </w:p>
              </w:tc>
              <w:tc>
                <w:tcPr>
                  <w:tcW w:w="2626" w:type="dxa"/>
                  <w:noWrap w:val="0"/>
                  <w:vAlign w:val="center"/>
                </w:tcPr>
                <w:p w14:paraId="034E0F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2.6</w:t>
                  </w:r>
                </w:p>
              </w:tc>
            </w:tr>
            <w:tr w14:paraId="3DBDA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14:paraId="79557B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11</w:t>
                  </w:r>
                </w:p>
              </w:tc>
              <w:tc>
                <w:tcPr>
                  <w:tcW w:w="2535" w:type="dxa"/>
                  <w:noWrap w:val="0"/>
                  <w:vAlign w:val="center"/>
                </w:tcPr>
                <w:p w14:paraId="1F3A59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1.9</w:t>
                  </w:r>
                </w:p>
              </w:tc>
              <w:tc>
                <w:tcPr>
                  <w:tcW w:w="2626" w:type="dxa"/>
                  <w:noWrap w:val="0"/>
                  <w:vAlign w:val="center"/>
                </w:tcPr>
                <w:p w14:paraId="6FAB68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1.6</w:t>
                  </w:r>
                </w:p>
              </w:tc>
            </w:tr>
            <w:tr w14:paraId="6904A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322" w:type="dxa"/>
                  <w:noWrap w:val="0"/>
                  <w:vAlign w:val="center"/>
                </w:tcPr>
                <w:p w14:paraId="2B52C1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2535" w:type="dxa"/>
                  <w:noWrap w:val="0"/>
                  <w:vAlign w:val="center"/>
                </w:tcPr>
                <w:p w14:paraId="366E73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1.5</w:t>
                  </w:r>
                </w:p>
              </w:tc>
              <w:tc>
                <w:tcPr>
                  <w:tcW w:w="2626" w:type="dxa"/>
                  <w:noWrap w:val="0"/>
                  <w:vAlign w:val="center"/>
                </w:tcPr>
                <w:p w14:paraId="40ACC4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1.3</w:t>
                  </w:r>
                </w:p>
              </w:tc>
            </w:tr>
          </w:tbl>
          <w:p w14:paraId="2ACAAAFC">
            <w:pPr>
              <w:keepNext w:val="0"/>
              <w:keepLines w:val="0"/>
              <w:widowControl/>
              <w:suppressLineNumbers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由上表可知，为保证对不同粒径颗粒物的过滤去除效果，选取的覆膜滤料孔径需要小于3.0µm，以保证对粒径大于2.6µm颗粒物的过滤净化效果。</w:t>
            </w:r>
          </w:p>
          <w:p w14:paraId="4855C1ED">
            <w:pPr>
              <w:keepNext w:val="0"/>
              <w:keepLines w:val="0"/>
              <w:widowControl/>
              <w:suppressLineNumbers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为此，本项目含尘废气处理措施采用脉冲袋式除尘器，选用覆膜涤纶针刺毡，滤料滤膜孔径选择在0.3～3µm，可保证排放废气中颗粒物浓度小于10mg/m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w:t>
            </w:r>
          </w:p>
          <w:p w14:paraId="240AA9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color w:val="auto"/>
                <w:lang w:val="en-US" w:eastAsia="zh-CN"/>
              </w:rPr>
            </w:pPr>
            <w:r>
              <w:rPr>
                <w:rFonts w:hint="eastAsia"/>
                <w:color w:val="auto"/>
                <w:lang w:val="en-US" w:eastAsia="zh-CN"/>
              </w:rPr>
              <w:t>（3）过滤棉+活性炭吸附/脱附+催化燃烧装置</w:t>
            </w:r>
          </w:p>
          <w:p w14:paraId="2BFC8CFD">
            <w:pPr>
              <w:bidi w:val="0"/>
              <w:rPr>
                <w:rFonts w:hint="default"/>
                <w:color w:val="auto"/>
                <w:lang w:val="en-US" w:eastAsia="zh-CN"/>
              </w:rPr>
            </w:pPr>
            <w:r>
              <w:rPr>
                <w:rFonts w:hint="default"/>
                <w:color w:val="auto"/>
                <w:lang w:val="en-US" w:eastAsia="zh-CN"/>
              </w:rPr>
              <w:t>有机废气</w:t>
            </w:r>
            <w:r>
              <w:rPr>
                <w:rFonts w:hint="eastAsia"/>
                <w:color w:val="auto"/>
                <w:lang w:val="en-US" w:eastAsia="zh-CN"/>
              </w:rPr>
              <w:t>经</w:t>
            </w:r>
            <w:r>
              <w:rPr>
                <w:rFonts w:hint="default"/>
                <w:color w:val="auto"/>
                <w:lang w:val="en-US" w:eastAsia="zh-CN"/>
              </w:rPr>
              <w:t>过滤棉过滤后，送入活性炭吸附箱进行吸附净化，当任一活性炭吸附器接近饱和时，将饱和活性炭进行脱附解析、催化燃烧，用热气流对饱和活性炭吸附器进行解吸脱附，将有机物从活性炭上脱附下来。在脱附过程中，有机废气已被浓缩，浓度较原来提高几十倍，达2000ppm以上，浓缩废气送到催化燃烧装置，催化燃烧是典型的气-固相催化反应，其实质是活性氧参与的深度氧化作用。在催化燃烧过程中，催化剂的作用是降低活化能，同时催化剂表面具有吸附作用，使反应物分子富集于表面提高了反应速率，加快了反应的进行。借助催化剂可使有机废气在较低的起燃温度条件下，发生无焰燃烧，并氧化分解为CO</w:t>
            </w:r>
            <w:r>
              <w:rPr>
                <w:rFonts w:hint="default"/>
                <w:color w:val="auto"/>
                <w:vertAlign w:val="subscript"/>
                <w:lang w:val="en-US" w:eastAsia="zh-CN"/>
              </w:rPr>
              <w:t>2</w:t>
            </w:r>
            <w:r>
              <w:rPr>
                <w:rFonts w:hint="default"/>
                <w:color w:val="auto"/>
                <w:lang w:val="en-US" w:eastAsia="zh-CN"/>
              </w:rPr>
              <w:t>和H</w:t>
            </w:r>
            <w:r>
              <w:rPr>
                <w:rFonts w:hint="default"/>
                <w:color w:val="auto"/>
                <w:vertAlign w:val="subscript"/>
                <w:lang w:val="en-US" w:eastAsia="zh-CN"/>
              </w:rPr>
              <w:t>2</w:t>
            </w:r>
            <w:r>
              <w:rPr>
                <w:rFonts w:hint="default"/>
                <w:color w:val="auto"/>
                <w:lang w:val="en-US" w:eastAsia="zh-CN"/>
              </w:rPr>
              <w:t>O，同时放出大量热能，从而达到去除废气中的有害物的方法。</w:t>
            </w:r>
          </w:p>
          <w:p w14:paraId="56DE0F97">
            <w:pPr>
              <w:bidi w:val="0"/>
              <w:rPr>
                <w:rFonts w:hint="default"/>
                <w:color w:val="auto"/>
                <w:lang w:val="en-US" w:eastAsia="zh-CN"/>
              </w:rPr>
            </w:pPr>
            <w:r>
              <w:rPr>
                <w:rFonts w:hint="default"/>
                <w:color w:val="auto"/>
                <w:lang w:val="en-US" w:eastAsia="zh-CN"/>
              </w:rPr>
              <w:t>在将废气进行催化燃烧的过程中，废气经管道由风机送入热交换器进行一次升温，再进加热室将废气加热到催化燃烧所需要的起始温度。经过加热的废气通过催化剂层使之燃烧。由于催化剂的作用，催化燃烧法废气燃烧的起始温度约为200-300℃，大大低于直接燃烧法的燃烧温度670-800℃，因此能耗远比直接燃烧法低。同时在催化剂的活性作用下，反应后的气体产生一定的热量，高温气体再次进入热交换器，经换热冷却，最终以较低的温度经风机排入大气。完成解吸脱附后，活性炭吸附器进入待用状态，同时对饱和活性炭吸附器进行解吸脱附，如此循环工作。最后净化后的尾气由主排风机排入大气中。</w:t>
            </w:r>
          </w:p>
          <w:p w14:paraId="09546D40">
            <w:pPr>
              <w:bidi w:val="0"/>
              <w:rPr>
                <w:rFonts w:hint="eastAsia"/>
                <w:color w:val="auto"/>
                <w:lang w:val="en-US" w:eastAsia="zh-CN"/>
              </w:rPr>
            </w:pPr>
            <w:r>
              <w:rPr>
                <w:rFonts w:hint="eastAsia" w:ascii="宋体" w:hAnsi="宋体" w:eastAsia="宋体" w:cs="宋体"/>
                <w:color w:val="auto"/>
                <w:kern w:val="0"/>
                <w:sz w:val="24"/>
                <w:szCs w:val="24"/>
                <w:lang w:val="en-US" w:eastAsia="zh-CN" w:bidi="ar"/>
              </w:rPr>
              <w:t>有机废气治理工艺流程图如下：</w:t>
            </w:r>
          </w:p>
          <w:p w14:paraId="63257E01">
            <w:pPr>
              <w:bidi w:val="0"/>
              <w:spacing w:line="240" w:lineRule="auto"/>
              <w:ind w:left="0" w:leftChars="0" w:firstLine="0" w:firstLineChars="0"/>
              <w:jc w:val="center"/>
              <w:rPr>
                <w:rFonts w:hint="eastAsia"/>
                <w:b/>
                <w:bCs/>
                <w:color w:val="auto"/>
                <w:lang w:val="en-US" w:eastAsia="zh-CN"/>
              </w:rPr>
            </w:pPr>
            <w:r>
              <w:rPr>
                <w:rFonts w:hint="eastAsia"/>
                <w:b/>
                <w:bCs/>
                <w:color w:val="auto"/>
                <w:lang w:val="en-US" w:eastAsia="zh-CN"/>
              </w:rPr>
              <w:drawing>
                <wp:inline distT="0" distB="0" distL="114300" distR="114300">
                  <wp:extent cx="4144010" cy="3467735"/>
                  <wp:effectExtent l="0" t="0" r="8890" b="18415"/>
                  <wp:docPr id="3" name="图片 3" descr="离线催化燃烧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离线催化燃烧工艺流程图"/>
                          <pic:cNvPicPr>
                            <a:picLocks noChangeAspect="1"/>
                          </pic:cNvPicPr>
                        </pic:nvPicPr>
                        <pic:blipFill>
                          <a:blip r:embed="rId10"/>
                          <a:stretch>
                            <a:fillRect/>
                          </a:stretch>
                        </pic:blipFill>
                        <pic:spPr>
                          <a:xfrm>
                            <a:off x="0" y="0"/>
                            <a:ext cx="4144010" cy="3467735"/>
                          </a:xfrm>
                          <a:prstGeom prst="rect">
                            <a:avLst/>
                          </a:prstGeom>
                        </pic:spPr>
                      </pic:pic>
                    </a:graphicData>
                  </a:graphic>
                </wp:inline>
              </w:drawing>
            </w:r>
          </w:p>
          <w:p w14:paraId="7C46C375">
            <w:pPr>
              <w:bidi w:val="0"/>
              <w:ind w:left="0" w:leftChars="0" w:firstLine="0" w:firstLineChars="0"/>
              <w:jc w:val="center"/>
              <w:rPr>
                <w:rFonts w:hint="default"/>
                <w:b/>
                <w:bCs/>
                <w:color w:val="auto"/>
                <w:lang w:val="en-US" w:eastAsia="zh-CN"/>
              </w:rPr>
            </w:pPr>
            <w:r>
              <w:rPr>
                <w:rFonts w:hint="eastAsia"/>
                <w:b/>
                <w:bCs/>
                <w:color w:val="auto"/>
                <w:lang w:val="en-US" w:eastAsia="zh-CN"/>
              </w:rPr>
              <w:t>图2  有机废气处理工艺流程图</w:t>
            </w:r>
          </w:p>
          <w:p w14:paraId="5912ABDB">
            <w:pPr>
              <w:keepNext w:val="0"/>
              <w:keepLines w:val="0"/>
              <w:suppressLineNumbers w:val="0"/>
              <w:spacing w:before="0" w:beforeAutospacing="0" w:after="0" w:afterAutospacing="0" w:line="480" w:lineRule="exact"/>
              <w:ind w:left="0" w:right="0" w:firstLine="480" w:firstLineChars="200"/>
              <w:rPr>
                <w:rFonts w:hint="default"/>
                <w:color w:val="auto"/>
              </w:rPr>
            </w:pPr>
            <w:r>
              <w:rPr>
                <w:rFonts w:hint="eastAsia"/>
                <w:color w:val="auto"/>
                <w:lang w:val="en-US" w:eastAsia="zh-CN"/>
              </w:rPr>
              <w:t>本项目调漆、喷漆、烤漆、塑粉固化过程产生的有机废气采用过滤棉+活性炭吸附/脱附+催化燃烧装置进行处理，</w:t>
            </w:r>
            <w:r>
              <w:rPr>
                <w:rFonts w:hint="eastAsia"/>
                <w:color w:val="auto"/>
              </w:rPr>
              <w:t>活性炭材质为蜂窝，过滤风速为</w:t>
            </w:r>
            <w:r>
              <w:rPr>
                <w:rFonts w:hint="eastAsia"/>
                <w:color w:val="auto"/>
                <w:lang w:val="en-US" w:eastAsia="zh-CN"/>
              </w:rPr>
              <w:t>1.0</w:t>
            </w:r>
            <w:r>
              <w:rPr>
                <w:rFonts w:hint="default"/>
                <w:color w:val="auto"/>
              </w:rPr>
              <w:t>m/</w:t>
            </w:r>
            <w:r>
              <w:rPr>
                <w:rFonts w:hint="eastAsia"/>
                <w:color w:val="auto"/>
              </w:rPr>
              <w:t>s，</w:t>
            </w:r>
            <w:r>
              <w:rPr>
                <w:rFonts w:hint="eastAsia"/>
                <w:color w:val="auto"/>
                <w:lang w:val="en-US" w:eastAsia="zh-CN"/>
              </w:rPr>
              <w:t>引风机</w:t>
            </w:r>
            <w:r>
              <w:rPr>
                <w:rFonts w:hint="eastAsia"/>
                <w:color w:val="auto"/>
              </w:rPr>
              <w:t>设计风量为</w:t>
            </w:r>
            <w:r>
              <w:rPr>
                <w:rFonts w:hint="eastAsia"/>
                <w:color w:val="auto"/>
                <w:lang w:val="en-US" w:eastAsia="zh-CN"/>
              </w:rPr>
              <w:t>30000</w:t>
            </w:r>
            <w:r>
              <w:rPr>
                <w:rFonts w:hint="default"/>
                <w:color w:val="auto"/>
              </w:rPr>
              <w:t>m</w:t>
            </w:r>
            <w:r>
              <w:rPr>
                <w:rFonts w:hint="default"/>
                <w:color w:val="auto"/>
                <w:vertAlign w:val="superscript"/>
              </w:rPr>
              <w:t>3</w:t>
            </w:r>
            <w:r>
              <w:rPr>
                <w:rFonts w:hint="default"/>
                <w:color w:val="auto"/>
              </w:rPr>
              <w:t>/h</w:t>
            </w:r>
            <w:r>
              <w:rPr>
                <w:rFonts w:hint="eastAsia"/>
                <w:color w:val="auto"/>
              </w:rPr>
              <w:t>，</w:t>
            </w:r>
            <w:r>
              <w:rPr>
                <w:rFonts w:hint="eastAsia"/>
                <w:color w:val="auto"/>
                <w:lang w:val="en-US" w:eastAsia="zh-CN"/>
              </w:rPr>
              <w:t>去除</w:t>
            </w:r>
            <w:r>
              <w:rPr>
                <w:rFonts w:hint="eastAsia"/>
                <w:color w:val="auto"/>
              </w:rPr>
              <w:t>效率为9</w:t>
            </w:r>
            <w:r>
              <w:rPr>
                <w:rFonts w:hint="eastAsia"/>
                <w:color w:val="auto"/>
                <w:lang w:val="en-US" w:eastAsia="zh-CN"/>
              </w:rPr>
              <w:t>0</w:t>
            </w:r>
            <w:r>
              <w:rPr>
                <w:rFonts w:hint="eastAsia"/>
                <w:color w:val="auto"/>
              </w:rPr>
              <w:t>%，</w:t>
            </w:r>
            <w:r>
              <w:rPr>
                <w:rFonts w:hint="eastAsia"/>
                <w:color w:val="auto"/>
                <w:lang w:val="en-US" w:eastAsia="zh-CN"/>
              </w:rPr>
              <w:t>活性炭3年更换一次，每次更换量为3t，</w:t>
            </w:r>
            <w:r>
              <w:rPr>
                <w:rFonts w:hint="eastAsia"/>
                <w:color w:val="auto"/>
              </w:rPr>
              <w:t>能够满足废气处理需求。活性炭吸附装置参数见</w:t>
            </w:r>
            <w:r>
              <w:rPr>
                <w:rFonts w:hint="eastAsia"/>
                <w:color w:val="auto"/>
                <w:lang w:val="en-US" w:eastAsia="zh-CN"/>
              </w:rPr>
              <w:t>下表</w:t>
            </w:r>
            <w:r>
              <w:rPr>
                <w:rFonts w:hint="eastAsia"/>
                <w:color w:val="auto"/>
              </w:rPr>
              <w:t>。</w:t>
            </w:r>
          </w:p>
          <w:p w14:paraId="5F5467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center"/>
              <w:textAlignment w:val="auto"/>
              <w:rPr>
                <w:rFonts w:hint="eastAsia" w:eastAsia="宋体"/>
                <w:b/>
                <w:bCs/>
                <w:color w:val="auto"/>
                <w:sz w:val="21"/>
                <w:szCs w:val="21"/>
                <w:lang w:val="en-US" w:eastAsia="zh-CN"/>
              </w:rPr>
            </w:pPr>
            <w:r>
              <w:rPr>
                <w:rFonts w:hint="eastAsia"/>
                <w:b/>
                <w:bCs/>
                <w:color w:val="auto"/>
                <w:sz w:val="21"/>
                <w:szCs w:val="21"/>
              </w:rPr>
              <w:t>表</w:t>
            </w:r>
            <w:r>
              <w:rPr>
                <w:rFonts w:hint="eastAsia"/>
                <w:b/>
                <w:bCs/>
                <w:color w:val="auto"/>
                <w:sz w:val="21"/>
                <w:szCs w:val="21"/>
                <w:lang w:val="en-US" w:eastAsia="zh-CN"/>
              </w:rPr>
              <w:t>38</w:t>
            </w:r>
            <w:r>
              <w:rPr>
                <w:rFonts w:hint="eastAsia"/>
                <w:b/>
                <w:bCs/>
                <w:color w:val="auto"/>
                <w:sz w:val="21"/>
                <w:szCs w:val="21"/>
              </w:rPr>
              <w:t xml:space="preserve">  活性炭吸附装置技术参数</w:t>
            </w:r>
            <w:r>
              <w:rPr>
                <w:rFonts w:hint="eastAsia"/>
                <w:b/>
                <w:bCs/>
                <w:color w:val="auto"/>
                <w:sz w:val="21"/>
                <w:szCs w:val="21"/>
                <w:lang w:val="en-US" w:eastAsia="zh-CN"/>
              </w:rPr>
              <w:t>一览表</w:t>
            </w:r>
          </w:p>
          <w:tbl>
            <w:tblPr>
              <w:tblStyle w:val="21"/>
              <w:tblW w:w="78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928"/>
              <w:gridCol w:w="2586"/>
              <w:gridCol w:w="2222"/>
            </w:tblGrid>
            <w:tr w14:paraId="5E55F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05" w:type="dxa"/>
                  <w:tcBorders>
                    <w:tl2br w:val="nil"/>
                    <w:tr2bl w:val="nil"/>
                  </w:tcBorders>
                  <w:noWrap w:val="0"/>
                  <w:vAlign w:val="center"/>
                </w:tcPr>
                <w:p w14:paraId="61F8D7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序号</w:t>
                  </w:r>
                </w:p>
              </w:tc>
              <w:tc>
                <w:tcPr>
                  <w:tcW w:w="1928" w:type="dxa"/>
                  <w:tcBorders>
                    <w:tl2br w:val="nil"/>
                    <w:tr2bl w:val="nil"/>
                  </w:tcBorders>
                  <w:noWrap w:val="0"/>
                  <w:vAlign w:val="center"/>
                </w:tcPr>
                <w:p w14:paraId="5A695B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项目</w:t>
                  </w:r>
                </w:p>
              </w:tc>
              <w:tc>
                <w:tcPr>
                  <w:tcW w:w="2586" w:type="dxa"/>
                  <w:tcBorders>
                    <w:tl2br w:val="nil"/>
                    <w:tr2bl w:val="nil"/>
                  </w:tcBorders>
                  <w:noWrap w:val="0"/>
                  <w:vAlign w:val="center"/>
                </w:tcPr>
                <w:p w14:paraId="02F24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单位</w:t>
                  </w:r>
                </w:p>
              </w:tc>
              <w:tc>
                <w:tcPr>
                  <w:tcW w:w="2222" w:type="dxa"/>
                  <w:tcBorders>
                    <w:tl2br w:val="nil"/>
                    <w:tr2bl w:val="nil"/>
                  </w:tcBorders>
                  <w:noWrap w:val="0"/>
                  <w:vAlign w:val="center"/>
                </w:tcPr>
                <w:p w14:paraId="011F1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参数</w:t>
                  </w:r>
                </w:p>
              </w:tc>
            </w:tr>
            <w:tr w14:paraId="333A9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05" w:type="dxa"/>
                  <w:tcBorders>
                    <w:tl2br w:val="nil"/>
                    <w:tr2bl w:val="nil"/>
                  </w:tcBorders>
                  <w:noWrap w:val="0"/>
                  <w:vAlign w:val="center"/>
                </w:tcPr>
                <w:p w14:paraId="518A2A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1</w:t>
                  </w:r>
                </w:p>
              </w:tc>
              <w:tc>
                <w:tcPr>
                  <w:tcW w:w="1928" w:type="dxa"/>
                  <w:tcBorders>
                    <w:tl2br w:val="nil"/>
                    <w:tr2bl w:val="nil"/>
                  </w:tcBorders>
                  <w:noWrap w:val="0"/>
                  <w:vAlign w:val="center"/>
                </w:tcPr>
                <w:p w14:paraId="0B49E5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风机</w:t>
                  </w:r>
                  <w:r>
                    <w:rPr>
                      <w:rFonts w:hint="default"/>
                      <w:color w:val="auto"/>
                      <w:sz w:val="21"/>
                      <w:szCs w:val="21"/>
                    </w:rPr>
                    <w:t>风量</w:t>
                  </w:r>
                </w:p>
              </w:tc>
              <w:tc>
                <w:tcPr>
                  <w:tcW w:w="2586" w:type="dxa"/>
                  <w:tcBorders>
                    <w:tl2br w:val="nil"/>
                    <w:tr2bl w:val="nil"/>
                  </w:tcBorders>
                  <w:noWrap w:val="0"/>
                  <w:vAlign w:val="center"/>
                </w:tcPr>
                <w:p w14:paraId="378FB5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m</w:t>
                  </w:r>
                  <w:r>
                    <w:rPr>
                      <w:rFonts w:hint="eastAsia"/>
                      <w:color w:val="auto"/>
                      <w:sz w:val="21"/>
                      <w:szCs w:val="21"/>
                      <w:vertAlign w:val="superscript"/>
                    </w:rPr>
                    <w:t>3</w:t>
                  </w:r>
                  <w:r>
                    <w:rPr>
                      <w:rFonts w:hint="eastAsia"/>
                      <w:color w:val="auto"/>
                      <w:sz w:val="21"/>
                      <w:szCs w:val="21"/>
                    </w:rPr>
                    <w:t>/h</w:t>
                  </w:r>
                </w:p>
              </w:tc>
              <w:tc>
                <w:tcPr>
                  <w:tcW w:w="2222" w:type="dxa"/>
                  <w:tcBorders>
                    <w:tl2br w:val="nil"/>
                    <w:tr2bl w:val="nil"/>
                  </w:tcBorders>
                  <w:noWrap w:val="0"/>
                  <w:vAlign w:val="center"/>
                </w:tcPr>
                <w:p w14:paraId="62DAB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30000</w:t>
                  </w:r>
                </w:p>
              </w:tc>
            </w:tr>
            <w:tr w14:paraId="7E9AF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05" w:type="dxa"/>
                  <w:tcBorders>
                    <w:tl2br w:val="nil"/>
                    <w:tr2bl w:val="nil"/>
                  </w:tcBorders>
                  <w:noWrap w:val="0"/>
                  <w:vAlign w:val="center"/>
                </w:tcPr>
                <w:p w14:paraId="7AF3B4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2</w:t>
                  </w:r>
                </w:p>
              </w:tc>
              <w:tc>
                <w:tcPr>
                  <w:tcW w:w="1928" w:type="dxa"/>
                  <w:tcBorders>
                    <w:tl2br w:val="nil"/>
                    <w:tr2bl w:val="nil"/>
                  </w:tcBorders>
                  <w:noWrap w:val="0"/>
                  <w:vAlign w:val="center"/>
                </w:tcPr>
                <w:p w14:paraId="74060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处理</w:t>
                  </w:r>
                  <w:r>
                    <w:rPr>
                      <w:rFonts w:hint="default"/>
                      <w:color w:val="auto"/>
                      <w:sz w:val="21"/>
                      <w:szCs w:val="21"/>
                    </w:rPr>
                    <w:t>效率</w:t>
                  </w:r>
                </w:p>
              </w:tc>
              <w:tc>
                <w:tcPr>
                  <w:tcW w:w="2586" w:type="dxa"/>
                  <w:tcBorders>
                    <w:tl2br w:val="nil"/>
                    <w:tr2bl w:val="nil"/>
                  </w:tcBorders>
                  <w:noWrap w:val="0"/>
                  <w:vAlign w:val="center"/>
                </w:tcPr>
                <w:p w14:paraId="060AAC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w:t>
                  </w:r>
                </w:p>
              </w:tc>
              <w:tc>
                <w:tcPr>
                  <w:tcW w:w="2222" w:type="dxa"/>
                  <w:tcBorders>
                    <w:tl2br w:val="nil"/>
                    <w:tr2bl w:val="nil"/>
                  </w:tcBorders>
                  <w:noWrap w:val="0"/>
                  <w:vAlign w:val="center"/>
                </w:tcPr>
                <w:p w14:paraId="4472B3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lang w:val="en-US" w:eastAsia="zh-CN"/>
                    </w:rPr>
                  </w:pPr>
                  <w:r>
                    <w:rPr>
                      <w:rFonts w:hint="default" w:ascii="Times New Roman" w:hAnsi="Times New Roman" w:cs="Times New Roman"/>
                      <w:color w:val="auto"/>
                      <w:sz w:val="21"/>
                      <w:szCs w:val="21"/>
                      <w:lang w:val="en-US" w:eastAsia="zh-CN"/>
                    </w:rPr>
                    <w:t>90</w:t>
                  </w:r>
                </w:p>
              </w:tc>
            </w:tr>
            <w:tr w14:paraId="501E8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05" w:type="dxa"/>
                  <w:tcBorders>
                    <w:tl2br w:val="nil"/>
                    <w:tr2bl w:val="nil"/>
                  </w:tcBorders>
                  <w:noWrap w:val="0"/>
                  <w:vAlign w:val="center"/>
                </w:tcPr>
                <w:p w14:paraId="76B5F9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3</w:t>
                  </w:r>
                </w:p>
              </w:tc>
              <w:tc>
                <w:tcPr>
                  <w:tcW w:w="1928" w:type="dxa"/>
                  <w:tcBorders>
                    <w:tl2br w:val="nil"/>
                    <w:tr2bl w:val="nil"/>
                  </w:tcBorders>
                  <w:noWrap w:val="0"/>
                  <w:vAlign w:val="center"/>
                </w:tcPr>
                <w:p w14:paraId="7AC0C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过滤</w:t>
                  </w:r>
                  <w:r>
                    <w:rPr>
                      <w:rFonts w:hint="default"/>
                      <w:color w:val="auto"/>
                      <w:sz w:val="21"/>
                      <w:szCs w:val="21"/>
                    </w:rPr>
                    <w:t>风速</w:t>
                  </w:r>
                </w:p>
              </w:tc>
              <w:tc>
                <w:tcPr>
                  <w:tcW w:w="2586" w:type="dxa"/>
                  <w:tcBorders>
                    <w:tl2br w:val="nil"/>
                    <w:tr2bl w:val="nil"/>
                  </w:tcBorders>
                  <w:noWrap w:val="0"/>
                  <w:vAlign w:val="center"/>
                </w:tcPr>
                <w:p w14:paraId="5D8D42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m/s</w:t>
                  </w:r>
                </w:p>
              </w:tc>
              <w:tc>
                <w:tcPr>
                  <w:tcW w:w="2222" w:type="dxa"/>
                  <w:tcBorders>
                    <w:tl2br w:val="nil"/>
                    <w:tr2bl w:val="nil"/>
                  </w:tcBorders>
                  <w:noWrap w:val="0"/>
                  <w:vAlign w:val="center"/>
                </w:tcPr>
                <w:p w14:paraId="0B612F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1.0</w:t>
                  </w:r>
                </w:p>
              </w:tc>
            </w:tr>
            <w:tr w14:paraId="43EA1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05" w:type="dxa"/>
                  <w:tcBorders>
                    <w:tl2br w:val="nil"/>
                    <w:tr2bl w:val="nil"/>
                  </w:tcBorders>
                  <w:noWrap w:val="0"/>
                  <w:vAlign w:val="center"/>
                </w:tcPr>
                <w:p w14:paraId="0532A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eastAsia="宋体"/>
                      <w:color w:val="auto"/>
                      <w:sz w:val="21"/>
                      <w:szCs w:val="21"/>
                      <w:lang w:eastAsia="zh-CN"/>
                    </w:rPr>
                  </w:pPr>
                  <w:r>
                    <w:rPr>
                      <w:rFonts w:hint="eastAsia"/>
                      <w:color w:val="auto"/>
                      <w:sz w:val="21"/>
                      <w:szCs w:val="21"/>
                      <w:lang w:val="en-US" w:eastAsia="zh-CN"/>
                    </w:rPr>
                    <w:t>4</w:t>
                  </w:r>
                </w:p>
              </w:tc>
              <w:tc>
                <w:tcPr>
                  <w:tcW w:w="1928" w:type="dxa"/>
                  <w:tcBorders>
                    <w:tl2br w:val="nil"/>
                    <w:tr2bl w:val="nil"/>
                  </w:tcBorders>
                  <w:noWrap w:val="0"/>
                  <w:vAlign w:val="center"/>
                </w:tcPr>
                <w:p w14:paraId="11C983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吸附材料</w:t>
                  </w:r>
                </w:p>
              </w:tc>
              <w:tc>
                <w:tcPr>
                  <w:tcW w:w="2586" w:type="dxa"/>
                  <w:tcBorders>
                    <w:tl2br w:val="nil"/>
                    <w:tr2bl w:val="nil"/>
                  </w:tcBorders>
                  <w:noWrap w:val="0"/>
                  <w:vAlign w:val="center"/>
                </w:tcPr>
                <w:p w14:paraId="46692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w:t>
                  </w:r>
                </w:p>
              </w:tc>
              <w:tc>
                <w:tcPr>
                  <w:tcW w:w="2222" w:type="dxa"/>
                  <w:tcBorders>
                    <w:tl2br w:val="nil"/>
                    <w:tr2bl w:val="nil"/>
                  </w:tcBorders>
                  <w:noWrap w:val="0"/>
                  <w:vAlign w:val="center"/>
                </w:tcPr>
                <w:p w14:paraId="76A26A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color w:val="auto"/>
                      <w:sz w:val="21"/>
                      <w:szCs w:val="21"/>
                    </w:rPr>
                  </w:pPr>
                  <w:r>
                    <w:rPr>
                      <w:rFonts w:hint="eastAsia"/>
                      <w:color w:val="auto"/>
                      <w:sz w:val="21"/>
                      <w:szCs w:val="21"/>
                    </w:rPr>
                    <w:t>蜂窝活性炭</w:t>
                  </w:r>
                </w:p>
              </w:tc>
            </w:tr>
          </w:tbl>
          <w:p w14:paraId="0FD7C7A4">
            <w:pPr>
              <w:bidi w:val="0"/>
              <w:rPr>
                <w:rFonts w:hint="eastAsia"/>
                <w:color w:val="auto"/>
                <w:lang w:val="en-US" w:eastAsia="zh-CN"/>
              </w:rPr>
            </w:pPr>
            <w:r>
              <w:rPr>
                <w:rFonts w:hint="eastAsia"/>
                <w:color w:val="auto"/>
                <w:lang w:val="en-US" w:eastAsia="zh-CN"/>
              </w:rPr>
              <w:t>根据《排污许可证申请与核发技术规范 铁路、船舶、航空航天和其他运输设备制造业》（HJ1124—2020）中附录A表面涂装排污单位可知，该治理技术为可行性技术。</w:t>
            </w:r>
          </w:p>
          <w:p w14:paraId="65097833">
            <w:pPr>
              <w:pStyle w:val="13"/>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480" w:firstLineChars="200"/>
              <w:textAlignment w:val="auto"/>
              <w:rPr>
                <w:rFonts w:hint="eastAsia"/>
                <w:color w:val="auto"/>
                <w:lang w:eastAsia="zh-CN"/>
              </w:rPr>
            </w:pPr>
            <w:r>
              <w:rPr>
                <w:rFonts w:hint="eastAsia"/>
                <w:color w:val="auto"/>
                <w:lang w:val="en-US" w:eastAsia="zh-CN"/>
              </w:rPr>
              <w:t>综上所述，</w:t>
            </w:r>
            <w:r>
              <w:rPr>
                <w:rFonts w:hint="default"/>
                <w:color w:val="auto"/>
              </w:rPr>
              <w:t>在采取环评中要求的治理措施后，企业各污染物排放均能满足国家相应标准要求，对周围环境影响很小，环境影响可以接受</w:t>
            </w:r>
            <w:r>
              <w:rPr>
                <w:rFonts w:hint="eastAsia"/>
                <w:color w:val="auto"/>
                <w:lang w:eastAsia="zh-CN"/>
              </w:rPr>
              <w:t>。</w:t>
            </w:r>
          </w:p>
          <w:p w14:paraId="04925682">
            <w:pPr>
              <w:keepNext w:val="0"/>
              <w:keepLines w:val="0"/>
              <w:pageBreakBefore w:val="0"/>
              <w:widowControl w:val="0"/>
              <w:kinsoku/>
              <w:wordWrap/>
              <w:overflowPunct/>
              <w:topLinePunct w:val="0"/>
              <w:autoSpaceDE/>
              <w:autoSpaceDN/>
              <w:bidi w:val="0"/>
              <w:adjustRightInd/>
              <w:snapToGrid/>
              <w:textAlignment w:val="auto"/>
              <w:rPr>
                <w:rFonts w:hint="eastAsia" w:eastAsia="宋体"/>
                <w:b/>
                <w:bCs/>
                <w:color w:val="auto"/>
                <w:lang w:eastAsia="zh-CN"/>
              </w:rPr>
            </w:pPr>
            <w:r>
              <w:rPr>
                <w:rFonts w:hint="default"/>
                <w:b/>
                <w:bCs/>
                <w:color w:val="auto"/>
              </w:rPr>
              <w:t>1.</w:t>
            </w:r>
            <w:r>
              <w:rPr>
                <w:rFonts w:hint="eastAsia"/>
                <w:b/>
                <w:bCs/>
                <w:color w:val="auto"/>
                <w:lang w:val="en-US" w:eastAsia="zh-CN"/>
              </w:rPr>
              <w:t>6监测计划</w:t>
            </w:r>
          </w:p>
          <w:p w14:paraId="2225D611">
            <w:pPr>
              <w:bidi w:val="0"/>
              <w:rPr>
                <w:rFonts w:hint="eastAsia"/>
                <w:color w:val="auto"/>
                <w:kern w:val="1"/>
                <w:sz w:val="24"/>
                <w:szCs w:val="24"/>
                <w:lang w:val="en-US" w:eastAsia="zh-CN" w:bidi="ar"/>
              </w:rPr>
            </w:pPr>
            <w:r>
              <w:rPr>
                <w:rFonts w:ascii="Times New Roman" w:hAnsi="Times New Roman"/>
                <w:snapToGrid w:val="0"/>
                <w:color w:val="auto"/>
                <w:kern w:val="0"/>
                <w:sz w:val="24"/>
                <w:szCs w:val="24"/>
                <w:lang w:bidi="ar"/>
              </w:rPr>
              <w:t>根据本建设项目性质与实际情况，</w:t>
            </w:r>
            <w:r>
              <w:rPr>
                <w:rFonts w:ascii="Times New Roman" w:hAnsi="Times New Roman"/>
                <w:color w:val="auto"/>
                <w:sz w:val="24"/>
                <w:szCs w:val="24"/>
              </w:rPr>
              <w:t>按照《排污单位自行监测技术指南 总则》</w:t>
            </w:r>
            <w:r>
              <w:rPr>
                <w:rFonts w:hint="eastAsia" w:ascii="Times New Roman" w:hAnsi="Times New Roman"/>
                <w:color w:val="auto"/>
                <w:sz w:val="24"/>
                <w:szCs w:val="24"/>
                <w:lang w:eastAsia="zh-CN"/>
              </w:rPr>
              <w:t>、</w:t>
            </w:r>
            <w:r>
              <w:rPr>
                <w:rFonts w:hint="eastAsia"/>
                <w:color w:val="auto"/>
                <w:kern w:val="1"/>
                <w:sz w:val="24"/>
                <w:szCs w:val="24"/>
                <w:lang w:val="en-US" w:eastAsia="zh-CN" w:bidi="ar"/>
              </w:rPr>
              <w:t>《排污单位自行监测技术指南 涂装》（HJ1086-2020）、</w:t>
            </w:r>
            <w:r>
              <w:rPr>
                <w:rFonts w:hint="eastAsia"/>
                <w:color w:val="auto"/>
                <w:sz w:val="24"/>
                <w:szCs w:val="24"/>
                <w:lang w:val="en-US" w:eastAsia="zh-CN"/>
              </w:rPr>
              <w:t>《排污许可证申请与核发技术规范 铁路、船舶、航空航天和其他运输设备制造业》（HJ1124—2020）中附录A表面涂装排污单位</w:t>
            </w:r>
            <w:r>
              <w:rPr>
                <w:rFonts w:hint="eastAsia"/>
                <w:color w:val="auto"/>
                <w:kern w:val="1"/>
                <w:sz w:val="24"/>
                <w:szCs w:val="24"/>
                <w:lang w:val="en-US" w:eastAsia="zh-CN" w:bidi="ar"/>
              </w:rPr>
              <w:t>要求，企业投入运营后废气监测因子、监测频次情况见下表。</w:t>
            </w:r>
          </w:p>
          <w:p w14:paraId="567890D6">
            <w:pPr>
              <w:pStyle w:val="34"/>
              <w:bidi w:val="0"/>
              <w:rPr>
                <w:rFonts w:hint="default"/>
                <w:color w:val="auto"/>
                <w:sz w:val="21"/>
                <w:szCs w:val="21"/>
              </w:rPr>
            </w:pPr>
            <w:r>
              <w:rPr>
                <w:rFonts w:hint="default"/>
                <w:color w:val="auto"/>
                <w:sz w:val="21"/>
                <w:szCs w:val="21"/>
              </w:rPr>
              <w:t>表</w:t>
            </w:r>
            <w:r>
              <w:rPr>
                <w:rFonts w:hint="eastAsia"/>
                <w:color w:val="auto"/>
                <w:sz w:val="21"/>
                <w:szCs w:val="21"/>
                <w:lang w:val="en-US" w:eastAsia="zh-CN"/>
              </w:rPr>
              <w:t>39</w:t>
            </w:r>
            <w:r>
              <w:rPr>
                <w:rFonts w:hint="default"/>
                <w:color w:val="auto"/>
                <w:sz w:val="21"/>
                <w:szCs w:val="21"/>
              </w:rPr>
              <w:t xml:space="preserve">  项目废</w:t>
            </w:r>
            <w:r>
              <w:rPr>
                <w:rFonts w:hint="eastAsia"/>
                <w:color w:val="auto"/>
                <w:sz w:val="21"/>
                <w:szCs w:val="21"/>
                <w:lang w:val="en-US" w:eastAsia="zh-CN"/>
              </w:rPr>
              <w:t>气</w:t>
            </w:r>
            <w:r>
              <w:rPr>
                <w:rFonts w:hint="default"/>
                <w:color w:val="auto"/>
                <w:sz w:val="21"/>
                <w:szCs w:val="21"/>
              </w:rPr>
              <w:t>监测计划表</w:t>
            </w:r>
          </w:p>
          <w:tbl>
            <w:tblPr>
              <w:tblStyle w:val="20"/>
              <w:tblW w:w="82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52"/>
              <w:gridCol w:w="1202"/>
              <w:gridCol w:w="997"/>
              <w:gridCol w:w="4565"/>
            </w:tblGrid>
            <w:tr w14:paraId="41475D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52" w:type="dxa"/>
                  <w:tcBorders>
                    <w:tl2br w:val="nil"/>
                    <w:tr2bl w:val="nil"/>
                  </w:tcBorders>
                  <w:noWrap w:val="0"/>
                  <w:tcMar>
                    <w:top w:w="15" w:type="dxa"/>
                    <w:left w:w="15" w:type="dxa"/>
                    <w:bottom w:w="15" w:type="dxa"/>
                    <w:right w:w="15" w:type="dxa"/>
                  </w:tcMar>
                  <w:vAlign w:val="center"/>
                </w:tcPr>
                <w:p w14:paraId="597B7BEF">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监测点位</w:t>
                  </w:r>
                </w:p>
              </w:tc>
              <w:tc>
                <w:tcPr>
                  <w:tcW w:w="1202" w:type="dxa"/>
                  <w:tcBorders>
                    <w:tl2br w:val="nil"/>
                    <w:tr2bl w:val="nil"/>
                  </w:tcBorders>
                  <w:noWrap w:val="0"/>
                  <w:tcMar>
                    <w:top w:w="15" w:type="dxa"/>
                    <w:left w:w="15" w:type="dxa"/>
                    <w:bottom w:w="15" w:type="dxa"/>
                    <w:right w:w="15" w:type="dxa"/>
                  </w:tcMar>
                  <w:vAlign w:val="center"/>
                </w:tcPr>
                <w:p w14:paraId="040D0F7C">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监测</w:t>
                  </w:r>
                  <w:r>
                    <w:rPr>
                      <w:rFonts w:hint="default" w:ascii="Times New Roman" w:hAnsi="Times New Roman" w:eastAsia="宋体" w:cs="Times New Roman"/>
                      <w:color w:val="auto"/>
                      <w:sz w:val="21"/>
                      <w:szCs w:val="21"/>
                      <w:lang w:val="en-US" w:eastAsia="zh-CN"/>
                    </w:rPr>
                    <w:t>因子</w:t>
                  </w:r>
                </w:p>
              </w:tc>
              <w:tc>
                <w:tcPr>
                  <w:tcW w:w="997" w:type="dxa"/>
                  <w:tcBorders>
                    <w:tl2br w:val="nil"/>
                    <w:tr2bl w:val="nil"/>
                  </w:tcBorders>
                  <w:noWrap w:val="0"/>
                  <w:tcMar>
                    <w:top w:w="15" w:type="dxa"/>
                    <w:left w:w="15" w:type="dxa"/>
                    <w:bottom w:w="15" w:type="dxa"/>
                    <w:right w:w="15" w:type="dxa"/>
                  </w:tcMar>
                  <w:vAlign w:val="center"/>
                </w:tcPr>
                <w:p w14:paraId="5445F348">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监测频次</w:t>
                  </w:r>
                </w:p>
              </w:tc>
              <w:tc>
                <w:tcPr>
                  <w:tcW w:w="4565" w:type="dxa"/>
                  <w:tcBorders>
                    <w:tl2br w:val="nil"/>
                    <w:tr2bl w:val="nil"/>
                  </w:tcBorders>
                  <w:noWrap w:val="0"/>
                  <w:tcMar>
                    <w:top w:w="15" w:type="dxa"/>
                    <w:left w:w="15" w:type="dxa"/>
                    <w:bottom w:w="15" w:type="dxa"/>
                    <w:right w:w="15" w:type="dxa"/>
                  </w:tcMar>
                  <w:vAlign w:val="center"/>
                </w:tcPr>
                <w:p w14:paraId="28A97231">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执行排放标准</w:t>
                  </w:r>
                </w:p>
              </w:tc>
            </w:tr>
            <w:tr w14:paraId="1A9166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52" w:type="dxa"/>
                  <w:vMerge w:val="restart"/>
                  <w:tcBorders>
                    <w:tl2br w:val="nil"/>
                    <w:tr2bl w:val="nil"/>
                  </w:tcBorders>
                  <w:noWrap w:val="0"/>
                  <w:tcMar>
                    <w:top w:w="15" w:type="dxa"/>
                    <w:left w:w="15" w:type="dxa"/>
                    <w:bottom w:w="15" w:type="dxa"/>
                    <w:right w:w="15" w:type="dxa"/>
                  </w:tcMar>
                  <w:vAlign w:val="center"/>
                </w:tcPr>
                <w:p w14:paraId="050EAC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bCs/>
                      <w:caps w:val="0"/>
                      <w:color w:val="auto"/>
                      <w:spacing w:val="0"/>
                      <w:position w:val="0"/>
                      <w:sz w:val="21"/>
                      <w:szCs w:val="21"/>
                      <w:highlight w:val="none"/>
                      <w:lang w:val="en-US" w:eastAsia="zh-CN"/>
                    </w:rPr>
                    <w:t>调漆、喷漆、烘干、塑粉固化、燃料燃烧废气排放口（DA001）</w:t>
                  </w:r>
                </w:p>
              </w:tc>
              <w:tc>
                <w:tcPr>
                  <w:tcW w:w="1202" w:type="dxa"/>
                  <w:tcBorders>
                    <w:tl2br w:val="nil"/>
                    <w:tr2bl w:val="nil"/>
                  </w:tcBorders>
                  <w:noWrap w:val="0"/>
                  <w:tcMar>
                    <w:top w:w="15" w:type="dxa"/>
                    <w:left w:w="15" w:type="dxa"/>
                    <w:bottom w:w="15" w:type="dxa"/>
                    <w:right w:w="15" w:type="dxa"/>
                  </w:tcMar>
                  <w:vAlign w:val="center"/>
                </w:tcPr>
                <w:p w14:paraId="7F09282E">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rPr>
                    <w:t>颗粒物</w:t>
                  </w:r>
                </w:p>
              </w:tc>
              <w:tc>
                <w:tcPr>
                  <w:tcW w:w="997" w:type="dxa"/>
                  <w:tcBorders>
                    <w:tl2br w:val="nil"/>
                    <w:tr2bl w:val="nil"/>
                  </w:tcBorders>
                  <w:noWrap w:val="0"/>
                  <w:tcMar>
                    <w:top w:w="15" w:type="dxa"/>
                    <w:left w:w="15" w:type="dxa"/>
                    <w:bottom w:w="15" w:type="dxa"/>
                    <w:right w:w="15" w:type="dxa"/>
                  </w:tcMar>
                  <w:vAlign w:val="center"/>
                </w:tcPr>
                <w:p w14:paraId="61996175">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1次</w:t>
                  </w:r>
                  <w:r>
                    <w:rPr>
                      <w:rFonts w:hint="default" w:ascii="Times New Roman" w:hAnsi="Times New Roman" w:eastAsia="宋体" w:cs="Times New Roman"/>
                      <w:color w:val="auto"/>
                      <w:sz w:val="21"/>
                      <w:szCs w:val="21"/>
                      <w:lang w:val="en-US" w:eastAsia="zh-CN"/>
                    </w:rPr>
                    <w:t>/年</w:t>
                  </w:r>
                </w:p>
              </w:tc>
              <w:tc>
                <w:tcPr>
                  <w:tcW w:w="4565" w:type="dxa"/>
                  <w:tcBorders>
                    <w:tl2br w:val="nil"/>
                    <w:tr2bl w:val="nil"/>
                  </w:tcBorders>
                  <w:noWrap w:val="0"/>
                  <w:tcMar>
                    <w:top w:w="15" w:type="dxa"/>
                    <w:left w:w="15" w:type="dxa"/>
                    <w:bottom w:w="15" w:type="dxa"/>
                    <w:right w:w="15" w:type="dxa"/>
                  </w:tcMar>
                  <w:vAlign w:val="center"/>
                </w:tcPr>
                <w:p w14:paraId="30E89C5C">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《大气污染物综合排放标准》（GB16297-1996）表2中二级标准：颗粒物（染料尘）排放浓度限值18mg/m</w:t>
                  </w:r>
                  <w:r>
                    <w:rPr>
                      <w:rFonts w:hint="default" w:ascii="Times New Roman" w:hAnsi="Times New Roman" w:eastAsia="宋体" w:cs="Times New Roman"/>
                      <w:color w:val="auto"/>
                      <w:sz w:val="21"/>
                      <w:szCs w:val="21"/>
                      <w:vertAlign w:val="superscript"/>
                    </w:rPr>
                    <w:t>3</w:t>
                  </w:r>
                </w:p>
              </w:tc>
            </w:tr>
            <w:tr w14:paraId="38BC8C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52" w:type="dxa"/>
                  <w:vMerge w:val="continue"/>
                  <w:tcBorders>
                    <w:tl2br w:val="nil"/>
                    <w:tr2bl w:val="nil"/>
                  </w:tcBorders>
                  <w:noWrap w:val="0"/>
                  <w:tcMar>
                    <w:top w:w="15" w:type="dxa"/>
                    <w:left w:w="15" w:type="dxa"/>
                    <w:bottom w:w="15" w:type="dxa"/>
                    <w:right w:w="15" w:type="dxa"/>
                  </w:tcMar>
                  <w:vAlign w:val="center"/>
                </w:tcPr>
                <w:p w14:paraId="6524110B">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1202" w:type="dxa"/>
                  <w:tcBorders>
                    <w:tl2br w:val="nil"/>
                    <w:tr2bl w:val="nil"/>
                  </w:tcBorders>
                  <w:noWrap w:val="0"/>
                  <w:tcMar>
                    <w:top w:w="15" w:type="dxa"/>
                    <w:left w:w="15" w:type="dxa"/>
                    <w:bottom w:w="15" w:type="dxa"/>
                    <w:right w:w="15" w:type="dxa"/>
                  </w:tcMar>
                  <w:vAlign w:val="center"/>
                </w:tcPr>
                <w:p w14:paraId="5341167E">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非甲烷总烃、苯、甲苯与二甲苯合计</w:t>
                  </w:r>
                </w:p>
              </w:tc>
              <w:tc>
                <w:tcPr>
                  <w:tcW w:w="997" w:type="dxa"/>
                  <w:tcBorders>
                    <w:tl2br w:val="nil"/>
                    <w:tr2bl w:val="nil"/>
                  </w:tcBorders>
                  <w:noWrap w:val="0"/>
                  <w:tcMar>
                    <w:top w:w="15" w:type="dxa"/>
                    <w:left w:w="15" w:type="dxa"/>
                    <w:bottom w:w="15" w:type="dxa"/>
                    <w:right w:w="15" w:type="dxa"/>
                  </w:tcMar>
                  <w:vAlign w:val="center"/>
                </w:tcPr>
                <w:p w14:paraId="64E2E2A9">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1次</w:t>
                  </w:r>
                  <w:r>
                    <w:rPr>
                      <w:rFonts w:hint="default" w:ascii="Times New Roman" w:hAnsi="Times New Roman" w:eastAsia="宋体" w:cs="Times New Roman"/>
                      <w:color w:val="auto"/>
                      <w:sz w:val="21"/>
                      <w:szCs w:val="21"/>
                      <w:lang w:val="en-US" w:eastAsia="zh-CN"/>
                    </w:rPr>
                    <w:t>/年</w:t>
                  </w:r>
                </w:p>
              </w:tc>
              <w:tc>
                <w:tcPr>
                  <w:tcW w:w="4565" w:type="dxa"/>
                  <w:tcBorders>
                    <w:tl2br w:val="nil"/>
                    <w:tr2bl w:val="nil"/>
                  </w:tcBorders>
                  <w:noWrap w:val="0"/>
                  <w:tcMar>
                    <w:top w:w="15" w:type="dxa"/>
                    <w:left w:w="15" w:type="dxa"/>
                    <w:bottom w:w="15" w:type="dxa"/>
                    <w:right w:w="15" w:type="dxa"/>
                  </w:tcMar>
                  <w:vAlign w:val="center"/>
                </w:tcPr>
                <w:p w14:paraId="6EF15D0A">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rPr>
                    <w:t>《</w:t>
                  </w:r>
                  <w:r>
                    <w:rPr>
                      <w:rFonts w:hint="eastAsia" w:cs="Times New Roman"/>
                      <w:color w:val="auto"/>
                      <w:sz w:val="21"/>
                      <w:szCs w:val="21"/>
                      <w:lang w:eastAsia="zh-CN"/>
                    </w:rPr>
                    <w:t>工业企业挥发性有机物排放控制标准</w:t>
                  </w:r>
                  <w:r>
                    <w:rPr>
                      <w:rFonts w:hint="default" w:ascii="Times New Roman" w:hAnsi="Times New Roman" w:eastAsia="宋体" w:cs="Times New Roman"/>
                      <w:color w:val="auto"/>
                      <w:sz w:val="21"/>
                      <w:szCs w:val="21"/>
                    </w:rPr>
                    <w:t>》（DB13/2322-2016）表1</w:t>
                  </w:r>
                  <w:r>
                    <w:rPr>
                      <w:rFonts w:hint="eastAsia"/>
                      <w:color w:val="auto"/>
                      <w:sz w:val="21"/>
                      <w:szCs w:val="21"/>
                    </w:rPr>
                    <w:t>表面涂装业</w:t>
                  </w:r>
                  <w:r>
                    <w:rPr>
                      <w:rFonts w:hint="eastAsia"/>
                      <w:color w:val="auto"/>
                      <w:sz w:val="21"/>
                      <w:szCs w:val="21"/>
                      <w:lang w:val="en-US" w:eastAsia="zh-CN"/>
                    </w:rPr>
                    <w:t>非甲烷总烃最高允许有组织排放浓度60mg/m</w:t>
                  </w:r>
                  <w:r>
                    <w:rPr>
                      <w:rFonts w:hint="eastAsia"/>
                      <w:color w:val="auto"/>
                      <w:sz w:val="21"/>
                      <w:szCs w:val="21"/>
                      <w:vertAlign w:val="superscript"/>
                      <w:lang w:val="en-US" w:eastAsia="zh-CN"/>
                    </w:rPr>
                    <w:t>3</w:t>
                  </w:r>
                  <w:r>
                    <w:rPr>
                      <w:rFonts w:hint="eastAsia"/>
                      <w:color w:val="auto"/>
                      <w:sz w:val="21"/>
                      <w:szCs w:val="21"/>
                      <w:lang w:val="en-US" w:eastAsia="zh-CN"/>
                    </w:rPr>
                    <w:t>，苯最高允许有组织排放浓度1mg/m</w:t>
                  </w:r>
                  <w:r>
                    <w:rPr>
                      <w:rFonts w:hint="eastAsia"/>
                      <w:color w:val="auto"/>
                      <w:sz w:val="21"/>
                      <w:szCs w:val="21"/>
                      <w:vertAlign w:val="superscript"/>
                      <w:lang w:val="en-US" w:eastAsia="zh-CN"/>
                    </w:rPr>
                    <w:t>3</w:t>
                  </w:r>
                  <w:r>
                    <w:rPr>
                      <w:rFonts w:hint="eastAsia"/>
                      <w:color w:val="auto"/>
                      <w:sz w:val="21"/>
                      <w:szCs w:val="21"/>
                      <w:lang w:val="en-US" w:eastAsia="zh-CN"/>
                    </w:rPr>
                    <w:t>，甲苯与二甲苯合计最高允许排放浓度20mg/m</w:t>
                  </w:r>
                  <w:r>
                    <w:rPr>
                      <w:rFonts w:hint="eastAsia"/>
                      <w:color w:val="auto"/>
                      <w:sz w:val="21"/>
                      <w:szCs w:val="21"/>
                      <w:vertAlign w:val="superscript"/>
                      <w:lang w:val="en-US" w:eastAsia="zh-CN"/>
                    </w:rPr>
                    <w:t>3</w:t>
                  </w:r>
                </w:p>
              </w:tc>
            </w:tr>
            <w:tr w14:paraId="4F03F1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52" w:type="dxa"/>
                  <w:vMerge w:val="continue"/>
                  <w:tcBorders>
                    <w:tl2br w:val="nil"/>
                    <w:tr2bl w:val="nil"/>
                  </w:tcBorders>
                  <w:noWrap w:val="0"/>
                  <w:tcMar>
                    <w:top w:w="15" w:type="dxa"/>
                    <w:left w:w="15" w:type="dxa"/>
                    <w:bottom w:w="15" w:type="dxa"/>
                    <w:right w:w="15" w:type="dxa"/>
                  </w:tcMar>
                  <w:vAlign w:val="center"/>
                </w:tcPr>
                <w:p w14:paraId="73D85B28">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1202" w:type="dxa"/>
                  <w:tcBorders>
                    <w:tl2br w:val="nil"/>
                    <w:tr2bl w:val="nil"/>
                  </w:tcBorders>
                  <w:noWrap w:val="0"/>
                  <w:tcMar>
                    <w:top w:w="15" w:type="dxa"/>
                    <w:left w:w="15" w:type="dxa"/>
                    <w:bottom w:w="15" w:type="dxa"/>
                    <w:right w:w="15" w:type="dxa"/>
                  </w:tcMar>
                  <w:vAlign w:val="center"/>
                </w:tcPr>
                <w:p w14:paraId="3D2C87D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颗粒物、SO</w:t>
                  </w:r>
                  <w:r>
                    <w:rPr>
                      <w:rFonts w:hint="eastAsia"/>
                      <w:color w:val="auto"/>
                      <w:sz w:val="21"/>
                      <w:szCs w:val="21"/>
                      <w:vertAlign w:val="subscript"/>
                      <w:lang w:val="en-US" w:eastAsia="zh-CN"/>
                    </w:rPr>
                    <w:t>2</w:t>
                  </w:r>
                  <w:r>
                    <w:rPr>
                      <w:rFonts w:hint="eastAsia"/>
                      <w:color w:val="auto"/>
                      <w:sz w:val="21"/>
                      <w:szCs w:val="21"/>
                      <w:lang w:val="en-US" w:eastAsia="zh-CN"/>
                    </w:rPr>
                    <w:t>、NO</w:t>
                  </w:r>
                  <w:r>
                    <w:rPr>
                      <w:rFonts w:hint="eastAsia"/>
                      <w:color w:val="auto"/>
                      <w:sz w:val="21"/>
                      <w:szCs w:val="21"/>
                      <w:vertAlign w:val="subscript"/>
                      <w:lang w:val="en-US" w:eastAsia="zh-CN"/>
                    </w:rPr>
                    <w:t>X</w:t>
                  </w:r>
                  <w:r>
                    <w:rPr>
                      <w:rFonts w:hint="eastAsia"/>
                      <w:color w:val="auto"/>
                      <w:sz w:val="21"/>
                      <w:szCs w:val="21"/>
                      <w:vertAlign w:val="baseline"/>
                      <w:lang w:val="en-US" w:eastAsia="zh-CN"/>
                    </w:rPr>
                    <w:t>、烟气黑度</w:t>
                  </w:r>
                </w:p>
              </w:tc>
              <w:tc>
                <w:tcPr>
                  <w:tcW w:w="997" w:type="dxa"/>
                  <w:tcBorders>
                    <w:tl2br w:val="nil"/>
                    <w:tr2bl w:val="nil"/>
                  </w:tcBorders>
                  <w:noWrap w:val="0"/>
                  <w:tcMar>
                    <w:top w:w="15" w:type="dxa"/>
                    <w:left w:w="15" w:type="dxa"/>
                    <w:bottom w:w="15" w:type="dxa"/>
                    <w:right w:w="15" w:type="dxa"/>
                  </w:tcMar>
                  <w:vAlign w:val="center"/>
                </w:tcPr>
                <w:p w14:paraId="0B4F9E8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1次</w:t>
                  </w:r>
                  <w:r>
                    <w:rPr>
                      <w:rFonts w:hint="default" w:ascii="Times New Roman" w:hAnsi="Times New Roman" w:eastAsia="宋体" w:cs="Times New Roman"/>
                      <w:color w:val="auto"/>
                      <w:sz w:val="21"/>
                      <w:szCs w:val="21"/>
                      <w:lang w:val="en-US" w:eastAsia="zh-CN"/>
                    </w:rPr>
                    <w:t>/年</w:t>
                  </w:r>
                </w:p>
              </w:tc>
              <w:tc>
                <w:tcPr>
                  <w:tcW w:w="4565" w:type="dxa"/>
                  <w:tcBorders>
                    <w:tl2br w:val="nil"/>
                    <w:tr2bl w:val="nil"/>
                  </w:tcBorders>
                  <w:noWrap w:val="0"/>
                  <w:tcMar>
                    <w:top w:w="15" w:type="dxa"/>
                    <w:left w:w="15" w:type="dxa"/>
                    <w:bottom w:w="15" w:type="dxa"/>
                    <w:right w:w="15" w:type="dxa"/>
                  </w:tcMar>
                  <w:vAlign w:val="center"/>
                </w:tcPr>
                <w:p w14:paraId="6394621F">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highlight w:val="none"/>
                      <w:lang w:val="en-US" w:eastAsia="zh-CN"/>
                    </w:rPr>
                    <w:t>《工业窑炉大气污染物排放标准》（DB13/1640-2012）中表1其他窑炉（新建窑炉）</w:t>
                  </w:r>
                  <w:r>
                    <w:rPr>
                      <w:rFonts w:hint="eastAsia"/>
                      <w:color w:val="auto"/>
                      <w:sz w:val="21"/>
                      <w:szCs w:val="21"/>
                      <w:highlight w:val="none"/>
                    </w:rPr>
                    <w:t>颗粒物</w:t>
                  </w:r>
                  <w:r>
                    <w:rPr>
                      <w:rFonts w:hint="eastAsia"/>
                      <w:color w:val="auto"/>
                      <w:sz w:val="21"/>
                      <w:szCs w:val="21"/>
                      <w:highlight w:val="none"/>
                      <w:lang w:val="en-US" w:eastAsia="zh-CN"/>
                    </w:rPr>
                    <w:t>最高允许排放浓度50mg/m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，表2中SO</w:t>
                  </w:r>
                  <w:r>
                    <w:rPr>
                      <w:rFonts w:hint="eastAsia"/>
                      <w:color w:val="auto"/>
                      <w:sz w:val="21"/>
                      <w:szCs w:val="21"/>
                      <w:highlight w:val="none"/>
                      <w:vertAlign w:val="subscript"/>
                      <w:lang w:val="en-US" w:eastAsia="zh-CN"/>
                    </w:rPr>
                    <w:t>2</w:t>
                  </w:r>
                  <w:r>
                    <w:rPr>
                      <w:rFonts w:hint="eastAsia"/>
                      <w:color w:val="auto"/>
                      <w:sz w:val="21"/>
                      <w:szCs w:val="21"/>
                      <w:highlight w:val="none"/>
                      <w:lang w:val="en-US" w:eastAsia="zh-CN"/>
                    </w:rPr>
                    <w:t>最高允许排放浓度400mg/m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，NO</w:t>
                  </w:r>
                  <w:r>
                    <w:rPr>
                      <w:rFonts w:hint="eastAsia"/>
                      <w:color w:val="auto"/>
                      <w:sz w:val="21"/>
                      <w:szCs w:val="21"/>
                      <w:highlight w:val="none"/>
                      <w:vertAlign w:val="subscript"/>
                      <w:lang w:val="en-US" w:eastAsia="zh-CN"/>
                    </w:rPr>
                    <w:t>X</w:t>
                  </w:r>
                  <w:r>
                    <w:rPr>
                      <w:rFonts w:hint="eastAsia"/>
                      <w:color w:val="auto"/>
                      <w:sz w:val="21"/>
                      <w:szCs w:val="21"/>
                      <w:highlight w:val="none"/>
                      <w:lang w:val="en-US" w:eastAsia="zh-CN"/>
                    </w:rPr>
                    <w:t>最高允许排放浓度400mg/m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，烟气黑度小于1级（格林曼黑度），</w:t>
                  </w:r>
                  <w:r>
                    <w:rPr>
                      <w:rFonts w:hint="default" w:ascii="Times New Roman" w:hAnsi="Times New Roman" w:eastAsia="宋体" w:cs="Times New Roman"/>
                      <w:color w:val="auto"/>
                      <w:sz w:val="21"/>
                      <w:szCs w:val="21"/>
                      <w:highlight w:val="none"/>
                      <w:lang w:val="en-US" w:eastAsia="zh-CN"/>
                    </w:rPr>
                    <w:t>同时应满足</w:t>
                  </w:r>
                  <w:r>
                    <w:rPr>
                      <w:rFonts w:hint="default" w:ascii="Times New Roman" w:hAnsi="Times New Roman" w:cs="Times New Roman"/>
                      <w:b w:val="0"/>
                      <w:color w:val="auto"/>
                      <w:sz w:val="21"/>
                      <w:szCs w:val="21"/>
                      <w:highlight w:val="none"/>
                    </w:rPr>
                    <w:t>中共唐山市委办公室 唐山市人民政府办公室 关于印发《2019</w:t>
                  </w:r>
                  <w:r>
                    <w:rPr>
                      <w:rFonts w:hint="eastAsia" w:ascii="宋体" w:hAnsi="宋体" w:eastAsia="宋体" w:cs="宋体"/>
                      <w:b w:val="0"/>
                      <w:color w:val="auto"/>
                      <w:sz w:val="21"/>
                      <w:szCs w:val="21"/>
                      <w:highlight w:val="none"/>
                    </w:rPr>
                    <w:t>年“十项重点工作”工</w:t>
                  </w:r>
                  <w:r>
                    <w:rPr>
                      <w:rFonts w:hint="default" w:ascii="Times New Roman" w:hAnsi="Times New Roman" w:cs="Times New Roman"/>
                      <w:b w:val="0"/>
                      <w:color w:val="auto"/>
                      <w:sz w:val="21"/>
                      <w:szCs w:val="21"/>
                      <w:highlight w:val="none"/>
                    </w:rPr>
                    <w:t>作方案》的通知</w:t>
                  </w:r>
                  <w:r>
                    <w:rPr>
                      <w:rFonts w:hint="default" w:ascii="Times New Roman" w:hAnsi="Times New Roman" w:cs="Times New Roman"/>
                      <w:b w:val="0"/>
                      <w:color w:val="auto"/>
                      <w:sz w:val="21"/>
                      <w:szCs w:val="21"/>
                      <w:highlight w:val="none"/>
                      <w:lang w:val="en-US" w:eastAsia="zh-CN"/>
                    </w:rPr>
                    <w:t>中</w:t>
                  </w:r>
                  <w:r>
                    <w:rPr>
                      <w:rFonts w:hint="default" w:ascii="Times New Roman" w:hAnsi="Times New Roman" w:cs="Times New Roman"/>
                      <w:color w:val="auto"/>
                      <w:sz w:val="21"/>
                      <w:szCs w:val="21"/>
                      <w:highlight w:val="none"/>
                      <w:lang w:val="en-US" w:eastAsia="zh-CN"/>
                    </w:rPr>
                    <w:t>无行业排放标准的颗粒物、二氧化硫、氮氧化物排放浓度控制在30mg/Nm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、200mg/Nm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、300mg/Nm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以下要求</w:t>
                  </w:r>
                  <w:r>
                    <w:rPr>
                      <w:rFonts w:hint="eastAsia" w:ascii="Times New Roman" w:hAnsi="Times New Roman" w:cs="Times New Roman"/>
                      <w:color w:val="auto"/>
                      <w:sz w:val="21"/>
                      <w:szCs w:val="21"/>
                      <w:highlight w:val="none"/>
                      <w:lang w:val="en-US" w:eastAsia="zh-CN"/>
                    </w:rPr>
                    <w:t>，</w:t>
                  </w:r>
                  <w:r>
                    <w:rPr>
                      <w:rFonts w:hint="eastAsia"/>
                      <w:color w:val="auto"/>
                      <w:sz w:val="21"/>
                      <w:szCs w:val="21"/>
                      <w:highlight w:val="none"/>
                      <w:lang w:val="en-US" w:eastAsia="zh-CN"/>
                    </w:rPr>
                    <w:t>并且颗粒物排放浓度满足《钢铁工业大气污染物超低排放标准》（DB13/2169-2018）表1颗粒物排放限值：10mg/m</w:t>
                  </w:r>
                  <w:r>
                    <w:rPr>
                      <w:rFonts w:hint="eastAsia"/>
                      <w:color w:val="auto"/>
                      <w:sz w:val="21"/>
                      <w:szCs w:val="21"/>
                      <w:highlight w:val="none"/>
                      <w:vertAlign w:val="superscript"/>
                      <w:lang w:val="en-US" w:eastAsia="zh-CN"/>
                    </w:rPr>
                    <w:t>3</w:t>
                  </w:r>
                </w:p>
              </w:tc>
            </w:tr>
            <w:tr w14:paraId="16D390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52" w:type="dxa"/>
                  <w:tcBorders>
                    <w:tl2br w:val="nil"/>
                    <w:tr2bl w:val="nil"/>
                  </w:tcBorders>
                  <w:noWrap w:val="0"/>
                  <w:tcMar>
                    <w:top w:w="15" w:type="dxa"/>
                    <w:left w:w="15" w:type="dxa"/>
                    <w:bottom w:w="15" w:type="dxa"/>
                    <w:right w:w="15" w:type="dxa"/>
                  </w:tcMar>
                  <w:vAlign w:val="center"/>
                </w:tcPr>
                <w:p w14:paraId="5197B5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bCs/>
                      <w:caps w:val="0"/>
                      <w:color w:val="auto"/>
                      <w:spacing w:val="0"/>
                      <w:position w:val="0"/>
                      <w:sz w:val="21"/>
                      <w:szCs w:val="21"/>
                      <w:highlight w:val="none"/>
                      <w:lang w:val="en-US" w:eastAsia="zh-CN"/>
                    </w:rPr>
                    <w:t>喷塑、打磨、腻子打磨、打砂、抛丸废气排放口（DA002）</w:t>
                  </w:r>
                </w:p>
              </w:tc>
              <w:tc>
                <w:tcPr>
                  <w:tcW w:w="1202" w:type="dxa"/>
                  <w:tcBorders>
                    <w:tl2br w:val="nil"/>
                    <w:tr2bl w:val="nil"/>
                  </w:tcBorders>
                  <w:noWrap w:val="0"/>
                  <w:tcMar>
                    <w:top w:w="15" w:type="dxa"/>
                    <w:left w:w="15" w:type="dxa"/>
                    <w:bottom w:w="15" w:type="dxa"/>
                    <w:right w:w="15" w:type="dxa"/>
                  </w:tcMar>
                  <w:vAlign w:val="center"/>
                </w:tcPr>
                <w:p w14:paraId="4BC28A2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颗粒物</w:t>
                  </w:r>
                </w:p>
              </w:tc>
              <w:tc>
                <w:tcPr>
                  <w:tcW w:w="997" w:type="dxa"/>
                  <w:tcBorders>
                    <w:tl2br w:val="nil"/>
                    <w:tr2bl w:val="nil"/>
                  </w:tcBorders>
                  <w:noWrap w:val="0"/>
                  <w:tcMar>
                    <w:top w:w="15" w:type="dxa"/>
                    <w:left w:w="15" w:type="dxa"/>
                    <w:bottom w:w="15" w:type="dxa"/>
                    <w:right w:w="15" w:type="dxa"/>
                  </w:tcMar>
                  <w:vAlign w:val="center"/>
                </w:tcPr>
                <w:p w14:paraId="79D6A48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1次</w:t>
                  </w:r>
                  <w:r>
                    <w:rPr>
                      <w:rFonts w:hint="default" w:ascii="Times New Roman" w:hAnsi="Times New Roman" w:eastAsia="宋体" w:cs="Times New Roman"/>
                      <w:color w:val="auto"/>
                      <w:sz w:val="21"/>
                      <w:szCs w:val="21"/>
                      <w:lang w:val="en-US" w:eastAsia="zh-CN"/>
                    </w:rPr>
                    <w:t>/年</w:t>
                  </w:r>
                </w:p>
              </w:tc>
              <w:tc>
                <w:tcPr>
                  <w:tcW w:w="4565" w:type="dxa"/>
                  <w:tcBorders>
                    <w:tl2br w:val="nil"/>
                    <w:tr2bl w:val="nil"/>
                  </w:tcBorders>
                  <w:noWrap w:val="0"/>
                  <w:tcMar>
                    <w:top w:w="15" w:type="dxa"/>
                    <w:left w:w="15" w:type="dxa"/>
                    <w:bottom w:w="15" w:type="dxa"/>
                    <w:right w:w="15" w:type="dxa"/>
                  </w:tcMar>
                  <w:vAlign w:val="center"/>
                </w:tcPr>
                <w:p w14:paraId="79F29C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喷塑：</w:t>
                  </w:r>
                  <w:r>
                    <w:rPr>
                      <w:rFonts w:hint="default" w:ascii="Times New Roman" w:hAnsi="Times New Roman" w:eastAsia="宋体" w:cs="Times New Roman"/>
                      <w:color w:val="auto"/>
                      <w:kern w:val="2"/>
                      <w:sz w:val="21"/>
                      <w:szCs w:val="21"/>
                      <w:lang w:val="en-US" w:eastAsia="zh-CN" w:bidi="ar-SA"/>
                    </w:rPr>
                    <w:t>《大气污染物综合排放标准》（GB16297-1996）表2中二级标准：颗粒物（染料尘）排放浓度限值18mg/m</w:t>
                  </w:r>
                  <w:r>
                    <w:rPr>
                      <w:rFonts w:hint="default" w:ascii="Times New Roman" w:hAnsi="Times New Roman" w:eastAsia="宋体" w:cs="Times New Roman"/>
                      <w:color w:val="auto"/>
                      <w:kern w:val="2"/>
                      <w:sz w:val="21"/>
                      <w:szCs w:val="21"/>
                      <w:vertAlign w:val="superscript"/>
                      <w:lang w:val="en-US" w:eastAsia="zh-CN" w:bidi="ar-SA"/>
                    </w:rPr>
                    <w:t>3</w:t>
                  </w:r>
                  <w:r>
                    <w:rPr>
                      <w:rFonts w:hint="eastAsia" w:cs="Times New Roman"/>
                      <w:color w:val="auto"/>
                      <w:kern w:val="2"/>
                      <w:sz w:val="21"/>
                      <w:szCs w:val="21"/>
                      <w:lang w:val="en-US" w:eastAsia="zh-CN" w:bidi="ar-SA"/>
                    </w:rPr>
                    <w:t>；</w:t>
                  </w:r>
                </w:p>
                <w:p w14:paraId="5079E645">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bCs/>
                      <w:caps w:val="0"/>
                      <w:color w:val="auto"/>
                      <w:spacing w:val="0"/>
                      <w:position w:val="0"/>
                      <w:sz w:val="21"/>
                      <w:szCs w:val="21"/>
                      <w:highlight w:val="none"/>
                      <w:lang w:val="en-US" w:eastAsia="zh-CN"/>
                    </w:rPr>
                    <w:t>打磨、腻子打磨、打砂、抛丸：</w:t>
                  </w:r>
                  <w:r>
                    <w:rPr>
                      <w:rFonts w:hint="default" w:ascii="Times New Roman" w:hAnsi="Times New Roman" w:eastAsia="宋体" w:cs="Times New Roman"/>
                      <w:color w:val="auto"/>
                      <w:kern w:val="2"/>
                      <w:sz w:val="21"/>
                      <w:szCs w:val="21"/>
                      <w:lang w:val="en-US" w:eastAsia="zh-CN" w:bidi="ar-SA"/>
                    </w:rPr>
                    <w:t>《钢铁工业大气污染物超低排放标准》(DB13/2169-2018)中表1颗粒物排放限值10mg/m</w:t>
                  </w:r>
                  <w:r>
                    <w:rPr>
                      <w:rFonts w:hint="default" w:ascii="Times New Roman" w:hAnsi="Times New Roman" w:eastAsia="宋体" w:cs="Times New Roman"/>
                      <w:color w:val="auto"/>
                      <w:kern w:val="2"/>
                      <w:sz w:val="21"/>
                      <w:szCs w:val="21"/>
                      <w:vertAlign w:val="superscript"/>
                      <w:lang w:val="en-US" w:eastAsia="zh-CN" w:bidi="ar-SA"/>
                    </w:rPr>
                    <w:t>3</w:t>
                  </w:r>
                </w:p>
              </w:tc>
            </w:tr>
            <w:tr w14:paraId="26F47C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52" w:type="dxa"/>
                  <w:vMerge w:val="restart"/>
                  <w:tcBorders>
                    <w:tl2br w:val="nil"/>
                    <w:tr2bl w:val="nil"/>
                  </w:tcBorders>
                  <w:noWrap w:val="0"/>
                  <w:tcMar>
                    <w:top w:w="15" w:type="dxa"/>
                    <w:left w:w="15" w:type="dxa"/>
                    <w:bottom w:w="15" w:type="dxa"/>
                    <w:right w:w="15" w:type="dxa"/>
                  </w:tcMar>
                  <w:vAlign w:val="center"/>
                </w:tcPr>
                <w:p w14:paraId="2DBE98B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厂界</w:t>
                  </w:r>
                </w:p>
              </w:tc>
              <w:tc>
                <w:tcPr>
                  <w:tcW w:w="1202" w:type="dxa"/>
                  <w:tcBorders>
                    <w:tl2br w:val="nil"/>
                    <w:tr2bl w:val="nil"/>
                  </w:tcBorders>
                  <w:noWrap w:val="0"/>
                  <w:tcMar>
                    <w:top w:w="15" w:type="dxa"/>
                    <w:left w:w="15" w:type="dxa"/>
                    <w:bottom w:w="15" w:type="dxa"/>
                    <w:right w:w="15" w:type="dxa"/>
                  </w:tcMar>
                  <w:vAlign w:val="center"/>
                </w:tcPr>
                <w:p w14:paraId="2DB4ECB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非甲烷总烃、苯、甲苯、二甲苯</w:t>
                  </w:r>
                </w:p>
              </w:tc>
              <w:tc>
                <w:tcPr>
                  <w:tcW w:w="997" w:type="dxa"/>
                  <w:tcBorders>
                    <w:tl2br w:val="nil"/>
                    <w:tr2bl w:val="nil"/>
                  </w:tcBorders>
                  <w:noWrap w:val="0"/>
                  <w:tcMar>
                    <w:top w:w="15" w:type="dxa"/>
                    <w:left w:w="15" w:type="dxa"/>
                    <w:bottom w:w="15" w:type="dxa"/>
                    <w:right w:w="15" w:type="dxa"/>
                  </w:tcMar>
                  <w:vAlign w:val="center"/>
                </w:tcPr>
                <w:p w14:paraId="286132B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1次</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半</w:t>
                  </w:r>
                  <w:r>
                    <w:rPr>
                      <w:rFonts w:hint="default" w:ascii="Times New Roman" w:hAnsi="Times New Roman" w:eastAsia="宋体" w:cs="Times New Roman"/>
                      <w:color w:val="auto"/>
                      <w:sz w:val="21"/>
                      <w:szCs w:val="21"/>
                      <w:lang w:val="en-US" w:eastAsia="zh-CN"/>
                    </w:rPr>
                    <w:t>年</w:t>
                  </w:r>
                </w:p>
              </w:tc>
              <w:tc>
                <w:tcPr>
                  <w:tcW w:w="4565" w:type="dxa"/>
                  <w:tcBorders>
                    <w:tl2br w:val="nil"/>
                    <w:tr2bl w:val="nil"/>
                  </w:tcBorders>
                  <w:noWrap w:val="0"/>
                  <w:tcMar>
                    <w:top w:w="15" w:type="dxa"/>
                    <w:left w:w="15" w:type="dxa"/>
                    <w:bottom w:w="15" w:type="dxa"/>
                    <w:right w:w="15" w:type="dxa"/>
                  </w:tcMar>
                  <w:vAlign w:val="center"/>
                </w:tcPr>
                <w:p w14:paraId="5388FCAF">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bidi="ar"/>
                    </w:rPr>
                    <w:t>《工业企业挥发性有机物排放控制标准》（DB13/2322-2016）表2企业边界大气污染物</w:t>
                  </w:r>
                  <w:r>
                    <w:rPr>
                      <w:rFonts w:hint="default" w:ascii="Times New Roman" w:hAnsi="Times New Roman" w:eastAsia="宋体" w:cs="Times New Roman"/>
                      <w:color w:val="auto"/>
                      <w:sz w:val="21"/>
                      <w:szCs w:val="21"/>
                      <w:lang w:val="en-US" w:eastAsia="zh-CN" w:bidi="ar"/>
                    </w:rPr>
                    <w:t>排放浓度限值：非甲烷总烃2.0</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vertAlign w:val="baseline"/>
                      <w:lang w:eastAsia="zh-CN"/>
                    </w:rPr>
                    <w:t>、</w:t>
                  </w:r>
                  <w:r>
                    <w:rPr>
                      <w:rFonts w:hint="default" w:ascii="Times New Roman" w:hAnsi="Times New Roman" w:eastAsia="宋体" w:cs="Times New Roman"/>
                      <w:color w:val="auto"/>
                      <w:sz w:val="21"/>
                      <w:szCs w:val="21"/>
                      <w:vertAlign w:val="baseline"/>
                      <w:lang w:val="en-US" w:eastAsia="zh-CN"/>
                    </w:rPr>
                    <w:t>苯0.1</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vertAlign w:val="baseline"/>
                      <w:lang w:eastAsia="zh-CN"/>
                    </w:rPr>
                    <w:t>、</w:t>
                  </w:r>
                  <w:r>
                    <w:rPr>
                      <w:rFonts w:hint="default" w:ascii="Times New Roman" w:hAnsi="Times New Roman" w:eastAsia="宋体" w:cs="Times New Roman"/>
                      <w:color w:val="auto"/>
                      <w:sz w:val="21"/>
                      <w:szCs w:val="21"/>
                      <w:vertAlign w:val="baseline"/>
                      <w:lang w:val="en-US" w:eastAsia="zh-CN"/>
                    </w:rPr>
                    <w:t>甲苯0.6</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vertAlign w:val="baseline"/>
                      <w:lang w:eastAsia="zh-CN"/>
                    </w:rPr>
                    <w:t>、</w:t>
                  </w:r>
                  <w:r>
                    <w:rPr>
                      <w:rFonts w:hint="default" w:ascii="Times New Roman" w:hAnsi="Times New Roman" w:eastAsia="宋体" w:cs="Times New Roman"/>
                      <w:color w:val="auto"/>
                      <w:sz w:val="21"/>
                      <w:szCs w:val="21"/>
                      <w:vertAlign w:val="baseline"/>
                      <w:lang w:val="en-US" w:eastAsia="zh-CN"/>
                    </w:rPr>
                    <w:t>二甲苯0.2</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p>
              </w:tc>
            </w:tr>
            <w:tr w14:paraId="3A765B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452" w:type="dxa"/>
                  <w:vMerge w:val="continue"/>
                  <w:tcBorders>
                    <w:tl2br w:val="nil"/>
                    <w:tr2bl w:val="nil"/>
                  </w:tcBorders>
                  <w:noWrap w:val="0"/>
                  <w:tcMar>
                    <w:top w:w="15" w:type="dxa"/>
                    <w:left w:w="15" w:type="dxa"/>
                    <w:bottom w:w="15" w:type="dxa"/>
                    <w:right w:w="15" w:type="dxa"/>
                  </w:tcMar>
                  <w:vAlign w:val="center"/>
                </w:tcPr>
                <w:p w14:paraId="39D51B4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202" w:type="dxa"/>
                  <w:tcBorders>
                    <w:tl2br w:val="nil"/>
                    <w:tr2bl w:val="nil"/>
                  </w:tcBorders>
                  <w:noWrap w:val="0"/>
                  <w:tcMar>
                    <w:top w:w="15" w:type="dxa"/>
                    <w:left w:w="15" w:type="dxa"/>
                    <w:bottom w:w="15" w:type="dxa"/>
                    <w:right w:w="15" w:type="dxa"/>
                  </w:tcMar>
                  <w:vAlign w:val="center"/>
                </w:tcPr>
                <w:p w14:paraId="27C54BA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997" w:type="dxa"/>
                  <w:tcBorders>
                    <w:tl2br w:val="nil"/>
                    <w:tr2bl w:val="nil"/>
                  </w:tcBorders>
                  <w:noWrap w:val="0"/>
                  <w:tcMar>
                    <w:top w:w="15" w:type="dxa"/>
                    <w:left w:w="15" w:type="dxa"/>
                    <w:bottom w:w="15" w:type="dxa"/>
                    <w:right w:w="15" w:type="dxa"/>
                  </w:tcMar>
                  <w:vAlign w:val="center"/>
                </w:tcPr>
                <w:p w14:paraId="5C05C2B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1次</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半</w:t>
                  </w:r>
                  <w:r>
                    <w:rPr>
                      <w:rFonts w:hint="default" w:ascii="Times New Roman" w:hAnsi="Times New Roman" w:eastAsia="宋体" w:cs="Times New Roman"/>
                      <w:color w:val="auto"/>
                      <w:sz w:val="21"/>
                      <w:szCs w:val="21"/>
                      <w:lang w:val="en-US" w:eastAsia="zh-CN"/>
                    </w:rPr>
                    <w:t>年</w:t>
                  </w:r>
                </w:p>
              </w:tc>
              <w:tc>
                <w:tcPr>
                  <w:tcW w:w="4565" w:type="dxa"/>
                  <w:tcBorders>
                    <w:tl2br w:val="nil"/>
                    <w:tr2bl w:val="nil"/>
                  </w:tcBorders>
                  <w:noWrap w:val="0"/>
                  <w:tcMar>
                    <w:top w:w="15" w:type="dxa"/>
                    <w:left w:w="15" w:type="dxa"/>
                    <w:bottom w:w="15" w:type="dxa"/>
                    <w:right w:w="15" w:type="dxa"/>
                  </w:tcMar>
                  <w:vAlign w:val="center"/>
                </w:tcPr>
                <w:p w14:paraId="1980400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《大气污染物综合排放标准》（GB16297-1996）表2中</w:t>
                  </w:r>
                  <w:r>
                    <w:rPr>
                      <w:rFonts w:hint="default" w:ascii="Times New Roman" w:hAnsi="Times New Roman" w:eastAsia="宋体" w:cs="Times New Roman"/>
                      <w:color w:val="auto"/>
                      <w:sz w:val="21"/>
                      <w:szCs w:val="21"/>
                      <w:lang w:val="en-US" w:eastAsia="zh-CN" w:bidi="ar"/>
                    </w:rPr>
                    <w:t>颗粒物</w:t>
                  </w:r>
                  <w:r>
                    <w:rPr>
                      <w:rFonts w:hint="default" w:ascii="Times New Roman" w:hAnsi="Times New Roman" w:eastAsia="宋体" w:cs="Times New Roman"/>
                      <w:color w:val="auto"/>
                      <w:sz w:val="21"/>
                      <w:szCs w:val="21"/>
                      <w:lang w:bidi="ar"/>
                    </w:rPr>
                    <w:t>无组织排放浓度限值</w:t>
                  </w:r>
                  <w:r>
                    <w:rPr>
                      <w:rFonts w:hint="default" w:ascii="Times New Roman" w:hAnsi="Times New Roman" w:eastAsia="宋体" w:cs="Times New Roman"/>
                      <w:color w:val="auto"/>
                      <w:sz w:val="21"/>
                      <w:szCs w:val="21"/>
                      <w:lang w:val="en-US" w:eastAsia="zh-CN" w:bidi="ar"/>
                    </w:rPr>
                    <w:t>1.0</w:t>
                  </w:r>
                  <w:r>
                    <w:rPr>
                      <w:rFonts w:hint="default" w:ascii="Times New Roman" w:hAnsi="Times New Roman" w:eastAsia="宋体" w:cs="Times New Roman"/>
                      <w:color w:val="auto"/>
                      <w:sz w:val="21"/>
                      <w:szCs w:val="21"/>
                      <w:lang w:bidi="ar"/>
                    </w:rPr>
                    <w:t>mg/m</w:t>
                  </w:r>
                  <w:r>
                    <w:rPr>
                      <w:rFonts w:hint="default" w:ascii="Times New Roman" w:hAnsi="Times New Roman" w:eastAsia="宋体" w:cs="Times New Roman"/>
                      <w:color w:val="auto"/>
                      <w:sz w:val="21"/>
                      <w:szCs w:val="21"/>
                      <w:vertAlign w:val="superscript"/>
                      <w:lang w:bidi="ar"/>
                    </w:rPr>
                    <w:t>3</w:t>
                  </w:r>
                </w:p>
              </w:tc>
            </w:tr>
          </w:tbl>
          <w:p w14:paraId="74743E83">
            <w:pPr>
              <w:keepNext w:val="0"/>
              <w:keepLines w:val="0"/>
              <w:pageBreakBefore w:val="0"/>
              <w:widowControl w:val="0"/>
              <w:kinsoku/>
              <w:wordWrap/>
              <w:overflowPunct/>
              <w:topLinePunct w:val="0"/>
              <w:autoSpaceDE/>
              <w:autoSpaceDN/>
              <w:bidi w:val="0"/>
              <w:adjustRightInd/>
              <w:snapToGrid/>
              <w:textAlignment w:val="auto"/>
              <w:rPr>
                <w:rFonts w:hint="eastAsia"/>
                <w:b/>
                <w:bCs/>
                <w:color w:val="auto"/>
                <w:highlight w:val="none"/>
                <w:lang w:val="en-US" w:eastAsia="zh-CN"/>
              </w:rPr>
            </w:pPr>
            <w:r>
              <w:rPr>
                <w:rFonts w:hint="default"/>
                <w:b/>
                <w:bCs/>
                <w:color w:val="auto"/>
                <w:highlight w:val="none"/>
              </w:rPr>
              <w:t>1.</w:t>
            </w:r>
            <w:r>
              <w:rPr>
                <w:rFonts w:hint="eastAsia"/>
                <w:b/>
                <w:bCs/>
                <w:color w:val="auto"/>
                <w:highlight w:val="none"/>
                <w:lang w:val="en-US" w:eastAsia="zh-CN"/>
              </w:rPr>
              <w:t>7大气环境评价结论</w:t>
            </w:r>
          </w:p>
          <w:p w14:paraId="084628FA">
            <w:pPr>
              <w:bidi w:val="0"/>
              <w:rPr>
                <w:rFonts w:hint="eastAsia"/>
                <w:b/>
                <w:bCs/>
                <w:color w:val="auto"/>
                <w:lang w:val="en-US" w:eastAsia="zh-CN"/>
              </w:rPr>
            </w:pPr>
            <w:r>
              <w:rPr>
                <w:rFonts w:hint="eastAsia"/>
                <w:color w:val="auto"/>
                <w:lang w:val="en-US" w:eastAsia="zh-CN"/>
              </w:rPr>
              <w:t>项目</w:t>
            </w:r>
            <w:r>
              <w:rPr>
                <w:rFonts w:hint="default"/>
                <w:color w:val="auto"/>
                <w:lang w:val="en-US" w:eastAsia="zh-CN"/>
              </w:rPr>
              <w:t>所在区域环境空气质量属于不达标区。</w:t>
            </w:r>
            <w:r>
              <w:rPr>
                <w:rFonts w:hint="eastAsia"/>
                <w:color w:val="auto"/>
                <w:lang w:val="en-US" w:eastAsia="zh-CN"/>
              </w:rPr>
              <w:t>特征</w:t>
            </w:r>
            <w:r>
              <w:rPr>
                <w:rFonts w:hint="default"/>
                <w:color w:val="auto"/>
              </w:rPr>
              <w:t>污染物TSP</w:t>
            </w:r>
            <w:r>
              <w:rPr>
                <w:rFonts w:hint="eastAsia"/>
                <w:color w:val="auto"/>
              </w:rPr>
              <w:t xml:space="preserve"> </w:t>
            </w:r>
            <w:r>
              <w:rPr>
                <w:rFonts w:hint="default"/>
                <w:color w:val="auto"/>
              </w:rPr>
              <w:t>24小时浓度满足《环境空气质量标准》（GB3095—2012）中二级标准及其修改单</w:t>
            </w:r>
            <w:r>
              <w:rPr>
                <w:rFonts w:hint="eastAsia"/>
                <w:color w:val="auto"/>
                <w:lang w:val="en-US" w:eastAsia="zh-CN"/>
              </w:rPr>
              <w:t>的要求</w:t>
            </w:r>
            <w:r>
              <w:rPr>
                <w:rFonts w:hint="default"/>
                <w:color w:val="auto"/>
              </w:rPr>
              <w:t>。非甲烷总烃小时浓度满足河北省地方标准《环境空气质量 非甲烷总烃》（DB13/1577-2012）</w:t>
            </w:r>
            <w:r>
              <w:rPr>
                <w:rFonts w:hint="eastAsia"/>
                <w:color w:val="auto"/>
                <w:lang w:val="en-US" w:eastAsia="zh-CN"/>
              </w:rPr>
              <w:t>限值的要求</w:t>
            </w:r>
            <w:r>
              <w:rPr>
                <w:rFonts w:hint="eastAsia"/>
                <w:color w:val="auto"/>
                <w:lang w:eastAsia="zh-CN"/>
              </w:rPr>
              <w:t>。</w:t>
            </w:r>
            <w:r>
              <w:rPr>
                <w:rFonts w:hint="eastAsia"/>
                <w:color w:val="auto"/>
                <w:lang w:val="en-US" w:eastAsia="zh-CN"/>
              </w:rPr>
              <w:t>苯、甲苯、二甲苯小时浓度均满足《环境影响评价技术导则 大气环境》</w:t>
            </w:r>
            <w:r>
              <w:rPr>
                <w:rFonts w:hint="eastAsia"/>
                <w:color w:val="auto"/>
                <w:sz w:val="21"/>
                <w:szCs w:val="21"/>
                <w:lang w:val="en-US" w:eastAsia="zh-CN"/>
              </w:rPr>
              <w:t>（</w:t>
            </w:r>
            <w:r>
              <w:rPr>
                <w:rFonts w:eastAsia="宋体"/>
                <w:color w:val="auto"/>
                <w:sz w:val="21"/>
                <w:szCs w:val="21"/>
              </w:rPr>
              <w:t>HJ2.2-2018</w:t>
            </w:r>
            <w:r>
              <w:rPr>
                <w:rFonts w:hint="eastAsia"/>
                <w:color w:val="auto"/>
                <w:sz w:val="21"/>
                <w:szCs w:val="21"/>
                <w:lang w:val="en-US" w:eastAsia="zh-CN"/>
              </w:rPr>
              <w:t>）</w:t>
            </w:r>
            <w:r>
              <w:rPr>
                <w:rFonts w:hint="eastAsia"/>
                <w:color w:val="auto"/>
                <w:lang w:val="en-US" w:eastAsia="zh-CN"/>
              </w:rPr>
              <w:t>附录D中其他污染物空气质量浓度参考限值的</w:t>
            </w:r>
            <w:r>
              <w:rPr>
                <w:rFonts w:hint="default"/>
                <w:color w:val="auto"/>
              </w:rPr>
              <w:t>要求。</w:t>
            </w:r>
            <w:r>
              <w:rPr>
                <w:rFonts w:hint="eastAsia"/>
                <w:color w:val="auto"/>
                <w:lang w:val="en-US" w:eastAsia="zh-CN"/>
              </w:rPr>
              <w:t>项目</w:t>
            </w:r>
            <w:r>
              <w:rPr>
                <w:rFonts w:hint="eastAsia"/>
                <w:color w:val="auto"/>
                <w:sz w:val="24"/>
                <w:szCs w:val="24"/>
                <w:lang w:val="en-US" w:eastAsia="zh-CN"/>
              </w:rPr>
              <w:t>调漆、喷漆、烤漆过程产生的漆雾、非甲烷总烃、苯、甲苯、二甲苯，塑粉固化过程产生的非甲烷总烃，进入一套过滤棉+活性炭吸附/脱附+催化燃烧装置（离线）处理后经一根15m高排气筒排放；</w:t>
            </w:r>
            <w:r>
              <w:rPr>
                <w:rFonts w:hint="eastAsia"/>
                <w:color w:val="auto"/>
                <w:sz w:val="24"/>
                <w:szCs w:val="24"/>
                <w:highlight w:val="none"/>
                <w:lang w:val="en-US" w:eastAsia="zh-CN"/>
              </w:rPr>
              <w:t>烘干过程燃料燃烧废气经低氮燃烧器进入烘干房，与喷漆烘干废气经一套过滤棉+活性炭吸附+催化燃烧装置处理后经同一根15m高排气筒排放</w:t>
            </w:r>
            <w:r>
              <w:rPr>
                <w:rFonts w:hint="eastAsia"/>
                <w:color w:val="auto"/>
                <w:sz w:val="24"/>
                <w:szCs w:val="24"/>
                <w:lang w:val="en-US" w:eastAsia="zh-CN"/>
              </w:rPr>
              <w:t>；喷塑废气经一套袋式除尘器处理后通过一根15m高排气筒排放；打磨、腻子打磨、打砂废气经一套袋式除尘器处理后通过一根15m高排气筒排放（与喷塑废气共用一根排气筒）；</w:t>
            </w:r>
            <w:r>
              <w:rPr>
                <w:rFonts w:hint="eastAsia" w:ascii="Times New Roman" w:hAnsi="Times New Roman" w:eastAsia="宋体" w:cs="Times New Roman"/>
                <w:color w:val="auto"/>
                <w:sz w:val="24"/>
                <w:szCs w:val="24"/>
                <w:lang w:val="en-US" w:eastAsia="zh-CN"/>
              </w:rPr>
              <w:t>抛丸废气经设备自带除尘装置处理后与打磨等废气经同一根15m高排气筒排放；焊</w:t>
            </w:r>
            <w:r>
              <w:rPr>
                <w:rFonts w:hint="eastAsia"/>
                <w:color w:val="auto"/>
                <w:sz w:val="24"/>
                <w:szCs w:val="24"/>
                <w:lang w:val="en-US" w:eastAsia="zh-CN"/>
              </w:rPr>
              <w:t>接废气经焊烟净化器处理后无组织排放于封闭车间内。</w:t>
            </w:r>
            <w:r>
              <w:rPr>
                <w:rFonts w:hint="default"/>
                <w:color w:val="auto"/>
                <w:sz w:val="24"/>
                <w:szCs w:val="24"/>
                <w:highlight w:val="none"/>
                <w:lang w:val="en-US" w:eastAsia="zh-CN"/>
              </w:rPr>
              <w:t>项目</w:t>
            </w:r>
            <w:r>
              <w:rPr>
                <w:rFonts w:hint="eastAsia"/>
                <w:color w:val="auto"/>
                <w:sz w:val="24"/>
                <w:szCs w:val="24"/>
                <w:highlight w:val="none"/>
                <w:lang w:val="en-US" w:eastAsia="zh-CN"/>
              </w:rPr>
              <w:t>厂界外</w:t>
            </w:r>
            <w:r>
              <w:rPr>
                <w:rFonts w:hint="default"/>
                <w:color w:val="auto"/>
                <w:sz w:val="24"/>
                <w:szCs w:val="24"/>
                <w:highlight w:val="none"/>
                <w:lang w:val="en-US" w:eastAsia="zh-CN"/>
              </w:rPr>
              <w:t>500m范围内</w:t>
            </w:r>
            <w:r>
              <w:rPr>
                <w:rFonts w:hint="eastAsia"/>
                <w:color w:val="auto"/>
                <w:sz w:val="24"/>
                <w:szCs w:val="24"/>
                <w:highlight w:val="none"/>
                <w:lang w:val="en-US" w:eastAsia="zh-CN"/>
              </w:rPr>
              <w:t>的</w:t>
            </w:r>
            <w:r>
              <w:rPr>
                <w:rFonts w:hint="default"/>
                <w:color w:val="auto"/>
                <w:sz w:val="24"/>
                <w:szCs w:val="24"/>
                <w:highlight w:val="none"/>
                <w:lang w:val="en-US" w:eastAsia="zh-CN"/>
              </w:rPr>
              <w:t>环境敏感点</w:t>
            </w:r>
            <w:r>
              <w:rPr>
                <w:rFonts w:hint="eastAsia"/>
                <w:color w:val="auto"/>
                <w:sz w:val="24"/>
                <w:szCs w:val="24"/>
                <w:highlight w:val="none"/>
                <w:lang w:val="en-US" w:eastAsia="zh-CN"/>
              </w:rPr>
              <w:t>为厂区南侧103米的梁各庄村和东侧317米的王官庄村</w:t>
            </w:r>
            <w:r>
              <w:rPr>
                <w:rFonts w:hint="eastAsia"/>
                <w:color w:val="auto"/>
                <w:highlight w:val="none"/>
                <w:lang w:val="en-US" w:eastAsia="zh-CN"/>
              </w:rPr>
              <w:t>。</w:t>
            </w:r>
            <w:r>
              <w:rPr>
                <w:color w:val="auto"/>
              </w:rPr>
              <w:t>项目采取各项污染防治措施后，污染物排放均能满足相应标准要求，</w:t>
            </w:r>
            <w:r>
              <w:rPr>
                <w:rFonts w:hint="eastAsia"/>
                <w:color w:val="auto"/>
                <w:lang w:eastAsia="zh-CN"/>
              </w:rPr>
              <w:t>且排放量</w:t>
            </w:r>
            <w:r>
              <w:rPr>
                <w:rFonts w:hint="eastAsia"/>
                <w:color w:val="auto"/>
                <w:lang w:val="en-US" w:eastAsia="zh-CN"/>
              </w:rPr>
              <w:t>较</w:t>
            </w:r>
            <w:r>
              <w:rPr>
                <w:rFonts w:hint="eastAsia"/>
                <w:color w:val="auto"/>
                <w:lang w:eastAsia="zh-CN"/>
              </w:rPr>
              <w:t>少，</w:t>
            </w:r>
            <w:r>
              <w:rPr>
                <w:color w:val="auto"/>
              </w:rPr>
              <w:t>对周围环境影响</w:t>
            </w:r>
            <w:r>
              <w:rPr>
                <w:rFonts w:hint="eastAsia"/>
                <w:color w:val="auto"/>
                <w:lang w:val="en-US" w:eastAsia="zh-CN"/>
              </w:rPr>
              <w:t>较</w:t>
            </w:r>
            <w:r>
              <w:rPr>
                <w:color w:val="auto"/>
              </w:rPr>
              <w:t>小，本项目大气环境影响可接受</w:t>
            </w:r>
            <w:r>
              <w:rPr>
                <w:rFonts w:hint="eastAsia"/>
                <w:color w:val="auto"/>
                <w:lang w:eastAsia="zh-CN"/>
              </w:rPr>
              <w:t>。</w:t>
            </w:r>
          </w:p>
          <w:p w14:paraId="137D1366">
            <w:pPr>
              <w:keepNext w:val="0"/>
              <w:keepLines w:val="0"/>
              <w:pageBreakBefore w:val="0"/>
              <w:widowControl w:val="0"/>
              <w:numPr>
                <w:ilvl w:val="0"/>
                <w:numId w:val="4"/>
              </w:numPr>
              <w:suppressLineNumbers w:val="0"/>
              <w:kinsoku/>
              <w:wordWrap/>
              <w:overflowPunct/>
              <w:topLinePunct w:val="0"/>
              <w:bidi w:val="0"/>
              <w:spacing w:beforeAutospacing="0" w:after="0" w:afterAutospacing="0" w:line="480" w:lineRule="exact"/>
              <w:ind w:left="0" w:leftChars="0" w:right="0" w:firstLine="0" w:firstLineChars="0"/>
              <w:textAlignment w:val="auto"/>
              <w:rPr>
                <w:rFonts w:hint="eastAsia"/>
                <w:b/>
                <w:bCs/>
                <w:color w:val="auto"/>
                <w:lang w:val="en-US" w:eastAsia="zh-CN"/>
              </w:rPr>
            </w:pPr>
            <w:r>
              <w:rPr>
                <w:rFonts w:hint="eastAsia"/>
                <w:b/>
                <w:bCs/>
                <w:color w:val="auto"/>
                <w:lang w:val="en-US" w:eastAsia="zh-CN"/>
              </w:rPr>
              <w:t>废水</w:t>
            </w:r>
          </w:p>
          <w:p w14:paraId="123BCA8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b/>
                <w:bCs/>
                <w:color w:val="auto"/>
                <w:lang w:val="en-US" w:eastAsia="zh-CN"/>
              </w:rPr>
            </w:pPr>
            <w:r>
              <w:rPr>
                <w:rFonts w:hint="eastAsia" w:ascii="Times New Roman" w:hAnsi="Times New Roman" w:eastAsia="宋体" w:cs="Times New Roman"/>
                <w:color w:val="auto"/>
                <w:highlight w:val="none"/>
                <w:lang w:val="en-US" w:eastAsia="zh-CN"/>
              </w:rPr>
              <w:t>本项目生产过程不用水，不涉及生产废水外排。职工盥洗废水产生量为</w:t>
            </w:r>
            <w:r>
              <w:rPr>
                <w:rFonts w:hint="eastAsia"/>
                <w:color w:val="auto"/>
                <w:highlight w:val="none"/>
                <w:lang w:val="en-US" w:eastAsia="zh-CN"/>
              </w:rPr>
              <w:t>0.1</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30</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ascii="Times New Roman" w:hAnsi="Times New Roman" w:eastAsia="宋体" w:cs="Times New Roman"/>
                <w:color w:val="auto"/>
                <w:highlight w:val="none"/>
                <w:lang w:val="en-US" w:eastAsia="zh-CN"/>
              </w:rPr>
              <w:t>，有少量的COD、SS，水质简单，用于厂区泼洒地面抑尘。因此，本项目废水对环境不产生影响。</w:t>
            </w:r>
          </w:p>
          <w:p w14:paraId="30C3E4FB">
            <w:pPr>
              <w:keepNext w:val="0"/>
              <w:keepLines w:val="0"/>
              <w:pageBreakBefore w:val="0"/>
              <w:numPr>
                <w:ilvl w:val="0"/>
                <w:numId w:val="0"/>
              </w:numPr>
              <w:kinsoku/>
              <w:wordWrap/>
              <w:overflowPunct/>
              <w:topLinePunct w:val="0"/>
              <w:bidi w:val="0"/>
              <w:adjustRightInd w:val="0"/>
              <w:snapToGrid w:val="0"/>
              <w:spacing w:line="480" w:lineRule="exact"/>
              <w:textAlignment w:val="auto"/>
              <w:rPr>
                <w:rFonts w:hint="eastAsia"/>
                <w:b/>
                <w:bCs/>
                <w:color w:val="auto"/>
                <w:lang w:val="en-US" w:eastAsia="zh-CN"/>
              </w:rPr>
            </w:pPr>
            <w:r>
              <w:rPr>
                <w:rFonts w:hint="eastAsia"/>
                <w:b/>
                <w:bCs/>
                <w:color w:val="auto"/>
                <w:lang w:val="en-US" w:eastAsia="zh-CN"/>
              </w:rPr>
              <w:t>3、噪声</w:t>
            </w:r>
          </w:p>
          <w:p w14:paraId="4D6974DA">
            <w:pPr>
              <w:bidi w:val="0"/>
              <w:rPr>
                <w:rFonts w:hint="default" w:eastAsia="宋体"/>
                <w:b w:val="0"/>
                <w:bCs w:val="0"/>
                <w:color w:val="auto"/>
                <w:lang w:val="en-US" w:eastAsia="zh-CN"/>
              </w:rPr>
            </w:pPr>
            <w:r>
              <w:rPr>
                <w:rFonts w:hint="eastAsia"/>
                <w:b/>
                <w:bCs/>
                <w:color w:val="auto"/>
                <w:lang w:val="en-US" w:eastAsia="zh-CN"/>
              </w:rPr>
              <w:t>3.1本项目噪声污染源分析</w:t>
            </w:r>
          </w:p>
          <w:p w14:paraId="593CDD4F">
            <w:pPr>
              <w:keepNext w:val="0"/>
              <w:keepLines w:val="0"/>
              <w:pageBreakBefore w:val="0"/>
              <w:widowControl w:val="0"/>
              <w:kinsoku/>
              <w:wordWrap/>
              <w:overflowPunct/>
              <w:topLinePunct/>
              <w:autoSpaceDE/>
              <w:autoSpaceDN/>
              <w:bidi w:val="0"/>
              <w:adjustRightInd/>
              <w:snapToGrid/>
              <w:textAlignment w:val="auto"/>
              <w:rPr>
                <w:rFonts w:hint="eastAsia" w:eastAsia="宋体"/>
                <w:b w:val="0"/>
                <w:bCs w:val="0"/>
                <w:color w:val="auto"/>
                <w:lang w:eastAsia="zh-CN"/>
              </w:rPr>
            </w:pPr>
            <w:r>
              <w:rPr>
                <w:rFonts w:hint="default"/>
                <w:b w:val="0"/>
                <w:bCs w:val="0"/>
                <w:color w:val="auto"/>
              </w:rPr>
              <w:t>本项目营运期主要噪声源为</w:t>
            </w:r>
            <w:r>
              <w:rPr>
                <w:rFonts w:hint="eastAsia"/>
                <w:b w:val="0"/>
                <w:bCs w:val="0"/>
                <w:color w:val="auto"/>
                <w:lang w:val="en-US" w:eastAsia="zh-CN"/>
              </w:rPr>
              <w:t>圆锯机、焊机、打磨机、折弯机、液压机、车床、钻床、磨床、打砂机、抛丸机、风机、空压机等</w:t>
            </w:r>
            <w:r>
              <w:rPr>
                <w:rFonts w:hint="default"/>
                <w:b w:val="0"/>
                <w:bCs w:val="0"/>
                <w:color w:val="auto"/>
              </w:rPr>
              <w:t>运行时产生的噪声，设备噪声源强</w:t>
            </w:r>
            <w:r>
              <w:rPr>
                <w:rFonts w:hint="eastAsia"/>
                <w:b w:val="0"/>
                <w:bCs w:val="0"/>
                <w:color w:val="auto"/>
                <w:lang w:val="en-US" w:eastAsia="zh-CN"/>
              </w:rPr>
              <w:t>为70</w:t>
            </w:r>
            <w:r>
              <w:rPr>
                <w:rFonts w:hint="eastAsia" w:ascii="宋体" w:hAnsi="宋体" w:eastAsia="宋体" w:cs="宋体"/>
                <w:b w:val="0"/>
                <w:bCs w:val="0"/>
                <w:color w:val="auto"/>
                <w:lang w:val="en-US" w:eastAsia="zh-CN"/>
              </w:rPr>
              <w:t>～</w:t>
            </w:r>
            <w:r>
              <w:rPr>
                <w:rFonts w:hint="eastAsia"/>
                <w:b w:val="0"/>
                <w:bCs w:val="0"/>
                <w:color w:val="auto"/>
                <w:lang w:val="en-US" w:eastAsia="zh-CN"/>
              </w:rPr>
              <w:t>90</w:t>
            </w:r>
            <w:r>
              <w:rPr>
                <w:rFonts w:hint="eastAsia"/>
                <w:b w:val="0"/>
                <w:bCs w:val="0"/>
                <w:color w:val="auto"/>
              </w:rPr>
              <w:t>dB</w:t>
            </w:r>
            <w:r>
              <w:rPr>
                <w:rFonts w:hint="default"/>
                <w:b w:val="0"/>
                <w:bCs w:val="0"/>
                <w:color w:val="auto"/>
              </w:rPr>
              <w:t>（A），采取基础</w:t>
            </w:r>
            <w:r>
              <w:rPr>
                <w:rFonts w:hint="eastAsia"/>
                <w:b w:val="0"/>
                <w:bCs w:val="0"/>
                <w:color w:val="auto"/>
                <w:lang w:eastAsia="zh-CN"/>
              </w:rPr>
              <w:t>减振</w:t>
            </w:r>
            <w:r>
              <w:rPr>
                <w:rFonts w:hint="default"/>
                <w:b w:val="0"/>
                <w:bCs w:val="0"/>
                <w:color w:val="auto"/>
              </w:rPr>
              <w:t>、</w:t>
            </w:r>
            <w:r>
              <w:rPr>
                <w:rFonts w:hint="eastAsia"/>
                <w:b w:val="0"/>
                <w:bCs w:val="0"/>
                <w:color w:val="auto"/>
                <w:lang w:val="en-US" w:eastAsia="zh-CN"/>
              </w:rPr>
              <w:t>厂房隔声、距离衰减</w:t>
            </w:r>
            <w:r>
              <w:rPr>
                <w:rFonts w:hint="default"/>
                <w:b w:val="0"/>
                <w:bCs w:val="0"/>
                <w:color w:val="auto"/>
              </w:rPr>
              <w:t>等措施，本项目主要设备噪声源强及治理措施见下表</w:t>
            </w:r>
            <w:r>
              <w:rPr>
                <w:rFonts w:hint="eastAsia"/>
                <w:b w:val="0"/>
                <w:bCs w:val="0"/>
                <w:color w:val="auto"/>
                <w:lang w:eastAsia="zh-CN"/>
              </w:rPr>
              <w:t>。</w:t>
            </w:r>
          </w:p>
          <w:p w14:paraId="63DD602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0" w:firstLineChars="0"/>
              <w:jc w:val="center"/>
              <w:textAlignment w:val="auto"/>
              <w:rPr>
                <w:rFonts w:hint="default"/>
                <w:color w:val="auto"/>
                <w:sz w:val="21"/>
                <w:szCs w:val="21"/>
                <w:highlight w:val="none"/>
              </w:rPr>
            </w:pPr>
            <w:r>
              <w:rPr>
                <w:rStyle w:val="45"/>
                <w:rFonts w:hint="default"/>
                <w:color w:val="auto"/>
                <w:sz w:val="21"/>
                <w:szCs w:val="21"/>
                <w:highlight w:val="none"/>
              </w:rPr>
              <w:t>表</w:t>
            </w:r>
            <w:r>
              <w:rPr>
                <w:rStyle w:val="45"/>
                <w:rFonts w:hint="eastAsia"/>
                <w:color w:val="auto"/>
                <w:sz w:val="21"/>
                <w:szCs w:val="21"/>
                <w:highlight w:val="none"/>
                <w:lang w:val="en-US" w:eastAsia="zh-CN"/>
              </w:rPr>
              <w:t>40</w:t>
            </w:r>
            <w:r>
              <w:rPr>
                <w:rStyle w:val="45"/>
                <w:rFonts w:hint="default"/>
                <w:color w:val="auto"/>
                <w:sz w:val="21"/>
                <w:szCs w:val="21"/>
                <w:highlight w:val="none"/>
              </w:rPr>
              <w:t xml:space="preserve">  噪声污染源及治理措施</w:t>
            </w:r>
          </w:p>
          <w:tbl>
            <w:tblPr>
              <w:tblStyle w:val="20"/>
              <w:tblW w:w="756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852"/>
              <w:gridCol w:w="792"/>
              <w:gridCol w:w="940"/>
              <w:gridCol w:w="1237"/>
              <w:gridCol w:w="1023"/>
              <w:gridCol w:w="1023"/>
            </w:tblGrid>
            <w:tr w14:paraId="644C43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2B8F9324">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序号</w:t>
                  </w:r>
                </w:p>
              </w:tc>
              <w:tc>
                <w:tcPr>
                  <w:tcW w:w="1852" w:type="dxa"/>
                  <w:tcBorders>
                    <w:tl2br w:val="nil"/>
                    <w:tr2bl w:val="nil"/>
                  </w:tcBorders>
                  <w:noWrap/>
                  <w:tcMar>
                    <w:top w:w="15" w:type="dxa"/>
                    <w:left w:w="15" w:type="dxa"/>
                    <w:right w:w="15" w:type="dxa"/>
                  </w:tcMar>
                  <w:vAlign w:val="center"/>
                </w:tcPr>
                <w:p w14:paraId="6A2462C4">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设备名称</w:t>
                  </w:r>
                </w:p>
              </w:tc>
              <w:tc>
                <w:tcPr>
                  <w:tcW w:w="792" w:type="dxa"/>
                  <w:tcBorders>
                    <w:tl2br w:val="nil"/>
                    <w:tr2bl w:val="nil"/>
                  </w:tcBorders>
                  <w:noWrap/>
                  <w:tcMar>
                    <w:top w:w="15" w:type="dxa"/>
                    <w:left w:w="15" w:type="dxa"/>
                    <w:right w:w="15" w:type="dxa"/>
                  </w:tcMar>
                  <w:vAlign w:val="center"/>
                </w:tcPr>
                <w:p w14:paraId="1F563B17">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数量（台）</w:t>
                  </w:r>
                </w:p>
              </w:tc>
              <w:tc>
                <w:tcPr>
                  <w:tcW w:w="940" w:type="dxa"/>
                  <w:tcBorders>
                    <w:tl2br w:val="nil"/>
                    <w:tr2bl w:val="nil"/>
                  </w:tcBorders>
                  <w:noWrap/>
                  <w:tcMar>
                    <w:top w:w="15" w:type="dxa"/>
                    <w:left w:w="15" w:type="dxa"/>
                    <w:right w:w="15" w:type="dxa"/>
                  </w:tcMar>
                  <w:vAlign w:val="center"/>
                </w:tcPr>
                <w:p w14:paraId="3975EF38">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eastAsia"/>
                      <w:color w:val="auto"/>
                      <w:sz w:val="21"/>
                      <w:szCs w:val="21"/>
                      <w:lang w:val="en-US" w:eastAsia="zh-CN"/>
                    </w:rPr>
                    <w:t>产生强度</w:t>
                  </w:r>
                  <w:r>
                    <w:rPr>
                      <w:rFonts w:hint="default"/>
                      <w:color w:val="auto"/>
                      <w:sz w:val="21"/>
                      <w:szCs w:val="21"/>
                    </w:rPr>
                    <w:t>dB（A）</w:t>
                  </w:r>
                </w:p>
              </w:tc>
              <w:tc>
                <w:tcPr>
                  <w:tcW w:w="1237" w:type="dxa"/>
                  <w:tcBorders>
                    <w:tl2br w:val="nil"/>
                    <w:tr2bl w:val="nil"/>
                  </w:tcBorders>
                  <w:noWrap/>
                  <w:tcMar>
                    <w:top w:w="15" w:type="dxa"/>
                    <w:left w:w="15" w:type="dxa"/>
                    <w:right w:w="15" w:type="dxa"/>
                  </w:tcMar>
                  <w:vAlign w:val="center"/>
                </w:tcPr>
                <w:p w14:paraId="4508CA91">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治理措施</w:t>
                  </w:r>
                </w:p>
              </w:tc>
              <w:tc>
                <w:tcPr>
                  <w:tcW w:w="1023" w:type="dxa"/>
                  <w:tcBorders>
                    <w:tl2br w:val="nil"/>
                    <w:tr2bl w:val="nil"/>
                  </w:tcBorders>
                  <w:noWrap/>
                  <w:tcMar>
                    <w:top w:w="15" w:type="dxa"/>
                    <w:left w:w="15" w:type="dxa"/>
                    <w:right w:w="15" w:type="dxa"/>
                  </w:tcMar>
                  <w:vAlign w:val="center"/>
                </w:tcPr>
                <w:p w14:paraId="352C69D4">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降噪效果</w:t>
                  </w:r>
                </w:p>
                <w:p w14:paraId="4A73752A">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dB（A）</w:t>
                  </w:r>
                </w:p>
              </w:tc>
              <w:tc>
                <w:tcPr>
                  <w:tcW w:w="1023" w:type="dxa"/>
                  <w:tcBorders>
                    <w:tl2br w:val="nil"/>
                    <w:tr2bl w:val="nil"/>
                  </w:tcBorders>
                  <w:noWrap w:val="0"/>
                  <w:vAlign w:val="center"/>
                </w:tcPr>
                <w:p w14:paraId="3783A7C0">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eastAsia"/>
                      <w:color w:val="auto"/>
                      <w:sz w:val="21"/>
                      <w:szCs w:val="21"/>
                      <w:lang w:val="en-US" w:eastAsia="zh-CN"/>
                    </w:rPr>
                    <w:t>排放强度</w:t>
                  </w:r>
                  <w:r>
                    <w:rPr>
                      <w:rFonts w:hint="default"/>
                      <w:color w:val="auto"/>
                      <w:sz w:val="21"/>
                      <w:szCs w:val="21"/>
                    </w:rPr>
                    <w:t>dB（A）</w:t>
                  </w:r>
                </w:p>
              </w:tc>
            </w:tr>
            <w:tr w14:paraId="2A3810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4C2A98E2">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717BCA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金属圆锯机</w:t>
                  </w:r>
                </w:p>
              </w:tc>
              <w:tc>
                <w:tcPr>
                  <w:tcW w:w="792" w:type="dxa"/>
                  <w:tcBorders>
                    <w:tl2br w:val="nil"/>
                    <w:tr2bl w:val="nil"/>
                  </w:tcBorders>
                  <w:noWrap/>
                  <w:tcMar>
                    <w:top w:w="15" w:type="dxa"/>
                    <w:left w:w="15" w:type="dxa"/>
                    <w:right w:w="15" w:type="dxa"/>
                  </w:tcMar>
                  <w:vAlign w:val="center"/>
                </w:tcPr>
                <w:p w14:paraId="788C281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w:t>
                  </w:r>
                </w:p>
              </w:tc>
              <w:tc>
                <w:tcPr>
                  <w:tcW w:w="940" w:type="dxa"/>
                  <w:tcBorders>
                    <w:tl2br w:val="nil"/>
                    <w:tr2bl w:val="nil"/>
                  </w:tcBorders>
                  <w:noWrap/>
                  <w:tcMar>
                    <w:top w:w="15" w:type="dxa"/>
                    <w:left w:w="15" w:type="dxa"/>
                    <w:right w:w="15" w:type="dxa"/>
                  </w:tcMar>
                  <w:vAlign w:val="center"/>
                </w:tcPr>
                <w:p w14:paraId="552BDDED">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85</w:t>
                  </w:r>
                </w:p>
              </w:tc>
              <w:tc>
                <w:tcPr>
                  <w:tcW w:w="1237" w:type="dxa"/>
                  <w:vMerge w:val="restart"/>
                  <w:tcBorders>
                    <w:tl2br w:val="nil"/>
                    <w:tr2bl w:val="nil"/>
                  </w:tcBorders>
                  <w:noWrap/>
                  <w:tcMar>
                    <w:top w:w="15" w:type="dxa"/>
                    <w:left w:w="15" w:type="dxa"/>
                    <w:right w:w="15" w:type="dxa"/>
                  </w:tcMar>
                  <w:vAlign w:val="center"/>
                </w:tcPr>
                <w:p w14:paraId="7AD87E6E">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eastAsia"/>
                      <w:color w:val="auto"/>
                      <w:sz w:val="21"/>
                      <w:szCs w:val="21"/>
                      <w:lang w:val="en-US" w:eastAsia="zh-CN"/>
                    </w:rPr>
                    <w:t>将设备布置在厂房内，基础减振，厂房隔声，距离衰减</w:t>
                  </w:r>
                </w:p>
              </w:tc>
              <w:tc>
                <w:tcPr>
                  <w:tcW w:w="1023" w:type="dxa"/>
                  <w:vMerge w:val="restart"/>
                  <w:tcBorders>
                    <w:tl2br w:val="nil"/>
                    <w:tr2bl w:val="nil"/>
                  </w:tcBorders>
                  <w:noWrap/>
                  <w:tcMar>
                    <w:top w:w="15" w:type="dxa"/>
                    <w:left w:w="15" w:type="dxa"/>
                    <w:right w:w="15" w:type="dxa"/>
                  </w:tcMar>
                  <w:vAlign w:val="center"/>
                </w:tcPr>
                <w:p w14:paraId="0735C672">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20</w:t>
                  </w:r>
                </w:p>
              </w:tc>
              <w:tc>
                <w:tcPr>
                  <w:tcW w:w="1023" w:type="dxa"/>
                  <w:vMerge w:val="restart"/>
                  <w:tcBorders>
                    <w:tl2br w:val="nil"/>
                    <w:tr2bl w:val="nil"/>
                  </w:tcBorders>
                  <w:noWrap w:val="0"/>
                  <w:vAlign w:val="center"/>
                </w:tcPr>
                <w:p w14:paraId="6F995CF3">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79</w:t>
                  </w:r>
                </w:p>
              </w:tc>
            </w:tr>
            <w:tr w14:paraId="13B7DB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537E70F8">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644927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电焊机</w:t>
                  </w:r>
                </w:p>
              </w:tc>
              <w:tc>
                <w:tcPr>
                  <w:tcW w:w="792" w:type="dxa"/>
                  <w:tcBorders>
                    <w:tl2br w:val="nil"/>
                    <w:tr2bl w:val="nil"/>
                  </w:tcBorders>
                  <w:noWrap/>
                  <w:tcMar>
                    <w:top w:w="15" w:type="dxa"/>
                    <w:left w:w="15" w:type="dxa"/>
                    <w:right w:w="15" w:type="dxa"/>
                  </w:tcMar>
                  <w:vAlign w:val="center"/>
                </w:tcPr>
                <w:p w14:paraId="7DD8DFE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4"/>
                      <w:sz w:val="21"/>
                      <w:szCs w:val="21"/>
                      <w:lang w:val="en-US" w:eastAsia="zh-CN" w:bidi="ar-SA"/>
                    </w:rPr>
                  </w:pPr>
                  <w:r>
                    <w:rPr>
                      <w:rFonts w:hint="default" w:ascii="Times New Roman" w:hAnsi="Times New Roman" w:eastAsia="宋体" w:cs="Times New Roman"/>
                      <w:color w:val="auto"/>
                      <w:kern w:val="24"/>
                      <w:sz w:val="21"/>
                      <w:szCs w:val="21"/>
                      <w:lang w:val="en-US" w:eastAsia="zh-CN" w:bidi="ar-SA"/>
                    </w:rPr>
                    <w:t>2</w:t>
                  </w:r>
                </w:p>
              </w:tc>
              <w:tc>
                <w:tcPr>
                  <w:tcW w:w="940" w:type="dxa"/>
                  <w:tcBorders>
                    <w:tl2br w:val="nil"/>
                    <w:tr2bl w:val="nil"/>
                  </w:tcBorders>
                  <w:noWrap/>
                  <w:tcMar>
                    <w:top w:w="15" w:type="dxa"/>
                    <w:left w:w="15" w:type="dxa"/>
                    <w:right w:w="15" w:type="dxa"/>
                  </w:tcMar>
                  <w:vAlign w:val="center"/>
                </w:tcPr>
                <w:p w14:paraId="3C6C7F17">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80</w:t>
                  </w:r>
                </w:p>
              </w:tc>
              <w:tc>
                <w:tcPr>
                  <w:tcW w:w="1237" w:type="dxa"/>
                  <w:vMerge w:val="continue"/>
                  <w:tcBorders>
                    <w:tl2br w:val="nil"/>
                    <w:tr2bl w:val="nil"/>
                  </w:tcBorders>
                  <w:noWrap/>
                  <w:tcMar>
                    <w:top w:w="15" w:type="dxa"/>
                    <w:left w:w="15" w:type="dxa"/>
                    <w:right w:w="15" w:type="dxa"/>
                  </w:tcMar>
                  <w:vAlign w:val="center"/>
                </w:tcPr>
                <w:p w14:paraId="159B5047">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17B1FB0A">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52911CD0">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p>
              </w:tc>
            </w:tr>
            <w:tr w14:paraId="3652AD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7DD984A0">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2032FB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氩弧焊机</w:t>
                  </w:r>
                </w:p>
              </w:tc>
              <w:tc>
                <w:tcPr>
                  <w:tcW w:w="792" w:type="dxa"/>
                  <w:tcBorders>
                    <w:tl2br w:val="nil"/>
                    <w:tr2bl w:val="nil"/>
                  </w:tcBorders>
                  <w:noWrap/>
                  <w:tcMar>
                    <w:top w:w="15" w:type="dxa"/>
                    <w:left w:w="15" w:type="dxa"/>
                    <w:right w:w="15" w:type="dxa"/>
                  </w:tcMar>
                  <w:vAlign w:val="center"/>
                </w:tcPr>
                <w:p w14:paraId="1A4243A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4"/>
                      <w:sz w:val="21"/>
                      <w:szCs w:val="21"/>
                      <w:highlight w:val="none"/>
                      <w:lang w:val="en-US" w:eastAsia="zh-CN" w:bidi="ar-SA"/>
                    </w:rPr>
                  </w:pPr>
                  <w:r>
                    <w:rPr>
                      <w:rFonts w:hint="default" w:ascii="Times New Roman" w:hAnsi="Times New Roman" w:eastAsia="宋体" w:cs="Times New Roman"/>
                      <w:color w:val="auto"/>
                      <w:kern w:val="24"/>
                      <w:sz w:val="21"/>
                      <w:szCs w:val="21"/>
                      <w:highlight w:val="none"/>
                      <w:lang w:val="en-US" w:eastAsia="zh-CN" w:bidi="ar-SA"/>
                    </w:rPr>
                    <w:t>2</w:t>
                  </w:r>
                </w:p>
              </w:tc>
              <w:tc>
                <w:tcPr>
                  <w:tcW w:w="940" w:type="dxa"/>
                  <w:tcBorders>
                    <w:tl2br w:val="nil"/>
                    <w:tr2bl w:val="nil"/>
                  </w:tcBorders>
                  <w:noWrap/>
                  <w:tcMar>
                    <w:top w:w="15" w:type="dxa"/>
                    <w:left w:w="15" w:type="dxa"/>
                    <w:right w:w="15" w:type="dxa"/>
                  </w:tcMar>
                  <w:vAlign w:val="center"/>
                </w:tcPr>
                <w:p w14:paraId="3A1E42CB">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70</w:t>
                  </w:r>
                </w:p>
              </w:tc>
              <w:tc>
                <w:tcPr>
                  <w:tcW w:w="1237" w:type="dxa"/>
                  <w:vMerge w:val="continue"/>
                  <w:tcBorders>
                    <w:tl2br w:val="nil"/>
                    <w:tr2bl w:val="nil"/>
                  </w:tcBorders>
                  <w:noWrap/>
                  <w:tcMar>
                    <w:top w:w="15" w:type="dxa"/>
                    <w:left w:w="15" w:type="dxa"/>
                    <w:right w:w="15" w:type="dxa"/>
                  </w:tcMar>
                  <w:vAlign w:val="center"/>
                </w:tcPr>
                <w:p w14:paraId="56969211">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1400816A">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59A51B23">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226D91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697" w:type="dxa"/>
                  <w:tcBorders>
                    <w:tl2br w:val="nil"/>
                    <w:tr2bl w:val="nil"/>
                  </w:tcBorders>
                  <w:noWrap/>
                  <w:tcMar>
                    <w:top w:w="15" w:type="dxa"/>
                    <w:left w:w="15" w:type="dxa"/>
                    <w:right w:w="15" w:type="dxa"/>
                  </w:tcMar>
                  <w:vAlign w:val="center"/>
                </w:tcPr>
                <w:p w14:paraId="4FDFDEAE">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2EADD0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4"/>
                      <w:sz w:val="21"/>
                      <w:szCs w:val="21"/>
                      <w:highlight w:val="none"/>
                      <w:lang w:val="en-US" w:eastAsia="zh-CN" w:bidi="ar-SA"/>
                    </w:rPr>
                  </w:pPr>
                  <w:r>
                    <w:rPr>
                      <w:rFonts w:hint="default" w:ascii="Times New Roman" w:hAnsi="Times New Roman" w:eastAsia="宋体" w:cs="Times New Roman"/>
                      <w:color w:val="auto"/>
                      <w:kern w:val="24"/>
                      <w:sz w:val="21"/>
                      <w:szCs w:val="21"/>
                      <w:highlight w:val="none"/>
                      <w:lang w:val="en-US" w:eastAsia="zh-CN" w:bidi="ar-SA"/>
                    </w:rPr>
                    <w:t>二氧化碳保护焊机</w:t>
                  </w:r>
                </w:p>
              </w:tc>
              <w:tc>
                <w:tcPr>
                  <w:tcW w:w="792" w:type="dxa"/>
                  <w:tcBorders>
                    <w:tl2br w:val="nil"/>
                    <w:tr2bl w:val="nil"/>
                  </w:tcBorders>
                  <w:noWrap/>
                  <w:tcMar>
                    <w:top w:w="15" w:type="dxa"/>
                    <w:left w:w="15" w:type="dxa"/>
                    <w:right w:w="15" w:type="dxa"/>
                  </w:tcMar>
                  <w:vAlign w:val="center"/>
                </w:tcPr>
                <w:p w14:paraId="23AC58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default" w:ascii="Times New Roman" w:hAnsi="Times New Roman" w:eastAsia="宋体" w:cs="Times New Roman"/>
                      <w:color w:val="auto"/>
                      <w:kern w:val="24"/>
                      <w:sz w:val="21"/>
                      <w:szCs w:val="21"/>
                      <w:highlight w:val="none"/>
                      <w:lang w:val="en-US" w:eastAsia="zh-CN" w:bidi="ar-SA"/>
                    </w:rPr>
                    <w:t>2</w:t>
                  </w:r>
                </w:p>
              </w:tc>
              <w:tc>
                <w:tcPr>
                  <w:tcW w:w="940" w:type="dxa"/>
                  <w:tcBorders>
                    <w:tl2br w:val="nil"/>
                    <w:tr2bl w:val="nil"/>
                  </w:tcBorders>
                  <w:noWrap/>
                  <w:tcMar>
                    <w:top w:w="15" w:type="dxa"/>
                    <w:left w:w="15" w:type="dxa"/>
                    <w:right w:w="15" w:type="dxa"/>
                  </w:tcMar>
                  <w:vAlign w:val="center"/>
                </w:tcPr>
                <w:p w14:paraId="1DFDBEAD">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70</w:t>
                  </w:r>
                </w:p>
              </w:tc>
              <w:tc>
                <w:tcPr>
                  <w:tcW w:w="1237" w:type="dxa"/>
                  <w:vMerge w:val="continue"/>
                  <w:tcBorders>
                    <w:tl2br w:val="nil"/>
                    <w:tr2bl w:val="nil"/>
                  </w:tcBorders>
                  <w:noWrap/>
                  <w:tcMar>
                    <w:top w:w="15" w:type="dxa"/>
                    <w:left w:w="15" w:type="dxa"/>
                    <w:right w:w="15" w:type="dxa"/>
                  </w:tcMar>
                  <w:vAlign w:val="center"/>
                </w:tcPr>
                <w:p w14:paraId="26C648B2">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6216E46B">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228AEF7C">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7A673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6F776EE8">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21BF81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打</w:t>
                  </w:r>
                  <w:r>
                    <w:rPr>
                      <w:rFonts w:hint="default" w:ascii="Times New Roman" w:hAnsi="Times New Roman" w:eastAsia="宋体" w:cs="Times New Roman"/>
                      <w:color w:val="auto"/>
                      <w:sz w:val="21"/>
                      <w:szCs w:val="21"/>
                      <w:vertAlign w:val="baseline"/>
                      <w:lang w:val="en-US" w:eastAsia="zh-CN"/>
                    </w:rPr>
                    <w:t>磨机</w:t>
                  </w:r>
                </w:p>
              </w:tc>
              <w:tc>
                <w:tcPr>
                  <w:tcW w:w="792" w:type="dxa"/>
                  <w:tcBorders>
                    <w:tl2br w:val="nil"/>
                    <w:tr2bl w:val="nil"/>
                  </w:tcBorders>
                  <w:noWrap/>
                  <w:tcMar>
                    <w:top w:w="15" w:type="dxa"/>
                    <w:left w:w="15" w:type="dxa"/>
                    <w:right w:w="15" w:type="dxa"/>
                  </w:tcMar>
                  <w:vAlign w:val="center"/>
                </w:tcPr>
                <w:p w14:paraId="2B58A4B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bidi="ar-SA"/>
                    </w:rPr>
                    <w:t>3</w:t>
                  </w:r>
                </w:p>
              </w:tc>
              <w:tc>
                <w:tcPr>
                  <w:tcW w:w="940" w:type="dxa"/>
                  <w:tcBorders>
                    <w:tl2br w:val="nil"/>
                    <w:tr2bl w:val="nil"/>
                  </w:tcBorders>
                  <w:noWrap/>
                  <w:tcMar>
                    <w:top w:w="15" w:type="dxa"/>
                    <w:left w:w="15" w:type="dxa"/>
                    <w:right w:w="15" w:type="dxa"/>
                  </w:tcMar>
                  <w:vAlign w:val="center"/>
                </w:tcPr>
                <w:p w14:paraId="4E28812C">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80</w:t>
                  </w:r>
                </w:p>
              </w:tc>
              <w:tc>
                <w:tcPr>
                  <w:tcW w:w="1237" w:type="dxa"/>
                  <w:vMerge w:val="continue"/>
                  <w:tcBorders>
                    <w:tl2br w:val="nil"/>
                    <w:tr2bl w:val="nil"/>
                  </w:tcBorders>
                  <w:noWrap/>
                  <w:tcMar>
                    <w:top w:w="15" w:type="dxa"/>
                    <w:left w:w="15" w:type="dxa"/>
                    <w:right w:w="15" w:type="dxa"/>
                  </w:tcMar>
                  <w:vAlign w:val="center"/>
                </w:tcPr>
                <w:p w14:paraId="027A28DA">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7CDFE4A6">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2393839C">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4A4F39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697" w:type="dxa"/>
                  <w:tcBorders>
                    <w:tl2br w:val="nil"/>
                    <w:tr2bl w:val="nil"/>
                  </w:tcBorders>
                  <w:noWrap/>
                  <w:tcMar>
                    <w:top w:w="15" w:type="dxa"/>
                    <w:left w:w="15" w:type="dxa"/>
                    <w:right w:w="15" w:type="dxa"/>
                  </w:tcMar>
                  <w:vAlign w:val="center"/>
                </w:tcPr>
                <w:p w14:paraId="15B5937B">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170CCC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折弯机</w:t>
                  </w:r>
                </w:p>
              </w:tc>
              <w:tc>
                <w:tcPr>
                  <w:tcW w:w="792" w:type="dxa"/>
                  <w:tcBorders>
                    <w:tl2br w:val="nil"/>
                    <w:tr2bl w:val="nil"/>
                  </w:tcBorders>
                  <w:noWrap/>
                  <w:tcMar>
                    <w:top w:w="15" w:type="dxa"/>
                    <w:left w:w="15" w:type="dxa"/>
                    <w:right w:w="15" w:type="dxa"/>
                  </w:tcMar>
                  <w:vAlign w:val="center"/>
                </w:tcPr>
                <w:p w14:paraId="47060F5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14:paraId="30DE3312">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80</w:t>
                  </w:r>
                </w:p>
              </w:tc>
              <w:tc>
                <w:tcPr>
                  <w:tcW w:w="1237" w:type="dxa"/>
                  <w:vMerge w:val="continue"/>
                  <w:tcBorders>
                    <w:tl2br w:val="nil"/>
                    <w:tr2bl w:val="nil"/>
                  </w:tcBorders>
                  <w:noWrap/>
                  <w:tcMar>
                    <w:top w:w="15" w:type="dxa"/>
                    <w:left w:w="15" w:type="dxa"/>
                    <w:right w:w="15" w:type="dxa"/>
                  </w:tcMar>
                  <w:vAlign w:val="center"/>
                </w:tcPr>
                <w:p w14:paraId="65BC4724">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38AEBF53">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3670CC11">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025D27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2E8305A7">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1329F3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液压机</w:t>
                  </w:r>
                </w:p>
              </w:tc>
              <w:tc>
                <w:tcPr>
                  <w:tcW w:w="792" w:type="dxa"/>
                  <w:tcBorders>
                    <w:tl2br w:val="nil"/>
                    <w:tr2bl w:val="nil"/>
                  </w:tcBorders>
                  <w:noWrap/>
                  <w:tcMar>
                    <w:top w:w="15" w:type="dxa"/>
                    <w:left w:w="15" w:type="dxa"/>
                    <w:right w:w="15" w:type="dxa"/>
                  </w:tcMar>
                  <w:vAlign w:val="center"/>
                </w:tcPr>
                <w:p w14:paraId="09FC543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14:paraId="113FB3AA">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85</w:t>
                  </w:r>
                </w:p>
              </w:tc>
              <w:tc>
                <w:tcPr>
                  <w:tcW w:w="1237" w:type="dxa"/>
                  <w:vMerge w:val="continue"/>
                  <w:tcBorders>
                    <w:tl2br w:val="nil"/>
                    <w:tr2bl w:val="nil"/>
                  </w:tcBorders>
                  <w:noWrap/>
                  <w:tcMar>
                    <w:top w:w="15" w:type="dxa"/>
                    <w:left w:w="15" w:type="dxa"/>
                    <w:right w:w="15" w:type="dxa"/>
                  </w:tcMar>
                  <w:vAlign w:val="center"/>
                </w:tcPr>
                <w:p w14:paraId="69F75796">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327FD881">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1EACC1FC">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5D8355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3AB71B8F">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3BE846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卷板机</w:t>
                  </w:r>
                </w:p>
              </w:tc>
              <w:tc>
                <w:tcPr>
                  <w:tcW w:w="792" w:type="dxa"/>
                  <w:tcBorders>
                    <w:tl2br w:val="nil"/>
                    <w:tr2bl w:val="nil"/>
                  </w:tcBorders>
                  <w:noWrap/>
                  <w:tcMar>
                    <w:top w:w="15" w:type="dxa"/>
                    <w:left w:w="15" w:type="dxa"/>
                    <w:right w:w="15" w:type="dxa"/>
                  </w:tcMar>
                  <w:vAlign w:val="center"/>
                </w:tcPr>
                <w:p w14:paraId="7317E1E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14:paraId="275CAF49">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80</w:t>
                  </w:r>
                </w:p>
              </w:tc>
              <w:tc>
                <w:tcPr>
                  <w:tcW w:w="1237" w:type="dxa"/>
                  <w:vMerge w:val="continue"/>
                  <w:tcBorders>
                    <w:tl2br w:val="nil"/>
                    <w:tr2bl w:val="nil"/>
                  </w:tcBorders>
                  <w:noWrap/>
                  <w:tcMar>
                    <w:top w:w="15" w:type="dxa"/>
                    <w:left w:w="15" w:type="dxa"/>
                    <w:right w:w="15" w:type="dxa"/>
                  </w:tcMar>
                  <w:vAlign w:val="center"/>
                </w:tcPr>
                <w:p w14:paraId="3E8871A6">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74914435">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60F3FCEF">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122CE4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7ECA478F">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2E0A67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普通车床</w:t>
                  </w:r>
                </w:p>
              </w:tc>
              <w:tc>
                <w:tcPr>
                  <w:tcW w:w="792" w:type="dxa"/>
                  <w:tcBorders>
                    <w:tl2br w:val="nil"/>
                    <w:tr2bl w:val="nil"/>
                  </w:tcBorders>
                  <w:noWrap/>
                  <w:tcMar>
                    <w:top w:w="15" w:type="dxa"/>
                    <w:left w:w="15" w:type="dxa"/>
                    <w:right w:w="15" w:type="dxa"/>
                  </w:tcMar>
                  <w:vAlign w:val="center"/>
                </w:tcPr>
                <w:p w14:paraId="4F023948">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14:paraId="5D48B66E">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80</w:t>
                  </w:r>
                </w:p>
              </w:tc>
              <w:tc>
                <w:tcPr>
                  <w:tcW w:w="1237" w:type="dxa"/>
                  <w:vMerge w:val="continue"/>
                  <w:tcBorders>
                    <w:tl2br w:val="nil"/>
                    <w:tr2bl w:val="nil"/>
                  </w:tcBorders>
                  <w:noWrap/>
                  <w:tcMar>
                    <w:top w:w="15" w:type="dxa"/>
                    <w:left w:w="15" w:type="dxa"/>
                    <w:right w:w="15" w:type="dxa"/>
                  </w:tcMar>
                  <w:vAlign w:val="center"/>
                </w:tcPr>
                <w:p w14:paraId="68422AA1">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7D316D50">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69AD4D7F">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40BCF6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36DB7132">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64F7EB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数控车床</w:t>
                  </w:r>
                </w:p>
              </w:tc>
              <w:tc>
                <w:tcPr>
                  <w:tcW w:w="792" w:type="dxa"/>
                  <w:tcBorders>
                    <w:tl2br w:val="nil"/>
                    <w:tr2bl w:val="nil"/>
                  </w:tcBorders>
                  <w:noWrap/>
                  <w:tcMar>
                    <w:top w:w="15" w:type="dxa"/>
                    <w:left w:w="15" w:type="dxa"/>
                    <w:right w:w="15" w:type="dxa"/>
                  </w:tcMar>
                  <w:vAlign w:val="center"/>
                </w:tcPr>
                <w:p w14:paraId="4891957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14:paraId="50CF3601">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80</w:t>
                  </w:r>
                </w:p>
              </w:tc>
              <w:tc>
                <w:tcPr>
                  <w:tcW w:w="1237" w:type="dxa"/>
                  <w:vMerge w:val="continue"/>
                  <w:tcBorders>
                    <w:tl2br w:val="nil"/>
                    <w:tr2bl w:val="nil"/>
                  </w:tcBorders>
                  <w:noWrap/>
                  <w:tcMar>
                    <w:top w:w="15" w:type="dxa"/>
                    <w:left w:w="15" w:type="dxa"/>
                    <w:right w:w="15" w:type="dxa"/>
                  </w:tcMar>
                  <w:vAlign w:val="center"/>
                </w:tcPr>
                <w:p w14:paraId="1F317937">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6107FD31">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7DCA91BB">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3428AA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2F43DEC6">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36247D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lang w:val="en-US" w:eastAsia="zh-CN" w:bidi="ar"/>
                    </w:rPr>
                    <w:t>立式升降台铣床</w:t>
                  </w:r>
                </w:p>
              </w:tc>
              <w:tc>
                <w:tcPr>
                  <w:tcW w:w="792" w:type="dxa"/>
                  <w:tcBorders>
                    <w:tl2br w:val="nil"/>
                    <w:tr2bl w:val="nil"/>
                  </w:tcBorders>
                  <w:noWrap/>
                  <w:tcMar>
                    <w:top w:w="15" w:type="dxa"/>
                    <w:left w:w="15" w:type="dxa"/>
                    <w:right w:w="15" w:type="dxa"/>
                  </w:tcMar>
                  <w:vAlign w:val="center"/>
                </w:tcPr>
                <w:p w14:paraId="23D3CD0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14:paraId="751407B9">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80</w:t>
                  </w:r>
                </w:p>
              </w:tc>
              <w:tc>
                <w:tcPr>
                  <w:tcW w:w="1237" w:type="dxa"/>
                  <w:vMerge w:val="continue"/>
                  <w:tcBorders>
                    <w:tl2br w:val="nil"/>
                    <w:tr2bl w:val="nil"/>
                  </w:tcBorders>
                  <w:noWrap/>
                  <w:tcMar>
                    <w:top w:w="15" w:type="dxa"/>
                    <w:left w:w="15" w:type="dxa"/>
                    <w:right w:w="15" w:type="dxa"/>
                  </w:tcMar>
                  <w:vAlign w:val="center"/>
                </w:tcPr>
                <w:p w14:paraId="6F733499">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3CF452CC">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60E98EAB">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351A56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307E414B">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37110D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立式钻床</w:t>
                  </w:r>
                </w:p>
              </w:tc>
              <w:tc>
                <w:tcPr>
                  <w:tcW w:w="792" w:type="dxa"/>
                  <w:tcBorders>
                    <w:tl2br w:val="nil"/>
                    <w:tr2bl w:val="nil"/>
                  </w:tcBorders>
                  <w:noWrap/>
                  <w:tcMar>
                    <w:top w:w="15" w:type="dxa"/>
                    <w:left w:w="15" w:type="dxa"/>
                    <w:right w:w="15" w:type="dxa"/>
                  </w:tcMar>
                  <w:vAlign w:val="center"/>
                </w:tcPr>
                <w:p w14:paraId="78C8C83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940" w:type="dxa"/>
                  <w:tcBorders>
                    <w:tl2br w:val="nil"/>
                    <w:tr2bl w:val="nil"/>
                  </w:tcBorders>
                  <w:noWrap/>
                  <w:tcMar>
                    <w:top w:w="15" w:type="dxa"/>
                    <w:left w:w="15" w:type="dxa"/>
                    <w:right w:w="15" w:type="dxa"/>
                  </w:tcMar>
                  <w:vAlign w:val="center"/>
                </w:tcPr>
                <w:p w14:paraId="58364BE6">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85</w:t>
                  </w:r>
                </w:p>
              </w:tc>
              <w:tc>
                <w:tcPr>
                  <w:tcW w:w="1237" w:type="dxa"/>
                  <w:vMerge w:val="continue"/>
                  <w:tcBorders>
                    <w:tl2br w:val="nil"/>
                    <w:tr2bl w:val="nil"/>
                  </w:tcBorders>
                  <w:noWrap/>
                  <w:tcMar>
                    <w:top w:w="15" w:type="dxa"/>
                    <w:left w:w="15" w:type="dxa"/>
                    <w:right w:w="15" w:type="dxa"/>
                  </w:tcMar>
                  <w:vAlign w:val="center"/>
                </w:tcPr>
                <w:p w14:paraId="483F0BF5">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43B114D7">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3139D92A">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27C773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21F816AB">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6EF8B4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牛头刨床</w:t>
                  </w:r>
                </w:p>
              </w:tc>
              <w:tc>
                <w:tcPr>
                  <w:tcW w:w="792" w:type="dxa"/>
                  <w:tcBorders>
                    <w:tl2br w:val="nil"/>
                    <w:tr2bl w:val="nil"/>
                  </w:tcBorders>
                  <w:noWrap/>
                  <w:tcMar>
                    <w:top w:w="15" w:type="dxa"/>
                    <w:left w:w="15" w:type="dxa"/>
                    <w:right w:w="15" w:type="dxa"/>
                  </w:tcMar>
                  <w:vAlign w:val="center"/>
                </w:tcPr>
                <w:p w14:paraId="12993F8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w:t>
                  </w:r>
                </w:p>
              </w:tc>
              <w:tc>
                <w:tcPr>
                  <w:tcW w:w="940" w:type="dxa"/>
                  <w:tcBorders>
                    <w:tl2br w:val="nil"/>
                    <w:tr2bl w:val="nil"/>
                  </w:tcBorders>
                  <w:noWrap/>
                  <w:tcMar>
                    <w:top w:w="15" w:type="dxa"/>
                    <w:left w:w="15" w:type="dxa"/>
                    <w:right w:w="15" w:type="dxa"/>
                  </w:tcMar>
                  <w:vAlign w:val="center"/>
                </w:tcPr>
                <w:p w14:paraId="24A8081E">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80</w:t>
                  </w:r>
                </w:p>
              </w:tc>
              <w:tc>
                <w:tcPr>
                  <w:tcW w:w="1237" w:type="dxa"/>
                  <w:vMerge w:val="continue"/>
                  <w:tcBorders>
                    <w:tl2br w:val="nil"/>
                    <w:tr2bl w:val="nil"/>
                  </w:tcBorders>
                  <w:noWrap/>
                  <w:tcMar>
                    <w:top w:w="15" w:type="dxa"/>
                    <w:left w:w="15" w:type="dxa"/>
                    <w:right w:w="15" w:type="dxa"/>
                  </w:tcMar>
                  <w:vAlign w:val="center"/>
                </w:tcPr>
                <w:p w14:paraId="49722FD7">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68690B17">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4AF32855">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5E85FB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697" w:type="dxa"/>
                  <w:tcBorders>
                    <w:tl2br w:val="nil"/>
                    <w:tr2bl w:val="nil"/>
                  </w:tcBorders>
                  <w:noWrap/>
                  <w:tcMar>
                    <w:top w:w="15" w:type="dxa"/>
                    <w:left w:w="15" w:type="dxa"/>
                    <w:right w:w="15" w:type="dxa"/>
                  </w:tcMar>
                  <w:vAlign w:val="center"/>
                </w:tcPr>
                <w:p w14:paraId="1BEC4849">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06CAFD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lang w:val="en-US" w:eastAsia="zh-CN" w:bidi="ar"/>
                    </w:rPr>
                    <w:t>卧轴距台平面</w:t>
                  </w:r>
                  <w:r>
                    <w:rPr>
                      <w:rFonts w:hint="default" w:ascii="Times New Roman" w:hAnsi="Times New Roman" w:eastAsia="宋体" w:cs="Times New Roman"/>
                      <w:color w:val="auto"/>
                      <w:sz w:val="21"/>
                      <w:szCs w:val="21"/>
                      <w:highlight w:val="none"/>
                      <w:vertAlign w:val="baseline"/>
                      <w:lang w:val="en-US" w:eastAsia="zh-CN"/>
                    </w:rPr>
                    <w:t>磨床</w:t>
                  </w:r>
                </w:p>
              </w:tc>
              <w:tc>
                <w:tcPr>
                  <w:tcW w:w="792" w:type="dxa"/>
                  <w:tcBorders>
                    <w:tl2br w:val="nil"/>
                    <w:tr2bl w:val="nil"/>
                  </w:tcBorders>
                  <w:noWrap/>
                  <w:tcMar>
                    <w:top w:w="15" w:type="dxa"/>
                    <w:left w:w="15" w:type="dxa"/>
                    <w:right w:w="15" w:type="dxa"/>
                  </w:tcMar>
                  <w:vAlign w:val="center"/>
                </w:tcPr>
                <w:p w14:paraId="402BEC7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w:t>
                  </w:r>
                </w:p>
              </w:tc>
              <w:tc>
                <w:tcPr>
                  <w:tcW w:w="940" w:type="dxa"/>
                  <w:tcBorders>
                    <w:tl2br w:val="nil"/>
                    <w:tr2bl w:val="nil"/>
                  </w:tcBorders>
                  <w:noWrap/>
                  <w:tcMar>
                    <w:top w:w="15" w:type="dxa"/>
                    <w:left w:w="15" w:type="dxa"/>
                    <w:right w:w="15" w:type="dxa"/>
                  </w:tcMar>
                  <w:vAlign w:val="center"/>
                </w:tcPr>
                <w:p w14:paraId="3657088B">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85</w:t>
                  </w:r>
                </w:p>
              </w:tc>
              <w:tc>
                <w:tcPr>
                  <w:tcW w:w="1237" w:type="dxa"/>
                  <w:vMerge w:val="continue"/>
                  <w:tcBorders>
                    <w:tl2br w:val="nil"/>
                    <w:tr2bl w:val="nil"/>
                  </w:tcBorders>
                  <w:noWrap/>
                  <w:tcMar>
                    <w:top w:w="15" w:type="dxa"/>
                    <w:left w:w="15" w:type="dxa"/>
                    <w:right w:w="15" w:type="dxa"/>
                  </w:tcMar>
                  <w:vAlign w:val="center"/>
                </w:tcPr>
                <w:p w14:paraId="1A25F675">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56CD9F87">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554381DE">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44B58D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0757CD0E">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2BB9BE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打砂</w:t>
                  </w:r>
                  <w:r>
                    <w:rPr>
                      <w:rFonts w:hint="default" w:ascii="Times New Roman" w:hAnsi="Times New Roman" w:eastAsia="宋体" w:cs="Times New Roman"/>
                      <w:color w:val="auto"/>
                      <w:sz w:val="21"/>
                      <w:szCs w:val="21"/>
                      <w:vertAlign w:val="baseline"/>
                      <w:lang w:val="en-US" w:eastAsia="zh-CN"/>
                    </w:rPr>
                    <w:t>机</w:t>
                  </w:r>
                </w:p>
              </w:tc>
              <w:tc>
                <w:tcPr>
                  <w:tcW w:w="792" w:type="dxa"/>
                  <w:tcBorders>
                    <w:tl2br w:val="nil"/>
                    <w:tr2bl w:val="nil"/>
                  </w:tcBorders>
                  <w:noWrap/>
                  <w:tcMar>
                    <w:top w:w="15" w:type="dxa"/>
                    <w:left w:w="15" w:type="dxa"/>
                    <w:right w:w="15" w:type="dxa"/>
                  </w:tcMar>
                  <w:vAlign w:val="center"/>
                </w:tcPr>
                <w:p w14:paraId="0BB72F6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bidi="ar-SA"/>
                    </w:rPr>
                  </w:pPr>
                  <w:r>
                    <w:rPr>
                      <w:rFonts w:hint="default" w:ascii="Times New Roman" w:hAnsi="Times New Roman" w:eastAsia="宋体" w:cs="Times New Roman"/>
                      <w:color w:val="auto"/>
                      <w:kern w:val="24"/>
                      <w:sz w:val="21"/>
                      <w:szCs w:val="21"/>
                      <w:highlight w:val="none"/>
                      <w:lang w:val="en-US" w:eastAsia="zh-CN"/>
                    </w:rPr>
                    <w:t>1</w:t>
                  </w:r>
                </w:p>
              </w:tc>
              <w:tc>
                <w:tcPr>
                  <w:tcW w:w="940" w:type="dxa"/>
                  <w:tcBorders>
                    <w:tl2br w:val="nil"/>
                    <w:tr2bl w:val="nil"/>
                  </w:tcBorders>
                  <w:noWrap/>
                  <w:tcMar>
                    <w:top w:w="15" w:type="dxa"/>
                    <w:left w:w="15" w:type="dxa"/>
                    <w:right w:w="15" w:type="dxa"/>
                  </w:tcMar>
                  <w:vAlign w:val="center"/>
                </w:tcPr>
                <w:p w14:paraId="412A3F5F">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85</w:t>
                  </w:r>
                </w:p>
              </w:tc>
              <w:tc>
                <w:tcPr>
                  <w:tcW w:w="1237" w:type="dxa"/>
                  <w:vMerge w:val="continue"/>
                  <w:tcBorders>
                    <w:tl2br w:val="nil"/>
                    <w:tr2bl w:val="nil"/>
                  </w:tcBorders>
                  <w:noWrap/>
                  <w:tcMar>
                    <w:top w:w="15" w:type="dxa"/>
                    <w:left w:w="15" w:type="dxa"/>
                    <w:right w:w="15" w:type="dxa"/>
                  </w:tcMar>
                  <w:vAlign w:val="center"/>
                </w:tcPr>
                <w:p w14:paraId="1CD8AA2B">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0A34E1BB">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259DD06A">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1F4C9D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54C39B9D">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0EBC59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抛丸机</w:t>
                  </w:r>
                </w:p>
              </w:tc>
              <w:tc>
                <w:tcPr>
                  <w:tcW w:w="792" w:type="dxa"/>
                  <w:tcBorders>
                    <w:tl2br w:val="nil"/>
                    <w:tr2bl w:val="nil"/>
                  </w:tcBorders>
                  <w:noWrap/>
                  <w:tcMar>
                    <w:top w:w="15" w:type="dxa"/>
                    <w:left w:w="15" w:type="dxa"/>
                    <w:right w:w="15" w:type="dxa"/>
                  </w:tcMar>
                  <w:vAlign w:val="center"/>
                </w:tcPr>
                <w:p w14:paraId="442FD5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1</w:t>
                  </w:r>
                </w:p>
              </w:tc>
              <w:tc>
                <w:tcPr>
                  <w:tcW w:w="940" w:type="dxa"/>
                  <w:tcBorders>
                    <w:tl2br w:val="nil"/>
                    <w:tr2bl w:val="nil"/>
                  </w:tcBorders>
                  <w:noWrap/>
                  <w:tcMar>
                    <w:top w:w="15" w:type="dxa"/>
                    <w:left w:w="15" w:type="dxa"/>
                    <w:right w:w="15" w:type="dxa"/>
                  </w:tcMar>
                  <w:vAlign w:val="center"/>
                </w:tcPr>
                <w:p w14:paraId="214D078C">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85</w:t>
                  </w:r>
                </w:p>
              </w:tc>
              <w:tc>
                <w:tcPr>
                  <w:tcW w:w="1237" w:type="dxa"/>
                  <w:vMerge w:val="continue"/>
                  <w:tcBorders>
                    <w:tl2br w:val="nil"/>
                    <w:tr2bl w:val="nil"/>
                  </w:tcBorders>
                  <w:noWrap/>
                  <w:tcMar>
                    <w:top w:w="15" w:type="dxa"/>
                    <w:left w:w="15" w:type="dxa"/>
                    <w:right w:w="15" w:type="dxa"/>
                  </w:tcMar>
                  <w:vAlign w:val="center"/>
                </w:tcPr>
                <w:p w14:paraId="5D4B94A0">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3A5089DF">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4CD67EBD">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1AA9ED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1784F366">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663037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color w:val="auto"/>
                      <w:kern w:val="0"/>
                      <w:sz w:val="21"/>
                      <w:szCs w:val="21"/>
                      <w:lang w:val="en-US" w:eastAsia="zh-CN" w:bidi="ar"/>
                    </w:rPr>
                    <w:t>喷枪</w:t>
                  </w:r>
                </w:p>
              </w:tc>
              <w:tc>
                <w:tcPr>
                  <w:tcW w:w="792" w:type="dxa"/>
                  <w:tcBorders>
                    <w:tl2br w:val="nil"/>
                    <w:tr2bl w:val="nil"/>
                  </w:tcBorders>
                  <w:noWrap/>
                  <w:tcMar>
                    <w:top w:w="15" w:type="dxa"/>
                    <w:left w:w="15" w:type="dxa"/>
                    <w:right w:w="15" w:type="dxa"/>
                  </w:tcMar>
                  <w:vAlign w:val="center"/>
                </w:tcPr>
                <w:p w14:paraId="11A7710A">
                  <w:pPr>
                    <w:pStyle w:val="3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w:t>
                  </w:r>
                </w:p>
              </w:tc>
              <w:tc>
                <w:tcPr>
                  <w:tcW w:w="940" w:type="dxa"/>
                  <w:tcBorders>
                    <w:tl2br w:val="nil"/>
                    <w:tr2bl w:val="nil"/>
                  </w:tcBorders>
                  <w:noWrap/>
                  <w:tcMar>
                    <w:top w:w="15" w:type="dxa"/>
                    <w:left w:w="15" w:type="dxa"/>
                    <w:right w:w="15" w:type="dxa"/>
                  </w:tcMar>
                  <w:vAlign w:val="center"/>
                </w:tcPr>
                <w:p w14:paraId="64576F5F">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80</w:t>
                  </w:r>
                </w:p>
              </w:tc>
              <w:tc>
                <w:tcPr>
                  <w:tcW w:w="1237" w:type="dxa"/>
                  <w:vMerge w:val="continue"/>
                  <w:tcBorders>
                    <w:tl2br w:val="nil"/>
                    <w:tr2bl w:val="nil"/>
                  </w:tcBorders>
                  <w:noWrap/>
                  <w:tcMar>
                    <w:top w:w="15" w:type="dxa"/>
                    <w:left w:w="15" w:type="dxa"/>
                    <w:right w:w="15" w:type="dxa"/>
                  </w:tcMar>
                  <w:vAlign w:val="center"/>
                </w:tcPr>
                <w:p w14:paraId="1ED840E3">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52362515">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619B26ED">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36C2A2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697" w:type="dxa"/>
                  <w:tcBorders>
                    <w:tl2br w:val="nil"/>
                    <w:tr2bl w:val="nil"/>
                  </w:tcBorders>
                  <w:noWrap/>
                  <w:tcMar>
                    <w:top w:w="15" w:type="dxa"/>
                    <w:left w:w="15" w:type="dxa"/>
                    <w:right w:w="15" w:type="dxa"/>
                  </w:tcMar>
                  <w:vAlign w:val="center"/>
                </w:tcPr>
                <w:p w14:paraId="1C48D57E">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60718F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角磨机</w:t>
                  </w:r>
                </w:p>
              </w:tc>
              <w:tc>
                <w:tcPr>
                  <w:tcW w:w="792" w:type="dxa"/>
                  <w:tcBorders>
                    <w:tl2br w:val="nil"/>
                    <w:tr2bl w:val="nil"/>
                  </w:tcBorders>
                  <w:noWrap/>
                  <w:tcMar>
                    <w:top w:w="15" w:type="dxa"/>
                    <w:left w:w="15" w:type="dxa"/>
                    <w:right w:w="15" w:type="dxa"/>
                  </w:tcMar>
                  <w:vAlign w:val="center"/>
                </w:tcPr>
                <w:p w14:paraId="7DDBF1D7">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w:t>
                  </w:r>
                </w:p>
              </w:tc>
              <w:tc>
                <w:tcPr>
                  <w:tcW w:w="940" w:type="dxa"/>
                  <w:tcBorders>
                    <w:tl2br w:val="nil"/>
                    <w:tr2bl w:val="nil"/>
                  </w:tcBorders>
                  <w:noWrap/>
                  <w:tcMar>
                    <w:top w:w="15" w:type="dxa"/>
                    <w:left w:w="15" w:type="dxa"/>
                    <w:right w:w="15" w:type="dxa"/>
                  </w:tcMar>
                  <w:vAlign w:val="center"/>
                </w:tcPr>
                <w:p w14:paraId="0CC21214">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80</w:t>
                  </w:r>
                </w:p>
              </w:tc>
              <w:tc>
                <w:tcPr>
                  <w:tcW w:w="1237" w:type="dxa"/>
                  <w:vMerge w:val="continue"/>
                  <w:tcBorders>
                    <w:tl2br w:val="nil"/>
                    <w:tr2bl w:val="nil"/>
                  </w:tcBorders>
                  <w:noWrap/>
                  <w:tcMar>
                    <w:top w:w="15" w:type="dxa"/>
                    <w:left w:w="15" w:type="dxa"/>
                    <w:right w:w="15" w:type="dxa"/>
                  </w:tcMar>
                  <w:vAlign w:val="center"/>
                </w:tcPr>
                <w:p w14:paraId="2E9B9D26">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46C0241B">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6B5C4F55">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053D5B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53F29D55">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21CDDC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甩干机</w:t>
                  </w:r>
                </w:p>
              </w:tc>
              <w:tc>
                <w:tcPr>
                  <w:tcW w:w="792" w:type="dxa"/>
                  <w:tcBorders>
                    <w:tl2br w:val="nil"/>
                    <w:tr2bl w:val="nil"/>
                  </w:tcBorders>
                  <w:noWrap/>
                  <w:tcMar>
                    <w:top w:w="15" w:type="dxa"/>
                    <w:left w:w="15" w:type="dxa"/>
                    <w:right w:w="15" w:type="dxa"/>
                  </w:tcMar>
                  <w:vAlign w:val="center"/>
                </w:tcPr>
                <w:p w14:paraId="77322CA7">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lang w:val="en-US" w:eastAsia="zh-CN"/>
                    </w:rPr>
                  </w:pPr>
                  <w:r>
                    <w:rPr>
                      <w:rFonts w:hint="eastAsia"/>
                      <w:color w:val="auto"/>
                      <w:sz w:val="21"/>
                      <w:szCs w:val="21"/>
                      <w:lang w:val="en-US" w:eastAsia="zh-CN"/>
                    </w:rPr>
                    <w:t>1</w:t>
                  </w:r>
                </w:p>
              </w:tc>
              <w:tc>
                <w:tcPr>
                  <w:tcW w:w="940" w:type="dxa"/>
                  <w:tcBorders>
                    <w:tl2br w:val="nil"/>
                    <w:tr2bl w:val="nil"/>
                  </w:tcBorders>
                  <w:noWrap/>
                  <w:tcMar>
                    <w:top w:w="15" w:type="dxa"/>
                    <w:left w:w="15" w:type="dxa"/>
                    <w:right w:w="15" w:type="dxa"/>
                  </w:tcMar>
                  <w:vAlign w:val="center"/>
                </w:tcPr>
                <w:p w14:paraId="0D7C4429">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80</w:t>
                  </w:r>
                </w:p>
              </w:tc>
              <w:tc>
                <w:tcPr>
                  <w:tcW w:w="1237" w:type="dxa"/>
                  <w:vMerge w:val="continue"/>
                  <w:tcBorders>
                    <w:tl2br w:val="nil"/>
                    <w:tr2bl w:val="nil"/>
                  </w:tcBorders>
                  <w:noWrap/>
                  <w:tcMar>
                    <w:top w:w="15" w:type="dxa"/>
                    <w:left w:w="15" w:type="dxa"/>
                    <w:right w:w="15" w:type="dxa"/>
                  </w:tcMar>
                  <w:vAlign w:val="center"/>
                </w:tcPr>
                <w:p w14:paraId="33660A71">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151CB9FE">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1336D4CE">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0188B5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6E674DD4">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39ECDE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空压机</w:t>
                  </w:r>
                </w:p>
              </w:tc>
              <w:tc>
                <w:tcPr>
                  <w:tcW w:w="792" w:type="dxa"/>
                  <w:tcBorders>
                    <w:tl2br w:val="nil"/>
                    <w:tr2bl w:val="nil"/>
                  </w:tcBorders>
                  <w:noWrap/>
                  <w:tcMar>
                    <w:top w:w="15" w:type="dxa"/>
                    <w:left w:w="15" w:type="dxa"/>
                    <w:right w:w="15" w:type="dxa"/>
                  </w:tcMar>
                  <w:vAlign w:val="center"/>
                </w:tcPr>
                <w:p w14:paraId="24118BEA">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w:t>
                  </w:r>
                </w:p>
              </w:tc>
              <w:tc>
                <w:tcPr>
                  <w:tcW w:w="940" w:type="dxa"/>
                  <w:tcBorders>
                    <w:tl2br w:val="nil"/>
                    <w:tr2bl w:val="nil"/>
                  </w:tcBorders>
                  <w:noWrap/>
                  <w:tcMar>
                    <w:top w:w="15" w:type="dxa"/>
                    <w:left w:w="15" w:type="dxa"/>
                    <w:right w:w="15" w:type="dxa"/>
                  </w:tcMar>
                  <w:vAlign w:val="center"/>
                </w:tcPr>
                <w:p w14:paraId="09AC56AC">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85</w:t>
                  </w:r>
                </w:p>
              </w:tc>
              <w:tc>
                <w:tcPr>
                  <w:tcW w:w="1237" w:type="dxa"/>
                  <w:vMerge w:val="continue"/>
                  <w:tcBorders>
                    <w:tl2br w:val="nil"/>
                    <w:tr2bl w:val="nil"/>
                  </w:tcBorders>
                  <w:noWrap/>
                  <w:tcMar>
                    <w:top w:w="15" w:type="dxa"/>
                    <w:left w:w="15" w:type="dxa"/>
                    <w:right w:w="15" w:type="dxa"/>
                  </w:tcMar>
                  <w:vAlign w:val="center"/>
                </w:tcPr>
                <w:p w14:paraId="0A0C1F48">
                  <w:pPr>
                    <w:pStyle w:val="27"/>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023" w:type="dxa"/>
                  <w:vMerge w:val="continue"/>
                  <w:tcBorders>
                    <w:tl2br w:val="nil"/>
                    <w:tr2bl w:val="nil"/>
                  </w:tcBorders>
                  <w:noWrap/>
                  <w:tcMar>
                    <w:top w:w="15" w:type="dxa"/>
                    <w:left w:w="15" w:type="dxa"/>
                    <w:right w:w="15" w:type="dxa"/>
                  </w:tcMar>
                  <w:vAlign w:val="center"/>
                </w:tcPr>
                <w:p w14:paraId="6F602997">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color w:val="auto"/>
                      <w:kern w:val="2"/>
                      <w:sz w:val="21"/>
                      <w:szCs w:val="21"/>
                      <w:lang w:val="en-US" w:eastAsia="zh-CN" w:bidi="ar-SA"/>
                    </w:rPr>
                  </w:pPr>
                </w:p>
              </w:tc>
              <w:tc>
                <w:tcPr>
                  <w:tcW w:w="1023" w:type="dxa"/>
                  <w:vMerge w:val="continue"/>
                  <w:tcBorders>
                    <w:tl2br w:val="nil"/>
                    <w:tr2bl w:val="nil"/>
                  </w:tcBorders>
                  <w:noWrap w:val="0"/>
                  <w:vAlign w:val="center"/>
                </w:tcPr>
                <w:p w14:paraId="30BFF54C">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r w14:paraId="351649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7" w:type="dxa"/>
                  <w:tcBorders>
                    <w:tl2br w:val="nil"/>
                    <w:tr2bl w:val="nil"/>
                  </w:tcBorders>
                  <w:noWrap/>
                  <w:tcMar>
                    <w:top w:w="15" w:type="dxa"/>
                    <w:left w:w="15" w:type="dxa"/>
                    <w:right w:w="15" w:type="dxa"/>
                  </w:tcMar>
                  <w:vAlign w:val="center"/>
                </w:tcPr>
                <w:p w14:paraId="5F5E969D">
                  <w:pPr>
                    <w:pStyle w:val="27"/>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852" w:type="dxa"/>
                  <w:tcBorders>
                    <w:tl2br w:val="nil"/>
                    <w:tr2bl w:val="nil"/>
                  </w:tcBorders>
                  <w:noWrap/>
                  <w:tcMar>
                    <w:top w:w="15" w:type="dxa"/>
                    <w:left w:w="15" w:type="dxa"/>
                    <w:right w:w="15" w:type="dxa"/>
                  </w:tcMar>
                  <w:vAlign w:val="center"/>
                </w:tcPr>
                <w:p w14:paraId="3F0548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风机</w:t>
                  </w:r>
                </w:p>
              </w:tc>
              <w:tc>
                <w:tcPr>
                  <w:tcW w:w="792" w:type="dxa"/>
                  <w:tcBorders>
                    <w:tl2br w:val="nil"/>
                    <w:tr2bl w:val="nil"/>
                  </w:tcBorders>
                  <w:noWrap/>
                  <w:tcMar>
                    <w:top w:w="15" w:type="dxa"/>
                    <w:left w:w="15" w:type="dxa"/>
                    <w:right w:w="15" w:type="dxa"/>
                  </w:tcMar>
                  <w:vAlign w:val="center"/>
                </w:tcPr>
                <w:p w14:paraId="49EEC081">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17</w:t>
                  </w:r>
                </w:p>
              </w:tc>
              <w:tc>
                <w:tcPr>
                  <w:tcW w:w="940" w:type="dxa"/>
                  <w:tcBorders>
                    <w:tl2br w:val="nil"/>
                    <w:tr2bl w:val="nil"/>
                  </w:tcBorders>
                  <w:noWrap/>
                  <w:tcMar>
                    <w:top w:w="15" w:type="dxa"/>
                    <w:left w:w="15" w:type="dxa"/>
                    <w:right w:w="15" w:type="dxa"/>
                  </w:tcMar>
                  <w:vAlign w:val="center"/>
                </w:tcPr>
                <w:p w14:paraId="18FD2EC8">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90</w:t>
                  </w:r>
                </w:p>
              </w:tc>
              <w:tc>
                <w:tcPr>
                  <w:tcW w:w="1237" w:type="dxa"/>
                  <w:tcBorders>
                    <w:tl2br w:val="nil"/>
                    <w:tr2bl w:val="nil"/>
                  </w:tcBorders>
                  <w:noWrap/>
                  <w:tcMar>
                    <w:top w:w="15" w:type="dxa"/>
                    <w:left w:w="15" w:type="dxa"/>
                    <w:right w:w="15" w:type="dxa"/>
                  </w:tcMar>
                  <w:vAlign w:val="center"/>
                </w:tcPr>
                <w:p w14:paraId="01F9FD49">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lang w:val="en-US" w:eastAsia="zh-CN"/>
                    </w:rPr>
                  </w:pPr>
                  <w:r>
                    <w:rPr>
                      <w:rFonts w:hint="eastAsia"/>
                      <w:color w:val="auto"/>
                      <w:sz w:val="21"/>
                      <w:szCs w:val="21"/>
                      <w:lang w:val="en-US" w:eastAsia="zh-CN"/>
                    </w:rPr>
                    <w:t>设备底部加装减震垫，将设备布置在车间内，加装隔声罩</w:t>
                  </w:r>
                </w:p>
              </w:tc>
              <w:tc>
                <w:tcPr>
                  <w:tcW w:w="1023" w:type="dxa"/>
                  <w:tcBorders>
                    <w:tl2br w:val="nil"/>
                    <w:tr2bl w:val="nil"/>
                  </w:tcBorders>
                  <w:noWrap/>
                  <w:tcMar>
                    <w:top w:w="15" w:type="dxa"/>
                    <w:left w:w="15" w:type="dxa"/>
                    <w:right w:w="15" w:type="dxa"/>
                  </w:tcMar>
                  <w:vAlign w:val="center"/>
                </w:tcPr>
                <w:p w14:paraId="30ECF035">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25</w:t>
                  </w:r>
                </w:p>
              </w:tc>
              <w:tc>
                <w:tcPr>
                  <w:tcW w:w="1023" w:type="dxa"/>
                  <w:vMerge w:val="continue"/>
                  <w:tcBorders>
                    <w:tl2br w:val="nil"/>
                    <w:tr2bl w:val="nil"/>
                  </w:tcBorders>
                  <w:noWrap w:val="0"/>
                  <w:vAlign w:val="center"/>
                </w:tcPr>
                <w:p w14:paraId="2A1D2460">
                  <w:pPr>
                    <w:pStyle w:val="27"/>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1"/>
                      <w:szCs w:val="21"/>
                      <w:lang w:val="en-US" w:eastAsia="zh-CN"/>
                    </w:rPr>
                  </w:pPr>
                </w:p>
              </w:tc>
            </w:tr>
          </w:tbl>
          <w:p w14:paraId="2561D2DF">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0" w:firstLineChars="200"/>
              <w:textAlignment w:val="auto"/>
              <w:rPr>
                <w:rFonts w:hint="eastAsia"/>
                <w:color w:val="auto"/>
                <w:sz w:val="24"/>
                <w:lang w:val="zh-CN"/>
              </w:rPr>
            </w:pPr>
            <w:r>
              <w:rPr>
                <w:rFonts w:hint="eastAsia"/>
                <w:color w:val="auto"/>
                <w:sz w:val="24"/>
                <w:lang w:val="zh-CN"/>
              </w:rPr>
              <w:t>（</w:t>
            </w:r>
            <w:r>
              <w:rPr>
                <w:rFonts w:hint="eastAsia"/>
                <w:color w:val="auto"/>
                <w:sz w:val="24"/>
                <w:lang w:val="en-US" w:eastAsia="zh-CN"/>
              </w:rPr>
              <w:t>1</w:t>
            </w:r>
            <w:r>
              <w:rPr>
                <w:rFonts w:hint="eastAsia"/>
                <w:color w:val="auto"/>
                <w:sz w:val="24"/>
                <w:lang w:val="zh-CN"/>
              </w:rPr>
              <w:t>）噪声预测</w:t>
            </w:r>
          </w:p>
          <w:p w14:paraId="48C808E5">
            <w:pPr>
              <w:bidi w:val="0"/>
              <w:rPr>
                <w:color w:val="auto"/>
                <w:lang w:val="zh-CN"/>
              </w:rPr>
            </w:pPr>
            <w:r>
              <w:rPr>
                <w:rFonts w:hint="eastAsia"/>
                <w:color w:val="auto"/>
                <w:lang w:val="zh-CN"/>
              </w:rPr>
              <w:t>预测模式采用《环境影响评价技术导则》（</w:t>
            </w:r>
            <w:r>
              <w:rPr>
                <w:color w:val="auto"/>
                <w:lang w:val="zh-CN"/>
              </w:rPr>
              <w:t>HJ2.4-2009</w:t>
            </w:r>
            <w:r>
              <w:rPr>
                <w:rFonts w:hint="eastAsia"/>
                <w:color w:val="auto"/>
                <w:lang w:val="zh-CN"/>
              </w:rPr>
              <w:t>）中推荐的噪声预测模式。各噪声源至各厂界噪声预测采用点源衰减预测模式，预测只计算噪声源至受声点的几何发散衰减，不考虑声屏障、空气吸收等衰减。预测模式如下：</w:t>
            </w:r>
          </w:p>
          <w:p w14:paraId="32F58434">
            <w:pPr>
              <w:bidi w:val="0"/>
              <w:rPr>
                <w:rFonts w:hint="eastAsia" w:ascii="Times New Roman" w:hAnsi="Times New Roman" w:eastAsia="宋体" w:cs="Times New Roman"/>
                <w:color w:val="auto"/>
                <w:sz w:val="24"/>
                <w:lang w:eastAsia="zh-CN"/>
              </w:rPr>
            </w:pPr>
            <w:r>
              <w:rPr>
                <w:snapToGrid w:val="0"/>
                <w:color w:val="auto"/>
                <w:sz w:val="24"/>
              </w:rPr>
              <w:fldChar w:fldCharType="begin"/>
            </w:r>
            <w:r>
              <w:rPr>
                <w:snapToGrid w:val="0"/>
                <w:color w:val="auto"/>
                <w:sz w:val="24"/>
              </w:rPr>
              <w:instrText xml:space="preserve"> = 1 \* GB3 </w:instrText>
            </w:r>
            <w:r>
              <w:rPr>
                <w:snapToGrid w:val="0"/>
                <w:color w:val="auto"/>
                <w:sz w:val="24"/>
              </w:rPr>
              <w:fldChar w:fldCharType="separate"/>
            </w:r>
            <w:r>
              <w:rPr>
                <w:rFonts w:hint="eastAsia" w:hAnsi="宋体"/>
                <w:snapToGrid w:val="0"/>
                <w:color w:val="auto"/>
                <w:sz w:val="24"/>
              </w:rPr>
              <w:t>①</w:t>
            </w:r>
            <w:r>
              <w:rPr>
                <w:snapToGrid w:val="0"/>
                <w:color w:val="auto"/>
                <w:sz w:val="24"/>
              </w:rPr>
              <w:fldChar w:fldCharType="end"/>
            </w:r>
            <w:r>
              <w:rPr>
                <w:rFonts w:hint="default" w:ascii="Times New Roman" w:hAnsi="Times New Roman" w:eastAsia="宋体" w:cs="Times New Roman"/>
                <w:color w:val="auto"/>
                <w:sz w:val="24"/>
              </w:rPr>
              <w:t>噪声距离衰减模式</w:t>
            </w:r>
            <w:r>
              <w:rPr>
                <w:rFonts w:hint="eastAsia" w:ascii="Times New Roman" w:hAnsi="Times New Roman" w:eastAsia="宋体" w:cs="Times New Roman"/>
                <w:color w:val="auto"/>
                <w:sz w:val="24"/>
                <w:lang w:eastAsia="zh-CN"/>
              </w:rPr>
              <w:t>：</w:t>
            </w:r>
          </w:p>
          <w:p w14:paraId="1487EFAB">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2640" w:firstLineChars="1100"/>
              <w:jc w:val="both"/>
              <w:textAlignment w:val="auto"/>
              <w:rPr>
                <w:color w:val="auto"/>
                <w:sz w:val="24"/>
                <w:lang w:val="zh-CN"/>
              </w:rPr>
            </w:pPr>
            <w:r>
              <w:rPr>
                <w:color w:val="auto"/>
                <w:position w:val="-30"/>
              </w:rPr>
              <w:object>
                <v:shape id="_x0000_i1025" o:spt="75" type="#_x0000_t75" style="height:35.7pt;width:94.2pt;" o:ole="t" filled="f" o:preferrelative="t" stroked="f" coordsize="21600,21600">
                  <v:path/>
                  <v:fill on="f" focussize="0,0"/>
                  <v:stroke on="f"/>
                  <v:imagedata r:id="rId12" o:title=""/>
                  <o:lock v:ext="edit" aspectratio="t"/>
                  <w10:wrap type="none"/>
                  <w10:anchorlock/>
                </v:shape>
                <o:OLEObject Type="Embed" ProgID="Equation.3" ShapeID="_x0000_i1025" DrawAspect="Content" ObjectID="_1468075725" r:id="rId11">
                  <o:LockedField>false</o:LockedField>
                </o:OLEObject>
              </w:object>
            </w:r>
          </w:p>
          <w:p w14:paraId="24FCCB6A">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textAlignment w:val="auto"/>
              <w:rPr>
                <w:color w:val="auto"/>
                <w:sz w:val="24"/>
                <w:lang w:val="zh-CN"/>
              </w:rPr>
            </w:pPr>
            <w:r>
              <w:rPr>
                <w:rFonts w:hint="eastAsia"/>
                <w:color w:val="auto"/>
                <w:sz w:val="24"/>
                <w:lang w:val="zh-CN"/>
              </w:rPr>
              <w:t>式中：</w:t>
            </w:r>
            <w:r>
              <w:rPr>
                <w:color w:val="auto"/>
                <w:sz w:val="24"/>
                <w:lang w:val="zh-CN"/>
              </w:rPr>
              <w:t>L</w:t>
            </w:r>
            <w:r>
              <w:rPr>
                <w:rFonts w:hint="eastAsia"/>
                <w:color w:val="auto"/>
                <w:kern w:val="2"/>
                <w:sz w:val="24"/>
                <w:szCs w:val="24"/>
                <w:vertAlign w:val="subscript"/>
                <w:lang w:val="en-US" w:eastAsia="zh-CN" w:bidi="ar-SA"/>
              </w:rPr>
              <w:t>r</w:t>
            </w:r>
            <w:r>
              <w:rPr>
                <w:rFonts w:hint="eastAsia"/>
                <w:color w:val="auto"/>
                <w:sz w:val="24"/>
                <w:lang w:val="zh-CN"/>
              </w:rPr>
              <w:t>—距声源</w:t>
            </w:r>
            <w:r>
              <w:rPr>
                <w:rFonts w:hint="eastAsia"/>
                <w:color w:val="auto"/>
                <w:sz w:val="24"/>
                <w:lang w:val="en-US" w:eastAsia="zh-CN"/>
              </w:rPr>
              <w:t>r</w:t>
            </w:r>
            <w:r>
              <w:rPr>
                <w:rFonts w:hint="eastAsia"/>
                <w:color w:val="auto"/>
                <w:sz w:val="24"/>
                <w:lang w:val="zh-CN"/>
              </w:rPr>
              <w:t>处的</w:t>
            </w:r>
            <w:r>
              <w:rPr>
                <w:color w:val="auto"/>
                <w:sz w:val="24"/>
                <w:lang w:val="zh-CN"/>
              </w:rPr>
              <w:t>A</w:t>
            </w:r>
            <w:r>
              <w:rPr>
                <w:rFonts w:hint="eastAsia"/>
                <w:color w:val="auto"/>
                <w:sz w:val="24"/>
                <w:lang w:val="zh-CN"/>
              </w:rPr>
              <w:t>声级，</w:t>
            </w:r>
            <w:r>
              <w:rPr>
                <w:color w:val="auto"/>
                <w:sz w:val="24"/>
                <w:lang w:val="zh-CN"/>
              </w:rPr>
              <w:t>dB</w:t>
            </w:r>
            <w:r>
              <w:rPr>
                <w:rFonts w:hint="eastAsia"/>
                <w:color w:val="auto"/>
                <w:sz w:val="24"/>
                <w:lang w:val="zh-CN"/>
              </w:rPr>
              <w:t>（</w:t>
            </w:r>
            <w:r>
              <w:rPr>
                <w:color w:val="auto"/>
                <w:sz w:val="24"/>
                <w:lang w:val="zh-CN"/>
              </w:rPr>
              <w:t>A</w:t>
            </w:r>
            <w:r>
              <w:rPr>
                <w:rFonts w:hint="eastAsia"/>
                <w:color w:val="auto"/>
                <w:sz w:val="24"/>
                <w:lang w:val="zh-CN"/>
              </w:rPr>
              <w:t>）；</w:t>
            </w:r>
          </w:p>
          <w:p w14:paraId="5C18C0BA">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textAlignment w:val="auto"/>
              <w:rPr>
                <w:color w:val="auto"/>
                <w:sz w:val="24"/>
                <w:lang w:val="zh-CN"/>
              </w:rPr>
            </w:pPr>
            <w:r>
              <w:rPr>
                <w:color w:val="auto"/>
                <w:sz w:val="24"/>
                <w:lang w:val="zh-CN"/>
              </w:rPr>
              <w:t>L</w:t>
            </w:r>
            <w:r>
              <w:rPr>
                <w:rFonts w:hint="eastAsia"/>
                <w:color w:val="auto"/>
                <w:sz w:val="24"/>
                <w:vertAlign w:val="subscript"/>
                <w:lang w:val="en-US" w:eastAsia="zh-CN"/>
              </w:rPr>
              <w:t>r</w:t>
            </w:r>
            <w:r>
              <w:rPr>
                <w:rFonts w:hint="eastAsia"/>
                <w:color w:val="auto"/>
                <w:kern w:val="2"/>
                <w:sz w:val="24"/>
                <w:szCs w:val="24"/>
                <w:vertAlign w:val="subscript"/>
                <w:lang w:val="en-US" w:eastAsia="zh-CN" w:bidi="ar-SA"/>
              </w:rPr>
              <w:t>0</w:t>
            </w:r>
            <w:r>
              <w:rPr>
                <w:rFonts w:hint="eastAsia"/>
                <w:color w:val="auto"/>
                <w:sz w:val="24"/>
                <w:lang w:val="zh-CN"/>
              </w:rPr>
              <w:t>—参考位置</w:t>
            </w:r>
            <w:r>
              <w:rPr>
                <w:color w:val="auto"/>
                <w:sz w:val="24"/>
                <w:lang w:val="zh-CN"/>
              </w:rPr>
              <w:t>r</w:t>
            </w:r>
            <w:r>
              <w:rPr>
                <w:color w:val="auto"/>
                <w:sz w:val="24"/>
                <w:vertAlign w:val="subscript"/>
                <w:lang w:val="zh-CN"/>
              </w:rPr>
              <w:t>0</w:t>
            </w:r>
            <w:r>
              <w:rPr>
                <w:rFonts w:hint="eastAsia"/>
                <w:color w:val="auto"/>
                <w:sz w:val="24"/>
                <w:lang w:val="zh-CN"/>
              </w:rPr>
              <w:t>处的</w:t>
            </w:r>
            <w:r>
              <w:rPr>
                <w:color w:val="auto"/>
                <w:sz w:val="24"/>
                <w:lang w:val="zh-CN"/>
              </w:rPr>
              <w:t>A</w:t>
            </w:r>
            <w:r>
              <w:rPr>
                <w:rFonts w:hint="eastAsia"/>
                <w:color w:val="auto"/>
                <w:sz w:val="24"/>
                <w:lang w:val="zh-CN"/>
              </w:rPr>
              <w:t>声级，</w:t>
            </w:r>
            <w:r>
              <w:rPr>
                <w:color w:val="auto"/>
                <w:sz w:val="24"/>
                <w:lang w:val="zh-CN"/>
              </w:rPr>
              <w:t>dB</w:t>
            </w:r>
            <w:r>
              <w:rPr>
                <w:rFonts w:hint="eastAsia"/>
                <w:color w:val="auto"/>
                <w:sz w:val="24"/>
                <w:lang w:val="zh-CN"/>
              </w:rPr>
              <w:t>（</w:t>
            </w:r>
            <w:r>
              <w:rPr>
                <w:color w:val="auto"/>
                <w:sz w:val="24"/>
                <w:lang w:val="zh-CN"/>
              </w:rPr>
              <w:t>A</w:t>
            </w:r>
            <w:r>
              <w:rPr>
                <w:rFonts w:hint="eastAsia"/>
                <w:color w:val="auto"/>
                <w:sz w:val="24"/>
                <w:lang w:val="zh-CN"/>
              </w:rPr>
              <w:t>）；</w:t>
            </w:r>
          </w:p>
          <w:p w14:paraId="1F9A63BE">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textAlignment w:val="auto"/>
              <w:rPr>
                <w:color w:val="auto"/>
                <w:sz w:val="24"/>
                <w:lang w:val="zh-CN"/>
              </w:rPr>
            </w:pPr>
            <w:r>
              <w:rPr>
                <w:color w:val="auto"/>
                <w:sz w:val="24"/>
                <w:lang w:val="zh-CN"/>
              </w:rPr>
              <w:t>r</w:t>
            </w:r>
            <w:r>
              <w:rPr>
                <w:rFonts w:hint="eastAsia"/>
                <w:color w:val="auto"/>
                <w:sz w:val="24"/>
                <w:lang w:val="zh-CN"/>
              </w:rPr>
              <w:t>—预测点距声源的距离，</w:t>
            </w:r>
            <w:r>
              <w:rPr>
                <w:color w:val="auto"/>
                <w:sz w:val="24"/>
                <w:lang w:val="zh-CN"/>
              </w:rPr>
              <w:t>m</w:t>
            </w:r>
            <w:r>
              <w:rPr>
                <w:rFonts w:hint="eastAsia"/>
                <w:color w:val="auto"/>
                <w:sz w:val="24"/>
                <w:lang w:val="zh-CN"/>
              </w:rPr>
              <w:t>；</w:t>
            </w:r>
          </w:p>
          <w:p w14:paraId="30812D23">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0" w:firstLineChars="200"/>
              <w:textAlignment w:val="auto"/>
              <w:rPr>
                <w:rFonts w:hint="eastAsia"/>
                <w:color w:val="auto"/>
                <w:sz w:val="24"/>
                <w:lang w:val="zh-CN"/>
              </w:rPr>
            </w:pPr>
            <w:r>
              <w:rPr>
                <w:color w:val="auto"/>
                <w:sz w:val="24"/>
                <w:lang w:val="zh-CN"/>
              </w:rPr>
              <w:t>r</w:t>
            </w:r>
            <w:r>
              <w:rPr>
                <w:color w:val="auto"/>
                <w:sz w:val="24"/>
                <w:vertAlign w:val="subscript"/>
                <w:lang w:val="zh-CN"/>
              </w:rPr>
              <w:t>0</w:t>
            </w:r>
            <w:r>
              <w:rPr>
                <w:rFonts w:hint="eastAsia"/>
                <w:color w:val="auto"/>
                <w:sz w:val="24"/>
                <w:lang w:val="zh-CN"/>
              </w:rPr>
              <w:t>—参考位置距声源的距离，</w:t>
            </w:r>
            <w:r>
              <w:rPr>
                <w:color w:val="auto"/>
                <w:sz w:val="24"/>
                <w:lang w:val="zh-CN"/>
              </w:rPr>
              <w:t>m</w:t>
            </w:r>
            <w:r>
              <w:rPr>
                <w:rFonts w:hint="eastAsia"/>
                <w:color w:val="auto"/>
                <w:sz w:val="24"/>
                <w:lang w:val="zh-CN"/>
              </w:rPr>
              <w:t>。</w:t>
            </w:r>
          </w:p>
          <w:p w14:paraId="2FB8876E">
            <w:pPr>
              <w:pStyle w:val="46"/>
              <w:keepNext w:val="0"/>
              <w:keepLines w:val="0"/>
              <w:pageBreakBefore w:val="0"/>
              <w:widowControl w:val="0"/>
              <w:kinsoku/>
              <w:wordWrap/>
              <w:overflowPunct/>
              <w:topLinePunct w:val="0"/>
              <w:bidi w:val="0"/>
              <w:snapToGrid/>
              <w:spacing w:before="0" w:after="0" w:line="480" w:lineRule="exact"/>
              <w:ind w:left="0" w:leftChars="0" w:firstLine="480" w:firstLineChars="200"/>
              <w:textAlignment w:val="auto"/>
              <w:rPr>
                <w:rFonts w:hint="eastAsia" w:ascii="Times New Roman" w:hAnsi="Times New Roman" w:eastAsia="宋体" w:cs="Times New Roman"/>
                <w:color w:val="auto"/>
                <w:sz w:val="24"/>
                <w:lang w:eastAsia="zh-CN"/>
              </w:rPr>
            </w:pPr>
            <w:r>
              <w:rPr>
                <w:rFonts w:cs="宋体"/>
                <w:color w:val="auto"/>
                <w:kern w:val="0"/>
              </w:rPr>
              <w:t>②</w:t>
            </w:r>
            <w:r>
              <w:rPr>
                <w:rFonts w:hint="default" w:ascii="Times New Roman" w:hAnsi="Times New Roman" w:eastAsia="宋体" w:cs="Times New Roman"/>
                <w:color w:val="auto"/>
                <w:sz w:val="24"/>
              </w:rPr>
              <w:t>噪声叠加模式</w:t>
            </w:r>
            <w:r>
              <w:rPr>
                <w:rFonts w:hint="eastAsia" w:ascii="Times New Roman" w:hAnsi="Times New Roman" w:eastAsia="宋体" w:cs="Times New Roman"/>
                <w:color w:val="auto"/>
                <w:sz w:val="24"/>
                <w:lang w:eastAsia="zh-CN"/>
              </w:rPr>
              <w:t>：</w:t>
            </w:r>
          </w:p>
          <w:p w14:paraId="23AA7D30">
            <w:pPr>
              <w:keepNext w:val="0"/>
              <w:keepLines w:val="0"/>
              <w:pageBreakBefore w:val="0"/>
              <w:widowControl w:val="0"/>
              <w:kinsoku/>
              <w:wordWrap/>
              <w:overflowPunct/>
              <w:topLinePunct w:val="0"/>
              <w:autoSpaceDE/>
              <w:autoSpaceDN/>
              <w:bidi w:val="0"/>
              <w:adjustRightInd/>
              <w:snapToGrid/>
              <w:spacing w:line="240" w:lineRule="auto"/>
              <w:ind w:left="0" w:leftChars="0" w:firstLine="3080" w:firstLineChars="1100"/>
              <w:jc w:val="both"/>
              <w:textAlignment w:val="auto"/>
              <w:rPr>
                <w:rFonts w:hint="default" w:ascii="Times New Roman" w:hAnsi="Times New Roman" w:eastAsia="宋体" w:cs="Times New Roman"/>
                <w:color w:val="auto"/>
                <w:spacing w:val="20"/>
                <w:sz w:val="24"/>
              </w:rPr>
            </w:pPr>
            <w:r>
              <w:rPr>
                <w:rFonts w:hint="default" w:ascii="Times New Roman" w:hAnsi="Times New Roman" w:eastAsia="宋体" w:cs="Times New Roman"/>
                <w:color w:val="auto"/>
                <w:spacing w:val="20"/>
                <w:position w:val="-28"/>
                <w:sz w:val="24"/>
              </w:rPr>
              <w:object>
                <v:shape id="_x0000_i1026" o:spt="75" type="#_x0000_t75" style="height:34.85pt;width:81.6pt;" o:ole="t" filled="f" o:preferrelative="t" stroked="f" coordsize="21600,21600">
                  <v:path/>
                  <v:fill on="f" focussize="0,0"/>
                  <v:stroke on="f"/>
                  <v:imagedata r:id="rId14" o:title=""/>
                  <o:lock v:ext="edit" aspectratio="t"/>
                  <w10:wrap type="none"/>
                  <w10:anchorlock/>
                </v:shape>
                <o:OLEObject Type="Embed" ProgID="Equation.3" ShapeID="_x0000_i1026" DrawAspect="Content" ObjectID="_1468075726" r:id="rId13">
                  <o:LockedField>false</o:LockedField>
                </o:OLEObject>
              </w:object>
            </w:r>
          </w:p>
          <w:p w14:paraId="0F7C8248">
            <w:pPr>
              <w:pStyle w:val="3"/>
              <w:keepNext w:val="0"/>
              <w:keepLines w:val="0"/>
              <w:pageBreakBefore w:val="0"/>
              <w:widowControl w:val="0"/>
              <w:kinsoku/>
              <w:wordWrap/>
              <w:overflowPunct/>
              <w:topLinePunct w:val="0"/>
              <w:bidi w:val="0"/>
              <w:snapToGrid/>
              <w:spacing w:after="0" w:line="480" w:lineRule="exact"/>
              <w:ind w:left="0" w:leftChars="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式中：L—为n个噪声源的声级；</w:t>
            </w:r>
          </w:p>
          <w:p w14:paraId="0636006B">
            <w:pPr>
              <w:pStyle w:val="3"/>
              <w:keepNext w:val="0"/>
              <w:keepLines w:val="0"/>
              <w:pageBreakBefore w:val="0"/>
              <w:widowControl w:val="0"/>
              <w:kinsoku/>
              <w:wordWrap/>
              <w:overflowPunct/>
              <w:topLinePunct w:val="0"/>
              <w:bidi w:val="0"/>
              <w:snapToGrid/>
              <w:spacing w:after="0" w:line="480" w:lineRule="exact"/>
              <w:ind w:left="0" w:leftChars="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L</w:t>
            </w:r>
            <w:r>
              <w:rPr>
                <w:rFonts w:hint="default" w:ascii="Times New Roman" w:hAnsi="Times New Roman" w:eastAsia="宋体" w:cs="Times New Roman"/>
                <w:color w:val="auto"/>
                <w:sz w:val="24"/>
                <w:vertAlign w:val="subscript"/>
              </w:rPr>
              <w:t>i</w:t>
            </w:r>
            <w:r>
              <w:rPr>
                <w:rFonts w:hint="default" w:ascii="Times New Roman" w:hAnsi="Times New Roman" w:eastAsia="宋体" w:cs="Times New Roman"/>
                <w:color w:val="auto"/>
                <w:sz w:val="24"/>
              </w:rPr>
              <w:t>—为第i个噪声源的声级；</w:t>
            </w:r>
          </w:p>
          <w:p w14:paraId="0179F583">
            <w:pPr>
              <w:pStyle w:val="3"/>
              <w:keepNext w:val="0"/>
              <w:keepLines w:val="0"/>
              <w:pageBreakBefore w:val="0"/>
              <w:widowControl w:val="0"/>
              <w:kinsoku/>
              <w:wordWrap/>
              <w:overflowPunct/>
              <w:topLinePunct w:val="0"/>
              <w:bidi w:val="0"/>
              <w:snapToGrid/>
              <w:spacing w:after="0" w:line="480" w:lineRule="exact"/>
              <w:ind w:left="0" w:leftChars="0"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n—为噪声源的个数。</w:t>
            </w:r>
          </w:p>
          <w:p w14:paraId="507A98D8">
            <w:pPr>
              <w:bidi w:val="0"/>
              <w:rPr>
                <w:rFonts w:hint="default"/>
                <w:color w:val="auto"/>
              </w:rPr>
            </w:pPr>
            <w:r>
              <w:rPr>
                <w:rFonts w:hint="eastAsia"/>
                <w:color w:val="auto"/>
              </w:rPr>
              <w:t>（2）</w:t>
            </w:r>
            <w:r>
              <w:rPr>
                <w:rFonts w:hint="default"/>
                <w:color w:val="auto"/>
              </w:rPr>
              <w:t>预测结果</w:t>
            </w:r>
          </w:p>
          <w:p w14:paraId="6FEA52BD">
            <w:pPr>
              <w:bidi w:val="0"/>
              <w:rPr>
                <w:rFonts w:hint="default"/>
                <w:color w:val="auto"/>
              </w:rPr>
            </w:pPr>
            <w:r>
              <w:rPr>
                <w:rFonts w:hint="eastAsia"/>
                <w:color w:val="auto"/>
                <w:lang w:val="en-US" w:eastAsia="zh-CN"/>
              </w:rPr>
              <w:t>噪声源</w:t>
            </w:r>
            <w:r>
              <w:rPr>
                <w:rFonts w:hint="default"/>
                <w:color w:val="auto"/>
              </w:rPr>
              <w:t>到项目厂界的距离如下：</w:t>
            </w:r>
          </w:p>
          <w:p w14:paraId="16D2A00D">
            <w:pPr>
              <w:pStyle w:val="34"/>
              <w:bidi w:val="0"/>
              <w:rPr>
                <w:rFonts w:hint="default"/>
                <w:color w:val="auto"/>
                <w:sz w:val="21"/>
                <w:szCs w:val="21"/>
                <w:highlight w:val="none"/>
              </w:rPr>
            </w:pPr>
            <w:r>
              <w:rPr>
                <w:rFonts w:hint="default"/>
                <w:color w:val="auto"/>
                <w:sz w:val="21"/>
                <w:szCs w:val="21"/>
                <w:highlight w:val="none"/>
              </w:rPr>
              <w:t>表</w:t>
            </w:r>
            <w:r>
              <w:rPr>
                <w:rFonts w:hint="eastAsia"/>
                <w:color w:val="auto"/>
                <w:sz w:val="21"/>
                <w:szCs w:val="21"/>
                <w:highlight w:val="none"/>
                <w:lang w:val="en-US" w:eastAsia="zh-CN"/>
              </w:rPr>
              <w:t>41</w:t>
            </w:r>
            <w:r>
              <w:rPr>
                <w:rFonts w:hint="eastAsia"/>
                <w:color w:val="auto"/>
                <w:sz w:val="21"/>
                <w:szCs w:val="21"/>
                <w:highlight w:val="none"/>
              </w:rPr>
              <w:t xml:space="preserve">  </w:t>
            </w:r>
            <w:r>
              <w:rPr>
                <w:rFonts w:hint="default"/>
                <w:color w:val="auto"/>
                <w:sz w:val="21"/>
                <w:szCs w:val="21"/>
                <w:highlight w:val="none"/>
              </w:rPr>
              <w:t>本项目</w:t>
            </w:r>
            <w:r>
              <w:rPr>
                <w:rFonts w:hint="eastAsia"/>
                <w:color w:val="auto"/>
                <w:sz w:val="21"/>
                <w:szCs w:val="21"/>
                <w:highlight w:val="none"/>
                <w:lang w:val="en-US" w:eastAsia="zh-CN"/>
              </w:rPr>
              <w:t>噪声源距</w:t>
            </w:r>
            <w:r>
              <w:rPr>
                <w:rFonts w:hint="default"/>
                <w:color w:val="auto"/>
                <w:sz w:val="21"/>
                <w:szCs w:val="21"/>
                <w:highlight w:val="none"/>
              </w:rPr>
              <w:t>厂界距离</w:t>
            </w:r>
          </w:p>
          <w:tbl>
            <w:tblPr>
              <w:tblStyle w:val="21"/>
              <w:tblW w:w="76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715"/>
              <w:gridCol w:w="1650"/>
              <w:gridCol w:w="1418"/>
              <w:gridCol w:w="1919"/>
            </w:tblGrid>
            <w:tr w14:paraId="3311A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7" w:type="dxa"/>
                  <w:tcBorders>
                    <w:tl2br w:val="nil"/>
                    <w:tr2bl w:val="nil"/>
                  </w:tcBorders>
                  <w:vAlign w:val="center"/>
                </w:tcPr>
                <w:p w14:paraId="0964F8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噪声源</w:t>
                  </w:r>
                </w:p>
              </w:tc>
              <w:tc>
                <w:tcPr>
                  <w:tcW w:w="1715" w:type="dxa"/>
                  <w:tcBorders>
                    <w:tl2br w:val="nil"/>
                    <w:tr2bl w:val="nil"/>
                  </w:tcBorders>
                  <w:vAlign w:val="center"/>
                </w:tcPr>
                <w:p w14:paraId="24CF28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噪声源强</w:t>
                  </w:r>
                  <w:r>
                    <w:rPr>
                      <w:rFonts w:hint="default"/>
                      <w:color w:val="auto"/>
                      <w:sz w:val="21"/>
                      <w:szCs w:val="21"/>
                    </w:rPr>
                    <w:t>dB（A）</w:t>
                  </w:r>
                </w:p>
              </w:tc>
              <w:tc>
                <w:tcPr>
                  <w:tcW w:w="1650" w:type="dxa"/>
                  <w:tcBorders>
                    <w:tl2br w:val="nil"/>
                    <w:tr2bl w:val="nil"/>
                  </w:tcBorders>
                  <w:vAlign w:val="center"/>
                </w:tcPr>
                <w:p w14:paraId="2B44EF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厂界</w:t>
                  </w:r>
                </w:p>
              </w:tc>
              <w:tc>
                <w:tcPr>
                  <w:tcW w:w="1418" w:type="dxa"/>
                  <w:tcBorders>
                    <w:tl2br w:val="nil"/>
                    <w:tr2bl w:val="nil"/>
                  </w:tcBorders>
                  <w:vAlign w:val="center"/>
                </w:tcPr>
                <w:p w14:paraId="678180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距离（m）</w:t>
                  </w:r>
                </w:p>
              </w:tc>
              <w:tc>
                <w:tcPr>
                  <w:tcW w:w="1919" w:type="dxa"/>
                  <w:tcBorders>
                    <w:tl2br w:val="nil"/>
                    <w:tr2bl w:val="nil"/>
                  </w:tcBorders>
                  <w:vAlign w:val="center"/>
                </w:tcPr>
                <w:p w14:paraId="71B818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噪声贡献值</w:t>
                  </w:r>
                  <w:r>
                    <w:rPr>
                      <w:rFonts w:hint="default"/>
                      <w:color w:val="auto"/>
                      <w:sz w:val="21"/>
                      <w:szCs w:val="21"/>
                    </w:rPr>
                    <w:t>dB（A）</w:t>
                  </w:r>
                </w:p>
              </w:tc>
            </w:tr>
            <w:tr w14:paraId="259A6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7" w:type="dxa"/>
                  <w:vMerge w:val="restart"/>
                  <w:tcBorders>
                    <w:tl2br w:val="nil"/>
                    <w:tr2bl w:val="nil"/>
                  </w:tcBorders>
                  <w:vAlign w:val="center"/>
                </w:tcPr>
                <w:p w14:paraId="6618A5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生产设备</w:t>
                  </w:r>
                </w:p>
              </w:tc>
              <w:tc>
                <w:tcPr>
                  <w:tcW w:w="1715" w:type="dxa"/>
                  <w:vMerge w:val="restart"/>
                  <w:tcBorders>
                    <w:tl2br w:val="nil"/>
                    <w:tr2bl w:val="nil"/>
                  </w:tcBorders>
                  <w:vAlign w:val="center"/>
                </w:tcPr>
                <w:p w14:paraId="5DCA72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79</w:t>
                  </w:r>
                </w:p>
              </w:tc>
              <w:tc>
                <w:tcPr>
                  <w:tcW w:w="1650" w:type="dxa"/>
                  <w:tcBorders>
                    <w:tl2br w:val="nil"/>
                    <w:tr2bl w:val="nil"/>
                  </w:tcBorders>
                  <w:vAlign w:val="center"/>
                </w:tcPr>
                <w:p w14:paraId="7A3D2C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东厂界</w:t>
                  </w:r>
                </w:p>
              </w:tc>
              <w:tc>
                <w:tcPr>
                  <w:tcW w:w="1418" w:type="dxa"/>
                  <w:tcBorders>
                    <w:tl2br w:val="nil"/>
                    <w:tr2bl w:val="nil"/>
                  </w:tcBorders>
                  <w:vAlign w:val="center"/>
                </w:tcPr>
                <w:p w14:paraId="71532E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9</w:t>
                  </w:r>
                </w:p>
              </w:tc>
              <w:tc>
                <w:tcPr>
                  <w:tcW w:w="1919" w:type="dxa"/>
                  <w:tcBorders>
                    <w:tl2br w:val="nil"/>
                    <w:tr2bl w:val="nil"/>
                  </w:tcBorders>
                  <w:vAlign w:val="center"/>
                </w:tcPr>
                <w:p w14:paraId="1F5275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60</w:t>
                  </w:r>
                </w:p>
              </w:tc>
            </w:tr>
            <w:tr w14:paraId="4B55A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7" w:type="dxa"/>
                  <w:vMerge w:val="continue"/>
                  <w:tcBorders>
                    <w:tl2br w:val="nil"/>
                    <w:tr2bl w:val="nil"/>
                  </w:tcBorders>
                  <w:vAlign w:val="center"/>
                </w:tcPr>
                <w:p w14:paraId="3616C6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715" w:type="dxa"/>
                  <w:vMerge w:val="continue"/>
                  <w:tcBorders>
                    <w:tl2br w:val="nil"/>
                    <w:tr2bl w:val="nil"/>
                  </w:tcBorders>
                  <w:vAlign w:val="center"/>
                </w:tcPr>
                <w:p w14:paraId="75EB61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650" w:type="dxa"/>
                  <w:tcBorders>
                    <w:tl2br w:val="nil"/>
                    <w:tr2bl w:val="nil"/>
                  </w:tcBorders>
                  <w:vAlign w:val="center"/>
                </w:tcPr>
                <w:p w14:paraId="470931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南厂界</w:t>
                  </w:r>
                </w:p>
              </w:tc>
              <w:tc>
                <w:tcPr>
                  <w:tcW w:w="1418" w:type="dxa"/>
                  <w:tcBorders>
                    <w:tl2br w:val="nil"/>
                    <w:tr2bl w:val="nil"/>
                  </w:tcBorders>
                  <w:vAlign w:val="center"/>
                </w:tcPr>
                <w:p w14:paraId="01EEBA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60</w:t>
                  </w:r>
                </w:p>
              </w:tc>
              <w:tc>
                <w:tcPr>
                  <w:tcW w:w="1919" w:type="dxa"/>
                  <w:tcBorders>
                    <w:tl2br w:val="nil"/>
                    <w:tr2bl w:val="nil"/>
                  </w:tcBorders>
                  <w:vAlign w:val="center"/>
                </w:tcPr>
                <w:p w14:paraId="47F00C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43</w:t>
                  </w:r>
                </w:p>
              </w:tc>
            </w:tr>
            <w:tr w14:paraId="0C630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7" w:type="dxa"/>
                  <w:vMerge w:val="continue"/>
                  <w:tcBorders>
                    <w:tl2br w:val="nil"/>
                    <w:tr2bl w:val="nil"/>
                  </w:tcBorders>
                  <w:vAlign w:val="center"/>
                </w:tcPr>
                <w:p w14:paraId="0E4621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715" w:type="dxa"/>
                  <w:vMerge w:val="continue"/>
                  <w:tcBorders>
                    <w:tl2br w:val="nil"/>
                    <w:tr2bl w:val="nil"/>
                  </w:tcBorders>
                  <w:vAlign w:val="center"/>
                </w:tcPr>
                <w:p w14:paraId="416E01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650" w:type="dxa"/>
                  <w:tcBorders>
                    <w:tl2br w:val="nil"/>
                    <w:tr2bl w:val="nil"/>
                  </w:tcBorders>
                  <w:vAlign w:val="center"/>
                </w:tcPr>
                <w:p w14:paraId="5045AA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西厂界</w:t>
                  </w:r>
                </w:p>
              </w:tc>
              <w:tc>
                <w:tcPr>
                  <w:tcW w:w="1418" w:type="dxa"/>
                  <w:tcBorders>
                    <w:tl2br w:val="nil"/>
                    <w:tr2bl w:val="nil"/>
                  </w:tcBorders>
                  <w:vAlign w:val="center"/>
                </w:tcPr>
                <w:p w14:paraId="45258E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55</w:t>
                  </w:r>
                </w:p>
              </w:tc>
              <w:tc>
                <w:tcPr>
                  <w:tcW w:w="1919" w:type="dxa"/>
                  <w:tcBorders>
                    <w:tl2br w:val="nil"/>
                    <w:tr2bl w:val="nil"/>
                  </w:tcBorders>
                  <w:vAlign w:val="center"/>
                </w:tcPr>
                <w:p w14:paraId="13ADAE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44</w:t>
                  </w:r>
                </w:p>
              </w:tc>
            </w:tr>
            <w:tr w14:paraId="54276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7" w:type="dxa"/>
                  <w:vMerge w:val="continue"/>
                  <w:tcBorders>
                    <w:tl2br w:val="nil"/>
                    <w:tr2bl w:val="nil"/>
                  </w:tcBorders>
                  <w:vAlign w:val="center"/>
                </w:tcPr>
                <w:p w14:paraId="0CEBFA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715" w:type="dxa"/>
                  <w:vMerge w:val="continue"/>
                  <w:tcBorders>
                    <w:tl2br w:val="nil"/>
                    <w:tr2bl w:val="nil"/>
                  </w:tcBorders>
                  <w:vAlign w:val="center"/>
                </w:tcPr>
                <w:p w14:paraId="67753D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650" w:type="dxa"/>
                  <w:tcBorders>
                    <w:tl2br w:val="nil"/>
                    <w:tr2bl w:val="nil"/>
                  </w:tcBorders>
                  <w:vAlign w:val="center"/>
                </w:tcPr>
                <w:p w14:paraId="1CFE49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北厂界</w:t>
                  </w:r>
                </w:p>
              </w:tc>
              <w:tc>
                <w:tcPr>
                  <w:tcW w:w="1418" w:type="dxa"/>
                  <w:tcBorders>
                    <w:tl2br w:val="nil"/>
                    <w:tr2bl w:val="nil"/>
                  </w:tcBorders>
                  <w:vAlign w:val="center"/>
                </w:tcPr>
                <w:p w14:paraId="401156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9</w:t>
                  </w:r>
                </w:p>
              </w:tc>
              <w:tc>
                <w:tcPr>
                  <w:tcW w:w="1919" w:type="dxa"/>
                  <w:tcBorders>
                    <w:tl2br w:val="nil"/>
                    <w:tr2bl w:val="nil"/>
                  </w:tcBorders>
                  <w:vAlign w:val="center"/>
                </w:tcPr>
                <w:p w14:paraId="57B6EE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60</w:t>
                  </w:r>
                </w:p>
              </w:tc>
            </w:tr>
          </w:tbl>
          <w:p w14:paraId="06A7D4FF">
            <w:pPr>
              <w:bidi w:val="0"/>
              <w:rPr>
                <w:rFonts w:hint="default"/>
                <w:color w:val="auto"/>
              </w:rPr>
            </w:pPr>
            <w:r>
              <w:rPr>
                <w:rFonts w:hint="default"/>
                <w:color w:val="auto"/>
              </w:rPr>
              <w:t>按照噪声预测模式，</w:t>
            </w:r>
            <w:r>
              <w:rPr>
                <w:rFonts w:hint="eastAsia"/>
                <w:color w:val="auto"/>
                <w:lang w:val="en-US" w:eastAsia="zh-CN"/>
              </w:rPr>
              <w:t>采取</w:t>
            </w:r>
            <w:r>
              <w:rPr>
                <w:rFonts w:hint="default"/>
                <w:b w:val="0"/>
                <w:bCs w:val="0"/>
                <w:color w:val="auto"/>
              </w:rPr>
              <w:t>基础</w:t>
            </w:r>
            <w:r>
              <w:rPr>
                <w:rFonts w:hint="eastAsia"/>
                <w:b w:val="0"/>
                <w:bCs w:val="0"/>
                <w:color w:val="auto"/>
                <w:lang w:eastAsia="zh-CN"/>
              </w:rPr>
              <w:t>减振</w:t>
            </w:r>
            <w:r>
              <w:rPr>
                <w:rFonts w:hint="default"/>
                <w:b w:val="0"/>
                <w:bCs w:val="0"/>
                <w:color w:val="auto"/>
              </w:rPr>
              <w:t>、</w:t>
            </w:r>
            <w:r>
              <w:rPr>
                <w:rFonts w:hint="eastAsia"/>
                <w:b w:val="0"/>
                <w:bCs w:val="0"/>
                <w:color w:val="auto"/>
                <w:lang w:val="en-US" w:eastAsia="zh-CN"/>
              </w:rPr>
              <w:t>厂房隔声、距离衰减</w:t>
            </w:r>
            <w:r>
              <w:rPr>
                <w:rFonts w:hint="default"/>
                <w:b w:val="0"/>
                <w:bCs w:val="0"/>
                <w:color w:val="auto"/>
              </w:rPr>
              <w:t>等措施</w:t>
            </w:r>
            <w:r>
              <w:rPr>
                <w:rFonts w:hint="default"/>
                <w:color w:val="auto"/>
                <w:lang w:val="zh-CN"/>
              </w:rPr>
              <w:t>后，各噪声源到各厂界贡献值见下表。</w:t>
            </w:r>
          </w:p>
          <w:p w14:paraId="383C128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zh-CN" w:eastAsia="zh-CN"/>
              </w:rPr>
            </w:pPr>
            <w:r>
              <w:rPr>
                <w:rFonts w:hint="default" w:ascii="Times New Roman" w:hAnsi="Times New Roman" w:eastAsia="宋体" w:cs="Times New Roman"/>
                <w:b/>
                <w:bCs/>
                <w:color w:val="auto"/>
                <w:sz w:val="21"/>
                <w:szCs w:val="21"/>
                <w:highlight w:val="none"/>
                <w:shd w:val="clear" w:color="auto" w:fill="auto"/>
                <w:lang w:val="zh-CN" w:eastAsia="zh-CN"/>
              </w:rPr>
              <w:t>表</w:t>
            </w:r>
            <w:r>
              <w:rPr>
                <w:rFonts w:hint="eastAsia" w:cs="Times New Roman"/>
                <w:b/>
                <w:bCs/>
                <w:color w:val="auto"/>
                <w:sz w:val="21"/>
                <w:szCs w:val="21"/>
                <w:highlight w:val="none"/>
                <w:shd w:val="clear" w:color="auto" w:fill="auto"/>
                <w:lang w:val="en-US" w:eastAsia="zh-CN"/>
              </w:rPr>
              <w:t>42</w:t>
            </w:r>
            <w:r>
              <w:rPr>
                <w:rFonts w:hint="eastAsia" w:ascii="Times New Roman" w:hAnsi="Times New Roman" w:eastAsia="宋体" w:cs="Times New Roman"/>
                <w:b/>
                <w:bCs/>
                <w:color w:val="auto"/>
                <w:sz w:val="21"/>
                <w:szCs w:val="21"/>
                <w:highlight w:val="none"/>
                <w:shd w:val="clear" w:color="auto" w:fill="auto"/>
                <w:lang w:val="en-US" w:eastAsia="zh-CN"/>
              </w:rPr>
              <w:t xml:space="preserve">  </w:t>
            </w:r>
            <w:r>
              <w:rPr>
                <w:rFonts w:hint="default" w:ascii="Times New Roman" w:hAnsi="Times New Roman" w:eastAsia="宋体" w:cs="Times New Roman"/>
                <w:b/>
                <w:bCs/>
                <w:color w:val="auto"/>
                <w:sz w:val="21"/>
                <w:szCs w:val="21"/>
                <w:highlight w:val="none"/>
                <w:shd w:val="clear" w:color="auto" w:fill="auto"/>
                <w:lang w:val="zh-CN" w:eastAsia="zh-CN"/>
              </w:rPr>
              <w:t>各厂界</w:t>
            </w:r>
            <w:r>
              <w:rPr>
                <w:rFonts w:hint="eastAsia" w:ascii="Times New Roman" w:hAnsi="Times New Roman" w:eastAsia="宋体" w:cs="Times New Roman"/>
                <w:b/>
                <w:bCs/>
                <w:color w:val="auto"/>
                <w:sz w:val="21"/>
                <w:szCs w:val="21"/>
                <w:highlight w:val="none"/>
                <w:shd w:val="clear" w:color="auto" w:fill="auto"/>
                <w:lang w:val="zh-CN" w:eastAsia="zh-CN"/>
              </w:rPr>
              <w:t>噪声预测</w:t>
            </w:r>
            <w:r>
              <w:rPr>
                <w:rFonts w:hint="default" w:ascii="Times New Roman" w:hAnsi="Times New Roman" w:eastAsia="宋体" w:cs="Times New Roman"/>
                <w:b/>
                <w:bCs/>
                <w:color w:val="auto"/>
                <w:sz w:val="21"/>
                <w:szCs w:val="21"/>
                <w:highlight w:val="none"/>
                <w:shd w:val="clear" w:color="auto" w:fill="auto"/>
                <w:lang w:val="zh-CN" w:eastAsia="zh-CN"/>
              </w:rPr>
              <w:t>值</w:t>
            </w:r>
            <w:r>
              <w:rPr>
                <w:rFonts w:hint="eastAsia" w:ascii="Times New Roman" w:hAnsi="Times New Roman" w:eastAsia="宋体" w:cs="Times New Roman"/>
                <w:b/>
                <w:bCs/>
                <w:color w:val="auto"/>
                <w:sz w:val="21"/>
                <w:szCs w:val="21"/>
                <w:highlight w:val="none"/>
                <w:shd w:val="clear" w:color="auto" w:fill="auto"/>
                <w:lang w:val="zh-CN" w:eastAsia="zh-CN"/>
              </w:rPr>
              <w:t>一览</w:t>
            </w:r>
            <w:r>
              <w:rPr>
                <w:rFonts w:hint="default" w:ascii="Times New Roman" w:hAnsi="Times New Roman" w:eastAsia="宋体" w:cs="Times New Roman"/>
                <w:b/>
                <w:bCs/>
                <w:color w:val="auto"/>
                <w:sz w:val="21"/>
                <w:szCs w:val="21"/>
                <w:highlight w:val="none"/>
                <w:shd w:val="clear" w:color="auto" w:fill="auto"/>
                <w:lang w:val="zh-CN" w:eastAsia="zh-CN"/>
              </w:rPr>
              <w:t>表</w:t>
            </w:r>
          </w:p>
          <w:tbl>
            <w:tblPr>
              <w:tblStyle w:val="20"/>
              <w:tblW w:w="82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20"/>
              <w:gridCol w:w="1323"/>
              <w:gridCol w:w="1323"/>
              <w:gridCol w:w="1324"/>
              <w:gridCol w:w="1477"/>
              <w:gridCol w:w="1503"/>
            </w:tblGrid>
            <w:tr w14:paraId="13E82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0" w:type="dxa"/>
                  <w:vMerge w:val="restart"/>
                  <w:tcBorders>
                    <w:tl2br w:val="nil"/>
                    <w:tr2bl w:val="nil"/>
                  </w:tcBorders>
                  <w:noWrap w:val="0"/>
                  <w:tcMar>
                    <w:top w:w="15" w:type="dxa"/>
                    <w:left w:w="15" w:type="dxa"/>
                    <w:right w:w="15" w:type="dxa"/>
                  </w:tcMar>
                  <w:vAlign w:val="center"/>
                </w:tcPr>
                <w:p w14:paraId="385335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r>
                    <w:rPr>
                      <w:rFonts w:hint="default" w:ascii="Times New Roman" w:hAnsi="Times New Roman" w:eastAsia="宋体" w:cs="Times New Roman"/>
                      <w:color w:val="auto"/>
                      <w:sz w:val="21"/>
                      <w:szCs w:val="21"/>
                      <w:highlight w:val="none"/>
                      <w:shd w:val="clear" w:color="auto" w:fill="auto"/>
                      <w:lang w:val="en-US" w:eastAsia="zh-CN"/>
                    </w:rPr>
                    <w:t>厂界</w:t>
                  </w:r>
                </w:p>
              </w:tc>
              <w:tc>
                <w:tcPr>
                  <w:tcW w:w="1323" w:type="dxa"/>
                  <w:vMerge w:val="restart"/>
                  <w:tcBorders>
                    <w:tl2br w:val="nil"/>
                    <w:tr2bl w:val="nil"/>
                  </w:tcBorders>
                  <w:noWrap w:val="0"/>
                  <w:tcMar>
                    <w:top w:w="15" w:type="dxa"/>
                    <w:left w:w="15" w:type="dxa"/>
                    <w:right w:w="15" w:type="dxa"/>
                  </w:tcMar>
                  <w:vAlign w:val="center"/>
                </w:tcPr>
                <w:p w14:paraId="7E9083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噪声贡献值</w:t>
                  </w:r>
                </w:p>
                <w:p w14:paraId="09BF5D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val="en-US" w:eastAsia="zh-CN"/>
                    </w:rPr>
                    <w:t>/</w:t>
                  </w:r>
                  <w:r>
                    <w:rPr>
                      <w:rFonts w:hint="eastAsia" w:ascii="Times New Roman" w:hAnsi="Times New Roman" w:eastAsia="宋体" w:cs="Times New Roman"/>
                      <w:color w:val="auto"/>
                      <w:spacing w:val="0"/>
                      <w:position w:val="0"/>
                      <w:sz w:val="21"/>
                      <w:szCs w:val="21"/>
                      <w:highlight w:val="none"/>
                      <w:shd w:val="clear" w:color="auto" w:fill="auto"/>
                      <w:lang w:val="en-US" w:eastAsia="zh-CN"/>
                    </w:rPr>
                    <w:t>dB（A）</w:t>
                  </w:r>
                </w:p>
              </w:tc>
              <w:tc>
                <w:tcPr>
                  <w:tcW w:w="2647" w:type="dxa"/>
                  <w:gridSpan w:val="2"/>
                  <w:tcBorders>
                    <w:tl2br w:val="nil"/>
                    <w:tr2bl w:val="nil"/>
                  </w:tcBorders>
                  <w:noWrap w:val="0"/>
                  <w:tcMar>
                    <w:top w:w="15" w:type="dxa"/>
                    <w:left w:w="15" w:type="dxa"/>
                    <w:right w:w="15" w:type="dxa"/>
                  </w:tcMar>
                  <w:vAlign w:val="center"/>
                </w:tcPr>
                <w:p w14:paraId="6A1846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val="en-US" w:eastAsia="zh-CN"/>
                    </w:rPr>
                    <w:t>标准值/</w:t>
                  </w:r>
                  <w:r>
                    <w:rPr>
                      <w:rFonts w:hint="eastAsia" w:ascii="Times New Roman" w:hAnsi="Times New Roman" w:eastAsia="宋体" w:cs="Times New Roman"/>
                      <w:color w:val="auto"/>
                      <w:spacing w:val="0"/>
                      <w:position w:val="0"/>
                      <w:sz w:val="21"/>
                      <w:szCs w:val="21"/>
                      <w:highlight w:val="none"/>
                      <w:shd w:val="clear" w:color="auto" w:fill="auto"/>
                      <w:lang w:val="en-US" w:eastAsia="zh-CN"/>
                    </w:rPr>
                    <w:t>dB（A）</w:t>
                  </w:r>
                </w:p>
              </w:tc>
              <w:tc>
                <w:tcPr>
                  <w:tcW w:w="2980" w:type="dxa"/>
                  <w:gridSpan w:val="2"/>
                  <w:tcBorders>
                    <w:tl2br w:val="nil"/>
                    <w:tr2bl w:val="nil"/>
                  </w:tcBorders>
                  <w:noWrap w:val="0"/>
                  <w:tcMar>
                    <w:top w:w="15" w:type="dxa"/>
                    <w:left w:w="15" w:type="dxa"/>
                    <w:right w:w="15" w:type="dxa"/>
                  </w:tcMar>
                  <w:vAlign w:val="center"/>
                </w:tcPr>
                <w:p w14:paraId="0D6BF2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达标分析</w:t>
                  </w:r>
                </w:p>
              </w:tc>
            </w:tr>
            <w:tr w14:paraId="0BCC8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0" w:type="dxa"/>
                  <w:vMerge w:val="continue"/>
                  <w:tcBorders>
                    <w:tl2br w:val="nil"/>
                    <w:tr2bl w:val="nil"/>
                  </w:tcBorders>
                  <w:noWrap w:val="0"/>
                  <w:tcMar>
                    <w:top w:w="15" w:type="dxa"/>
                    <w:left w:w="15" w:type="dxa"/>
                    <w:right w:w="15" w:type="dxa"/>
                  </w:tcMar>
                  <w:vAlign w:val="center"/>
                </w:tcPr>
                <w:p w14:paraId="31B1FE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p>
              </w:tc>
              <w:tc>
                <w:tcPr>
                  <w:tcW w:w="1323" w:type="dxa"/>
                  <w:vMerge w:val="continue"/>
                  <w:tcBorders>
                    <w:tl2br w:val="nil"/>
                    <w:tr2bl w:val="nil"/>
                  </w:tcBorders>
                  <w:noWrap w:val="0"/>
                  <w:tcMar>
                    <w:top w:w="15" w:type="dxa"/>
                    <w:left w:w="15" w:type="dxa"/>
                    <w:right w:w="15" w:type="dxa"/>
                  </w:tcMar>
                  <w:vAlign w:val="center"/>
                </w:tcPr>
                <w:p w14:paraId="7917BB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p>
              </w:tc>
              <w:tc>
                <w:tcPr>
                  <w:tcW w:w="1323" w:type="dxa"/>
                  <w:tcBorders>
                    <w:tl2br w:val="nil"/>
                    <w:tr2bl w:val="nil"/>
                  </w:tcBorders>
                  <w:noWrap w:val="0"/>
                  <w:tcMar>
                    <w:top w:w="15" w:type="dxa"/>
                    <w:left w:w="15" w:type="dxa"/>
                    <w:right w:w="15" w:type="dxa"/>
                  </w:tcMar>
                  <w:vAlign w:val="center"/>
                </w:tcPr>
                <w:p w14:paraId="594EB3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color w:val="auto"/>
                      <w:sz w:val="21"/>
                      <w:szCs w:val="21"/>
                      <w:shd w:val="clear" w:color="auto" w:fill="auto"/>
                      <w:lang w:eastAsia="zh-CN"/>
                    </w:rPr>
                  </w:pPr>
                  <w:r>
                    <w:rPr>
                      <w:rFonts w:hint="eastAsia"/>
                      <w:color w:val="auto"/>
                      <w:sz w:val="21"/>
                      <w:szCs w:val="21"/>
                      <w:shd w:val="clear" w:color="auto" w:fill="auto"/>
                      <w:lang w:eastAsia="zh-CN"/>
                    </w:rPr>
                    <w:t>昼间</w:t>
                  </w:r>
                </w:p>
              </w:tc>
              <w:tc>
                <w:tcPr>
                  <w:tcW w:w="1324" w:type="dxa"/>
                  <w:tcBorders>
                    <w:tl2br w:val="nil"/>
                    <w:tr2bl w:val="nil"/>
                  </w:tcBorders>
                  <w:noWrap w:val="0"/>
                  <w:tcMar>
                    <w:top w:w="15" w:type="dxa"/>
                    <w:left w:w="15" w:type="dxa"/>
                    <w:right w:w="15" w:type="dxa"/>
                  </w:tcMar>
                  <w:vAlign w:val="center"/>
                </w:tcPr>
                <w:p w14:paraId="0C15F3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color w:val="auto"/>
                      <w:sz w:val="21"/>
                      <w:szCs w:val="21"/>
                      <w:shd w:val="clear" w:color="auto" w:fill="auto"/>
                      <w:lang w:eastAsia="zh-CN"/>
                    </w:rPr>
                  </w:pPr>
                  <w:r>
                    <w:rPr>
                      <w:rFonts w:hint="eastAsia"/>
                      <w:color w:val="auto"/>
                      <w:sz w:val="21"/>
                      <w:szCs w:val="21"/>
                      <w:shd w:val="clear" w:color="auto" w:fill="auto"/>
                      <w:lang w:eastAsia="zh-CN"/>
                    </w:rPr>
                    <w:t>夜间</w:t>
                  </w:r>
                </w:p>
              </w:tc>
              <w:tc>
                <w:tcPr>
                  <w:tcW w:w="1477" w:type="dxa"/>
                  <w:tcBorders>
                    <w:tl2br w:val="nil"/>
                    <w:tr2bl w:val="nil"/>
                  </w:tcBorders>
                  <w:noWrap w:val="0"/>
                  <w:tcMar>
                    <w:top w:w="15" w:type="dxa"/>
                    <w:left w:w="15" w:type="dxa"/>
                    <w:right w:w="15" w:type="dxa"/>
                  </w:tcMar>
                  <w:vAlign w:val="center"/>
                </w:tcPr>
                <w:p w14:paraId="6C4378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昼间</w:t>
                  </w:r>
                </w:p>
              </w:tc>
              <w:tc>
                <w:tcPr>
                  <w:tcW w:w="1503" w:type="dxa"/>
                  <w:tcBorders>
                    <w:tl2br w:val="nil"/>
                    <w:tr2bl w:val="nil"/>
                  </w:tcBorders>
                  <w:noWrap w:val="0"/>
                  <w:tcMar>
                    <w:top w:w="15" w:type="dxa"/>
                    <w:left w:w="15" w:type="dxa"/>
                    <w:right w:w="15" w:type="dxa"/>
                  </w:tcMar>
                  <w:vAlign w:val="center"/>
                </w:tcPr>
                <w:p w14:paraId="6D4C11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夜间</w:t>
                  </w:r>
                </w:p>
              </w:tc>
            </w:tr>
            <w:tr w14:paraId="56380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0" w:type="dxa"/>
                  <w:tcBorders>
                    <w:tl2br w:val="nil"/>
                    <w:tr2bl w:val="nil"/>
                  </w:tcBorders>
                  <w:noWrap w:val="0"/>
                  <w:tcMar>
                    <w:top w:w="15" w:type="dxa"/>
                    <w:left w:w="15" w:type="dxa"/>
                    <w:right w:w="15" w:type="dxa"/>
                  </w:tcMar>
                  <w:vAlign w:val="center"/>
                </w:tcPr>
                <w:p w14:paraId="0C79A4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r>
                    <w:rPr>
                      <w:rFonts w:hint="default" w:ascii="Times New Roman" w:hAnsi="Times New Roman" w:eastAsia="宋体" w:cs="Times New Roman"/>
                      <w:color w:val="auto"/>
                      <w:sz w:val="21"/>
                      <w:szCs w:val="21"/>
                      <w:shd w:val="clear" w:color="auto" w:fill="auto"/>
                      <w:lang w:val="en-US" w:eastAsia="zh-CN"/>
                    </w:rPr>
                    <w:t>东厂界</w:t>
                  </w:r>
                </w:p>
              </w:tc>
              <w:tc>
                <w:tcPr>
                  <w:tcW w:w="1323" w:type="dxa"/>
                  <w:tcBorders>
                    <w:tl2br w:val="nil"/>
                    <w:tr2bl w:val="nil"/>
                  </w:tcBorders>
                  <w:noWrap w:val="0"/>
                  <w:tcMar>
                    <w:top w:w="15" w:type="dxa"/>
                    <w:left w:w="15" w:type="dxa"/>
                    <w:right w:w="15" w:type="dxa"/>
                  </w:tcMar>
                  <w:vAlign w:val="center"/>
                </w:tcPr>
                <w:p w14:paraId="12A088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60</w:t>
                  </w:r>
                </w:p>
              </w:tc>
              <w:tc>
                <w:tcPr>
                  <w:tcW w:w="1323" w:type="dxa"/>
                  <w:tcBorders>
                    <w:tl2br w:val="nil"/>
                    <w:tr2bl w:val="nil"/>
                  </w:tcBorders>
                  <w:noWrap w:val="0"/>
                  <w:tcMar>
                    <w:top w:w="15" w:type="dxa"/>
                    <w:left w:w="15" w:type="dxa"/>
                    <w:right w:w="15" w:type="dxa"/>
                  </w:tcMar>
                  <w:vAlign w:val="center"/>
                </w:tcPr>
                <w:p w14:paraId="5A161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60</w:t>
                  </w:r>
                </w:p>
              </w:tc>
              <w:tc>
                <w:tcPr>
                  <w:tcW w:w="1324" w:type="dxa"/>
                  <w:tcBorders>
                    <w:tl2br w:val="nil"/>
                    <w:tr2bl w:val="nil"/>
                  </w:tcBorders>
                  <w:noWrap w:val="0"/>
                  <w:tcMar>
                    <w:top w:w="15" w:type="dxa"/>
                    <w:left w:w="15" w:type="dxa"/>
                    <w:right w:w="15" w:type="dxa"/>
                  </w:tcMar>
                  <w:vAlign w:val="center"/>
                </w:tcPr>
                <w:p w14:paraId="0D742B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50</w:t>
                  </w:r>
                </w:p>
              </w:tc>
              <w:tc>
                <w:tcPr>
                  <w:tcW w:w="1477" w:type="dxa"/>
                  <w:tcBorders>
                    <w:tl2br w:val="nil"/>
                    <w:tr2bl w:val="nil"/>
                  </w:tcBorders>
                  <w:noWrap w:val="0"/>
                  <w:tcMar>
                    <w:top w:w="15" w:type="dxa"/>
                    <w:left w:w="15" w:type="dxa"/>
                    <w:right w:w="15" w:type="dxa"/>
                  </w:tcMar>
                  <w:vAlign w:val="center"/>
                </w:tcPr>
                <w:p w14:paraId="203E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达标</w:t>
                  </w:r>
                </w:p>
              </w:tc>
              <w:tc>
                <w:tcPr>
                  <w:tcW w:w="1503" w:type="dxa"/>
                  <w:vMerge w:val="restart"/>
                  <w:tcBorders>
                    <w:tl2br w:val="nil"/>
                    <w:tr2bl w:val="nil"/>
                  </w:tcBorders>
                  <w:noWrap w:val="0"/>
                  <w:tcMar>
                    <w:top w:w="15" w:type="dxa"/>
                    <w:left w:w="15" w:type="dxa"/>
                    <w:right w:w="15" w:type="dxa"/>
                  </w:tcMar>
                  <w:vAlign w:val="center"/>
                </w:tcPr>
                <w:p w14:paraId="143EAF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不生产</w:t>
                  </w:r>
                </w:p>
              </w:tc>
            </w:tr>
            <w:tr w14:paraId="2098F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0" w:type="dxa"/>
                  <w:tcBorders>
                    <w:tl2br w:val="nil"/>
                    <w:tr2bl w:val="nil"/>
                  </w:tcBorders>
                  <w:noWrap w:val="0"/>
                  <w:tcMar>
                    <w:top w:w="15" w:type="dxa"/>
                    <w:left w:w="15" w:type="dxa"/>
                    <w:right w:w="15" w:type="dxa"/>
                  </w:tcMar>
                  <w:vAlign w:val="center"/>
                </w:tcPr>
                <w:p w14:paraId="6DED6E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r>
                    <w:rPr>
                      <w:rFonts w:hint="default" w:ascii="Times New Roman" w:hAnsi="Times New Roman" w:eastAsia="宋体" w:cs="Times New Roman"/>
                      <w:color w:val="auto"/>
                      <w:sz w:val="21"/>
                      <w:szCs w:val="21"/>
                      <w:shd w:val="clear" w:color="auto" w:fill="auto"/>
                      <w:lang w:val="en-US" w:eastAsia="zh-CN"/>
                    </w:rPr>
                    <w:t>南厂界</w:t>
                  </w:r>
                </w:p>
              </w:tc>
              <w:tc>
                <w:tcPr>
                  <w:tcW w:w="1323" w:type="dxa"/>
                  <w:tcBorders>
                    <w:tl2br w:val="nil"/>
                    <w:tr2bl w:val="nil"/>
                  </w:tcBorders>
                  <w:noWrap w:val="0"/>
                  <w:tcMar>
                    <w:top w:w="15" w:type="dxa"/>
                    <w:left w:w="15" w:type="dxa"/>
                    <w:right w:w="15" w:type="dxa"/>
                  </w:tcMar>
                  <w:vAlign w:val="center"/>
                </w:tcPr>
                <w:p w14:paraId="6F2A6A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43</w:t>
                  </w:r>
                </w:p>
              </w:tc>
              <w:tc>
                <w:tcPr>
                  <w:tcW w:w="1323" w:type="dxa"/>
                  <w:tcBorders>
                    <w:tl2br w:val="nil"/>
                    <w:tr2bl w:val="nil"/>
                  </w:tcBorders>
                  <w:noWrap w:val="0"/>
                  <w:tcMar>
                    <w:top w:w="15" w:type="dxa"/>
                    <w:left w:w="15" w:type="dxa"/>
                    <w:right w:w="15" w:type="dxa"/>
                  </w:tcMar>
                  <w:vAlign w:val="center"/>
                </w:tcPr>
                <w:p w14:paraId="462A07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60</w:t>
                  </w:r>
                </w:p>
              </w:tc>
              <w:tc>
                <w:tcPr>
                  <w:tcW w:w="1324" w:type="dxa"/>
                  <w:tcBorders>
                    <w:tl2br w:val="nil"/>
                    <w:tr2bl w:val="nil"/>
                  </w:tcBorders>
                  <w:noWrap w:val="0"/>
                  <w:tcMar>
                    <w:top w:w="15" w:type="dxa"/>
                    <w:left w:w="15" w:type="dxa"/>
                    <w:right w:w="15" w:type="dxa"/>
                  </w:tcMar>
                  <w:vAlign w:val="center"/>
                </w:tcPr>
                <w:p w14:paraId="0E397C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50</w:t>
                  </w:r>
                </w:p>
              </w:tc>
              <w:tc>
                <w:tcPr>
                  <w:tcW w:w="1477" w:type="dxa"/>
                  <w:tcBorders>
                    <w:tl2br w:val="nil"/>
                    <w:tr2bl w:val="nil"/>
                  </w:tcBorders>
                  <w:noWrap w:val="0"/>
                  <w:tcMar>
                    <w:top w:w="15" w:type="dxa"/>
                    <w:left w:w="15" w:type="dxa"/>
                    <w:right w:w="15" w:type="dxa"/>
                  </w:tcMar>
                  <w:vAlign w:val="center"/>
                </w:tcPr>
                <w:p w14:paraId="43FE4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达标</w:t>
                  </w:r>
                </w:p>
              </w:tc>
              <w:tc>
                <w:tcPr>
                  <w:tcW w:w="1503" w:type="dxa"/>
                  <w:vMerge w:val="continue"/>
                  <w:tcBorders>
                    <w:tl2br w:val="nil"/>
                    <w:tr2bl w:val="nil"/>
                  </w:tcBorders>
                  <w:noWrap w:val="0"/>
                  <w:tcMar>
                    <w:top w:w="15" w:type="dxa"/>
                    <w:left w:w="15" w:type="dxa"/>
                    <w:right w:w="15" w:type="dxa"/>
                  </w:tcMar>
                  <w:vAlign w:val="center"/>
                </w:tcPr>
                <w:p w14:paraId="77BD09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p>
              </w:tc>
            </w:tr>
            <w:tr w14:paraId="791D1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0" w:type="dxa"/>
                  <w:tcBorders>
                    <w:tl2br w:val="nil"/>
                    <w:tr2bl w:val="nil"/>
                  </w:tcBorders>
                  <w:noWrap w:val="0"/>
                  <w:tcMar>
                    <w:top w:w="15" w:type="dxa"/>
                    <w:left w:w="15" w:type="dxa"/>
                    <w:right w:w="15" w:type="dxa"/>
                  </w:tcMar>
                  <w:vAlign w:val="center"/>
                </w:tcPr>
                <w:p w14:paraId="7DE7A4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r>
                    <w:rPr>
                      <w:rFonts w:hint="default" w:ascii="Times New Roman" w:hAnsi="Times New Roman" w:eastAsia="宋体" w:cs="Times New Roman"/>
                      <w:color w:val="auto"/>
                      <w:sz w:val="21"/>
                      <w:szCs w:val="21"/>
                      <w:shd w:val="clear" w:color="auto" w:fill="auto"/>
                      <w:lang w:val="en-US" w:eastAsia="zh-CN"/>
                    </w:rPr>
                    <w:t>西厂界</w:t>
                  </w:r>
                </w:p>
              </w:tc>
              <w:tc>
                <w:tcPr>
                  <w:tcW w:w="1323" w:type="dxa"/>
                  <w:tcBorders>
                    <w:tl2br w:val="nil"/>
                    <w:tr2bl w:val="nil"/>
                  </w:tcBorders>
                  <w:noWrap w:val="0"/>
                  <w:tcMar>
                    <w:top w:w="15" w:type="dxa"/>
                    <w:left w:w="15" w:type="dxa"/>
                    <w:right w:w="15" w:type="dxa"/>
                  </w:tcMar>
                  <w:vAlign w:val="center"/>
                </w:tcPr>
                <w:p w14:paraId="2E6C66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44</w:t>
                  </w:r>
                </w:p>
              </w:tc>
              <w:tc>
                <w:tcPr>
                  <w:tcW w:w="1323" w:type="dxa"/>
                  <w:tcBorders>
                    <w:tl2br w:val="nil"/>
                    <w:tr2bl w:val="nil"/>
                  </w:tcBorders>
                  <w:noWrap w:val="0"/>
                  <w:tcMar>
                    <w:top w:w="15" w:type="dxa"/>
                    <w:left w:w="15" w:type="dxa"/>
                    <w:right w:w="15" w:type="dxa"/>
                  </w:tcMar>
                  <w:vAlign w:val="center"/>
                </w:tcPr>
                <w:p w14:paraId="49D6B0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60</w:t>
                  </w:r>
                </w:p>
              </w:tc>
              <w:tc>
                <w:tcPr>
                  <w:tcW w:w="1324" w:type="dxa"/>
                  <w:tcBorders>
                    <w:tl2br w:val="nil"/>
                    <w:tr2bl w:val="nil"/>
                  </w:tcBorders>
                  <w:noWrap w:val="0"/>
                  <w:tcMar>
                    <w:top w:w="15" w:type="dxa"/>
                    <w:left w:w="15" w:type="dxa"/>
                    <w:right w:w="15" w:type="dxa"/>
                  </w:tcMar>
                  <w:vAlign w:val="center"/>
                </w:tcPr>
                <w:p w14:paraId="4CCAE6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50</w:t>
                  </w:r>
                </w:p>
              </w:tc>
              <w:tc>
                <w:tcPr>
                  <w:tcW w:w="1477" w:type="dxa"/>
                  <w:tcBorders>
                    <w:tl2br w:val="nil"/>
                    <w:tr2bl w:val="nil"/>
                  </w:tcBorders>
                  <w:noWrap w:val="0"/>
                  <w:tcMar>
                    <w:top w:w="15" w:type="dxa"/>
                    <w:left w:w="15" w:type="dxa"/>
                    <w:right w:w="15" w:type="dxa"/>
                  </w:tcMar>
                  <w:vAlign w:val="center"/>
                </w:tcPr>
                <w:p w14:paraId="7739E0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达标</w:t>
                  </w:r>
                </w:p>
              </w:tc>
              <w:tc>
                <w:tcPr>
                  <w:tcW w:w="1503" w:type="dxa"/>
                  <w:vMerge w:val="continue"/>
                  <w:tcBorders>
                    <w:tl2br w:val="nil"/>
                    <w:tr2bl w:val="nil"/>
                  </w:tcBorders>
                  <w:noWrap w:val="0"/>
                  <w:tcMar>
                    <w:top w:w="15" w:type="dxa"/>
                    <w:left w:w="15" w:type="dxa"/>
                    <w:right w:w="15" w:type="dxa"/>
                  </w:tcMar>
                  <w:vAlign w:val="center"/>
                </w:tcPr>
                <w:p w14:paraId="0CCC18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p>
              </w:tc>
            </w:tr>
            <w:tr w14:paraId="3FE9C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0" w:type="dxa"/>
                  <w:tcBorders>
                    <w:tl2br w:val="nil"/>
                    <w:tr2bl w:val="nil"/>
                  </w:tcBorders>
                  <w:noWrap w:val="0"/>
                  <w:tcMar>
                    <w:top w:w="15" w:type="dxa"/>
                    <w:left w:w="15" w:type="dxa"/>
                    <w:right w:w="15" w:type="dxa"/>
                  </w:tcMar>
                  <w:vAlign w:val="center"/>
                </w:tcPr>
                <w:p w14:paraId="3933B7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rPr>
                  </w:pPr>
                  <w:r>
                    <w:rPr>
                      <w:rFonts w:hint="default" w:ascii="Times New Roman" w:hAnsi="Times New Roman" w:eastAsia="宋体" w:cs="Times New Roman"/>
                      <w:color w:val="auto"/>
                      <w:sz w:val="21"/>
                      <w:szCs w:val="21"/>
                      <w:shd w:val="clear" w:color="auto" w:fill="auto"/>
                      <w:lang w:val="en-US" w:eastAsia="zh-CN"/>
                    </w:rPr>
                    <w:t>北厂界</w:t>
                  </w:r>
                </w:p>
              </w:tc>
              <w:tc>
                <w:tcPr>
                  <w:tcW w:w="1323" w:type="dxa"/>
                  <w:tcBorders>
                    <w:tl2br w:val="nil"/>
                    <w:tr2bl w:val="nil"/>
                  </w:tcBorders>
                  <w:noWrap w:val="0"/>
                  <w:tcMar>
                    <w:top w:w="15" w:type="dxa"/>
                    <w:left w:w="15" w:type="dxa"/>
                    <w:right w:w="15" w:type="dxa"/>
                  </w:tcMar>
                  <w:vAlign w:val="center"/>
                </w:tcPr>
                <w:p w14:paraId="29003B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60</w:t>
                  </w:r>
                </w:p>
              </w:tc>
              <w:tc>
                <w:tcPr>
                  <w:tcW w:w="1323" w:type="dxa"/>
                  <w:tcBorders>
                    <w:tl2br w:val="nil"/>
                    <w:tr2bl w:val="nil"/>
                  </w:tcBorders>
                  <w:noWrap w:val="0"/>
                  <w:tcMar>
                    <w:top w:w="15" w:type="dxa"/>
                    <w:left w:w="15" w:type="dxa"/>
                    <w:right w:w="15" w:type="dxa"/>
                  </w:tcMar>
                  <w:vAlign w:val="center"/>
                </w:tcPr>
                <w:p w14:paraId="0BE0C5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60</w:t>
                  </w:r>
                </w:p>
              </w:tc>
              <w:tc>
                <w:tcPr>
                  <w:tcW w:w="1324" w:type="dxa"/>
                  <w:tcBorders>
                    <w:tl2br w:val="nil"/>
                    <w:tr2bl w:val="nil"/>
                  </w:tcBorders>
                  <w:noWrap w:val="0"/>
                  <w:tcMar>
                    <w:top w:w="15" w:type="dxa"/>
                    <w:left w:w="15" w:type="dxa"/>
                    <w:right w:w="15" w:type="dxa"/>
                  </w:tcMar>
                  <w:vAlign w:val="center"/>
                </w:tcPr>
                <w:p w14:paraId="6D5191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50</w:t>
                  </w:r>
                </w:p>
              </w:tc>
              <w:tc>
                <w:tcPr>
                  <w:tcW w:w="1477" w:type="dxa"/>
                  <w:tcBorders>
                    <w:tl2br w:val="nil"/>
                    <w:tr2bl w:val="nil"/>
                  </w:tcBorders>
                  <w:noWrap w:val="0"/>
                  <w:tcMar>
                    <w:top w:w="15" w:type="dxa"/>
                    <w:left w:w="15" w:type="dxa"/>
                    <w:right w:w="15" w:type="dxa"/>
                  </w:tcMar>
                  <w:vAlign w:val="center"/>
                </w:tcPr>
                <w:p w14:paraId="7C0BF9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达标</w:t>
                  </w:r>
                </w:p>
              </w:tc>
              <w:tc>
                <w:tcPr>
                  <w:tcW w:w="1503" w:type="dxa"/>
                  <w:vMerge w:val="continue"/>
                  <w:tcBorders>
                    <w:tl2br w:val="nil"/>
                    <w:tr2bl w:val="nil"/>
                  </w:tcBorders>
                  <w:noWrap w:val="0"/>
                  <w:tcMar>
                    <w:top w:w="15" w:type="dxa"/>
                    <w:left w:w="15" w:type="dxa"/>
                    <w:right w:w="15" w:type="dxa"/>
                  </w:tcMar>
                  <w:vAlign w:val="center"/>
                </w:tcPr>
                <w:p w14:paraId="7C60CA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shd w:val="clear" w:color="auto" w:fill="auto"/>
                      <w:lang w:val="en-US" w:eastAsia="zh-CN"/>
                    </w:rPr>
                  </w:pPr>
                </w:p>
              </w:tc>
            </w:tr>
          </w:tbl>
          <w:p w14:paraId="6577E162">
            <w:pPr>
              <w:bidi w:val="0"/>
              <w:rPr>
                <w:rFonts w:hint="default" w:eastAsia="宋体"/>
                <w:b/>
                <w:bCs/>
                <w:color w:val="auto"/>
                <w:lang w:val="en-US" w:eastAsia="zh-CN"/>
              </w:rPr>
            </w:pPr>
            <w:r>
              <w:rPr>
                <w:rFonts w:hint="eastAsia"/>
                <w:b/>
                <w:bCs/>
                <w:color w:val="auto"/>
                <w:lang w:val="en-US" w:eastAsia="zh-CN"/>
              </w:rPr>
              <w:t>3.2达标情况分析</w:t>
            </w:r>
          </w:p>
          <w:p w14:paraId="2BA45FD6">
            <w:pPr>
              <w:bidi w:val="0"/>
              <w:rPr>
                <w:rFonts w:hint="eastAsia" w:eastAsia="宋体"/>
                <w:color w:val="auto"/>
                <w:lang w:eastAsia="zh-CN"/>
              </w:rPr>
            </w:pPr>
            <w:r>
              <w:rPr>
                <w:rFonts w:hint="eastAsia"/>
                <w:color w:val="auto"/>
                <w:lang w:val="en-US" w:eastAsia="zh-CN"/>
              </w:rPr>
              <w:t>本项目噪声源主要为生产设备运行过程产生的噪声，在对设备采取</w:t>
            </w:r>
            <w:r>
              <w:rPr>
                <w:rFonts w:hint="default"/>
                <w:b w:val="0"/>
                <w:bCs w:val="0"/>
                <w:color w:val="auto"/>
              </w:rPr>
              <w:t>基础</w:t>
            </w:r>
            <w:r>
              <w:rPr>
                <w:rFonts w:hint="eastAsia"/>
                <w:b w:val="0"/>
                <w:bCs w:val="0"/>
                <w:color w:val="auto"/>
                <w:lang w:eastAsia="zh-CN"/>
              </w:rPr>
              <w:t>减振</w:t>
            </w:r>
            <w:r>
              <w:rPr>
                <w:rFonts w:hint="default"/>
                <w:b w:val="0"/>
                <w:bCs w:val="0"/>
                <w:color w:val="auto"/>
              </w:rPr>
              <w:t>、</w:t>
            </w:r>
            <w:r>
              <w:rPr>
                <w:rFonts w:hint="eastAsia"/>
                <w:b w:val="0"/>
                <w:bCs w:val="0"/>
                <w:color w:val="auto"/>
                <w:lang w:val="en-US" w:eastAsia="zh-CN"/>
              </w:rPr>
              <w:t>厂房隔声、距离衰减</w:t>
            </w:r>
            <w:r>
              <w:rPr>
                <w:rFonts w:hint="eastAsia"/>
                <w:color w:val="auto"/>
                <w:lang w:val="en-US" w:eastAsia="zh-CN"/>
              </w:rPr>
              <w:t>等降噪措施后</w:t>
            </w:r>
            <w:r>
              <w:rPr>
                <w:rFonts w:hint="default"/>
                <w:color w:val="auto"/>
                <w:lang w:val="en-GB"/>
              </w:rPr>
              <w:t>，</w:t>
            </w:r>
            <w:r>
              <w:rPr>
                <w:rFonts w:hint="eastAsia"/>
                <w:color w:val="auto"/>
              </w:rPr>
              <w:t>厂界</w:t>
            </w:r>
            <w:r>
              <w:rPr>
                <w:rFonts w:hint="default"/>
                <w:color w:val="auto"/>
              </w:rPr>
              <w:t>噪声均</w:t>
            </w:r>
            <w:r>
              <w:rPr>
                <w:rFonts w:hint="eastAsia"/>
                <w:color w:val="auto"/>
              </w:rPr>
              <w:t>满足</w:t>
            </w:r>
            <w:r>
              <w:rPr>
                <w:rFonts w:hint="default"/>
                <w:color w:val="auto"/>
              </w:rPr>
              <w:t>《工业企业厂界环境噪声排放标准》（GB12348-2008）</w:t>
            </w:r>
            <w:r>
              <w:rPr>
                <w:rFonts w:hint="eastAsia"/>
                <w:color w:val="auto"/>
                <w:lang w:val="en-US" w:eastAsia="zh-CN"/>
              </w:rPr>
              <w:t>2</w:t>
            </w:r>
            <w:r>
              <w:rPr>
                <w:rFonts w:hint="default"/>
                <w:color w:val="auto"/>
              </w:rPr>
              <w:t>类标准</w:t>
            </w:r>
            <w:r>
              <w:rPr>
                <w:rFonts w:hint="eastAsia"/>
                <w:color w:val="auto"/>
                <w:lang w:eastAsia="zh-CN"/>
              </w:rPr>
              <w:t>。</w:t>
            </w:r>
          </w:p>
          <w:p w14:paraId="0941E582">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3.3监测计划</w:t>
            </w:r>
          </w:p>
          <w:p w14:paraId="368CCA4D">
            <w:pPr>
              <w:bidi w:val="0"/>
              <w:rPr>
                <w:rFonts w:hint="eastAsia"/>
                <w:color w:val="auto"/>
                <w:kern w:val="1"/>
                <w:sz w:val="24"/>
                <w:szCs w:val="24"/>
                <w:lang w:val="en-US" w:eastAsia="zh-CN" w:bidi="ar"/>
              </w:rPr>
            </w:pPr>
            <w:r>
              <w:rPr>
                <w:rFonts w:ascii="Times New Roman" w:hAnsi="Times New Roman"/>
                <w:snapToGrid w:val="0"/>
                <w:color w:val="auto"/>
                <w:kern w:val="0"/>
                <w:sz w:val="24"/>
                <w:szCs w:val="24"/>
                <w:lang w:bidi="ar"/>
              </w:rPr>
              <w:t>根据本建设项目性质与实际情况，</w:t>
            </w:r>
            <w:r>
              <w:rPr>
                <w:rFonts w:ascii="Times New Roman" w:hAnsi="Times New Roman"/>
                <w:color w:val="auto"/>
                <w:sz w:val="24"/>
                <w:szCs w:val="24"/>
              </w:rPr>
              <w:t>按照《排污单位自行监测技术指南 总则》</w:t>
            </w:r>
            <w:r>
              <w:rPr>
                <w:rFonts w:hint="eastAsia"/>
                <w:color w:val="auto"/>
                <w:kern w:val="1"/>
                <w:sz w:val="24"/>
                <w:szCs w:val="24"/>
                <w:lang w:val="en-US" w:eastAsia="zh-CN" w:bidi="ar"/>
              </w:rPr>
              <w:t>要求，企业投入运营后噪声监测情况见下表。</w:t>
            </w:r>
          </w:p>
          <w:p w14:paraId="72EED288">
            <w:pPr>
              <w:pStyle w:val="34"/>
              <w:bidi w:val="0"/>
              <w:rPr>
                <w:rFonts w:hint="default"/>
                <w:b/>
                <w:color w:val="auto"/>
                <w:sz w:val="24"/>
                <w:szCs w:val="24"/>
              </w:rPr>
            </w:pPr>
            <w:r>
              <w:rPr>
                <w:rFonts w:hint="default"/>
                <w:color w:val="auto"/>
                <w:sz w:val="21"/>
                <w:szCs w:val="21"/>
              </w:rPr>
              <w:t>表</w:t>
            </w:r>
            <w:r>
              <w:rPr>
                <w:rFonts w:hint="eastAsia"/>
                <w:color w:val="auto"/>
                <w:sz w:val="21"/>
                <w:szCs w:val="21"/>
                <w:lang w:val="en-US" w:eastAsia="zh-CN"/>
              </w:rPr>
              <w:t xml:space="preserve">43  </w:t>
            </w:r>
            <w:r>
              <w:rPr>
                <w:rFonts w:hint="default"/>
                <w:color w:val="auto"/>
                <w:sz w:val="21"/>
                <w:szCs w:val="21"/>
              </w:rPr>
              <w:t>项目厂界噪声监测计划表</w:t>
            </w:r>
          </w:p>
          <w:tbl>
            <w:tblPr>
              <w:tblStyle w:val="20"/>
              <w:tblW w:w="82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74"/>
              <w:gridCol w:w="1665"/>
              <w:gridCol w:w="1230"/>
              <w:gridCol w:w="3947"/>
            </w:tblGrid>
            <w:tr w14:paraId="74224B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4" w:type="dxa"/>
                  <w:tcBorders>
                    <w:tl2br w:val="nil"/>
                    <w:tr2bl w:val="nil"/>
                  </w:tcBorders>
                  <w:noWrap w:val="0"/>
                  <w:tcMar>
                    <w:top w:w="15" w:type="dxa"/>
                    <w:left w:w="15" w:type="dxa"/>
                    <w:bottom w:w="15" w:type="dxa"/>
                    <w:right w:w="15" w:type="dxa"/>
                  </w:tcMar>
                  <w:vAlign w:val="center"/>
                </w:tcPr>
                <w:p w14:paraId="3DC25077">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监测点位</w:t>
                  </w:r>
                </w:p>
              </w:tc>
              <w:tc>
                <w:tcPr>
                  <w:tcW w:w="1665" w:type="dxa"/>
                  <w:tcBorders>
                    <w:tl2br w:val="nil"/>
                    <w:tr2bl w:val="nil"/>
                  </w:tcBorders>
                  <w:noWrap w:val="0"/>
                  <w:tcMar>
                    <w:top w:w="15" w:type="dxa"/>
                    <w:left w:w="15" w:type="dxa"/>
                    <w:bottom w:w="15" w:type="dxa"/>
                    <w:right w:w="15" w:type="dxa"/>
                  </w:tcMar>
                  <w:vAlign w:val="center"/>
                </w:tcPr>
                <w:p w14:paraId="7A992CA1">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监测指标</w:t>
                  </w:r>
                </w:p>
              </w:tc>
              <w:tc>
                <w:tcPr>
                  <w:tcW w:w="1230" w:type="dxa"/>
                  <w:tcBorders>
                    <w:tl2br w:val="nil"/>
                    <w:tr2bl w:val="nil"/>
                  </w:tcBorders>
                  <w:noWrap w:val="0"/>
                  <w:tcMar>
                    <w:top w:w="15" w:type="dxa"/>
                    <w:left w:w="15" w:type="dxa"/>
                    <w:bottom w:w="15" w:type="dxa"/>
                    <w:right w:w="15" w:type="dxa"/>
                  </w:tcMar>
                  <w:vAlign w:val="center"/>
                </w:tcPr>
                <w:p w14:paraId="51467B84">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监测频次</w:t>
                  </w:r>
                </w:p>
              </w:tc>
              <w:tc>
                <w:tcPr>
                  <w:tcW w:w="3947" w:type="dxa"/>
                  <w:tcBorders>
                    <w:tl2br w:val="nil"/>
                    <w:tr2bl w:val="nil"/>
                  </w:tcBorders>
                  <w:noWrap w:val="0"/>
                  <w:tcMar>
                    <w:top w:w="15" w:type="dxa"/>
                    <w:left w:w="15" w:type="dxa"/>
                    <w:bottom w:w="15" w:type="dxa"/>
                    <w:right w:w="15" w:type="dxa"/>
                  </w:tcMar>
                  <w:vAlign w:val="center"/>
                </w:tcPr>
                <w:p w14:paraId="071B7F74">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执行排放标准</w:t>
                  </w:r>
                </w:p>
              </w:tc>
            </w:tr>
            <w:tr w14:paraId="1E1EB0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374" w:type="dxa"/>
                  <w:tcBorders>
                    <w:tl2br w:val="nil"/>
                    <w:tr2bl w:val="nil"/>
                  </w:tcBorders>
                  <w:noWrap w:val="0"/>
                  <w:tcMar>
                    <w:top w:w="15" w:type="dxa"/>
                    <w:left w:w="15" w:type="dxa"/>
                    <w:bottom w:w="15" w:type="dxa"/>
                    <w:right w:w="15" w:type="dxa"/>
                  </w:tcMar>
                  <w:vAlign w:val="center"/>
                </w:tcPr>
                <w:p w14:paraId="665A7B74">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eastAsia"/>
                      <w:color w:val="auto"/>
                      <w:sz w:val="21"/>
                      <w:szCs w:val="21"/>
                      <w:lang w:val="en-US" w:eastAsia="zh-CN"/>
                    </w:rPr>
                    <w:t>厂</w:t>
                  </w:r>
                  <w:r>
                    <w:rPr>
                      <w:rFonts w:hint="default"/>
                      <w:color w:val="auto"/>
                      <w:sz w:val="21"/>
                      <w:szCs w:val="21"/>
                    </w:rPr>
                    <w:t>界外1m处</w:t>
                  </w:r>
                </w:p>
              </w:tc>
              <w:tc>
                <w:tcPr>
                  <w:tcW w:w="1665" w:type="dxa"/>
                  <w:tcBorders>
                    <w:tl2br w:val="nil"/>
                    <w:tr2bl w:val="nil"/>
                  </w:tcBorders>
                  <w:noWrap w:val="0"/>
                  <w:tcMar>
                    <w:top w:w="15" w:type="dxa"/>
                    <w:left w:w="15" w:type="dxa"/>
                    <w:bottom w:w="15" w:type="dxa"/>
                    <w:right w:w="15" w:type="dxa"/>
                  </w:tcMar>
                  <w:vAlign w:val="center"/>
                </w:tcPr>
                <w:p w14:paraId="12AA734E">
                  <w:pPr>
                    <w:pStyle w:val="27"/>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rPr>
                  </w:pPr>
                  <w:r>
                    <w:rPr>
                      <w:rFonts w:hint="default"/>
                      <w:color w:val="auto"/>
                      <w:sz w:val="21"/>
                      <w:szCs w:val="21"/>
                    </w:rPr>
                    <w:t>等效连续A声级</w:t>
                  </w:r>
                </w:p>
              </w:tc>
              <w:tc>
                <w:tcPr>
                  <w:tcW w:w="1230" w:type="dxa"/>
                  <w:tcBorders>
                    <w:tl2br w:val="nil"/>
                    <w:tr2bl w:val="nil"/>
                  </w:tcBorders>
                  <w:noWrap w:val="0"/>
                  <w:tcMar>
                    <w:top w:w="15" w:type="dxa"/>
                    <w:left w:w="15" w:type="dxa"/>
                    <w:bottom w:w="15" w:type="dxa"/>
                    <w:right w:w="15" w:type="dxa"/>
                  </w:tcMar>
                  <w:vAlign w:val="center"/>
                </w:tcPr>
                <w:p w14:paraId="47D0CD23">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default"/>
                      <w:color w:val="auto"/>
                      <w:sz w:val="21"/>
                      <w:szCs w:val="21"/>
                    </w:rPr>
                    <w:t>1次</w:t>
                  </w:r>
                  <w:r>
                    <w:rPr>
                      <w:rFonts w:hint="eastAsia"/>
                      <w:color w:val="auto"/>
                      <w:sz w:val="21"/>
                      <w:szCs w:val="21"/>
                      <w:lang w:val="en-US" w:eastAsia="zh-CN"/>
                    </w:rPr>
                    <w:t>/季度</w:t>
                  </w:r>
                </w:p>
              </w:tc>
              <w:tc>
                <w:tcPr>
                  <w:tcW w:w="3947" w:type="dxa"/>
                  <w:tcBorders>
                    <w:tl2br w:val="nil"/>
                    <w:tr2bl w:val="nil"/>
                  </w:tcBorders>
                  <w:noWrap w:val="0"/>
                  <w:tcMar>
                    <w:top w:w="15" w:type="dxa"/>
                    <w:left w:w="15" w:type="dxa"/>
                    <w:bottom w:w="15" w:type="dxa"/>
                    <w:right w:w="15" w:type="dxa"/>
                  </w:tcMar>
                  <w:vAlign w:val="center"/>
                </w:tcPr>
                <w:p w14:paraId="5720B357">
                  <w:pPr>
                    <w:pStyle w:val="27"/>
                    <w:keepNext w:val="0"/>
                    <w:keepLines w:val="0"/>
                    <w:pageBreakBefore w:val="0"/>
                    <w:widowControl w:val="0"/>
                    <w:kinsoku/>
                    <w:wordWrap/>
                    <w:overflowPunct/>
                    <w:topLinePunct w:val="0"/>
                    <w:autoSpaceDE/>
                    <w:autoSpaceDN/>
                    <w:bidi w:val="0"/>
                    <w:adjustRightInd/>
                    <w:snapToGrid/>
                    <w:textAlignment w:val="auto"/>
                    <w:rPr>
                      <w:rFonts w:hint="default" w:eastAsia="宋体"/>
                      <w:color w:val="auto"/>
                      <w:sz w:val="21"/>
                      <w:szCs w:val="21"/>
                      <w:lang w:val="en-US" w:eastAsia="zh-CN"/>
                    </w:rPr>
                  </w:pPr>
                  <w:r>
                    <w:rPr>
                      <w:rFonts w:hint="default"/>
                      <w:color w:val="auto"/>
                      <w:sz w:val="21"/>
                      <w:szCs w:val="21"/>
                    </w:rPr>
                    <w:t>《工业企业厂界环境噪声排放标准》（GB12348-2008）中</w:t>
                  </w:r>
                  <w:r>
                    <w:rPr>
                      <w:rFonts w:hint="eastAsia"/>
                      <w:color w:val="auto"/>
                      <w:sz w:val="21"/>
                      <w:szCs w:val="21"/>
                      <w:lang w:val="en-US" w:eastAsia="zh-CN"/>
                    </w:rPr>
                    <w:t>2</w:t>
                  </w:r>
                  <w:r>
                    <w:rPr>
                      <w:rFonts w:hint="default"/>
                      <w:color w:val="auto"/>
                      <w:sz w:val="21"/>
                      <w:szCs w:val="21"/>
                    </w:rPr>
                    <w:t>类标准</w:t>
                  </w:r>
                </w:p>
              </w:tc>
            </w:tr>
          </w:tbl>
          <w:p w14:paraId="2DCA546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b/>
                <w:bCs/>
                <w:color w:val="auto"/>
                <w:lang w:val="en-US" w:eastAsia="zh-CN"/>
              </w:rPr>
            </w:pPr>
            <w:r>
              <w:rPr>
                <w:rFonts w:hint="eastAsia"/>
                <w:b/>
                <w:bCs/>
                <w:color w:val="auto"/>
                <w:lang w:val="en-US" w:eastAsia="zh-CN"/>
              </w:rPr>
              <w:t>4、固体废物</w:t>
            </w:r>
          </w:p>
          <w:p w14:paraId="197C9E65">
            <w:pPr>
              <w:keepNext w:val="0"/>
              <w:keepLines w:val="0"/>
              <w:widowControl/>
              <w:suppressLineNumbers w:val="0"/>
              <w:jc w:val="left"/>
              <w:rPr>
                <w:rFonts w:hint="eastAsia"/>
                <w:color w:val="auto"/>
                <w:sz w:val="24"/>
                <w:szCs w:val="24"/>
                <w:lang w:val="en-US" w:eastAsia="zh-CN"/>
              </w:rPr>
            </w:pPr>
            <w:r>
              <w:rPr>
                <w:rFonts w:ascii="脣脦脤氓" w:hAnsi="脣脦脤氓" w:eastAsia="脣脦脤氓" w:cs="脣脦脤氓"/>
                <w:color w:val="auto"/>
                <w:kern w:val="0"/>
                <w:sz w:val="25"/>
                <w:szCs w:val="25"/>
                <w:lang w:val="en-US" w:eastAsia="zh-CN" w:bidi="ar"/>
              </w:rPr>
              <w:t>本项目产生的固体废物包括废边角料、废铁屑、</w:t>
            </w:r>
            <w:r>
              <w:rPr>
                <w:rFonts w:hint="eastAsia" w:ascii="脣脦脤氓" w:hAnsi="脣脦脤氓" w:eastAsia="脣脦脤氓" w:cs="脣脦脤氓"/>
                <w:color w:val="auto"/>
                <w:kern w:val="0"/>
                <w:sz w:val="25"/>
                <w:szCs w:val="25"/>
                <w:lang w:val="en-US" w:eastAsia="zh-CN" w:bidi="ar"/>
              </w:rPr>
              <w:t>废焊料、焊烟净化器除尘灰及更换的废过滤材料</w:t>
            </w:r>
            <w:r>
              <w:rPr>
                <w:rFonts w:ascii="脣脦脤氓" w:hAnsi="脣脦脤氓" w:eastAsia="脣脦脤氓" w:cs="脣脦脤氓"/>
                <w:color w:val="auto"/>
                <w:kern w:val="0"/>
                <w:sz w:val="25"/>
                <w:szCs w:val="25"/>
                <w:lang w:val="en-US" w:eastAsia="zh-CN" w:bidi="ar"/>
              </w:rPr>
              <w:t>、</w:t>
            </w:r>
            <w:r>
              <w:rPr>
                <w:rFonts w:hint="default" w:ascii="脣脦脤氓" w:hAnsi="脣脦脤氓" w:eastAsia="脣脦脤氓" w:cs="脣脦脤氓"/>
                <w:color w:val="auto"/>
                <w:kern w:val="0"/>
                <w:sz w:val="25"/>
                <w:szCs w:val="25"/>
                <w:lang w:val="en-US" w:eastAsia="zh-CN" w:bidi="ar"/>
              </w:rPr>
              <w:t>废磨料、</w:t>
            </w:r>
            <w:r>
              <w:rPr>
                <w:rFonts w:hint="eastAsia" w:ascii="脣脦脤氓" w:hAnsi="脣脦脤氓" w:eastAsia="脣脦脤氓" w:cs="脣脦脤氓"/>
                <w:color w:val="auto"/>
                <w:kern w:val="0"/>
                <w:sz w:val="25"/>
                <w:szCs w:val="25"/>
                <w:lang w:val="en-US" w:eastAsia="zh-CN" w:bidi="ar"/>
              </w:rPr>
              <w:t>废钢丸、袋式除尘器</w:t>
            </w:r>
            <w:r>
              <w:rPr>
                <w:rFonts w:hint="default" w:ascii="脣脦脤氓" w:hAnsi="脣脦脤氓" w:eastAsia="脣脦脤氓" w:cs="脣脦脤氓"/>
                <w:color w:val="auto"/>
                <w:kern w:val="0"/>
                <w:sz w:val="25"/>
                <w:szCs w:val="25"/>
                <w:lang w:val="en-US" w:eastAsia="zh-CN" w:bidi="ar"/>
              </w:rPr>
              <w:t>除尘灰</w:t>
            </w:r>
            <w:r>
              <w:rPr>
                <w:rFonts w:hint="eastAsia" w:ascii="脣脦脤氓" w:hAnsi="脣脦脤氓" w:eastAsia="脣脦脤氓" w:cs="脣脦脤氓"/>
                <w:color w:val="auto"/>
                <w:kern w:val="0"/>
                <w:sz w:val="25"/>
                <w:szCs w:val="25"/>
                <w:lang w:val="en-US" w:eastAsia="zh-CN" w:bidi="ar"/>
              </w:rPr>
              <w:t>及废布袋</w:t>
            </w:r>
            <w:r>
              <w:rPr>
                <w:rFonts w:hint="default" w:ascii="脣脦脤氓" w:hAnsi="脣脦脤氓" w:eastAsia="脣脦脤氓" w:cs="脣脦脤氓"/>
                <w:color w:val="auto"/>
                <w:kern w:val="0"/>
                <w:sz w:val="25"/>
                <w:szCs w:val="25"/>
                <w:lang w:val="en-US" w:eastAsia="zh-CN" w:bidi="ar"/>
              </w:rPr>
              <w:t>、废润滑油、废液压油、废切削液、废油桶、含油铁屑、漆渣</w:t>
            </w:r>
            <w:r>
              <w:rPr>
                <w:rFonts w:hint="eastAsia" w:ascii="脣脦脤氓" w:hAnsi="脣脦脤氓" w:eastAsia="脣脦脤氓" w:cs="脣脦脤氓"/>
                <w:color w:val="auto"/>
                <w:kern w:val="0"/>
                <w:sz w:val="25"/>
                <w:szCs w:val="25"/>
                <w:lang w:val="en-US" w:eastAsia="zh-CN" w:bidi="ar"/>
              </w:rPr>
              <w:t>、油性漆及稀释剂废包装桶</w:t>
            </w:r>
            <w:r>
              <w:rPr>
                <w:rFonts w:hint="default" w:ascii="脣脦脤氓" w:hAnsi="脣脦脤氓" w:eastAsia="脣脦脤氓" w:cs="脣脦脤氓"/>
                <w:color w:val="auto"/>
                <w:kern w:val="0"/>
                <w:sz w:val="25"/>
                <w:szCs w:val="25"/>
                <w:lang w:val="en-US" w:eastAsia="zh-CN" w:bidi="ar"/>
              </w:rPr>
              <w:t>、水性漆、塑粉及腻子废包装桶、</w:t>
            </w:r>
            <w:r>
              <w:rPr>
                <w:rFonts w:hint="eastAsia" w:ascii="脣脦脤氓" w:hAnsi="脣脦脤氓" w:eastAsia="脣脦脤氓" w:cs="脣脦脤氓"/>
                <w:color w:val="auto"/>
                <w:kern w:val="0"/>
                <w:sz w:val="25"/>
                <w:szCs w:val="25"/>
                <w:lang w:val="en-US" w:eastAsia="zh-CN" w:bidi="ar"/>
              </w:rPr>
              <w:t>有机废气处理装置产生的废过滤棉、</w:t>
            </w:r>
            <w:r>
              <w:rPr>
                <w:rFonts w:hint="default" w:ascii="脣脦脤氓" w:hAnsi="脣脦脤氓" w:eastAsia="脣脦脤氓" w:cs="脣脦脤氓"/>
                <w:color w:val="auto"/>
                <w:kern w:val="0"/>
                <w:sz w:val="25"/>
                <w:szCs w:val="25"/>
                <w:lang w:val="en-US" w:eastAsia="zh-CN" w:bidi="ar"/>
              </w:rPr>
              <w:t>废活性炭、废催化剂</w:t>
            </w:r>
            <w:r>
              <w:rPr>
                <w:rFonts w:hint="eastAsia" w:ascii="脣脦脤氓" w:hAnsi="脣脦脤氓" w:eastAsia="脣脦脤氓" w:cs="脣脦脤氓"/>
                <w:color w:val="auto"/>
                <w:kern w:val="0"/>
                <w:sz w:val="25"/>
                <w:szCs w:val="25"/>
                <w:lang w:val="en-US" w:eastAsia="zh-CN" w:bidi="ar"/>
              </w:rPr>
              <w:t>、废九宫格过滤材料</w:t>
            </w:r>
            <w:r>
              <w:rPr>
                <w:rFonts w:hint="default" w:ascii="脣脦脤氓" w:hAnsi="脣脦脤氓" w:eastAsia="脣脦脤氓" w:cs="脣脦脤氓"/>
                <w:color w:val="auto"/>
                <w:kern w:val="0"/>
                <w:sz w:val="25"/>
                <w:szCs w:val="25"/>
                <w:lang w:val="en-US" w:eastAsia="zh-CN" w:bidi="ar"/>
              </w:rPr>
              <w:t>和生活垃圾等。</w:t>
            </w:r>
          </w:p>
          <w:p w14:paraId="47C77FD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auto"/>
                <w:sz w:val="24"/>
                <w:szCs w:val="24"/>
                <w:lang w:val="en-US" w:eastAsia="zh-CN"/>
              </w:rPr>
            </w:pPr>
            <w:r>
              <w:rPr>
                <w:rFonts w:hint="eastAsia"/>
                <w:color w:val="auto"/>
                <w:sz w:val="24"/>
                <w:szCs w:val="24"/>
                <w:lang w:val="en-US" w:eastAsia="zh-CN"/>
              </w:rPr>
              <w:t>（1）一般工业固体废物</w:t>
            </w:r>
          </w:p>
          <w:p w14:paraId="330B61D5">
            <w:pPr>
              <w:bidi w:val="0"/>
              <w:rPr>
                <w:rFonts w:hint="eastAsia"/>
                <w:color w:val="auto"/>
                <w:sz w:val="24"/>
                <w:szCs w:val="24"/>
                <w:lang w:val="en-US" w:eastAsia="zh-CN"/>
              </w:rPr>
            </w:pPr>
            <w:r>
              <w:rPr>
                <w:rFonts w:hint="default" w:ascii="Times New Roman" w:hAnsi="Times New Roman" w:cs="Times New Roman"/>
                <w:color w:val="auto"/>
                <w:sz w:val="24"/>
                <w:szCs w:val="24"/>
              </w:rPr>
              <w:t>Ⅰ、</w:t>
            </w:r>
            <w:r>
              <w:rPr>
                <w:rFonts w:hint="eastAsia"/>
                <w:color w:val="auto"/>
                <w:sz w:val="24"/>
                <w:szCs w:val="24"/>
                <w:lang w:val="en-US" w:eastAsia="zh-CN"/>
              </w:rPr>
              <w:t>一般固废</w:t>
            </w:r>
            <w:r>
              <w:rPr>
                <w:rFonts w:hint="default"/>
                <w:color w:val="auto"/>
                <w:sz w:val="24"/>
                <w:szCs w:val="24"/>
              </w:rPr>
              <w:t>基本情况</w:t>
            </w:r>
          </w:p>
          <w:p w14:paraId="1AC9F3A9">
            <w:pPr>
              <w:keepNext w:val="0"/>
              <w:keepLines w:val="0"/>
              <w:widowControl/>
              <w:suppressLineNumbers w:val="0"/>
              <w:jc w:val="left"/>
              <w:rPr>
                <w:rFonts w:hint="eastAsia" w:ascii="脣脦脤氓" w:hAnsi="脣脦脤氓" w:eastAsia="脣脦脤氓" w:cs="脣脦脤氓"/>
                <w:color w:val="auto"/>
                <w:kern w:val="0"/>
                <w:sz w:val="25"/>
                <w:szCs w:val="25"/>
                <w:lang w:val="en-US" w:eastAsia="zh-CN" w:bidi="ar"/>
              </w:rPr>
            </w:pPr>
            <w:r>
              <w:rPr>
                <w:rFonts w:hint="eastAsia" w:ascii="脣脦脤氓" w:hAnsi="脣脦脤氓" w:eastAsia="脣脦脤氓" w:cs="脣脦脤氓"/>
                <w:color w:val="auto"/>
                <w:kern w:val="0"/>
                <w:sz w:val="25"/>
                <w:szCs w:val="25"/>
                <w:lang w:val="en-US" w:eastAsia="zh-CN" w:bidi="ar"/>
              </w:rPr>
              <w:t>本项目一般固体废物包括</w:t>
            </w:r>
            <w:r>
              <w:rPr>
                <w:rFonts w:ascii="脣脦脤氓" w:hAnsi="脣脦脤氓" w:eastAsia="脣脦脤氓" w:cs="脣脦脤氓"/>
                <w:color w:val="auto"/>
                <w:kern w:val="0"/>
                <w:sz w:val="25"/>
                <w:szCs w:val="25"/>
                <w:lang w:val="en-US" w:eastAsia="zh-CN" w:bidi="ar"/>
              </w:rPr>
              <w:t>废边角料、废铁屑、</w:t>
            </w:r>
            <w:r>
              <w:rPr>
                <w:rFonts w:hint="eastAsia" w:ascii="脣脦脤氓" w:hAnsi="脣脦脤氓" w:eastAsia="脣脦脤氓" w:cs="脣脦脤氓"/>
                <w:color w:val="auto"/>
                <w:kern w:val="0"/>
                <w:sz w:val="25"/>
                <w:szCs w:val="25"/>
                <w:lang w:val="en-US" w:eastAsia="zh-CN" w:bidi="ar"/>
              </w:rPr>
              <w:t>废焊料、焊烟净化器除尘灰及更换的废过滤材料</w:t>
            </w:r>
            <w:r>
              <w:rPr>
                <w:rFonts w:ascii="脣脦脤氓" w:hAnsi="脣脦脤氓" w:eastAsia="脣脦脤氓" w:cs="脣脦脤氓"/>
                <w:color w:val="auto"/>
                <w:kern w:val="0"/>
                <w:sz w:val="25"/>
                <w:szCs w:val="25"/>
                <w:lang w:val="en-US" w:eastAsia="zh-CN" w:bidi="ar"/>
              </w:rPr>
              <w:t>、</w:t>
            </w:r>
            <w:r>
              <w:rPr>
                <w:rFonts w:hint="default" w:ascii="脣脦脤氓" w:hAnsi="脣脦脤氓" w:eastAsia="脣脦脤氓" w:cs="脣脦脤氓"/>
                <w:color w:val="auto"/>
                <w:kern w:val="0"/>
                <w:sz w:val="25"/>
                <w:szCs w:val="25"/>
                <w:lang w:val="en-US" w:eastAsia="zh-CN" w:bidi="ar"/>
              </w:rPr>
              <w:t>废磨料、</w:t>
            </w:r>
            <w:r>
              <w:rPr>
                <w:rFonts w:hint="eastAsia" w:ascii="脣脦脤氓" w:hAnsi="脣脦脤氓" w:eastAsia="脣脦脤氓" w:cs="脣脦脤氓"/>
                <w:color w:val="auto"/>
                <w:kern w:val="0"/>
                <w:sz w:val="25"/>
                <w:szCs w:val="25"/>
                <w:lang w:val="en-US" w:eastAsia="zh-CN" w:bidi="ar"/>
              </w:rPr>
              <w:t>废钢丸、袋式除尘器</w:t>
            </w:r>
            <w:r>
              <w:rPr>
                <w:rFonts w:hint="default" w:ascii="脣脦脤氓" w:hAnsi="脣脦脤氓" w:eastAsia="脣脦脤氓" w:cs="脣脦脤氓"/>
                <w:color w:val="auto"/>
                <w:kern w:val="0"/>
                <w:sz w:val="25"/>
                <w:szCs w:val="25"/>
                <w:lang w:val="en-US" w:eastAsia="zh-CN" w:bidi="ar"/>
              </w:rPr>
              <w:t>除尘灰</w:t>
            </w:r>
            <w:r>
              <w:rPr>
                <w:rFonts w:hint="eastAsia" w:ascii="脣脦脤氓" w:hAnsi="脣脦脤氓" w:eastAsia="脣脦脤氓" w:cs="脣脦脤氓"/>
                <w:color w:val="auto"/>
                <w:kern w:val="0"/>
                <w:sz w:val="25"/>
                <w:szCs w:val="25"/>
                <w:lang w:val="en-US" w:eastAsia="zh-CN" w:bidi="ar"/>
              </w:rPr>
              <w:t>及废布袋、</w:t>
            </w:r>
            <w:r>
              <w:rPr>
                <w:rFonts w:hint="default" w:ascii="脣脦脤氓" w:hAnsi="脣脦脤氓" w:eastAsia="脣脦脤氓" w:cs="脣脦脤氓"/>
                <w:color w:val="auto"/>
                <w:kern w:val="0"/>
                <w:sz w:val="25"/>
                <w:szCs w:val="25"/>
                <w:lang w:val="en-US" w:eastAsia="zh-CN" w:bidi="ar"/>
              </w:rPr>
              <w:t>水性漆、塑粉及腻子废包装桶</w:t>
            </w:r>
            <w:r>
              <w:rPr>
                <w:rFonts w:hint="eastAsia" w:ascii="脣脦脤氓" w:hAnsi="脣脦脤氓" w:eastAsia="脣脦脤氓" w:cs="脣脦脤氓"/>
                <w:color w:val="auto"/>
                <w:kern w:val="0"/>
                <w:sz w:val="25"/>
                <w:szCs w:val="25"/>
                <w:lang w:val="en-US" w:eastAsia="zh-CN" w:bidi="ar"/>
              </w:rPr>
              <w:t>、生活垃圾。一般</w:t>
            </w:r>
            <w:r>
              <w:rPr>
                <w:rFonts w:ascii="脣脦脤氓" w:hAnsi="脣脦脤氓" w:eastAsia="脣脦脤氓" w:cs="脣脦脤氓"/>
                <w:color w:val="auto"/>
                <w:kern w:val="0"/>
                <w:sz w:val="25"/>
                <w:szCs w:val="25"/>
                <w:lang w:val="en-US" w:eastAsia="zh-CN" w:bidi="ar"/>
              </w:rPr>
              <w:t>固体废物收集</w:t>
            </w:r>
            <w:r>
              <w:rPr>
                <w:rFonts w:hint="default" w:ascii="脣脦脤氓" w:hAnsi="脣脦脤氓" w:eastAsia="脣脦脤氓" w:cs="脣脦脤氓"/>
                <w:color w:val="auto"/>
                <w:kern w:val="0"/>
                <w:sz w:val="25"/>
                <w:szCs w:val="25"/>
                <w:lang w:val="en-US" w:eastAsia="zh-CN" w:bidi="ar"/>
              </w:rPr>
              <w:t>后全部暂存于一般工业固废暂存间，其中废边角料、废铁屑、</w:t>
            </w:r>
            <w:r>
              <w:rPr>
                <w:rFonts w:hint="eastAsia" w:ascii="脣脦脤氓" w:hAnsi="脣脦脤氓" w:eastAsia="脣脦脤氓" w:cs="脣脦脤氓"/>
                <w:color w:val="auto"/>
                <w:kern w:val="0"/>
                <w:sz w:val="25"/>
                <w:szCs w:val="25"/>
                <w:lang w:val="en-US" w:eastAsia="zh-CN" w:bidi="ar"/>
              </w:rPr>
              <w:t>废钢丸、</w:t>
            </w:r>
            <w:r>
              <w:rPr>
                <w:rFonts w:hint="default" w:ascii="脣脦脤氓" w:hAnsi="脣脦脤氓" w:eastAsia="脣脦脤氓" w:cs="脣脦脤氓"/>
                <w:color w:val="auto"/>
                <w:kern w:val="0"/>
                <w:sz w:val="25"/>
                <w:szCs w:val="25"/>
                <w:lang w:val="en-US" w:eastAsia="zh-CN" w:bidi="ar"/>
              </w:rPr>
              <w:t>除尘灰</w:t>
            </w:r>
            <w:r>
              <w:rPr>
                <w:rFonts w:hint="eastAsia" w:ascii="脣脦脤氓" w:hAnsi="脣脦脤氓" w:eastAsia="脣脦脤氓" w:cs="脣脦脤氓"/>
                <w:color w:val="auto"/>
                <w:kern w:val="0"/>
                <w:sz w:val="25"/>
                <w:szCs w:val="25"/>
                <w:lang w:val="en-US" w:eastAsia="zh-CN" w:bidi="ar"/>
              </w:rPr>
              <w:t>、</w:t>
            </w:r>
            <w:r>
              <w:rPr>
                <w:rFonts w:hint="default" w:ascii="脣脦脤氓" w:hAnsi="脣脦脤氓" w:eastAsia="脣脦脤氓" w:cs="脣脦脤氓"/>
                <w:color w:val="auto"/>
                <w:kern w:val="0"/>
                <w:sz w:val="25"/>
                <w:szCs w:val="25"/>
                <w:lang w:val="en-US" w:eastAsia="zh-CN" w:bidi="ar"/>
              </w:rPr>
              <w:t>废磨料等外售</w:t>
            </w:r>
            <w:r>
              <w:rPr>
                <w:rFonts w:hint="eastAsia" w:ascii="脣脦脤氓" w:hAnsi="脣脦脤氓" w:eastAsia="脣脦脤氓" w:cs="脣脦脤氓"/>
                <w:color w:val="auto"/>
                <w:kern w:val="0"/>
                <w:sz w:val="25"/>
                <w:szCs w:val="25"/>
                <w:lang w:val="en-US" w:eastAsia="zh-CN" w:bidi="ar"/>
              </w:rPr>
              <w:t>相关企业</w:t>
            </w:r>
            <w:r>
              <w:rPr>
                <w:rFonts w:hint="default" w:ascii="脣脦脤氓" w:hAnsi="脣脦脤氓" w:eastAsia="脣脦脤氓" w:cs="脣脦脤氓"/>
                <w:color w:val="auto"/>
                <w:kern w:val="0"/>
                <w:sz w:val="23"/>
                <w:szCs w:val="23"/>
                <w:lang w:val="en-US" w:eastAsia="zh-CN" w:bidi="ar"/>
              </w:rPr>
              <w:t>，</w:t>
            </w:r>
            <w:r>
              <w:rPr>
                <w:rFonts w:hint="eastAsia" w:ascii="脣脦脤氓" w:hAnsi="脣脦脤氓" w:eastAsia="脣脦脤氓" w:cs="脣脦脤氓"/>
                <w:color w:val="auto"/>
                <w:kern w:val="0"/>
                <w:sz w:val="25"/>
                <w:szCs w:val="25"/>
                <w:lang w:val="en-US" w:eastAsia="zh-CN" w:bidi="ar"/>
              </w:rPr>
              <w:t>废焊料、废过滤材料、废布袋与</w:t>
            </w:r>
            <w:r>
              <w:rPr>
                <w:rFonts w:hint="default" w:ascii="脣脦脤氓" w:hAnsi="脣脦脤氓" w:eastAsia="脣脦脤氓" w:cs="脣脦脤氓"/>
                <w:color w:val="auto"/>
                <w:kern w:val="0"/>
                <w:sz w:val="25"/>
                <w:szCs w:val="25"/>
                <w:lang w:val="en-US" w:eastAsia="zh-CN" w:bidi="ar"/>
              </w:rPr>
              <w:t>水性漆、塑粉及腻子废包装桶外售废旧物资收购站，生活垃圾送当地环卫部门指定的地点处置</w:t>
            </w:r>
            <w:r>
              <w:rPr>
                <w:rFonts w:hint="eastAsia" w:ascii="脣脦脤氓" w:hAnsi="脣脦脤氓" w:eastAsia="脣脦脤氓" w:cs="脣脦脤氓"/>
                <w:color w:val="auto"/>
                <w:kern w:val="0"/>
                <w:sz w:val="25"/>
                <w:szCs w:val="25"/>
                <w:lang w:val="en-US" w:eastAsia="zh-CN" w:bidi="ar"/>
              </w:rPr>
              <w:t>。</w:t>
            </w:r>
          </w:p>
          <w:p w14:paraId="3C46C12B">
            <w:pPr>
              <w:pStyle w:val="34"/>
              <w:bidi w:val="0"/>
              <w:rPr>
                <w:rFonts w:hint="eastAsia"/>
                <w:color w:val="auto"/>
                <w:sz w:val="21"/>
                <w:szCs w:val="21"/>
                <w:highlight w:val="none"/>
              </w:rPr>
            </w:pPr>
            <w:r>
              <w:rPr>
                <w:rFonts w:hint="eastAsia"/>
                <w:color w:val="auto"/>
                <w:sz w:val="21"/>
                <w:szCs w:val="21"/>
                <w:highlight w:val="none"/>
              </w:rPr>
              <w:t>表</w:t>
            </w:r>
            <w:r>
              <w:rPr>
                <w:rFonts w:hint="eastAsia"/>
                <w:color w:val="auto"/>
                <w:sz w:val="21"/>
                <w:szCs w:val="21"/>
                <w:highlight w:val="none"/>
                <w:lang w:val="en-US" w:eastAsia="zh-CN"/>
              </w:rPr>
              <w:t xml:space="preserve">44 </w:t>
            </w:r>
            <w:r>
              <w:rPr>
                <w:rFonts w:hint="eastAsia"/>
                <w:color w:val="auto"/>
                <w:sz w:val="21"/>
                <w:szCs w:val="21"/>
                <w:highlight w:val="none"/>
              </w:rPr>
              <w:t xml:space="preserve"> </w:t>
            </w:r>
            <w:r>
              <w:rPr>
                <w:rFonts w:hint="eastAsia"/>
                <w:color w:val="auto"/>
                <w:sz w:val="21"/>
                <w:szCs w:val="21"/>
                <w:highlight w:val="none"/>
                <w:lang w:val="en-US" w:eastAsia="zh-CN"/>
              </w:rPr>
              <w:t>本项目一般固废</w:t>
            </w:r>
            <w:r>
              <w:rPr>
                <w:rFonts w:hint="eastAsia"/>
                <w:color w:val="auto"/>
                <w:sz w:val="21"/>
                <w:szCs w:val="21"/>
                <w:highlight w:val="none"/>
              </w:rPr>
              <w:t>产生量及</w:t>
            </w:r>
            <w:r>
              <w:rPr>
                <w:rFonts w:hint="eastAsia"/>
                <w:color w:val="auto"/>
                <w:sz w:val="21"/>
                <w:szCs w:val="21"/>
                <w:highlight w:val="none"/>
                <w:lang w:val="en-US" w:eastAsia="zh-CN"/>
              </w:rPr>
              <w:t>治理措施</w:t>
            </w:r>
            <w:r>
              <w:rPr>
                <w:rFonts w:hint="eastAsia"/>
                <w:color w:val="auto"/>
                <w:sz w:val="21"/>
                <w:szCs w:val="21"/>
                <w:highlight w:val="none"/>
              </w:rPr>
              <w:t>一览表</w:t>
            </w:r>
          </w:p>
          <w:tbl>
            <w:tblPr>
              <w:tblStyle w:val="20"/>
              <w:tblW w:w="80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290"/>
              <w:gridCol w:w="1011"/>
              <w:gridCol w:w="881"/>
              <w:gridCol w:w="750"/>
              <w:gridCol w:w="2164"/>
              <w:gridCol w:w="1575"/>
            </w:tblGrid>
            <w:tr w14:paraId="234C4B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5" w:type="dxa"/>
                  <w:noWrap w:val="0"/>
                  <w:vAlign w:val="center"/>
                </w:tcPr>
                <w:p w14:paraId="212A09CE">
                  <w:pPr>
                    <w:pStyle w:val="27"/>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290" w:type="dxa"/>
                  <w:noWrap w:val="0"/>
                  <w:vAlign w:val="center"/>
                </w:tcPr>
                <w:p w14:paraId="2BDF35B4">
                  <w:pPr>
                    <w:pStyle w:val="27"/>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011" w:type="dxa"/>
                  <w:noWrap w:val="0"/>
                  <w:vAlign w:val="center"/>
                </w:tcPr>
                <w:p w14:paraId="7DBD45C6">
                  <w:pPr>
                    <w:pStyle w:val="27"/>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产生量（</w:t>
                  </w:r>
                  <w:r>
                    <w:rPr>
                      <w:rFonts w:hint="default" w:ascii="Times New Roman" w:hAnsi="Times New Roman" w:eastAsia="宋体" w:cs="Times New Roman"/>
                      <w:color w:val="auto"/>
                      <w:sz w:val="21"/>
                      <w:szCs w:val="21"/>
                      <w:lang w:val="en-US" w:eastAsia="zh-CN"/>
                    </w:rPr>
                    <w:t>t</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rPr>
                    <w:t>）</w:t>
                  </w:r>
                </w:p>
              </w:tc>
              <w:tc>
                <w:tcPr>
                  <w:tcW w:w="881" w:type="dxa"/>
                  <w:noWrap w:val="0"/>
                  <w:vAlign w:val="center"/>
                </w:tcPr>
                <w:p w14:paraId="581AE94C">
                  <w:pPr>
                    <w:pStyle w:val="27"/>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代码</w:t>
                  </w:r>
                </w:p>
              </w:tc>
              <w:tc>
                <w:tcPr>
                  <w:tcW w:w="750" w:type="dxa"/>
                  <w:noWrap w:val="0"/>
                  <w:vAlign w:val="center"/>
                </w:tcPr>
                <w:p w14:paraId="4FA35AF4">
                  <w:pPr>
                    <w:pStyle w:val="27"/>
                    <w:keepNext w:val="0"/>
                    <w:keepLines w:val="0"/>
                    <w:pageBreakBefore w:val="0"/>
                    <w:kinsoku/>
                    <w:wordWrap/>
                    <w:overflowPunct/>
                    <w:autoSpaceDE/>
                    <w:autoSpaceDN/>
                    <w:bidi w:val="0"/>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属性</w:t>
                  </w:r>
                </w:p>
              </w:tc>
              <w:tc>
                <w:tcPr>
                  <w:tcW w:w="2164" w:type="dxa"/>
                  <w:noWrap w:val="0"/>
                  <w:vAlign w:val="center"/>
                </w:tcPr>
                <w:p w14:paraId="246618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贮存方式</w:t>
                  </w:r>
                </w:p>
              </w:tc>
              <w:tc>
                <w:tcPr>
                  <w:tcW w:w="1575" w:type="dxa"/>
                  <w:noWrap w:val="0"/>
                  <w:vAlign w:val="center"/>
                </w:tcPr>
                <w:p w14:paraId="01E41F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利用及处置方式和去向</w:t>
                  </w:r>
                </w:p>
              </w:tc>
            </w:tr>
            <w:tr w14:paraId="6ECE6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5" w:type="dxa"/>
                  <w:noWrap w:val="0"/>
                  <w:vAlign w:val="center"/>
                </w:tcPr>
                <w:p w14:paraId="28AB53C5">
                  <w:pPr>
                    <w:pStyle w:val="27"/>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rPr>
                  </w:pPr>
                </w:p>
              </w:tc>
              <w:tc>
                <w:tcPr>
                  <w:tcW w:w="1290" w:type="dxa"/>
                  <w:noWrap w:val="0"/>
                  <w:vAlign w:val="center"/>
                </w:tcPr>
                <w:p w14:paraId="28BD9B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废边角料</w:t>
                  </w:r>
                </w:p>
              </w:tc>
              <w:tc>
                <w:tcPr>
                  <w:tcW w:w="1011" w:type="dxa"/>
                  <w:noWrap w:val="0"/>
                  <w:vAlign w:val="center"/>
                </w:tcPr>
                <w:p w14:paraId="294D92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25</w:t>
                  </w:r>
                </w:p>
              </w:tc>
              <w:tc>
                <w:tcPr>
                  <w:tcW w:w="881" w:type="dxa"/>
                  <w:noWrap w:val="0"/>
                  <w:vAlign w:val="center"/>
                </w:tcPr>
                <w:p w14:paraId="559967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213-001-09</w:t>
                  </w:r>
                </w:p>
              </w:tc>
              <w:tc>
                <w:tcPr>
                  <w:tcW w:w="750" w:type="dxa"/>
                  <w:noWrap w:val="0"/>
                  <w:vAlign w:val="center"/>
                </w:tcPr>
                <w:p w14:paraId="3522E69D">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一般固废</w:t>
                  </w:r>
                </w:p>
              </w:tc>
              <w:tc>
                <w:tcPr>
                  <w:tcW w:w="2164" w:type="dxa"/>
                  <w:noWrap w:val="0"/>
                  <w:vAlign w:val="center"/>
                </w:tcPr>
                <w:p w14:paraId="28BC8E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置于一般固废储存区废</w:t>
                  </w:r>
                  <w:r>
                    <w:rPr>
                      <w:rFonts w:hint="default" w:ascii="Times New Roman" w:hAnsi="Times New Roman" w:eastAsia="宋体" w:cs="Times New Roman"/>
                      <w:color w:val="auto"/>
                      <w:kern w:val="2"/>
                      <w:sz w:val="21"/>
                      <w:szCs w:val="21"/>
                      <w:lang w:val="en-US" w:eastAsia="zh-CN" w:bidi="ar-SA"/>
                    </w:rPr>
                    <w:t>边角料</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储存区</w:t>
                  </w:r>
                </w:p>
              </w:tc>
              <w:tc>
                <w:tcPr>
                  <w:tcW w:w="1575" w:type="dxa"/>
                  <w:noWrap w:val="0"/>
                  <w:vAlign w:val="center"/>
                </w:tcPr>
                <w:p w14:paraId="49DBC1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外售钢铁企业作为生产原料</w:t>
                  </w:r>
                </w:p>
              </w:tc>
            </w:tr>
            <w:tr w14:paraId="52AFE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5" w:type="dxa"/>
                  <w:noWrap w:val="0"/>
                  <w:vAlign w:val="center"/>
                </w:tcPr>
                <w:p w14:paraId="6C586C08">
                  <w:pPr>
                    <w:pStyle w:val="27"/>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90" w:type="dxa"/>
                  <w:noWrap w:val="0"/>
                  <w:vAlign w:val="center"/>
                </w:tcPr>
                <w:p w14:paraId="408F60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bidi="ar"/>
                    </w:rPr>
                    <w:t>废焊料</w:t>
                  </w:r>
                </w:p>
              </w:tc>
              <w:tc>
                <w:tcPr>
                  <w:tcW w:w="1011" w:type="dxa"/>
                  <w:noWrap w:val="0"/>
                  <w:vAlign w:val="center"/>
                </w:tcPr>
                <w:p w14:paraId="55E00E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0.0015</w:t>
                  </w:r>
                </w:p>
              </w:tc>
              <w:tc>
                <w:tcPr>
                  <w:tcW w:w="881" w:type="dxa"/>
                  <w:noWrap w:val="0"/>
                  <w:vAlign w:val="center"/>
                </w:tcPr>
                <w:p w14:paraId="5A3CEA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900-999-99</w:t>
                  </w:r>
                </w:p>
              </w:tc>
              <w:tc>
                <w:tcPr>
                  <w:tcW w:w="750" w:type="dxa"/>
                  <w:noWrap w:val="0"/>
                  <w:vAlign w:val="center"/>
                </w:tcPr>
                <w:p w14:paraId="5202B367">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一般固废</w:t>
                  </w:r>
                </w:p>
              </w:tc>
              <w:tc>
                <w:tcPr>
                  <w:tcW w:w="2164" w:type="dxa"/>
                  <w:noWrap w:val="0"/>
                  <w:vAlign w:val="center"/>
                </w:tcPr>
                <w:p w14:paraId="4EE3D2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置于一般固废储存区废</w:t>
                  </w:r>
                  <w:r>
                    <w:rPr>
                      <w:rFonts w:hint="eastAsia" w:cs="Times New Roman"/>
                      <w:color w:val="auto"/>
                      <w:kern w:val="0"/>
                      <w:sz w:val="21"/>
                      <w:szCs w:val="21"/>
                      <w:lang w:val="en-US" w:eastAsia="zh-CN" w:bidi="ar"/>
                    </w:rPr>
                    <w:t>焊料</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储存区</w:t>
                  </w:r>
                </w:p>
              </w:tc>
              <w:tc>
                <w:tcPr>
                  <w:tcW w:w="1575" w:type="dxa"/>
                  <w:noWrap w:val="0"/>
                  <w:vAlign w:val="center"/>
                </w:tcPr>
                <w:p w14:paraId="298345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外售废旧物资收购站</w:t>
                  </w:r>
                </w:p>
              </w:tc>
            </w:tr>
            <w:tr w14:paraId="0D038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5" w:type="dxa"/>
                  <w:noWrap w:val="0"/>
                  <w:vAlign w:val="center"/>
                </w:tcPr>
                <w:p w14:paraId="7CF4007A">
                  <w:pPr>
                    <w:pStyle w:val="27"/>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90" w:type="dxa"/>
                  <w:noWrap w:val="0"/>
                  <w:vAlign w:val="center"/>
                </w:tcPr>
                <w:p w14:paraId="084C9E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水性漆、塑粉及腻子废包装桶</w:t>
                  </w:r>
                </w:p>
              </w:tc>
              <w:tc>
                <w:tcPr>
                  <w:tcW w:w="1011" w:type="dxa"/>
                  <w:noWrap w:val="0"/>
                  <w:vAlign w:val="center"/>
                </w:tcPr>
                <w:p w14:paraId="548FA9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p>
              </w:tc>
              <w:tc>
                <w:tcPr>
                  <w:tcW w:w="881" w:type="dxa"/>
                  <w:noWrap w:val="0"/>
                  <w:vAlign w:val="center"/>
                </w:tcPr>
                <w:p w14:paraId="673214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900-999-99</w:t>
                  </w:r>
                </w:p>
              </w:tc>
              <w:tc>
                <w:tcPr>
                  <w:tcW w:w="750" w:type="dxa"/>
                  <w:noWrap w:val="0"/>
                  <w:vAlign w:val="center"/>
                </w:tcPr>
                <w:p w14:paraId="257A69F4">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一般固废</w:t>
                  </w:r>
                </w:p>
              </w:tc>
              <w:tc>
                <w:tcPr>
                  <w:tcW w:w="2164" w:type="dxa"/>
                  <w:noWrap w:val="0"/>
                  <w:vAlign w:val="center"/>
                </w:tcPr>
                <w:p w14:paraId="736566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置于一般固废储存区废水性漆桶储存区</w:t>
                  </w:r>
                </w:p>
              </w:tc>
              <w:tc>
                <w:tcPr>
                  <w:tcW w:w="1575" w:type="dxa"/>
                  <w:noWrap w:val="0"/>
                  <w:vAlign w:val="center"/>
                </w:tcPr>
                <w:p w14:paraId="350049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外售废旧物资收购站</w:t>
                  </w:r>
                </w:p>
              </w:tc>
            </w:tr>
            <w:tr w14:paraId="1DC57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5" w:type="dxa"/>
                  <w:noWrap w:val="0"/>
                  <w:vAlign w:val="center"/>
                </w:tcPr>
                <w:p w14:paraId="300A66EE">
                  <w:pPr>
                    <w:pStyle w:val="27"/>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90" w:type="dxa"/>
                  <w:noWrap w:val="0"/>
                  <w:vAlign w:val="center"/>
                </w:tcPr>
                <w:p w14:paraId="3657D6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废铁屑</w:t>
                  </w:r>
                </w:p>
              </w:tc>
              <w:tc>
                <w:tcPr>
                  <w:tcW w:w="1011" w:type="dxa"/>
                  <w:noWrap w:val="0"/>
                  <w:vAlign w:val="center"/>
                </w:tcPr>
                <w:p w14:paraId="1B8C63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7.65</w:t>
                  </w:r>
                </w:p>
              </w:tc>
              <w:tc>
                <w:tcPr>
                  <w:tcW w:w="881" w:type="dxa"/>
                  <w:noWrap w:val="0"/>
                  <w:vAlign w:val="center"/>
                </w:tcPr>
                <w:p w14:paraId="12840F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213-002-09</w:t>
                  </w:r>
                </w:p>
              </w:tc>
              <w:tc>
                <w:tcPr>
                  <w:tcW w:w="750" w:type="dxa"/>
                  <w:noWrap w:val="0"/>
                  <w:vAlign w:val="center"/>
                </w:tcPr>
                <w:p w14:paraId="462AA54E">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一般固废</w:t>
                  </w:r>
                </w:p>
              </w:tc>
              <w:tc>
                <w:tcPr>
                  <w:tcW w:w="2164" w:type="dxa"/>
                  <w:noWrap w:val="0"/>
                  <w:vAlign w:val="center"/>
                </w:tcPr>
                <w:p w14:paraId="478E8D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置于一般固废储存区废</w:t>
                  </w:r>
                  <w:r>
                    <w:rPr>
                      <w:rFonts w:hint="default" w:ascii="Times New Roman" w:hAnsi="Times New Roman" w:eastAsia="宋体" w:cs="Times New Roman"/>
                      <w:color w:val="auto"/>
                      <w:kern w:val="0"/>
                      <w:sz w:val="21"/>
                      <w:szCs w:val="21"/>
                      <w:lang w:val="en-US" w:eastAsia="zh-CN" w:bidi="ar"/>
                    </w:rPr>
                    <w:t>铁屑</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储存区</w:t>
                  </w:r>
                </w:p>
              </w:tc>
              <w:tc>
                <w:tcPr>
                  <w:tcW w:w="1575" w:type="dxa"/>
                  <w:noWrap w:val="0"/>
                  <w:vAlign w:val="center"/>
                </w:tcPr>
                <w:p w14:paraId="568EFA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外售钢铁企业作为生产原料</w:t>
                  </w:r>
                </w:p>
              </w:tc>
            </w:tr>
            <w:tr w14:paraId="0E14D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5" w:type="dxa"/>
                  <w:noWrap w:val="0"/>
                  <w:vAlign w:val="center"/>
                </w:tcPr>
                <w:p w14:paraId="3424A3DE">
                  <w:pPr>
                    <w:pStyle w:val="27"/>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90" w:type="dxa"/>
                  <w:noWrap w:val="0"/>
                  <w:vAlign w:val="center"/>
                </w:tcPr>
                <w:p w14:paraId="5E82A5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废磨料</w:t>
                  </w:r>
                </w:p>
              </w:tc>
              <w:tc>
                <w:tcPr>
                  <w:tcW w:w="1011" w:type="dxa"/>
                  <w:noWrap w:val="0"/>
                  <w:vAlign w:val="center"/>
                </w:tcPr>
                <w:p w14:paraId="3E8423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0.007</w:t>
                  </w:r>
                </w:p>
              </w:tc>
              <w:tc>
                <w:tcPr>
                  <w:tcW w:w="881" w:type="dxa"/>
                  <w:noWrap w:val="0"/>
                  <w:vAlign w:val="center"/>
                </w:tcPr>
                <w:p w14:paraId="5C2121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900-999-99</w:t>
                  </w:r>
                </w:p>
              </w:tc>
              <w:tc>
                <w:tcPr>
                  <w:tcW w:w="750" w:type="dxa"/>
                  <w:noWrap w:val="0"/>
                  <w:vAlign w:val="center"/>
                </w:tcPr>
                <w:p w14:paraId="23A9EB27">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lang w:val="en-US" w:eastAsia="zh-CN" w:bidi="ar-SA"/>
                    </w:rPr>
                    <w:t>一般固废</w:t>
                  </w:r>
                </w:p>
              </w:tc>
              <w:tc>
                <w:tcPr>
                  <w:tcW w:w="2164" w:type="dxa"/>
                  <w:noWrap w:val="0"/>
                  <w:vAlign w:val="center"/>
                </w:tcPr>
                <w:p w14:paraId="118CDD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置于一般固废储存区废</w:t>
                  </w:r>
                  <w:r>
                    <w:rPr>
                      <w:rFonts w:hint="default" w:ascii="Times New Roman" w:hAnsi="Times New Roman" w:eastAsia="宋体" w:cs="Times New Roman"/>
                      <w:color w:val="auto"/>
                      <w:kern w:val="0"/>
                      <w:sz w:val="21"/>
                      <w:szCs w:val="21"/>
                      <w:lang w:val="en-US" w:eastAsia="zh-CN" w:bidi="ar"/>
                    </w:rPr>
                    <w:t>磨料</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储存区</w:t>
                  </w:r>
                </w:p>
              </w:tc>
              <w:tc>
                <w:tcPr>
                  <w:tcW w:w="1575" w:type="dxa"/>
                  <w:noWrap w:val="0"/>
                  <w:vAlign w:val="center"/>
                </w:tcPr>
                <w:p w14:paraId="7D1ABD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外售建材企业作为建材原料</w:t>
                  </w:r>
                </w:p>
              </w:tc>
            </w:tr>
            <w:tr w14:paraId="22A58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5" w:type="dxa"/>
                  <w:noWrap w:val="0"/>
                  <w:vAlign w:val="center"/>
                </w:tcPr>
                <w:p w14:paraId="318CDB54">
                  <w:pPr>
                    <w:pStyle w:val="27"/>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90" w:type="dxa"/>
                  <w:noWrap w:val="0"/>
                  <w:vAlign w:val="center"/>
                </w:tcPr>
                <w:p w14:paraId="6B4E18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废钢丸</w:t>
                  </w:r>
                </w:p>
              </w:tc>
              <w:tc>
                <w:tcPr>
                  <w:tcW w:w="1011" w:type="dxa"/>
                  <w:noWrap w:val="0"/>
                  <w:vAlign w:val="center"/>
                </w:tcPr>
                <w:p w14:paraId="2B4B3A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0.008</w:t>
                  </w:r>
                </w:p>
              </w:tc>
              <w:tc>
                <w:tcPr>
                  <w:tcW w:w="881" w:type="dxa"/>
                  <w:noWrap w:val="0"/>
                  <w:vAlign w:val="center"/>
                </w:tcPr>
                <w:p w14:paraId="7B1CAC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213-003-09</w:t>
                  </w:r>
                </w:p>
              </w:tc>
              <w:tc>
                <w:tcPr>
                  <w:tcW w:w="750" w:type="dxa"/>
                  <w:noWrap w:val="0"/>
                  <w:vAlign w:val="center"/>
                </w:tcPr>
                <w:p w14:paraId="1CD2ABFF">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lang w:val="en-US" w:eastAsia="zh-CN" w:bidi="ar-SA"/>
                    </w:rPr>
                    <w:t>一般固废</w:t>
                  </w:r>
                </w:p>
              </w:tc>
              <w:tc>
                <w:tcPr>
                  <w:tcW w:w="2164" w:type="dxa"/>
                  <w:noWrap w:val="0"/>
                  <w:vAlign w:val="center"/>
                </w:tcPr>
                <w:p w14:paraId="6C9F18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置于一般固废储存区废</w:t>
                  </w:r>
                  <w:r>
                    <w:rPr>
                      <w:rFonts w:hint="default" w:ascii="Times New Roman" w:hAnsi="Times New Roman" w:eastAsia="宋体" w:cs="Times New Roman"/>
                      <w:color w:val="auto"/>
                      <w:kern w:val="0"/>
                      <w:sz w:val="21"/>
                      <w:szCs w:val="21"/>
                      <w:lang w:val="en-US" w:eastAsia="zh-CN" w:bidi="ar"/>
                    </w:rPr>
                    <w:t>钢丸</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储存区</w:t>
                  </w:r>
                </w:p>
              </w:tc>
              <w:tc>
                <w:tcPr>
                  <w:tcW w:w="1575" w:type="dxa"/>
                  <w:noWrap w:val="0"/>
                  <w:vAlign w:val="center"/>
                </w:tcPr>
                <w:p w14:paraId="4B4321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pacing w:val="0"/>
                      <w:kern w:val="2"/>
                      <w:sz w:val="21"/>
                      <w:szCs w:val="21"/>
                      <w:highlight w:val="none"/>
                      <w:lang w:val="en-US" w:eastAsia="zh-CN" w:bidi="ar-SA"/>
                    </w:rPr>
                    <w:t>外售钢铁企业作为生产原料</w:t>
                  </w:r>
                </w:p>
              </w:tc>
            </w:tr>
            <w:tr w14:paraId="1BCFB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5" w:type="dxa"/>
                  <w:noWrap w:val="0"/>
                  <w:vAlign w:val="center"/>
                </w:tcPr>
                <w:p w14:paraId="545BD112">
                  <w:pPr>
                    <w:pStyle w:val="27"/>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90" w:type="dxa"/>
                  <w:noWrap w:val="0"/>
                  <w:vAlign w:val="center"/>
                </w:tcPr>
                <w:p w14:paraId="206EC8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除尘灰</w:t>
                  </w:r>
                </w:p>
              </w:tc>
              <w:tc>
                <w:tcPr>
                  <w:tcW w:w="1011" w:type="dxa"/>
                  <w:noWrap w:val="0"/>
                  <w:vAlign w:val="center"/>
                </w:tcPr>
                <w:p w14:paraId="7C06BE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5.88</w:t>
                  </w:r>
                </w:p>
              </w:tc>
              <w:tc>
                <w:tcPr>
                  <w:tcW w:w="881" w:type="dxa"/>
                  <w:noWrap w:val="0"/>
                  <w:vAlign w:val="center"/>
                </w:tcPr>
                <w:p w14:paraId="75661B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900-999-66</w:t>
                  </w:r>
                </w:p>
              </w:tc>
              <w:tc>
                <w:tcPr>
                  <w:tcW w:w="750" w:type="dxa"/>
                  <w:noWrap w:val="0"/>
                  <w:vAlign w:val="center"/>
                </w:tcPr>
                <w:p w14:paraId="2BB0589A">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一般固废</w:t>
                  </w:r>
                </w:p>
              </w:tc>
              <w:tc>
                <w:tcPr>
                  <w:tcW w:w="2164" w:type="dxa"/>
                  <w:noWrap w:val="0"/>
                  <w:vAlign w:val="center"/>
                </w:tcPr>
                <w:p w14:paraId="447D83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置于一般固废储存区</w:t>
                  </w:r>
                  <w:r>
                    <w:rPr>
                      <w:rFonts w:hint="default" w:ascii="Times New Roman" w:hAnsi="Times New Roman" w:eastAsia="宋体" w:cs="Times New Roman"/>
                      <w:color w:val="auto"/>
                      <w:kern w:val="0"/>
                      <w:sz w:val="21"/>
                      <w:szCs w:val="21"/>
                      <w:lang w:val="en-US" w:eastAsia="zh-CN" w:bidi="ar"/>
                    </w:rPr>
                    <w:t>除尘灰</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储存区</w:t>
                  </w:r>
                </w:p>
              </w:tc>
              <w:tc>
                <w:tcPr>
                  <w:tcW w:w="1575" w:type="dxa"/>
                  <w:noWrap w:val="0"/>
                  <w:vAlign w:val="center"/>
                </w:tcPr>
                <w:p w14:paraId="7DEE75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外售钢铁企业作为生产原料</w:t>
                  </w:r>
                </w:p>
              </w:tc>
            </w:tr>
            <w:tr w14:paraId="35E48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5" w:type="dxa"/>
                  <w:noWrap w:val="0"/>
                  <w:vAlign w:val="center"/>
                </w:tcPr>
                <w:p w14:paraId="335C3DC2">
                  <w:pPr>
                    <w:pStyle w:val="27"/>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90" w:type="dxa"/>
                  <w:noWrap w:val="0"/>
                  <w:vAlign w:val="center"/>
                </w:tcPr>
                <w:p w14:paraId="563530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废布袋</w:t>
                  </w:r>
                </w:p>
              </w:tc>
              <w:tc>
                <w:tcPr>
                  <w:tcW w:w="1011" w:type="dxa"/>
                  <w:noWrap w:val="0"/>
                  <w:vAlign w:val="center"/>
                </w:tcPr>
                <w:p w14:paraId="4647A2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0.006</w:t>
                  </w:r>
                </w:p>
              </w:tc>
              <w:tc>
                <w:tcPr>
                  <w:tcW w:w="881" w:type="dxa"/>
                  <w:noWrap w:val="0"/>
                  <w:vAlign w:val="center"/>
                </w:tcPr>
                <w:p w14:paraId="6B3349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2"/>
                      <w:sz w:val="21"/>
                      <w:szCs w:val="21"/>
                      <w:lang w:val="en-US" w:eastAsia="zh-CN" w:bidi="ar-SA"/>
                    </w:rPr>
                  </w:pP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811-001-99</w:t>
                  </w:r>
                </w:p>
              </w:tc>
              <w:tc>
                <w:tcPr>
                  <w:tcW w:w="750" w:type="dxa"/>
                  <w:noWrap w:val="0"/>
                  <w:vAlign w:val="center"/>
                </w:tcPr>
                <w:p w14:paraId="4F3374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一般固废</w:t>
                  </w:r>
                </w:p>
              </w:tc>
              <w:tc>
                <w:tcPr>
                  <w:tcW w:w="2164" w:type="dxa"/>
                  <w:noWrap w:val="0"/>
                  <w:vAlign w:val="center"/>
                </w:tcPr>
                <w:p w14:paraId="4DE28B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置于一般固废储存区废布袋储存区</w:t>
                  </w:r>
                </w:p>
              </w:tc>
              <w:tc>
                <w:tcPr>
                  <w:tcW w:w="1575" w:type="dxa"/>
                  <w:noWrap w:val="0"/>
                  <w:vAlign w:val="center"/>
                </w:tcPr>
                <w:p w14:paraId="555B90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外售废旧物资收购站</w:t>
                  </w:r>
                </w:p>
              </w:tc>
            </w:tr>
            <w:tr w14:paraId="69A25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5" w:type="dxa"/>
                  <w:noWrap w:val="0"/>
                  <w:vAlign w:val="center"/>
                </w:tcPr>
                <w:p w14:paraId="094307E8">
                  <w:pPr>
                    <w:pStyle w:val="27"/>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90" w:type="dxa"/>
                  <w:noWrap w:val="0"/>
                  <w:vAlign w:val="center"/>
                </w:tcPr>
                <w:p w14:paraId="7B423E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焊烟净化器除尘灰</w:t>
                  </w:r>
                </w:p>
              </w:tc>
              <w:tc>
                <w:tcPr>
                  <w:tcW w:w="1011" w:type="dxa"/>
                  <w:noWrap w:val="0"/>
                  <w:vAlign w:val="center"/>
                </w:tcPr>
                <w:p w14:paraId="7D113A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0.000945</w:t>
                  </w:r>
                </w:p>
              </w:tc>
              <w:tc>
                <w:tcPr>
                  <w:tcW w:w="881" w:type="dxa"/>
                  <w:noWrap w:val="0"/>
                  <w:vAlign w:val="center"/>
                </w:tcPr>
                <w:p w14:paraId="3B36D4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811-001-66</w:t>
                  </w:r>
                </w:p>
              </w:tc>
              <w:tc>
                <w:tcPr>
                  <w:tcW w:w="750" w:type="dxa"/>
                  <w:noWrap w:val="0"/>
                  <w:vAlign w:val="center"/>
                </w:tcPr>
                <w:p w14:paraId="57ABA36E">
                  <w:pPr>
                    <w:keepNext w:val="0"/>
                    <w:keepLines w:val="0"/>
                    <w:pageBreakBefore w:val="0"/>
                    <w:kinsoku/>
                    <w:wordWrap/>
                    <w:overflowPunct/>
                    <w:autoSpaceDE/>
                    <w:autoSpaceDN/>
                    <w:bidi w:val="0"/>
                    <w:spacing w:line="240" w:lineRule="auto"/>
                    <w:ind w:firstLine="0" w:firstLineChars="0"/>
                    <w:jc w:val="center"/>
                    <w:textAlignment w:val="auto"/>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一般固废</w:t>
                  </w:r>
                </w:p>
              </w:tc>
              <w:tc>
                <w:tcPr>
                  <w:tcW w:w="2164" w:type="dxa"/>
                  <w:noWrap w:val="0"/>
                  <w:vAlign w:val="center"/>
                </w:tcPr>
                <w:p w14:paraId="1FBF61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置于一般固废储存区</w:t>
                  </w:r>
                  <w:r>
                    <w:rPr>
                      <w:rFonts w:hint="default" w:ascii="Times New Roman" w:hAnsi="Times New Roman" w:eastAsia="宋体" w:cs="Times New Roman"/>
                      <w:color w:val="auto"/>
                      <w:kern w:val="0"/>
                      <w:sz w:val="21"/>
                      <w:szCs w:val="21"/>
                      <w:lang w:val="en-US" w:eastAsia="zh-CN" w:bidi="ar"/>
                    </w:rPr>
                    <w:t>除尘灰</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储存区</w:t>
                  </w:r>
                </w:p>
              </w:tc>
              <w:tc>
                <w:tcPr>
                  <w:tcW w:w="1575" w:type="dxa"/>
                  <w:noWrap w:val="0"/>
                  <w:vAlign w:val="center"/>
                </w:tcPr>
                <w:p w14:paraId="70A76C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外售钢铁企业作为生产原料</w:t>
                  </w:r>
                </w:p>
              </w:tc>
            </w:tr>
            <w:tr w14:paraId="5B3C8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5" w:type="dxa"/>
                  <w:noWrap w:val="0"/>
                  <w:vAlign w:val="center"/>
                </w:tcPr>
                <w:p w14:paraId="0358C09D">
                  <w:pPr>
                    <w:pStyle w:val="27"/>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sz w:val="21"/>
                      <w:szCs w:val="21"/>
                      <w:lang w:val="en-US" w:eastAsia="zh-CN"/>
                    </w:rPr>
                  </w:pPr>
                </w:p>
              </w:tc>
              <w:tc>
                <w:tcPr>
                  <w:tcW w:w="1290" w:type="dxa"/>
                  <w:noWrap w:val="0"/>
                  <w:vAlign w:val="center"/>
                </w:tcPr>
                <w:p w14:paraId="428636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highlight w:val="none"/>
                      <w:shd w:val="clear" w:color="auto" w:fill="auto"/>
                      <w:lang w:val="en-US" w:eastAsia="zh-CN"/>
                    </w:rPr>
                    <w:t>废过滤材料</w:t>
                  </w:r>
                </w:p>
              </w:tc>
              <w:tc>
                <w:tcPr>
                  <w:tcW w:w="1011" w:type="dxa"/>
                  <w:noWrap w:val="0"/>
                  <w:vAlign w:val="center"/>
                </w:tcPr>
                <w:p w14:paraId="7020C7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0.002</w:t>
                  </w:r>
                </w:p>
              </w:tc>
              <w:tc>
                <w:tcPr>
                  <w:tcW w:w="881" w:type="dxa"/>
                  <w:noWrap w:val="0"/>
                  <w:vAlign w:val="center"/>
                </w:tcPr>
                <w:p w14:paraId="508248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811-001-99</w:t>
                  </w:r>
                </w:p>
              </w:tc>
              <w:tc>
                <w:tcPr>
                  <w:tcW w:w="750" w:type="dxa"/>
                  <w:noWrap w:val="0"/>
                  <w:vAlign w:val="center"/>
                </w:tcPr>
                <w:p w14:paraId="4331FA1E">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一般固废</w:t>
                  </w:r>
                </w:p>
              </w:tc>
              <w:tc>
                <w:tcPr>
                  <w:tcW w:w="2164" w:type="dxa"/>
                  <w:noWrap w:val="0"/>
                  <w:vAlign w:val="center"/>
                </w:tcPr>
                <w:p w14:paraId="340B38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0"/>
                      <w:kern w:val="2"/>
                      <w:sz w:val="21"/>
                      <w:szCs w:val="21"/>
                      <w:highlight w:val="none"/>
                      <w:lang w:val="en-US" w:eastAsia="zh-CN" w:bidi="ar-SA"/>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置于一般固废储存区</w:t>
                  </w:r>
                  <w:r>
                    <w:rPr>
                      <w:rFonts w:hint="eastAsia" w:ascii="Times New Roman" w:hAnsi="Times New Roman" w:eastAsia="宋体" w:cs="Times New Roman"/>
                      <w:color w:val="auto"/>
                      <w:sz w:val="21"/>
                      <w:szCs w:val="21"/>
                      <w:highlight w:val="none"/>
                      <w:shd w:val="clear" w:color="auto" w:fill="auto"/>
                      <w:lang w:val="en-US" w:eastAsia="zh-CN"/>
                    </w:rPr>
                    <w:t>废过滤材料</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储存区</w:t>
                  </w:r>
                </w:p>
              </w:tc>
              <w:tc>
                <w:tcPr>
                  <w:tcW w:w="1575" w:type="dxa"/>
                  <w:noWrap w:val="0"/>
                  <w:vAlign w:val="center"/>
                </w:tcPr>
                <w:p w14:paraId="00B72A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外售废旧物资收购站</w:t>
                  </w:r>
                </w:p>
              </w:tc>
            </w:tr>
            <w:tr w14:paraId="53B10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5" w:type="dxa"/>
                  <w:noWrap w:val="0"/>
                  <w:vAlign w:val="center"/>
                </w:tcPr>
                <w:p w14:paraId="76BEB0C1">
                  <w:pPr>
                    <w:pStyle w:val="27"/>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1290" w:type="dxa"/>
                  <w:noWrap w:val="0"/>
                  <w:vAlign w:val="center"/>
                </w:tcPr>
                <w:p w14:paraId="4FFA17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highlight w:val="none"/>
                      <w:lang w:val="en-US" w:eastAsia="zh-CN" w:bidi="ar"/>
                    </w:rPr>
                    <w:t>生活垃圾</w:t>
                  </w:r>
                </w:p>
              </w:tc>
              <w:tc>
                <w:tcPr>
                  <w:tcW w:w="1011" w:type="dxa"/>
                  <w:noWrap w:val="0"/>
                  <w:vAlign w:val="center"/>
                </w:tcPr>
                <w:p w14:paraId="65ACBC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0.75</w:t>
                  </w:r>
                </w:p>
              </w:tc>
              <w:tc>
                <w:tcPr>
                  <w:tcW w:w="881" w:type="dxa"/>
                  <w:noWrap w:val="0"/>
                  <w:vAlign w:val="center"/>
                </w:tcPr>
                <w:p w14:paraId="175B9A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750" w:type="dxa"/>
                  <w:noWrap w:val="0"/>
                  <w:vAlign w:val="center"/>
                </w:tcPr>
                <w:p w14:paraId="29716677">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一般固废</w:t>
                  </w:r>
                </w:p>
              </w:tc>
              <w:tc>
                <w:tcPr>
                  <w:tcW w:w="2164" w:type="dxa"/>
                  <w:noWrap w:val="0"/>
                  <w:vAlign w:val="center"/>
                </w:tcPr>
                <w:p w14:paraId="294C2B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w:t>
                  </w:r>
                </w:p>
              </w:tc>
              <w:tc>
                <w:tcPr>
                  <w:tcW w:w="1575" w:type="dxa"/>
                  <w:noWrap w:val="0"/>
                  <w:vAlign w:val="center"/>
                </w:tcPr>
                <w:p w14:paraId="42660D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送当地环卫部门指定的地点处置</w:t>
                  </w:r>
                </w:p>
              </w:tc>
            </w:tr>
          </w:tbl>
          <w:p w14:paraId="5A2159E8">
            <w:pPr>
              <w:pStyle w:val="13"/>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leftChars="0" w:right="0" w:rightChars="0" w:firstLine="480" w:firstLineChars="200"/>
              <w:textAlignment w:val="auto"/>
              <w:rPr>
                <w:rFonts w:hint="default"/>
                <w:color w:val="auto"/>
                <w:sz w:val="24"/>
                <w:szCs w:val="24"/>
              </w:rPr>
            </w:pPr>
            <w:r>
              <w:rPr>
                <w:rFonts w:hint="default" w:ascii="Times New Roman" w:hAnsi="Times New Roman" w:cs="Times New Roman"/>
                <w:color w:val="auto"/>
                <w:sz w:val="24"/>
                <w:szCs w:val="24"/>
              </w:rPr>
              <w:t>Ⅱ</w:t>
            </w:r>
            <w:r>
              <w:rPr>
                <w:rFonts w:hint="eastAsia"/>
                <w:color w:val="auto"/>
                <w:sz w:val="24"/>
                <w:szCs w:val="24"/>
              </w:rPr>
              <w:t>、</w:t>
            </w:r>
            <w:r>
              <w:rPr>
                <w:rFonts w:hint="eastAsia"/>
                <w:color w:val="auto"/>
                <w:sz w:val="24"/>
                <w:szCs w:val="24"/>
                <w:lang w:val="en-US" w:eastAsia="zh-CN"/>
              </w:rPr>
              <w:t>一般固废</w:t>
            </w:r>
            <w:r>
              <w:rPr>
                <w:rFonts w:hint="default"/>
                <w:color w:val="auto"/>
                <w:sz w:val="24"/>
                <w:szCs w:val="24"/>
              </w:rPr>
              <w:t>环境管理要求</w:t>
            </w:r>
          </w:p>
          <w:p w14:paraId="3A897EE7">
            <w:pPr>
              <w:bidi w:val="0"/>
              <w:ind w:firstLine="480" w:firstLineChars="200"/>
              <w:rPr>
                <w:rFonts w:hint="eastAsia"/>
                <w:color w:val="auto"/>
                <w:highlight w:val="none"/>
              </w:rPr>
            </w:pPr>
            <w:r>
              <w:rPr>
                <w:rFonts w:hint="eastAsia"/>
                <w:color w:val="auto"/>
                <w:highlight w:val="none"/>
              </w:rPr>
              <w:t>本项目拟于</w:t>
            </w:r>
            <w:r>
              <w:rPr>
                <w:rFonts w:hint="eastAsia"/>
                <w:color w:val="auto"/>
                <w:highlight w:val="none"/>
                <w:lang w:val="en-US" w:eastAsia="zh-CN"/>
              </w:rPr>
              <w:t>车间西南侧</w:t>
            </w:r>
            <w:r>
              <w:rPr>
                <w:rFonts w:hint="eastAsia"/>
                <w:color w:val="auto"/>
                <w:highlight w:val="none"/>
              </w:rPr>
              <w:t>设置一</w:t>
            </w:r>
            <w:r>
              <w:rPr>
                <w:rFonts w:hint="eastAsia"/>
                <w:color w:val="auto"/>
                <w:highlight w:val="none"/>
                <w:lang w:val="en-US" w:eastAsia="zh-CN"/>
              </w:rPr>
              <w:t>面积为20m</w:t>
            </w:r>
            <w:r>
              <w:rPr>
                <w:rFonts w:hint="eastAsia"/>
                <w:color w:val="auto"/>
                <w:highlight w:val="none"/>
                <w:vertAlign w:val="superscript"/>
                <w:lang w:val="en-US" w:eastAsia="zh-CN"/>
              </w:rPr>
              <w:t>2</w:t>
            </w:r>
            <w:r>
              <w:rPr>
                <w:rFonts w:hint="eastAsia"/>
                <w:color w:val="auto"/>
                <w:highlight w:val="none"/>
                <w:lang w:val="en-US" w:eastAsia="zh-CN"/>
              </w:rPr>
              <w:t>的</w:t>
            </w:r>
            <w:r>
              <w:rPr>
                <w:rFonts w:hint="eastAsia"/>
                <w:color w:val="auto"/>
                <w:highlight w:val="none"/>
              </w:rPr>
              <w:t>一般固废暂存间，用于一般固废的临时存放。</w:t>
            </w:r>
          </w:p>
          <w:p w14:paraId="0EA418F9">
            <w:pPr>
              <w:bidi w:val="0"/>
              <w:ind w:firstLine="480" w:firstLineChars="200"/>
              <w:rPr>
                <w:color w:val="auto"/>
                <w:highlight w:val="none"/>
              </w:rPr>
            </w:pPr>
            <w:r>
              <w:rPr>
                <w:color w:val="auto"/>
                <w:highlight w:val="none"/>
              </w:rPr>
              <w:t>一般固体废物的具体管理措施如下：</w:t>
            </w:r>
          </w:p>
          <w:p w14:paraId="0A492AC9">
            <w:pPr>
              <w:bidi w:val="0"/>
              <w:ind w:firstLine="480" w:firstLineChars="200"/>
              <w:rPr>
                <w:color w:val="auto"/>
                <w:highlight w:val="none"/>
              </w:rPr>
            </w:pPr>
            <w:r>
              <w:rPr>
                <w:color w:val="auto"/>
                <w:highlight w:val="none"/>
              </w:rPr>
              <w:t>一般工业固体废物</w:t>
            </w:r>
            <w:r>
              <w:rPr>
                <w:rFonts w:hint="eastAsia"/>
                <w:color w:val="auto"/>
                <w:highlight w:val="none"/>
                <w:lang w:val="en-US" w:eastAsia="zh-CN"/>
              </w:rPr>
              <w:t>参照</w:t>
            </w:r>
            <w:r>
              <w:rPr>
                <w:color w:val="auto"/>
                <w:highlight w:val="none"/>
              </w:rPr>
              <w:t>执行《一般工业固体废物贮存和填埋污染控制标准》（GB18599-2020）中的有关规定，各类废物可分类收集、定点堆放在厂区内的一般固废暂存场，同时定期外运处理，作为物资回收再利用。</w:t>
            </w:r>
          </w:p>
          <w:p w14:paraId="30AD1D78">
            <w:pPr>
              <w:bidi w:val="0"/>
              <w:ind w:firstLine="480" w:firstLineChars="200"/>
              <w:rPr>
                <w:rFonts w:hint="eastAsia" w:ascii="Times New Roman" w:hAnsi="Times New Roman" w:eastAsia="宋体" w:cs="Times New Roman"/>
                <w:color w:val="auto"/>
                <w:highlight w:val="none"/>
                <w:lang w:val="en-US" w:eastAsia="zh-CN"/>
              </w:rPr>
            </w:pPr>
            <w:r>
              <w:rPr>
                <w:rFonts w:hint="eastAsia"/>
                <w:color w:val="auto"/>
                <w:highlight w:val="none"/>
                <w:lang w:val="en-US" w:eastAsia="zh-CN"/>
              </w:rPr>
              <w:t>对</w:t>
            </w:r>
            <w:r>
              <w:rPr>
                <w:color w:val="auto"/>
                <w:highlight w:val="none"/>
              </w:rPr>
              <w:t>于需要在厂内暂存的一般固体废物，均由公司统一布置，在车间内的一般固体</w:t>
            </w:r>
            <w:r>
              <w:rPr>
                <w:rFonts w:ascii="Times New Roman" w:hAnsi="Times New Roman" w:eastAsia="宋体" w:cs="Times New Roman"/>
                <w:color w:val="auto"/>
                <w:highlight w:val="none"/>
              </w:rPr>
              <w:t>废物暂存并及时外运。建设单位应严格按照《</w:t>
            </w:r>
            <w:r>
              <w:rPr>
                <w:rFonts w:ascii="Times New Roman" w:hAnsi="Times New Roman" w:eastAsia="宋体" w:cs="Times New Roman"/>
                <w:color w:val="auto"/>
                <w:highlight w:val="none"/>
                <w:lang w:val="en-US" w:eastAsia="zh-CN"/>
              </w:rPr>
              <w:t>一般工业固体废物贮存和填埋污染控制标准</w:t>
            </w:r>
            <w:r>
              <w:rPr>
                <w:rFonts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GB18599-2020</w:t>
            </w:r>
            <w:r>
              <w:rPr>
                <w:rFonts w:ascii="Times New Roman" w:hAnsi="Times New Roman" w:eastAsia="宋体" w:cs="Times New Roman"/>
                <w:color w:val="auto"/>
                <w:highlight w:val="none"/>
              </w:rPr>
              <w:t>）及修改单中相关规定，完善固废暂存场，做到防雨淋、防流失、防渗漏，避免产生二次污染。</w:t>
            </w:r>
          </w:p>
          <w:p w14:paraId="20663E68">
            <w:pPr>
              <w:bidi w:val="0"/>
              <w:rPr>
                <w:rFonts w:hint="eastAsia"/>
                <w:color w:val="auto"/>
                <w:sz w:val="24"/>
                <w:szCs w:val="24"/>
                <w:lang w:val="en-US" w:eastAsia="zh-CN"/>
              </w:rPr>
            </w:pPr>
            <w:r>
              <w:rPr>
                <w:rFonts w:hint="eastAsia"/>
                <w:color w:val="auto"/>
                <w:lang w:val="en-US" w:eastAsia="zh-CN"/>
              </w:rPr>
              <w:t>（2）</w:t>
            </w:r>
            <w:r>
              <w:rPr>
                <w:rFonts w:hint="eastAsia"/>
                <w:color w:val="auto"/>
                <w:sz w:val="24"/>
                <w:szCs w:val="24"/>
                <w:lang w:val="en-US" w:eastAsia="zh-CN"/>
              </w:rPr>
              <w:t>危险废物</w:t>
            </w:r>
          </w:p>
          <w:p w14:paraId="1CBD7C10">
            <w:pPr>
              <w:bidi w:val="0"/>
              <w:rPr>
                <w:rFonts w:hint="eastAsia"/>
                <w:color w:val="auto"/>
                <w:sz w:val="24"/>
                <w:szCs w:val="24"/>
                <w:lang w:val="en-US" w:eastAsia="zh-CN"/>
              </w:rPr>
            </w:pPr>
            <w:r>
              <w:rPr>
                <w:rFonts w:hint="default" w:ascii="Times New Roman" w:hAnsi="Times New Roman" w:cs="Times New Roman"/>
                <w:color w:val="auto"/>
                <w:sz w:val="24"/>
                <w:szCs w:val="24"/>
              </w:rPr>
              <w:t>Ⅰ、</w:t>
            </w:r>
            <w:r>
              <w:rPr>
                <w:rFonts w:hint="default"/>
                <w:color w:val="auto"/>
                <w:sz w:val="24"/>
                <w:szCs w:val="24"/>
              </w:rPr>
              <w:t>危险废物基本情况</w:t>
            </w:r>
          </w:p>
          <w:p w14:paraId="050B6B6A">
            <w:pPr>
              <w:bidi w:val="0"/>
              <w:rPr>
                <w:rFonts w:hint="eastAsia"/>
                <w:color w:val="auto"/>
                <w:lang w:val="en-US" w:eastAsia="zh-CN"/>
              </w:rPr>
            </w:pPr>
            <w:r>
              <w:rPr>
                <w:rFonts w:hint="eastAsia"/>
                <w:color w:val="auto"/>
                <w:lang w:val="en-US" w:eastAsia="zh-CN"/>
              </w:rPr>
              <w:t>本项目危险废物主要为</w:t>
            </w:r>
            <w:r>
              <w:rPr>
                <w:rFonts w:hint="eastAsia" w:cs="Times New Roman"/>
                <w:snapToGrid w:val="0"/>
                <w:color w:val="auto"/>
                <w:kern w:val="0"/>
                <w:sz w:val="24"/>
                <w:szCs w:val="21"/>
                <w:highlight w:val="none"/>
                <w:shd w:val="clear" w:color="auto" w:fill="auto"/>
                <w:lang w:val="en-US" w:eastAsia="zh-CN" w:bidi="ar-SA"/>
              </w:rPr>
              <w:t>生产过程产生的</w:t>
            </w:r>
            <w:r>
              <w:rPr>
                <w:rFonts w:hint="default" w:ascii="脣脦脤氓" w:hAnsi="脣脦脤氓" w:eastAsia="脣脦脤氓" w:cs="脣脦脤氓"/>
                <w:color w:val="auto"/>
                <w:kern w:val="0"/>
                <w:sz w:val="25"/>
                <w:szCs w:val="25"/>
                <w:lang w:val="en-US" w:eastAsia="zh-CN" w:bidi="ar"/>
              </w:rPr>
              <w:t>废润滑油、废液压油、废切削液、含油铁屑、漆渣</w:t>
            </w:r>
            <w:r>
              <w:rPr>
                <w:rFonts w:hint="eastAsia" w:ascii="脣脦脤氓" w:hAnsi="脣脦脤氓" w:eastAsia="脣脦脤氓" w:cs="脣脦脤氓"/>
                <w:color w:val="auto"/>
                <w:kern w:val="0"/>
                <w:sz w:val="25"/>
                <w:szCs w:val="25"/>
                <w:lang w:val="en-US" w:eastAsia="zh-CN" w:bidi="ar"/>
              </w:rPr>
              <w:t>、油性漆及稀释剂废包装桶</w:t>
            </w:r>
            <w:r>
              <w:rPr>
                <w:rFonts w:hint="default" w:ascii="脣脦脤氓" w:hAnsi="脣脦脤氓" w:eastAsia="脣脦脤氓" w:cs="脣脦脤氓"/>
                <w:color w:val="auto"/>
                <w:kern w:val="0"/>
                <w:sz w:val="25"/>
                <w:szCs w:val="25"/>
                <w:lang w:val="en-US" w:eastAsia="zh-CN" w:bidi="ar"/>
              </w:rPr>
              <w:t>、废油桶</w:t>
            </w:r>
            <w:r>
              <w:rPr>
                <w:rFonts w:hint="eastAsia" w:cs="Times New Roman"/>
                <w:snapToGrid w:val="0"/>
                <w:color w:val="auto"/>
                <w:kern w:val="0"/>
                <w:sz w:val="24"/>
                <w:szCs w:val="21"/>
                <w:highlight w:val="none"/>
                <w:shd w:val="clear" w:color="auto" w:fill="auto"/>
                <w:lang w:val="en-US" w:eastAsia="zh-CN" w:bidi="ar-SA"/>
              </w:rPr>
              <w:t>；废气治理设施更换的废过滤棉、废活性炭、废催化剂、废九宫格过滤材料</w:t>
            </w:r>
            <w:r>
              <w:rPr>
                <w:rFonts w:hint="eastAsia"/>
                <w:color w:val="auto"/>
                <w:lang w:val="en-US" w:eastAsia="zh-CN"/>
              </w:rPr>
              <w:t>。</w:t>
            </w:r>
          </w:p>
          <w:p w14:paraId="25B7E928">
            <w:pPr>
              <w:bidi w:val="0"/>
              <w:rPr>
                <w:rFonts w:hint="eastAsia"/>
                <w:color w:val="auto"/>
                <w:sz w:val="24"/>
                <w:szCs w:val="24"/>
                <w:lang w:eastAsia="zh-CN"/>
              </w:rPr>
            </w:pPr>
            <w:r>
              <w:rPr>
                <w:rFonts w:hint="default"/>
                <w:color w:val="auto"/>
                <w:sz w:val="24"/>
                <w:szCs w:val="24"/>
              </w:rPr>
              <w:t>根据《国家危险废物名录</w:t>
            </w:r>
            <w:r>
              <w:rPr>
                <w:rFonts w:hint="eastAsia"/>
                <w:color w:val="auto"/>
                <w:sz w:val="24"/>
                <w:szCs w:val="24"/>
              </w:rPr>
              <w:t>（2021年版）</w:t>
            </w:r>
            <w:r>
              <w:rPr>
                <w:rFonts w:hint="default"/>
                <w:color w:val="auto"/>
                <w:sz w:val="24"/>
                <w:szCs w:val="24"/>
              </w:rPr>
              <w:t>》中的规定</w:t>
            </w:r>
            <w:r>
              <w:rPr>
                <w:rFonts w:hint="eastAsia"/>
                <w:color w:val="auto"/>
                <w:sz w:val="24"/>
                <w:szCs w:val="24"/>
                <w:lang w:eastAsia="zh-CN"/>
              </w:rPr>
              <w:t>，</w:t>
            </w:r>
            <w:r>
              <w:rPr>
                <w:rFonts w:hint="eastAsia"/>
                <w:color w:val="auto"/>
                <w:sz w:val="24"/>
                <w:szCs w:val="24"/>
                <w:lang w:val="en-US" w:eastAsia="zh-CN"/>
              </w:rPr>
              <w:t>本项目</w:t>
            </w:r>
            <w:r>
              <w:rPr>
                <w:rFonts w:hint="eastAsia"/>
                <w:color w:val="auto"/>
                <w:sz w:val="24"/>
                <w:szCs w:val="24"/>
                <w:lang w:eastAsia="zh-CN"/>
              </w:rPr>
              <w:t>危险废物类别、代码、产生量及收集、处置方式见</w:t>
            </w:r>
            <w:r>
              <w:rPr>
                <w:rFonts w:hint="eastAsia"/>
                <w:color w:val="auto"/>
                <w:sz w:val="24"/>
                <w:szCs w:val="24"/>
                <w:lang w:val="en-US" w:eastAsia="zh-CN"/>
              </w:rPr>
              <w:t>下表</w:t>
            </w:r>
            <w:r>
              <w:rPr>
                <w:rFonts w:hint="eastAsia"/>
                <w:color w:val="auto"/>
                <w:sz w:val="24"/>
                <w:szCs w:val="24"/>
                <w:lang w:eastAsia="zh-CN"/>
              </w:rPr>
              <w:t>。</w:t>
            </w:r>
          </w:p>
          <w:p w14:paraId="5D65C426">
            <w:pPr>
              <w:pStyle w:val="34"/>
              <w:bidi w:val="0"/>
              <w:rPr>
                <w:rFonts w:hint="eastAsia"/>
                <w:color w:val="auto"/>
                <w:sz w:val="21"/>
                <w:szCs w:val="21"/>
                <w:highlight w:val="none"/>
              </w:rPr>
            </w:pPr>
            <w:r>
              <w:rPr>
                <w:rFonts w:hint="eastAsia"/>
                <w:color w:val="auto"/>
                <w:sz w:val="21"/>
                <w:szCs w:val="21"/>
                <w:highlight w:val="none"/>
              </w:rPr>
              <w:t>表</w:t>
            </w:r>
            <w:r>
              <w:rPr>
                <w:rFonts w:hint="eastAsia"/>
                <w:color w:val="auto"/>
                <w:sz w:val="21"/>
                <w:szCs w:val="21"/>
                <w:highlight w:val="none"/>
                <w:lang w:val="en-US" w:eastAsia="zh-CN"/>
              </w:rPr>
              <w:t xml:space="preserve">45 </w:t>
            </w:r>
            <w:r>
              <w:rPr>
                <w:rFonts w:hint="eastAsia"/>
                <w:color w:val="auto"/>
                <w:sz w:val="21"/>
                <w:szCs w:val="21"/>
                <w:highlight w:val="none"/>
              </w:rPr>
              <w:t xml:space="preserve"> </w:t>
            </w:r>
            <w:r>
              <w:rPr>
                <w:rFonts w:hint="eastAsia"/>
                <w:color w:val="auto"/>
                <w:sz w:val="21"/>
                <w:szCs w:val="21"/>
                <w:highlight w:val="none"/>
                <w:lang w:val="en-US" w:eastAsia="zh-CN"/>
              </w:rPr>
              <w:t>本项目</w:t>
            </w:r>
            <w:r>
              <w:rPr>
                <w:rFonts w:hint="eastAsia"/>
                <w:color w:val="auto"/>
                <w:sz w:val="21"/>
                <w:szCs w:val="21"/>
                <w:highlight w:val="none"/>
              </w:rPr>
              <w:t>危险废物类别、代码、产生量及收集、处置一览表</w:t>
            </w:r>
          </w:p>
          <w:tbl>
            <w:tblPr>
              <w:tblStyle w:val="20"/>
              <w:tblW w:w="83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4"/>
              <w:gridCol w:w="759"/>
              <w:gridCol w:w="690"/>
              <w:gridCol w:w="780"/>
              <w:gridCol w:w="780"/>
              <w:gridCol w:w="510"/>
              <w:gridCol w:w="855"/>
              <w:gridCol w:w="705"/>
              <w:gridCol w:w="645"/>
              <w:gridCol w:w="1095"/>
              <w:gridCol w:w="1060"/>
            </w:tblGrid>
            <w:tr w14:paraId="073D4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14:paraId="669689EA">
                  <w:pPr>
                    <w:pStyle w:val="27"/>
                    <w:keepNext w:val="0"/>
                    <w:keepLines w:val="0"/>
                    <w:pageBreakBefore w:val="0"/>
                    <w:kinsoku/>
                    <w:wordWrap/>
                    <w:overflowPunct/>
                    <w:autoSpaceDE/>
                    <w:autoSpaceDN/>
                    <w:bidi w:val="0"/>
                    <w:spacing w:line="240" w:lineRule="auto"/>
                    <w:textAlignment w:val="auto"/>
                    <w:rPr>
                      <w:color w:val="auto"/>
                      <w:sz w:val="21"/>
                      <w:szCs w:val="21"/>
                    </w:rPr>
                  </w:pPr>
                  <w:r>
                    <w:rPr>
                      <w:color w:val="auto"/>
                      <w:sz w:val="21"/>
                      <w:szCs w:val="21"/>
                    </w:rPr>
                    <w:t>序号</w:t>
                  </w:r>
                </w:p>
              </w:tc>
              <w:tc>
                <w:tcPr>
                  <w:tcW w:w="759" w:type="dxa"/>
                  <w:noWrap w:val="0"/>
                  <w:vAlign w:val="center"/>
                </w:tcPr>
                <w:p w14:paraId="5AFE8230">
                  <w:pPr>
                    <w:pStyle w:val="27"/>
                    <w:keepNext w:val="0"/>
                    <w:keepLines w:val="0"/>
                    <w:pageBreakBefore w:val="0"/>
                    <w:kinsoku/>
                    <w:wordWrap/>
                    <w:overflowPunct/>
                    <w:autoSpaceDE/>
                    <w:autoSpaceDN/>
                    <w:bidi w:val="0"/>
                    <w:spacing w:line="240" w:lineRule="auto"/>
                    <w:textAlignment w:val="auto"/>
                    <w:rPr>
                      <w:color w:val="auto"/>
                      <w:sz w:val="21"/>
                      <w:szCs w:val="21"/>
                    </w:rPr>
                  </w:pPr>
                  <w:r>
                    <w:rPr>
                      <w:color w:val="auto"/>
                      <w:sz w:val="21"/>
                      <w:szCs w:val="21"/>
                    </w:rPr>
                    <w:t>危废名称</w:t>
                  </w:r>
                </w:p>
              </w:tc>
              <w:tc>
                <w:tcPr>
                  <w:tcW w:w="690" w:type="dxa"/>
                  <w:noWrap w:val="0"/>
                  <w:vAlign w:val="center"/>
                </w:tcPr>
                <w:p w14:paraId="3160D6E1">
                  <w:pPr>
                    <w:pStyle w:val="27"/>
                    <w:keepNext w:val="0"/>
                    <w:keepLines w:val="0"/>
                    <w:pageBreakBefore w:val="0"/>
                    <w:kinsoku/>
                    <w:wordWrap/>
                    <w:overflowPunct/>
                    <w:autoSpaceDE/>
                    <w:autoSpaceDN/>
                    <w:bidi w:val="0"/>
                    <w:spacing w:line="240" w:lineRule="auto"/>
                    <w:textAlignment w:val="auto"/>
                    <w:rPr>
                      <w:color w:val="auto"/>
                      <w:sz w:val="21"/>
                      <w:szCs w:val="21"/>
                    </w:rPr>
                  </w:pPr>
                  <w:r>
                    <w:rPr>
                      <w:color w:val="auto"/>
                      <w:sz w:val="21"/>
                      <w:szCs w:val="21"/>
                    </w:rPr>
                    <w:t>废物类别</w:t>
                  </w:r>
                </w:p>
              </w:tc>
              <w:tc>
                <w:tcPr>
                  <w:tcW w:w="780" w:type="dxa"/>
                  <w:noWrap w:val="0"/>
                  <w:vAlign w:val="center"/>
                </w:tcPr>
                <w:p w14:paraId="61BA0768">
                  <w:pPr>
                    <w:pStyle w:val="27"/>
                    <w:keepNext w:val="0"/>
                    <w:keepLines w:val="0"/>
                    <w:pageBreakBefore w:val="0"/>
                    <w:kinsoku/>
                    <w:wordWrap/>
                    <w:overflowPunct/>
                    <w:autoSpaceDE/>
                    <w:autoSpaceDN/>
                    <w:bidi w:val="0"/>
                    <w:spacing w:line="240" w:lineRule="auto"/>
                    <w:textAlignment w:val="auto"/>
                    <w:rPr>
                      <w:color w:val="auto"/>
                      <w:sz w:val="21"/>
                      <w:szCs w:val="21"/>
                    </w:rPr>
                  </w:pPr>
                  <w:r>
                    <w:rPr>
                      <w:rFonts w:hint="default"/>
                      <w:color w:val="auto"/>
                      <w:sz w:val="21"/>
                      <w:szCs w:val="21"/>
                    </w:rPr>
                    <w:t>危险废物代码</w:t>
                  </w:r>
                </w:p>
              </w:tc>
              <w:tc>
                <w:tcPr>
                  <w:tcW w:w="780" w:type="dxa"/>
                  <w:noWrap w:val="0"/>
                  <w:vAlign w:val="center"/>
                </w:tcPr>
                <w:p w14:paraId="34151B7D">
                  <w:pPr>
                    <w:pStyle w:val="27"/>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产生量（</w:t>
                  </w:r>
                  <w:r>
                    <w:rPr>
                      <w:rFonts w:hint="eastAsia"/>
                      <w:color w:val="auto"/>
                      <w:sz w:val="21"/>
                      <w:szCs w:val="21"/>
                      <w:lang w:val="en-US" w:eastAsia="zh-CN"/>
                    </w:rPr>
                    <w:t>t</w:t>
                  </w:r>
                  <w:r>
                    <w:rPr>
                      <w:rFonts w:hint="default"/>
                      <w:color w:val="auto"/>
                      <w:sz w:val="21"/>
                      <w:szCs w:val="21"/>
                    </w:rPr>
                    <w:t>/</w:t>
                  </w:r>
                  <w:r>
                    <w:rPr>
                      <w:rFonts w:hint="eastAsia"/>
                      <w:color w:val="auto"/>
                      <w:sz w:val="21"/>
                      <w:szCs w:val="21"/>
                      <w:lang w:val="en-US" w:eastAsia="zh-CN"/>
                    </w:rPr>
                    <w:t>a</w:t>
                  </w:r>
                  <w:r>
                    <w:rPr>
                      <w:rFonts w:hint="default"/>
                      <w:color w:val="auto"/>
                      <w:sz w:val="21"/>
                      <w:szCs w:val="21"/>
                    </w:rPr>
                    <w:t>）</w:t>
                  </w:r>
                </w:p>
              </w:tc>
              <w:tc>
                <w:tcPr>
                  <w:tcW w:w="510" w:type="dxa"/>
                  <w:noWrap w:val="0"/>
                  <w:vAlign w:val="center"/>
                </w:tcPr>
                <w:p w14:paraId="7F4F2B9D">
                  <w:pPr>
                    <w:pStyle w:val="27"/>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形态</w:t>
                  </w:r>
                </w:p>
              </w:tc>
              <w:tc>
                <w:tcPr>
                  <w:tcW w:w="855" w:type="dxa"/>
                  <w:noWrap w:val="0"/>
                  <w:vAlign w:val="center"/>
                </w:tcPr>
                <w:p w14:paraId="66EE7164">
                  <w:pPr>
                    <w:pStyle w:val="27"/>
                    <w:keepNext w:val="0"/>
                    <w:keepLines w:val="0"/>
                    <w:pageBreakBefore w:val="0"/>
                    <w:kinsoku/>
                    <w:wordWrap/>
                    <w:overflowPunct/>
                    <w:autoSpaceDE/>
                    <w:autoSpaceDN/>
                    <w:bidi w:val="0"/>
                    <w:spacing w:line="240" w:lineRule="auto"/>
                    <w:textAlignment w:val="auto"/>
                    <w:rPr>
                      <w:rFonts w:hint="default"/>
                      <w:color w:val="auto"/>
                      <w:sz w:val="21"/>
                      <w:szCs w:val="21"/>
                    </w:rPr>
                  </w:pPr>
                  <w:r>
                    <w:rPr>
                      <w:rFonts w:hint="default"/>
                      <w:color w:val="auto"/>
                      <w:sz w:val="21"/>
                      <w:szCs w:val="21"/>
                    </w:rPr>
                    <w:t>有害</w:t>
                  </w:r>
                </w:p>
                <w:p w14:paraId="5E490DB1">
                  <w:pPr>
                    <w:pStyle w:val="27"/>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成分</w:t>
                  </w:r>
                </w:p>
              </w:tc>
              <w:tc>
                <w:tcPr>
                  <w:tcW w:w="705" w:type="dxa"/>
                  <w:noWrap w:val="0"/>
                  <w:vAlign w:val="center"/>
                </w:tcPr>
                <w:p w14:paraId="4A21662A">
                  <w:pPr>
                    <w:pStyle w:val="27"/>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产废周期</w:t>
                  </w:r>
                </w:p>
              </w:tc>
              <w:tc>
                <w:tcPr>
                  <w:tcW w:w="645" w:type="dxa"/>
                  <w:noWrap w:val="0"/>
                  <w:vAlign w:val="center"/>
                </w:tcPr>
                <w:p w14:paraId="05EA7A4D">
                  <w:pPr>
                    <w:pStyle w:val="27"/>
                    <w:keepNext w:val="0"/>
                    <w:keepLines w:val="0"/>
                    <w:pageBreakBefore w:val="0"/>
                    <w:kinsoku/>
                    <w:wordWrap/>
                    <w:overflowPunct/>
                    <w:autoSpaceDE/>
                    <w:autoSpaceDN/>
                    <w:bidi w:val="0"/>
                    <w:spacing w:line="240" w:lineRule="auto"/>
                    <w:textAlignment w:val="auto"/>
                    <w:rPr>
                      <w:rFonts w:hint="default"/>
                      <w:color w:val="auto"/>
                      <w:sz w:val="21"/>
                      <w:szCs w:val="21"/>
                    </w:rPr>
                  </w:pPr>
                  <w:r>
                    <w:rPr>
                      <w:rFonts w:hint="default"/>
                      <w:color w:val="auto"/>
                      <w:sz w:val="21"/>
                      <w:szCs w:val="21"/>
                    </w:rPr>
                    <w:t>危险</w:t>
                  </w:r>
                </w:p>
                <w:p w14:paraId="21754C4F">
                  <w:pPr>
                    <w:pStyle w:val="27"/>
                    <w:keepNext w:val="0"/>
                    <w:keepLines w:val="0"/>
                    <w:pageBreakBefore w:val="0"/>
                    <w:kinsoku/>
                    <w:wordWrap/>
                    <w:overflowPunct/>
                    <w:autoSpaceDE/>
                    <w:autoSpaceDN/>
                    <w:bidi w:val="0"/>
                    <w:spacing w:line="240" w:lineRule="auto"/>
                    <w:textAlignment w:val="auto"/>
                    <w:rPr>
                      <w:rFonts w:hint="eastAsia"/>
                      <w:color w:val="auto"/>
                      <w:sz w:val="21"/>
                      <w:szCs w:val="21"/>
                    </w:rPr>
                  </w:pPr>
                  <w:r>
                    <w:rPr>
                      <w:rFonts w:hint="default"/>
                      <w:color w:val="auto"/>
                      <w:sz w:val="21"/>
                      <w:szCs w:val="21"/>
                    </w:rPr>
                    <w:t>特性</w:t>
                  </w:r>
                </w:p>
              </w:tc>
              <w:tc>
                <w:tcPr>
                  <w:tcW w:w="1095" w:type="dxa"/>
                  <w:noWrap w:val="0"/>
                  <w:vAlign w:val="center"/>
                </w:tcPr>
                <w:p w14:paraId="509B70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贮存方式</w:t>
                  </w:r>
                </w:p>
              </w:tc>
              <w:tc>
                <w:tcPr>
                  <w:tcW w:w="1060" w:type="dxa"/>
                  <w:noWrap w:val="0"/>
                  <w:vAlign w:val="center"/>
                </w:tcPr>
                <w:p w14:paraId="0CDD79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利用及处置方式和去向</w:t>
                  </w:r>
                </w:p>
              </w:tc>
            </w:tr>
            <w:tr w14:paraId="0AA48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14:paraId="2A28EBCF">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eastAsia="宋体"/>
                      <w:color w:val="auto"/>
                      <w:sz w:val="21"/>
                      <w:szCs w:val="21"/>
                      <w:lang w:val="en-US" w:eastAsia="zh-CN"/>
                    </w:rPr>
                  </w:pPr>
                  <w:r>
                    <w:rPr>
                      <w:rFonts w:hint="eastAsia"/>
                      <w:color w:val="auto"/>
                      <w:sz w:val="21"/>
                      <w:szCs w:val="21"/>
                      <w:lang w:val="en-US" w:eastAsia="zh-CN"/>
                    </w:rPr>
                    <w:t>1</w:t>
                  </w:r>
                </w:p>
              </w:tc>
              <w:tc>
                <w:tcPr>
                  <w:tcW w:w="759" w:type="dxa"/>
                  <w:noWrap w:val="0"/>
                  <w:vAlign w:val="center"/>
                </w:tcPr>
                <w:p w14:paraId="5E7E92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废润滑油</w:t>
                  </w:r>
                </w:p>
              </w:tc>
              <w:tc>
                <w:tcPr>
                  <w:tcW w:w="690" w:type="dxa"/>
                  <w:noWrap w:val="0"/>
                  <w:vAlign w:val="center"/>
                </w:tcPr>
                <w:p w14:paraId="2DE540C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780" w:type="dxa"/>
                  <w:noWrap w:val="0"/>
                  <w:vAlign w:val="center"/>
                </w:tcPr>
                <w:p w14:paraId="70E2D8B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900-214-08</w:t>
                  </w:r>
                </w:p>
              </w:tc>
              <w:tc>
                <w:tcPr>
                  <w:tcW w:w="780" w:type="dxa"/>
                  <w:noWrap w:val="0"/>
                  <w:vAlign w:val="center"/>
                </w:tcPr>
                <w:p w14:paraId="3F02F7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0.002</w:t>
                  </w:r>
                </w:p>
              </w:tc>
              <w:tc>
                <w:tcPr>
                  <w:tcW w:w="510" w:type="dxa"/>
                  <w:noWrap w:val="0"/>
                  <w:vAlign w:val="center"/>
                </w:tcPr>
                <w:p w14:paraId="56505FF5">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液态</w:t>
                  </w:r>
                </w:p>
              </w:tc>
              <w:tc>
                <w:tcPr>
                  <w:tcW w:w="855" w:type="dxa"/>
                  <w:noWrap w:val="0"/>
                  <w:vAlign w:val="center"/>
                </w:tcPr>
                <w:p w14:paraId="29EAF12C">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烷烃类有机物</w:t>
                  </w:r>
                </w:p>
              </w:tc>
              <w:tc>
                <w:tcPr>
                  <w:tcW w:w="705" w:type="dxa"/>
                  <w:noWrap w:val="0"/>
                  <w:vAlign w:val="center"/>
                </w:tcPr>
                <w:p w14:paraId="6A5E73E9">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45" w:type="dxa"/>
                  <w:noWrap w:val="0"/>
                  <w:vAlign w:val="center"/>
                </w:tcPr>
                <w:p w14:paraId="05F4F7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0"/>
                      <w:sz w:val="21"/>
                      <w:szCs w:val="21"/>
                    </w:rPr>
                    <w:t>T/ln</w:t>
                  </w:r>
                </w:p>
              </w:tc>
              <w:tc>
                <w:tcPr>
                  <w:tcW w:w="1095" w:type="dxa"/>
                  <w:vMerge w:val="restart"/>
                  <w:noWrap w:val="0"/>
                  <w:vAlign w:val="center"/>
                </w:tcPr>
                <w:p w14:paraId="27F8346C">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highlight w:val="none"/>
                      <w:shd w:val="clear" w:color="auto" w:fill="auto"/>
                      <w:lang w:val="en-US" w:eastAsia="zh-CN"/>
                    </w:rPr>
                    <w:t>桶装加盖，下设托盘，暂存于危废间</w:t>
                  </w:r>
                </w:p>
              </w:tc>
              <w:tc>
                <w:tcPr>
                  <w:tcW w:w="1060" w:type="dxa"/>
                  <w:vMerge w:val="restart"/>
                  <w:noWrap w:val="0"/>
                  <w:vAlign w:val="center"/>
                </w:tcPr>
                <w:p w14:paraId="42BE4BD6">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定期送有资质的危险废物处置单位处置</w:t>
                  </w:r>
                </w:p>
              </w:tc>
            </w:tr>
            <w:tr w14:paraId="00C89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14:paraId="09C99D02">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eastAsia="宋体"/>
                      <w:color w:val="auto"/>
                      <w:sz w:val="21"/>
                      <w:szCs w:val="21"/>
                      <w:lang w:val="en-US" w:eastAsia="zh-CN"/>
                    </w:rPr>
                  </w:pPr>
                  <w:r>
                    <w:rPr>
                      <w:rFonts w:hint="eastAsia"/>
                      <w:color w:val="auto"/>
                      <w:sz w:val="21"/>
                      <w:szCs w:val="21"/>
                      <w:lang w:val="en-US" w:eastAsia="zh-CN"/>
                    </w:rPr>
                    <w:t>2</w:t>
                  </w:r>
                </w:p>
              </w:tc>
              <w:tc>
                <w:tcPr>
                  <w:tcW w:w="759" w:type="dxa"/>
                  <w:noWrap w:val="0"/>
                  <w:vAlign w:val="center"/>
                </w:tcPr>
                <w:p w14:paraId="5D143D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废液压油</w:t>
                  </w:r>
                </w:p>
              </w:tc>
              <w:tc>
                <w:tcPr>
                  <w:tcW w:w="690" w:type="dxa"/>
                  <w:noWrap w:val="0"/>
                  <w:vAlign w:val="center"/>
                </w:tcPr>
                <w:p w14:paraId="39B6309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780" w:type="dxa"/>
                  <w:noWrap w:val="0"/>
                  <w:vAlign w:val="center"/>
                </w:tcPr>
                <w:p w14:paraId="3ACE7C9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900-218-08</w:t>
                  </w:r>
                </w:p>
              </w:tc>
              <w:tc>
                <w:tcPr>
                  <w:tcW w:w="780" w:type="dxa"/>
                  <w:noWrap w:val="0"/>
                  <w:vAlign w:val="center"/>
                </w:tcPr>
                <w:p w14:paraId="682207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p>
              </w:tc>
              <w:tc>
                <w:tcPr>
                  <w:tcW w:w="510" w:type="dxa"/>
                  <w:noWrap w:val="0"/>
                  <w:vAlign w:val="center"/>
                </w:tcPr>
                <w:p w14:paraId="5F6FF8F8">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液态</w:t>
                  </w:r>
                </w:p>
              </w:tc>
              <w:tc>
                <w:tcPr>
                  <w:tcW w:w="855" w:type="dxa"/>
                  <w:noWrap w:val="0"/>
                  <w:vAlign w:val="center"/>
                </w:tcPr>
                <w:p w14:paraId="6647BF0B">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烷烃类有机物</w:t>
                  </w:r>
                </w:p>
              </w:tc>
              <w:tc>
                <w:tcPr>
                  <w:tcW w:w="705" w:type="dxa"/>
                  <w:noWrap w:val="0"/>
                  <w:vAlign w:val="center"/>
                </w:tcPr>
                <w:p w14:paraId="5BD625B3">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45" w:type="dxa"/>
                  <w:noWrap w:val="0"/>
                  <w:vAlign w:val="center"/>
                </w:tcPr>
                <w:p w14:paraId="1C41C1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0"/>
                      <w:sz w:val="21"/>
                      <w:szCs w:val="21"/>
                    </w:rPr>
                    <w:t>T/ln</w:t>
                  </w:r>
                </w:p>
              </w:tc>
              <w:tc>
                <w:tcPr>
                  <w:tcW w:w="1095" w:type="dxa"/>
                  <w:vMerge w:val="continue"/>
                  <w:noWrap w:val="0"/>
                  <w:vAlign w:val="center"/>
                </w:tcPr>
                <w:p w14:paraId="0E7651AB">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1060" w:type="dxa"/>
                  <w:vMerge w:val="continue"/>
                  <w:noWrap w:val="0"/>
                  <w:vAlign w:val="center"/>
                </w:tcPr>
                <w:p w14:paraId="4E7D51EE">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r>
            <w:tr w14:paraId="6A67D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14:paraId="73D81E09">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eastAsia="宋体"/>
                      <w:color w:val="auto"/>
                      <w:sz w:val="21"/>
                      <w:szCs w:val="21"/>
                      <w:lang w:val="en-US" w:eastAsia="zh-CN"/>
                    </w:rPr>
                  </w:pPr>
                  <w:r>
                    <w:rPr>
                      <w:rFonts w:hint="eastAsia"/>
                      <w:color w:val="auto"/>
                      <w:sz w:val="21"/>
                      <w:szCs w:val="21"/>
                      <w:lang w:val="en-US" w:eastAsia="zh-CN"/>
                    </w:rPr>
                    <w:t>3</w:t>
                  </w:r>
                </w:p>
              </w:tc>
              <w:tc>
                <w:tcPr>
                  <w:tcW w:w="759" w:type="dxa"/>
                  <w:noWrap w:val="0"/>
                  <w:vAlign w:val="center"/>
                </w:tcPr>
                <w:p w14:paraId="7140C3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废切削液</w:t>
                  </w:r>
                </w:p>
              </w:tc>
              <w:tc>
                <w:tcPr>
                  <w:tcW w:w="690" w:type="dxa"/>
                  <w:noWrap w:val="0"/>
                  <w:vAlign w:val="center"/>
                </w:tcPr>
                <w:p w14:paraId="4C745AC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780" w:type="dxa"/>
                  <w:noWrap w:val="0"/>
                  <w:vAlign w:val="center"/>
                </w:tcPr>
                <w:p w14:paraId="3EA82E8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900-006-09</w:t>
                  </w:r>
                </w:p>
              </w:tc>
              <w:tc>
                <w:tcPr>
                  <w:tcW w:w="780" w:type="dxa"/>
                  <w:noWrap w:val="0"/>
                  <w:vAlign w:val="center"/>
                </w:tcPr>
                <w:p w14:paraId="4D4DA1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p>
              </w:tc>
              <w:tc>
                <w:tcPr>
                  <w:tcW w:w="510" w:type="dxa"/>
                  <w:noWrap w:val="0"/>
                  <w:vAlign w:val="center"/>
                </w:tcPr>
                <w:p w14:paraId="2522D5F1">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液态</w:t>
                  </w:r>
                </w:p>
              </w:tc>
              <w:tc>
                <w:tcPr>
                  <w:tcW w:w="855" w:type="dxa"/>
                  <w:noWrap w:val="0"/>
                  <w:vAlign w:val="center"/>
                </w:tcPr>
                <w:p w14:paraId="3074C670">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烷烃类有机物</w:t>
                  </w:r>
                </w:p>
              </w:tc>
              <w:tc>
                <w:tcPr>
                  <w:tcW w:w="705" w:type="dxa"/>
                  <w:noWrap w:val="0"/>
                  <w:vAlign w:val="center"/>
                </w:tcPr>
                <w:p w14:paraId="58745239">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45" w:type="dxa"/>
                  <w:noWrap w:val="0"/>
                  <w:vAlign w:val="center"/>
                </w:tcPr>
                <w:p w14:paraId="6C529D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0"/>
                      <w:sz w:val="21"/>
                      <w:szCs w:val="21"/>
                    </w:rPr>
                    <w:t>T/ln</w:t>
                  </w:r>
                </w:p>
              </w:tc>
              <w:tc>
                <w:tcPr>
                  <w:tcW w:w="1095" w:type="dxa"/>
                  <w:vMerge w:val="continue"/>
                  <w:noWrap w:val="0"/>
                  <w:vAlign w:val="center"/>
                </w:tcPr>
                <w:p w14:paraId="092D12CC">
                  <w:pPr>
                    <w:pStyle w:val="27"/>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p>
              </w:tc>
              <w:tc>
                <w:tcPr>
                  <w:tcW w:w="1060" w:type="dxa"/>
                  <w:vMerge w:val="continue"/>
                  <w:noWrap w:val="0"/>
                  <w:vAlign w:val="center"/>
                </w:tcPr>
                <w:p w14:paraId="261CE1DA">
                  <w:pPr>
                    <w:pStyle w:val="27"/>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p>
              </w:tc>
            </w:tr>
            <w:tr w14:paraId="58ED1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14:paraId="6D7749A2">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color w:val="auto"/>
                      <w:sz w:val="21"/>
                      <w:szCs w:val="21"/>
                      <w:lang w:val="en-US" w:eastAsia="zh-CN"/>
                    </w:rPr>
                  </w:pPr>
                  <w:r>
                    <w:rPr>
                      <w:rFonts w:hint="eastAsia"/>
                      <w:color w:val="auto"/>
                      <w:sz w:val="21"/>
                      <w:szCs w:val="21"/>
                      <w:lang w:val="en-US" w:eastAsia="zh-CN"/>
                    </w:rPr>
                    <w:t>4</w:t>
                  </w:r>
                </w:p>
              </w:tc>
              <w:tc>
                <w:tcPr>
                  <w:tcW w:w="759" w:type="dxa"/>
                  <w:noWrap w:val="0"/>
                  <w:vAlign w:val="center"/>
                </w:tcPr>
                <w:p w14:paraId="55BBF3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含油铁屑</w:t>
                  </w:r>
                </w:p>
              </w:tc>
              <w:tc>
                <w:tcPr>
                  <w:tcW w:w="690" w:type="dxa"/>
                  <w:noWrap w:val="0"/>
                  <w:vAlign w:val="center"/>
                </w:tcPr>
                <w:p w14:paraId="53054F3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780" w:type="dxa"/>
                  <w:noWrap w:val="0"/>
                  <w:vAlign w:val="center"/>
                </w:tcPr>
                <w:p w14:paraId="394814B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900-006-09</w:t>
                  </w:r>
                </w:p>
              </w:tc>
              <w:tc>
                <w:tcPr>
                  <w:tcW w:w="780" w:type="dxa"/>
                  <w:noWrap w:val="0"/>
                  <w:vAlign w:val="center"/>
                </w:tcPr>
                <w:p w14:paraId="5DD689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p>
              </w:tc>
              <w:tc>
                <w:tcPr>
                  <w:tcW w:w="510" w:type="dxa"/>
                  <w:noWrap w:val="0"/>
                  <w:vAlign w:val="center"/>
                </w:tcPr>
                <w:p w14:paraId="6CF44963">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855" w:type="dxa"/>
                  <w:noWrap w:val="0"/>
                  <w:vAlign w:val="center"/>
                </w:tcPr>
                <w:p w14:paraId="1117C83F">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烷烃类有机物</w:t>
                  </w:r>
                </w:p>
              </w:tc>
              <w:tc>
                <w:tcPr>
                  <w:tcW w:w="705" w:type="dxa"/>
                  <w:noWrap w:val="0"/>
                  <w:vAlign w:val="center"/>
                </w:tcPr>
                <w:p w14:paraId="60A72902">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45" w:type="dxa"/>
                  <w:noWrap w:val="0"/>
                  <w:vAlign w:val="center"/>
                </w:tcPr>
                <w:p w14:paraId="329273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0"/>
                      <w:sz w:val="21"/>
                      <w:szCs w:val="21"/>
                    </w:rPr>
                    <w:t>T/ln</w:t>
                  </w:r>
                </w:p>
              </w:tc>
              <w:tc>
                <w:tcPr>
                  <w:tcW w:w="1095" w:type="dxa"/>
                  <w:noWrap w:val="0"/>
                  <w:vAlign w:val="center"/>
                </w:tcPr>
                <w:p w14:paraId="3FD6C3BC">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highlight w:val="none"/>
                      <w:shd w:val="clear" w:color="auto" w:fill="auto"/>
                      <w:lang w:val="en-US" w:eastAsia="zh-CN"/>
                    </w:rPr>
                    <w:t>专用容器收集，</w:t>
                  </w:r>
                  <w:r>
                    <w:rPr>
                      <w:rFonts w:hint="default" w:ascii="Times New Roman" w:hAnsi="Times New Roman" w:eastAsia="宋体" w:cs="Times New Roman"/>
                      <w:color w:val="auto"/>
                      <w:kern w:val="0"/>
                      <w:sz w:val="21"/>
                      <w:szCs w:val="21"/>
                      <w:lang w:val="en-US" w:eastAsia="zh-CN" w:bidi="ar"/>
                    </w:rPr>
                    <w:t>经甩干机甩干达到静置无滴漏后打包压块暂存于危废暂存间</w:t>
                  </w:r>
                </w:p>
              </w:tc>
              <w:tc>
                <w:tcPr>
                  <w:tcW w:w="1060" w:type="dxa"/>
                  <w:noWrap w:val="0"/>
                  <w:vAlign w:val="center"/>
                </w:tcPr>
                <w:p w14:paraId="4D76944E">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定期外售钢铁企业作为冶炼原料，甩干过程产生的废液与废润滑油等一并处置</w:t>
                  </w:r>
                </w:p>
              </w:tc>
            </w:tr>
            <w:tr w14:paraId="3E4C5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14:paraId="328042D8">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color w:val="auto"/>
                      <w:sz w:val="21"/>
                      <w:szCs w:val="21"/>
                      <w:lang w:val="en-US" w:eastAsia="zh-CN"/>
                    </w:rPr>
                  </w:pPr>
                  <w:r>
                    <w:rPr>
                      <w:rFonts w:hint="eastAsia"/>
                      <w:color w:val="auto"/>
                      <w:sz w:val="21"/>
                      <w:szCs w:val="21"/>
                      <w:lang w:val="en-US" w:eastAsia="zh-CN"/>
                    </w:rPr>
                    <w:t>5</w:t>
                  </w:r>
                </w:p>
              </w:tc>
              <w:tc>
                <w:tcPr>
                  <w:tcW w:w="759" w:type="dxa"/>
                  <w:noWrap w:val="0"/>
                  <w:vAlign w:val="center"/>
                </w:tcPr>
                <w:p w14:paraId="0C4380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漆渣</w:t>
                  </w:r>
                </w:p>
              </w:tc>
              <w:tc>
                <w:tcPr>
                  <w:tcW w:w="690" w:type="dxa"/>
                  <w:noWrap w:val="0"/>
                  <w:vAlign w:val="center"/>
                </w:tcPr>
                <w:p w14:paraId="6644AA3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780" w:type="dxa"/>
                  <w:noWrap w:val="0"/>
                  <w:vAlign w:val="center"/>
                </w:tcPr>
                <w:p w14:paraId="2810BE0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900-006-09</w:t>
                  </w:r>
                </w:p>
              </w:tc>
              <w:tc>
                <w:tcPr>
                  <w:tcW w:w="780" w:type="dxa"/>
                  <w:noWrap w:val="0"/>
                  <w:vAlign w:val="center"/>
                </w:tcPr>
                <w:p w14:paraId="237A75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0.64</w:t>
                  </w:r>
                </w:p>
              </w:tc>
              <w:tc>
                <w:tcPr>
                  <w:tcW w:w="510" w:type="dxa"/>
                  <w:noWrap w:val="0"/>
                  <w:vAlign w:val="center"/>
                </w:tcPr>
                <w:p w14:paraId="42A14D06">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lang w:val="en-US" w:eastAsia="zh-CN"/>
                    </w:rPr>
                    <w:t>固态</w:t>
                  </w:r>
                </w:p>
              </w:tc>
              <w:tc>
                <w:tcPr>
                  <w:tcW w:w="855" w:type="dxa"/>
                  <w:noWrap w:val="0"/>
                  <w:vAlign w:val="center"/>
                </w:tcPr>
                <w:p w14:paraId="33EBBC66">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lang w:val="en-US" w:eastAsia="zh-CN" w:bidi="ar-SA"/>
                    </w:rPr>
                  </w:pPr>
                  <w:r>
                    <w:rPr>
                      <w:rFonts w:hint="eastAsia" w:cs="Times New Roman"/>
                      <w:color w:val="auto"/>
                      <w:sz w:val="21"/>
                      <w:szCs w:val="21"/>
                      <w:lang w:val="en-US" w:eastAsia="zh-CN"/>
                    </w:rPr>
                    <w:t>有机化合物</w:t>
                  </w:r>
                </w:p>
              </w:tc>
              <w:tc>
                <w:tcPr>
                  <w:tcW w:w="705" w:type="dxa"/>
                  <w:noWrap w:val="0"/>
                  <w:vAlign w:val="center"/>
                </w:tcPr>
                <w:p w14:paraId="0D176C68">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45" w:type="dxa"/>
                  <w:noWrap w:val="0"/>
                  <w:vAlign w:val="center"/>
                </w:tcPr>
                <w:p w14:paraId="6DFA34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rPr>
                    <w:t>T/ln</w:t>
                  </w:r>
                </w:p>
              </w:tc>
              <w:tc>
                <w:tcPr>
                  <w:tcW w:w="1095" w:type="dxa"/>
                  <w:noWrap w:val="0"/>
                  <w:vAlign w:val="center"/>
                </w:tcPr>
                <w:p w14:paraId="12103845">
                  <w:pPr>
                    <w:pStyle w:val="27"/>
                    <w:keepNext w:val="0"/>
                    <w:keepLines w:val="0"/>
                    <w:pageBreakBefore w:val="0"/>
                    <w:kinsoku/>
                    <w:wordWrap/>
                    <w:overflowPunct/>
                    <w:autoSpaceDE/>
                    <w:autoSpaceDN/>
                    <w:bidi w:val="0"/>
                    <w:spacing w:line="240" w:lineRule="auto"/>
                    <w:ind w:firstLine="0" w:firstLineChars="0"/>
                    <w:textAlignment w:val="auto"/>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highlight w:val="none"/>
                      <w:shd w:val="clear" w:color="auto" w:fill="auto"/>
                      <w:lang w:val="en-US" w:eastAsia="zh-CN"/>
                    </w:rPr>
                    <w:t>桶装加盖，暂存于危废间</w:t>
                  </w:r>
                </w:p>
              </w:tc>
              <w:tc>
                <w:tcPr>
                  <w:tcW w:w="1060" w:type="dxa"/>
                  <w:noWrap w:val="0"/>
                  <w:vAlign w:val="center"/>
                </w:tcPr>
                <w:p w14:paraId="62C9C52B">
                  <w:pPr>
                    <w:pStyle w:val="27"/>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r>
                    <w:rPr>
                      <w:rFonts w:hint="default" w:ascii="Times New Roman" w:hAnsi="Times New Roman" w:eastAsia="宋体" w:cs="Times New Roman"/>
                      <w:color w:val="auto"/>
                      <w:kern w:val="0"/>
                      <w:sz w:val="21"/>
                      <w:szCs w:val="21"/>
                      <w:lang w:val="en-US" w:eastAsia="zh-CN" w:bidi="ar"/>
                    </w:rPr>
                    <w:t>定期送有资质的危险废物处置单位处置</w:t>
                  </w:r>
                </w:p>
              </w:tc>
            </w:tr>
            <w:tr w14:paraId="3FB7D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14:paraId="462C5183">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w:t>
                  </w:r>
                </w:p>
              </w:tc>
              <w:tc>
                <w:tcPr>
                  <w:tcW w:w="759" w:type="dxa"/>
                  <w:noWrap w:val="0"/>
                  <w:vAlign w:val="center"/>
                </w:tcPr>
                <w:p w14:paraId="5FD851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油性漆及稀释剂废</w:t>
                  </w:r>
                  <w:r>
                    <w:rPr>
                      <w:rFonts w:hint="default" w:cs="Times New Roman"/>
                      <w:color w:val="auto"/>
                      <w:kern w:val="2"/>
                      <w:sz w:val="21"/>
                      <w:szCs w:val="21"/>
                      <w:highlight w:val="none"/>
                      <w:lang w:val="en-US" w:eastAsia="zh-CN" w:bidi="ar-SA"/>
                    </w:rPr>
                    <w:t>包装桶</w:t>
                  </w:r>
                </w:p>
              </w:tc>
              <w:tc>
                <w:tcPr>
                  <w:tcW w:w="690" w:type="dxa"/>
                  <w:noWrap w:val="0"/>
                  <w:vAlign w:val="center"/>
                </w:tcPr>
                <w:p w14:paraId="7C54AA8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HW49</w:t>
                  </w:r>
                </w:p>
              </w:tc>
              <w:tc>
                <w:tcPr>
                  <w:tcW w:w="780" w:type="dxa"/>
                  <w:noWrap w:val="0"/>
                  <w:vAlign w:val="center"/>
                </w:tcPr>
                <w:p w14:paraId="599F03B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900-041-49</w:t>
                  </w:r>
                </w:p>
              </w:tc>
              <w:tc>
                <w:tcPr>
                  <w:tcW w:w="780" w:type="dxa"/>
                  <w:noWrap w:val="0"/>
                  <w:vAlign w:val="center"/>
                </w:tcPr>
                <w:p w14:paraId="68D62D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p>
              </w:tc>
              <w:tc>
                <w:tcPr>
                  <w:tcW w:w="510" w:type="dxa"/>
                  <w:noWrap w:val="0"/>
                  <w:vAlign w:val="center"/>
                </w:tcPr>
                <w:p w14:paraId="58E647FD">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855" w:type="dxa"/>
                  <w:noWrap w:val="0"/>
                  <w:vAlign w:val="center"/>
                </w:tcPr>
                <w:p w14:paraId="170BE9D3">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cs="Times New Roman"/>
                      <w:color w:val="auto"/>
                      <w:sz w:val="21"/>
                      <w:szCs w:val="21"/>
                      <w:lang w:val="en-US" w:eastAsia="zh-CN"/>
                    </w:rPr>
                    <w:t>有机化合物</w:t>
                  </w:r>
                </w:p>
              </w:tc>
              <w:tc>
                <w:tcPr>
                  <w:tcW w:w="705" w:type="dxa"/>
                  <w:noWrap w:val="0"/>
                  <w:vAlign w:val="center"/>
                </w:tcPr>
                <w:p w14:paraId="2F8570F0">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45" w:type="dxa"/>
                  <w:noWrap w:val="0"/>
                  <w:vAlign w:val="center"/>
                </w:tcPr>
                <w:p w14:paraId="0AD174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rPr>
                    <w:t>T/ln</w:t>
                  </w:r>
                </w:p>
              </w:tc>
              <w:tc>
                <w:tcPr>
                  <w:tcW w:w="1095" w:type="dxa"/>
                  <w:vMerge w:val="restart"/>
                  <w:noWrap w:val="0"/>
                  <w:vAlign w:val="center"/>
                </w:tcPr>
                <w:p w14:paraId="73BFD0A6">
                  <w:pPr>
                    <w:pStyle w:val="27"/>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r>
                    <w:rPr>
                      <w:rFonts w:hint="eastAsia" w:ascii="Times New Roman" w:hAnsi="Times New Roman" w:eastAsia="宋体" w:cs="Times New Roman"/>
                      <w:color w:val="auto"/>
                      <w:sz w:val="21"/>
                      <w:szCs w:val="21"/>
                      <w:highlight w:val="none"/>
                      <w:shd w:val="clear" w:color="auto" w:fill="auto"/>
                      <w:lang w:val="en-US" w:eastAsia="zh-CN"/>
                    </w:rPr>
                    <w:t>暂存于危废间</w:t>
                  </w:r>
                </w:p>
              </w:tc>
              <w:tc>
                <w:tcPr>
                  <w:tcW w:w="1060" w:type="dxa"/>
                  <w:vMerge w:val="restart"/>
                  <w:noWrap w:val="0"/>
                  <w:vAlign w:val="center"/>
                </w:tcPr>
                <w:p w14:paraId="4F19E52A">
                  <w:pPr>
                    <w:pStyle w:val="27"/>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r>
                    <w:rPr>
                      <w:rFonts w:hint="default" w:ascii="Times New Roman" w:hAnsi="Times New Roman" w:eastAsia="宋体" w:cs="Times New Roman"/>
                      <w:color w:val="auto"/>
                      <w:kern w:val="0"/>
                      <w:sz w:val="21"/>
                      <w:szCs w:val="21"/>
                      <w:lang w:val="en-US" w:eastAsia="zh-CN" w:bidi="ar"/>
                    </w:rPr>
                    <w:t>定期送有资质的危险废物处置单位处置</w:t>
                  </w:r>
                </w:p>
              </w:tc>
            </w:tr>
            <w:tr w14:paraId="19A1A2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14:paraId="2DFC2043">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w:t>
                  </w:r>
                </w:p>
              </w:tc>
              <w:tc>
                <w:tcPr>
                  <w:tcW w:w="759" w:type="dxa"/>
                  <w:noWrap w:val="0"/>
                  <w:vAlign w:val="center"/>
                </w:tcPr>
                <w:p w14:paraId="6F547E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废油桶</w:t>
                  </w:r>
                </w:p>
              </w:tc>
              <w:tc>
                <w:tcPr>
                  <w:tcW w:w="690" w:type="dxa"/>
                  <w:noWrap w:val="0"/>
                  <w:vAlign w:val="center"/>
                </w:tcPr>
                <w:p w14:paraId="61FE915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780" w:type="dxa"/>
                  <w:noWrap w:val="0"/>
                  <w:vAlign w:val="center"/>
                </w:tcPr>
                <w:p w14:paraId="580D3CF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w:t>
                  </w:r>
                  <w:r>
                    <w:rPr>
                      <w:rFonts w:hint="eastAsia" w:ascii="Times New Roman" w:hAnsi="Times New Roman" w:eastAsia="宋体" w:cs="Times New Roman"/>
                      <w:color w:val="auto"/>
                      <w:sz w:val="21"/>
                      <w:szCs w:val="21"/>
                      <w:lang w:val="en-US" w:eastAsia="zh-CN"/>
                    </w:rPr>
                    <w:t>249</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08</w:t>
                  </w:r>
                </w:p>
              </w:tc>
              <w:tc>
                <w:tcPr>
                  <w:tcW w:w="780" w:type="dxa"/>
                  <w:noWrap w:val="0"/>
                  <w:vAlign w:val="center"/>
                </w:tcPr>
                <w:p w14:paraId="2EF277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p>
              </w:tc>
              <w:tc>
                <w:tcPr>
                  <w:tcW w:w="510" w:type="dxa"/>
                  <w:noWrap w:val="0"/>
                  <w:vAlign w:val="center"/>
                </w:tcPr>
                <w:p w14:paraId="52D7E823">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855" w:type="dxa"/>
                  <w:noWrap w:val="0"/>
                  <w:vAlign w:val="center"/>
                </w:tcPr>
                <w:p w14:paraId="06CF2B82">
                  <w:pPr>
                    <w:keepNext w:val="0"/>
                    <w:keepLines w:val="0"/>
                    <w:pageBreakBefore w:val="0"/>
                    <w:widowControl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18"/>
                      <w:sz w:val="21"/>
                      <w:szCs w:val="21"/>
                      <w:lang w:val="en-US" w:eastAsia="zh-CN"/>
                    </w:rPr>
                    <w:t>烷烃类有机物</w:t>
                  </w:r>
                </w:p>
              </w:tc>
              <w:tc>
                <w:tcPr>
                  <w:tcW w:w="705" w:type="dxa"/>
                  <w:noWrap w:val="0"/>
                  <w:vAlign w:val="center"/>
                </w:tcPr>
                <w:p w14:paraId="3FF5DBB0">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rPr>
                    <w:t>不定期</w:t>
                  </w:r>
                </w:p>
              </w:tc>
              <w:tc>
                <w:tcPr>
                  <w:tcW w:w="645" w:type="dxa"/>
                  <w:noWrap w:val="0"/>
                  <w:vAlign w:val="center"/>
                </w:tcPr>
                <w:p w14:paraId="04934F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rPr>
                    <w:t>T/ln</w:t>
                  </w:r>
                </w:p>
              </w:tc>
              <w:tc>
                <w:tcPr>
                  <w:tcW w:w="1095" w:type="dxa"/>
                  <w:vMerge w:val="continue"/>
                  <w:noWrap w:val="0"/>
                  <w:vAlign w:val="center"/>
                </w:tcPr>
                <w:p w14:paraId="2A6F173F">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p>
              </w:tc>
              <w:tc>
                <w:tcPr>
                  <w:tcW w:w="1060" w:type="dxa"/>
                  <w:vMerge w:val="continue"/>
                  <w:noWrap w:val="0"/>
                  <w:vAlign w:val="center"/>
                </w:tcPr>
                <w:p w14:paraId="2704E499">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p>
              </w:tc>
            </w:tr>
            <w:tr w14:paraId="795C0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14:paraId="6A1DC0B4">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8</w:t>
                  </w:r>
                </w:p>
              </w:tc>
              <w:tc>
                <w:tcPr>
                  <w:tcW w:w="759" w:type="dxa"/>
                  <w:noWrap w:val="0"/>
                  <w:vAlign w:val="center"/>
                </w:tcPr>
                <w:p w14:paraId="20EE14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废过滤棉</w:t>
                  </w:r>
                </w:p>
              </w:tc>
              <w:tc>
                <w:tcPr>
                  <w:tcW w:w="690" w:type="dxa"/>
                  <w:noWrap w:val="0"/>
                  <w:vAlign w:val="center"/>
                </w:tcPr>
                <w:p w14:paraId="651CBC3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HW49</w:t>
                  </w:r>
                </w:p>
              </w:tc>
              <w:tc>
                <w:tcPr>
                  <w:tcW w:w="780" w:type="dxa"/>
                  <w:noWrap w:val="0"/>
                  <w:vAlign w:val="center"/>
                </w:tcPr>
                <w:p w14:paraId="65B79E0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900-041-49</w:t>
                  </w:r>
                </w:p>
              </w:tc>
              <w:tc>
                <w:tcPr>
                  <w:tcW w:w="780" w:type="dxa"/>
                  <w:noWrap w:val="0"/>
                  <w:vAlign w:val="center"/>
                </w:tcPr>
                <w:p w14:paraId="4A2607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p>
              </w:tc>
              <w:tc>
                <w:tcPr>
                  <w:tcW w:w="510" w:type="dxa"/>
                  <w:noWrap w:val="0"/>
                  <w:vAlign w:val="center"/>
                </w:tcPr>
                <w:p w14:paraId="0CFF972D">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855" w:type="dxa"/>
                  <w:noWrap w:val="0"/>
                  <w:vAlign w:val="center"/>
                </w:tcPr>
                <w:p w14:paraId="5FDCCDE2">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有机化合物</w:t>
                  </w:r>
                </w:p>
              </w:tc>
              <w:tc>
                <w:tcPr>
                  <w:tcW w:w="705" w:type="dxa"/>
                  <w:noWrap w:val="0"/>
                  <w:vAlign w:val="center"/>
                </w:tcPr>
                <w:p w14:paraId="4AB21C86">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cs="Times New Roman"/>
                      <w:color w:val="auto"/>
                      <w:kern w:val="18"/>
                      <w:sz w:val="21"/>
                      <w:szCs w:val="21"/>
                      <w:lang w:val="en-US" w:eastAsia="zh-CN" w:bidi="ar-SA"/>
                    </w:rPr>
                    <w:t>不定期</w:t>
                  </w:r>
                </w:p>
              </w:tc>
              <w:tc>
                <w:tcPr>
                  <w:tcW w:w="645" w:type="dxa"/>
                  <w:noWrap w:val="0"/>
                  <w:vAlign w:val="center"/>
                </w:tcPr>
                <w:p w14:paraId="7D1155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rPr>
                    <w:t>T/ln</w:t>
                  </w:r>
                </w:p>
              </w:tc>
              <w:tc>
                <w:tcPr>
                  <w:tcW w:w="1095" w:type="dxa"/>
                  <w:noWrap w:val="0"/>
                  <w:vAlign w:val="center"/>
                </w:tcPr>
                <w:p w14:paraId="6F60C2E5">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专用容器密闭收集，暂存于危废间</w:t>
                  </w:r>
                </w:p>
              </w:tc>
              <w:tc>
                <w:tcPr>
                  <w:tcW w:w="1060" w:type="dxa"/>
                  <w:vMerge w:val="restart"/>
                  <w:noWrap w:val="0"/>
                  <w:vAlign w:val="center"/>
                </w:tcPr>
                <w:p w14:paraId="579FCD8F">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
                    </w:rPr>
                    <w:t>定期送有资质的危险废物处置单位处置</w:t>
                  </w:r>
                </w:p>
              </w:tc>
            </w:tr>
            <w:tr w14:paraId="29F1E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14:paraId="4CF9CDD9">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w:t>
                  </w:r>
                </w:p>
              </w:tc>
              <w:tc>
                <w:tcPr>
                  <w:tcW w:w="759" w:type="dxa"/>
                  <w:noWrap w:val="0"/>
                  <w:vAlign w:val="center"/>
                </w:tcPr>
                <w:p w14:paraId="6D5B64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废活性炭</w:t>
                  </w:r>
                </w:p>
              </w:tc>
              <w:tc>
                <w:tcPr>
                  <w:tcW w:w="690" w:type="dxa"/>
                  <w:noWrap w:val="0"/>
                  <w:vAlign w:val="center"/>
                </w:tcPr>
                <w:p w14:paraId="24165BA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HW49</w:t>
                  </w:r>
                </w:p>
              </w:tc>
              <w:tc>
                <w:tcPr>
                  <w:tcW w:w="780" w:type="dxa"/>
                  <w:noWrap w:val="0"/>
                  <w:vAlign w:val="center"/>
                </w:tcPr>
                <w:p w14:paraId="50627E0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900-041-49</w:t>
                  </w:r>
                </w:p>
              </w:tc>
              <w:tc>
                <w:tcPr>
                  <w:tcW w:w="780" w:type="dxa"/>
                  <w:noWrap w:val="0"/>
                  <w:vAlign w:val="center"/>
                </w:tcPr>
                <w:p w14:paraId="3CBB91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w:t>
                  </w:r>
                </w:p>
              </w:tc>
              <w:tc>
                <w:tcPr>
                  <w:tcW w:w="510" w:type="dxa"/>
                  <w:noWrap w:val="0"/>
                  <w:vAlign w:val="center"/>
                </w:tcPr>
                <w:p w14:paraId="22F4D5C7">
                  <w:pPr>
                    <w:keepNext w:val="0"/>
                    <w:keepLines w:val="0"/>
                    <w:pageBreakBefore w:val="0"/>
                    <w:kinsoku/>
                    <w:wordWrap/>
                    <w:overflowPunct/>
                    <w:autoSpaceDE/>
                    <w:autoSpaceDN/>
                    <w:bidi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固态</w:t>
                  </w:r>
                </w:p>
              </w:tc>
              <w:tc>
                <w:tcPr>
                  <w:tcW w:w="855" w:type="dxa"/>
                  <w:noWrap w:val="0"/>
                  <w:vAlign w:val="center"/>
                </w:tcPr>
                <w:p w14:paraId="3D2F00B4">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有机化合物</w:t>
                  </w:r>
                </w:p>
              </w:tc>
              <w:tc>
                <w:tcPr>
                  <w:tcW w:w="705" w:type="dxa"/>
                  <w:noWrap w:val="0"/>
                  <w:vAlign w:val="center"/>
                </w:tcPr>
                <w:p w14:paraId="34399B38">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18"/>
                      <w:sz w:val="21"/>
                      <w:szCs w:val="21"/>
                      <w:highlight w:val="none"/>
                      <w:lang w:val="en-US" w:eastAsia="zh-CN" w:bidi="ar-SA"/>
                    </w:rPr>
                  </w:pPr>
                  <w:r>
                    <w:rPr>
                      <w:rFonts w:hint="eastAsia" w:cs="Times New Roman"/>
                      <w:color w:val="auto"/>
                      <w:kern w:val="18"/>
                      <w:sz w:val="21"/>
                      <w:szCs w:val="21"/>
                      <w:highlight w:val="none"/>
                      <w:lang w:val="en-US" w:eastAsia="zh-CN" w:bidi="ar-SA"/>
                    </w:rPr>
                    <w:t>三年（三年更换3t）</w:t>
                  </w:r>
                </w:p>
              </w:tc>
              <w:tc>
                <w:tcPr>
                  <w:tcW w:w="645" w:type="dxa"/>
                  <w:noWrap w:val="0"/>
                  <w:vAlign w:val="center"/>
                </w:tcPr>
                <w:p w14:paraId="7B464C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 w:val="21"/>
                      <w:szCs w:val="21"/>
                      <w:highlight w:val="none"/>
                    </w:rPr>
                    <w:t>T/ln</w:t>
                  </w:r>
                </w:p>
              </w:tc>
              <w:tc>
                <w:tcPr>
                  <w:tcW w:w="1095" w:type="dxa"/>
                  <w:noWrap w:val="0"/>
                  <w:vAlign w:val="center"/>
                </w:tcPr>
                <w:p w14:paraId="31C0D057">
                  <w:pPr>
                    <w:pStyle w:val="27"/>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r>
                    <w:rPr>
                      <w:rFonts w:hint="eastAsia" w:ascii="Times New Roman" w:hAnsi="Times New Roman" w:eastAsia="宋体" w:cs="Times New Roman"/>
                      <w:color w:val="auto"/>
                      <w:sz w:val="21"/>
                      <w:szCs w:val="21"/>
                      <w:highlight w:val="none"/>
                      <w:shd w:val="clear" w:color="auto" w:fill="auto"/>
                      <w:lang w:val="en-US" w:eastAsia="zh-CN"/>
                    </w:rPr>
                    <w:t>专用容器密闭收集，暂存于危废间</w:t>
                  </w:r>
                </w:p>
              </w:tc>
              <w:tc>
                <w:tcPr>
                  <w:tcW w:w="1060" w:type="dxa"/>
                  <w:vMerge w:val="continue"/>
                  <w:noWrap w:val="0"/>
                  <w:vAlign w:val="center"/>
                </w:tcPr>
                <w:p w14:paraId="739B8DEB">
                  <w:pPr>
                    <w:pStyle w:val="27"/>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p>
              </w:tc>
            </w:tr>
            <w:tr w14:paraId="0489E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14:paraId="11C955B1">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10</w:t>
                  </w:r>
                </w:p>
              </w:tc>
              <w:tc>
                <w:tcPr>
                  <w:tcW w:w="759" w:type="dxa"/>
                  <w:noWrap w:val="0"/>
                  <w:vAlign w:val="center"/>
                </w:tcPr>
                <w:p w14:paraId="5797E0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废催化剂</w:t>
                  </w:r>
                </w:p>
              </w:tc>
              <w:tc>
                <w:tcPr>
                  <w:tcW w:w="690" w:type="dxa"/>
                  <w:noWrap w:val="0"/>
                  <w:vAlign w:val="center"/>
                </w:tcPr>
                <w:p w14:paraId="1B55D3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HW50</w:t>
                  </w:r>
                </w:p>
              </w:tc>
              <w:tc>
                <w:tcPr>
                  <w:tcW w:w="780" w:type="dxa"/>
                  <w:noWrap w:val="0"/>
                  <w:vAlign w:val="center"/>
                </w:tcPr>
                <w:p w14:paraId="7943BE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772-007-50</w:t>
                  </w:r>
                </w:p>
              </w:tc>
              <w:tc>
                <w:tcPr>
                  <w:tcW w:w="780" w:type="dxa"/>
                  <w:noWrap w:val="0"/>
                  <w:vAlign w:val="center"/>
                </w:tcPr>
                <w:p w14:paraId="278E07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0.01</w:t>
                  </w:r>
                </w:p>
              </w:tc>
              <w:tc>
                <w:tcPr>
                  <w:tcW w:w="510" w:type="dxa"/>
                  <w:noWrap w:val="0"/>
                  <w:vAlign w:val="center"/>
                </w:tcPr>
                <w:p w14:paraId="6AF245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固态</w:t>
                  </w:r>
                </w:p>
              </w:tc>
              <w:tc>
                <w:tcPr>
                  <w:tcW w:w="855" w:type="dxa"/>
                  <w:noWrap w:val="0"/>
                  <w:vAlign w:val="center"/>
                </w:tcPr>
                <w:p w14:paraId="68AB3B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重金属</w:t>
                  </w:r>
                </w:p>
              </w:tc>
              <w:tc>
                <w:tcPr>
                  <w:tcW w:w="705" w:type="dxa"/>
                  <w:noWrap w:val="0"/>
                  <w:vAlign w:val="center"/>
                </w:tcPr>
                <w:p w14:paraId="101EC7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两年</w:t>
                  </w:r>
                </w:p>
              </w:tc>
              <w:tc>
                <w:tcPr>
                  <w:tcW w:w="645" w:type="dxa"/>
                  <w:noWrap w:val="0"/>
                  <w:vAlign w:val="center"/>
                </w:tcPr>
                <w:p w14:paraId="345661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T</w:t>
                  </w:r>
                </w:p>
              </w:tc>
              <w:tc>
                <w:tcPr>
                  <w:tcW w:w="1095" w:type="dxa"/>
                  <w:noWrap w:val="0"/>
                  <w:vAlign w:val="center"/>
                </w:tcPr>
                <w:p w14:paraId="72AB8065">
                  <w:pPr>
                    <w:pStyle w:val="27"/>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r>
                    <w:rPr>
                      <w:rFonts w:hint="eastAsia" w:ascii="Times New Roman" w:hAnsi="Times New Roman" w:eastAsia="宋体" w:cs="Times New Roman"/>
                      <w:color w:val="auto"/>
                      <w:sz w:val="21"/>
                      <w:szCs w:val="21"/>
                      <w:highlight w:val="none"/>
                      <w:shd w:val="clear" w:color="auto" w:fill="auto"/>
                      <w:lang w:val="en-US" w:eastAsia="zh-CN"/>
                    </w:rPr>
                    <w:t>专用容器密闭收集，暂存于危废间</w:t>
                  </w:r>
                </w:p>
              </w:tc>
              <w:tc>
                <w:tcPr>
                  <w:tcW w:w="1060" w:type="dxa"/>
                  <w:vMerge w:val="continue"/>
                  <w:noWrap w:val="0"/>
                  <w:vAlign w:val="center"/>
                </w:tcPr>
                <w:p w14:paraId="5C8ECD9F">
                  <w:pPr>
                    <w:pStyle w:val="27"/>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p>
              </w:tc>
            </w:tr>
            <w:tr w14:paraId="79E6A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84" w:type="dxa"/>
                  <w:noWrap w:val="0"/>
                  <w:vAlign w:val="center"/>
                </w:tcPr>
                <w:p w14:paraId="00EAA6AA">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11</w:t>
                  </w:r>
                </w:p>
              </w:tc>
              <w:tc>
                <w:tcPr>
                  <w:tcW w:w="759" w:type="dxa"/>
                  <w:noWrap w:val="0"/>
                  <w:vAlign w:val="center"/>
                </w:tcPr>
                <w:p w14:paraId="3499CB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废九宫格过滤材料</w:t>
                  </w:r>
                </w:p>
              </w:tc>
              <w:tc>
                <w:tcPr>
                  <w:tcW w:w="690" w:type="dxa"/>
                  <w:noWrap w:val="0"/>
                  <w:vAlign w:val="center"/>
                </w:tcPr>
                <w:p w14:paraId="16DDB2E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HW49</w:t>
                  </w:r>
                </w:p>
              </w:tc>
              <w:tc>
                <w:tcPr>
                  <w:tcW w:w="780" w:type="dxa"/>
                  <w:noWrap w:val="0"/>
                  <w:vAlign w:val="center"/>
                </w:tcPr>
                <w:p w14:paraId="7830B0C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900-041-49</w:t>
                  </w:r>
                </w:p>
              </w:tc>
              <w:tc>
                <w:tcPr>
                  <w:tcW w:w="780" w:type="dxa"/>
                  <w:noWrap w:val="0"/>
                  <w:vAlign w:val="center"/>
                </w:tcPr>
                <w:p w14:paraId="09301B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0.05</w:t>
                  </w:r>
                </w:p>
              </w:tc>
              <w:tc>
                <w:tcPr>
                  <w:tcW w:w="510" w:type="dxa"/>
                  <w:noWrap w:val="0"/>
                  <w:vAlign w:val="center"/>
                </w:tcPr>
                <w:p w14:paraId="2C71B193">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855" w:type="dxa"/>
                  <w:noWrap w:val="0"/>
                  <w:vAlign w:val="center"/>
                </w:tcPr>
                <w:p w14:paraId="63547FE9">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有机化合物</w:t>
                  </w:r>
                </w:p>
              </w:tc>
              <w:tc>
                <w:tcPr>
                  <w:tcW w:w="705" w:type="dxa"/>
                  <w:noWrap w:val="0"/>
                  <w:vAlign w:val="center"/>
                </w:tcPr>
                <w:p w14:paraId="64523C1F">
                  <w:pPr>
                    <w:keepNext w:val="0"/>
                    <w:keepLines w:val="0"/>
                    <w:pageBreakBefore w:val="0"/>
                    <w:kinsoku/>
                    <w:wordWrap/>
                    <w:overflowPunct/>
                    <w:topLinePunct/>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18"/>
                      <w:sz w:val="21"/>
                      <w:szCs w:val="21"/>
                      <w:lang w:val="en-US" w:eastAsia="zh-CN" w:bidi="ar-SA"/>
                    </w:rPr>
                  </w:pPr>
                  <w:r>
                    <w:rPr>
                      <w:rFonts w:hint="eastAsia" w:cs="Times New Roman"/>
                      <w:color w:val="auto"/>
                      <w:kern w:val="18"/>
                      <w:sz w:val="21"/>
                      <w:szCs w:val="21"/>
                      <w:lang w:val="en-US" w:eastAsia="zh-CN" w:bidi="ar-SA"/>
                    </w:rPr>
                    <w:t>不定期</w:t>
                  </w:r>
                </w:p>
              </w:tc>
              <w:tc>
                <w:tcPr>
                  <w:tcW w:w="645" w:type="dxa"/>
                  <w:noWrap w:val="0"/>
                  <w:vAlign w:val="center"/>
                </w:tcPr>
                <w:p w14:paraId="2B8BE8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rPr>
                    <w:t>T/ln</w:t>
                  </w:r>
                </w:p>
              </w:tc>
              <w:tc>
                <w:tcPr>
                  <w:tcW w:w="1095" w:type="dxa"/>
                  <w:noWrap w:val="0"/>
                  <w:vAlign w:val="center"/>
                </w:tcPr>
                <w:p w14:paraId="213BDECA">
                  <w:pPr>
                    <w:keepNext w:val="0"/>
                    <w:keepLines w:val="0"/>
                    <w:pageBreakBefore w:val="0"/>
                    <w:kinsoku/>
                    <w:wordWrap/>
                    <w:overflowPunct/>
                    <w:autoSpaceDE/>
                    <w:autoSpaceDN/>
                    <w:bidi w:val="0"/>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暂存于危废间</w:t>
                  </w:r>
                </w:p>
              </w:tc>
              <w:tc>
                <w:tcPr>
                  <w:tcW w:w="1060" w:type="dxa"/>
                  <w:vMerge w:val="continue"/>
                  <w:noWrap w:val="0"/>
                  <w:vAlign w:val="center"/>
                </w:tcPr>
                <w:p w14:paraId="79201809">
                  <w:pPr>
                    <w:pStyle w:val="27"/>
                    <w:keepNext w:val="0"/>
                    <w:keepLines w:val="0"/>
                    <w:pageBreakBefore w:val="0"/>
                    <w:kinsoku/>
                    <w:wordWrap/>
                    <w:overflowPunct/>
                    <w:autoSpaceDE/>
                    <w:autoSpaceDN/>
                    <w:bidi w:val="0"/>
                    <w:spacing w:line="240" w:lineRule="auto"/>
                    <w:ind w:firstLine="0" w:firstLineChars="0"/>
                    <w:textAlignment w:val="auto"/>
                    <w:rPr>
                      <w:rFonts w:hint="eastAsia"/>
                      <w:color w:val="auto"/>
                      <w:sz w:val="21"/>
                      <w:szCs w:val="21"/>
                    </w:rPr>
                  </w:pPr>
                </w:p>
              </w:tc>
            </w:tr>
          </w:tbl>
          <w:p w14:paraId="4625A4BF">
            <w:pPr>
              <w:pStyle w:val="13"/>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leftChars="0" w:right="0" w:rightChars="0" w:firstLine="480" w:firstLineChars="200"/>
              <w:textAlignment w:val="auto"/>
              <w:rPr>
                <w:rFonts w:hint="default"/>
                <w:color w:val="auto"/>
                <w:sz w:val="24"/>
                <w:szCs w:val="24"/>
              </w:rPr>
            </w:pPr>
            <w:r>
              <w:rPr>
                <w:rFonts w:hint="default" w:ascii="Times New Roman" w:hAnsi="Times New Roman" w:cs="Times New Roman"/>
                <w:color w:val="auto"/>
                <w:sz w:val="24"/>
                <w:szCs w:val="24"/>
              </w:rPr>
              <w:t>Ⅱ</w:t>
            </w:r>
            <w:r>
              <w:rPr>
                <w:rFonts w:hint="eastAsia"/>
                <w:color w:val="auto"/>
                <w:sz w:val="24"/>
                <w:szCs w:val="24"/>
              </w:rPr>
              <w:t>、</w:t>
            </w:r>
            <w:r>
              <w:rPr>
                <w:rFonts w:hint="default"/>
                <w:color w:val="auto"/>
                <w:sz w:val="24"/>
                <w:szCs w:val="24"/>
              </w:rPr>
              <w:t>危险废物环境管理要求</w:t>
            </w:r>
          </w:p>
          <w:p w14:paraId="7A354505">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危险废物应按《危险废物贮存污染控制标准》（GB18597-2001）及修改单（环保部公告2013年第36号）、《危险废物收集、贮存、运输技术规范》</w:t>
            </w:r>
            <w:r>
              <w:rPr>
                <w:rFonts w:hint="eastAsia"/>
                <w:color w:val="auto"/>
                <w:sz w:val="24"/>
                <w:szCs w:val="24"/>
                <w:lang w:eastAsia="zh-CN"/>
              </w:rPr>
              <w:t>（</w:t>
            </w:r>
            <w:r>
              <w:rPr>
                <w:rFonts w:hint="default"/>
                <w:color w:val="auto"/>
                <w:sz w:val="24"/>
                <w:szCs w:val="24"/>
              </w:rPr>
              <w:t>HJ2025-2012</w:t>
            </w:r>
            <w:r>
              <w:rPr>
                <w:rFonts w:hint="eastAsia"/>
                <w:color w:val="auto"/>
                <w:sz w:val="24"/>
                <w:szCs w:val="24"/>
                <w:lang w:eastAsia="zh-CN"/>
              </w:rPr>
              <w:t>）</w:t>
            </w:r>
            <w:r>
              <w:rPr>
                <w:rFonts w:hint="default"/>
                <w:color w:val="auto"/>
                <w:sz w:val="24"/>
                <w:szCs w:val="24"/>
              </w:rPr>
              <w:t>和《河北省环境保护厅办公室关于建设全省危险废物智能监控体系的通知》(冀环办发[2017]11</w:t>
            </w:r>
            <w:r>
              <w:rPr>
                <w:rFonts w:hint="eastAsia"/>
                <w:color w:val="auto"/>
                <w:sz w:val="24"/>
                <w:szCs w:val="24"/>
              </w:rPr>
              <w:t>2号</w:t>
            </w:r>
            <w:r>
              <w:rPr>
                <w:rFonts w:hint="default"/>
                <w:color w:val="auto"/>
                <w:sz w:val="24"/>
                <w:szCs w:val="24"/>
              </w:rPr>
              <w:t>)、《关于发布&lt;建设项目危险废物环境影响评价指南&gt;的公告》（环境保护部公告2017年第43号）中的相关内容要求进行处理处置。</w:t>
            </w:r>
          </w:p>
          <w:p w14:paraId="588C43BE">
            <w:pPr>
              <w:bidi w:val="0"/>
              <w:rPr>
                <w:rFonts w:hint="default"/>
                <w:color w:val="auto"/>
              </w:rPr>
            </w:pPr>
            <w:r>
              <w:rPr>
                <w:rFonts w:hint="default"/>
                <w:color w:val="auto"/>
              </w:rPr>
              <w:t>本项目</w:t>
            </w:r>
            <w:r>
              <w:rPr>
                <w:rFonts w:hint="eastAsia"/>
                <w:color w:val="auto"/>
                <w:lang w:val="en-US" w:eastAsia="zh-CN"/>
              </w:rPr>
              <w:t>建成后</w:t>
            </w:r>
            <w:r>
              <w:rPr>
                <w:rFonts w:hint="default"/>
                <w:color w:val="auto"/>
              </w:rPr>
              <w:t>拟采取以下措施：</w:t>
            </w:r>
          </w:p>
          <w:p w14:paraId="478F50CE">
            <w:pPr>
              <w:bidi w:val="0"/>
              <w:rPr>
                <w:rFonts w:hint="default"/>
                <w:color w:val="auto"/>
              </w:rPr>
            </w:pPr>
            <w:r>
              <w:rPr>
                <w:rFonts w:hint="default"/>
                <w:color w:val="auto"/>
              </w:rPr>
              <w:fldChar w:fldCharType="begin"/>
            </w:r>
            <w:r>
              <w:rPr>
                <w:rFonts w:hint="default"/>
                <w:color w:val="auto"/>
              </w:rPr>
              <w:instrText xml:space="preserve"> = 1 \* GB3 \* MERGEFORMAT </w:instrText>
            </w:r>
            <w:r>
              <w:rPr>
                <w:rFonts w:hint="default"/>
                <w:color w:val="auto"/>
              </w:rPr>
              <w:fldChar w:fldCharType="separate"/>
            </w:r>
            <w:r>
              <w:rPr>
                <w:rFonts w:hint="eastAsia"/>
                <w:color w:val="auto"/>
              </w:rPr>
              <w:t>①</w:t>
            </w:r>
            <w:r>
              <w:rPr>
                <w:rFonts w:hint="default"/>
                <w:color w:val="auto"/>
              </w:rPr>
              <w:fldChar w:fldCharType="end"/>
            </w:r>
            <w:r>
              <w:rPr>
                <w:rFonts w:hint="default"/>
                <w:color w:val="auto"/>
              </w:rPr>
              <w:t>危险废物收集</w:t>
            </w:r>
          </w:p>
          <w:p w14:paraId="321102A5">
            <w:pPr>
              <w:bidi w:val="0"/>
              <w:rPr>
                <w:rFonts w:hint="default"/>
                <w:color w:val="auto"/>
              </w:rPr>
            </w:pPr>
            <w:r>
              <w:rPr>
                <w:rFonts w:hint="default"/>
                <w:color w:val="auto"/>
              </w:rPr>
              <w:t>将</w:t>
            </w:r>
            <w:r>
              <w:rPr>
                <w:rFonts w:hint="default" w:ascii="脣脦脤氓" w:hAnsi="脣脦脤氓" w:eastAsia="脣脦脤氓" w:cs="脣脦脤氓"/>
                <w:color w:val="auto"/>
                <w:kern w:val="0"/>
                <w:sz w:val="25"/>
                <w:szCs w:val="25"/>
                <w:lang w:val="en-US" w:eastAsia="zh-CN" w:bidi="ar"/>
              </w:rPr>
              <w:t>废润滑油、废液压油、废切削液、含油铁屑、漆渣</w:t>
            </w:r>
            <w:r>
              <w:rPr>
                <w:rFonts w:hint="eastAsia" w:ascii="脣脦脤氓" w:hAnsi="脣脦脤氓" w:eastAsia="脣脦脤氓" w:cs="脣脦脤氓"/>
                <w:color w:val="auto"/>
                <w:kern w:val="0"/>
                <w:sz w:val="25"/>
                <w:szCs w:val="25"/>
                <w:lang w:val="en-US" w:eastAsia="zh-CN" w:bidi="ar"/>
              </w:rPr>
              <w:t>、油性漆及稀释剂废包装桶</w:t>
            </w:r>
            <w:r>
              <w:rPr>
                <w:rFonts w:hint="default" w:ascii="脣脦脤氓" w:hAnsi="脣脦脤氓" w:eastAsia="脣脦脤氓" w:cs="脣脦脤氓"/>
                <w:color w:val="auto"/>
                <w:kern w:val="0"/>
                <w:sz w:val="25"/>
                <w:szCs w:val="25"/>
                <w:lang w:val="en-US" w:eastAsia="zh-CN" w:bidi="ar"/>
              </w:rPr>
              <w:t>、废油桶</w:t>
            </w:r>
            <w:r>
              <w:rPr>
                <w:rFonts w:hint="eastAsia"/>
                <w:color w:val="auto"/>
                <w:lang w:val="en-US" w:eastAsia="zh-CN"/>
              </w:rPr>
              <w:t>、废过滤棉、废九宫格过滤材料</w:t>
            </w:r>
            <w:r>
              <w:rPr>
                <w:rFonts w:hint="default"/>
                <w:color w:val="auto"/>
              </w:rPr>
              <w:t>采用桶装密闭收集，</w:t>
            </w:r>
            <w:r>
              <w:rPr>
                <w:rFonts w:hint="eastAsia"/>
                <w:color w:val="auto"/>
                <w:lang w:val="en-US" w:eastAsia="zh-CN"/>
              </w:rPr>
              <w:t>废活性炭、废催化剂采用专用密闭容器收集，</w:t>
            </w:r>
            <w:r>
              <w:rPr>
                <w:rFonts w:hint="default"/>
                <w:color w:val="auto"/>
              </w:rPr>
              <w:t>容器应达到防渗、防漏的要求。</w:t>
            </w:r>
          </w:p>
          <w:p w14:paraId="73793D31">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fldChar w:fldCharType="begin"/>
            </w:r>
            <w:r>
              <w:rPr>
                <w:rFonts w:hint="default"/>
                <w:color w:val="auto"/>
                <w:sz w:val="24"/>
                <w:szCs w:val="24"/>
              </w:rPr>
              <w:instrText xml:space="preserve"> = 2 \* GB3 \* MERGEFORMAT </w:instrText>
            </w:r>
            <w:r>
              <w:rPr>
                <w:rFonts w:hint="default"/>
                <w:color w:val="auto"/>
                <w:sz w:val="24"/>
                <w:szCs w:val="24"/>
              </w:rPr>
              <w:fldChar w:fldCharType="separate"/>
            </w:r>
            <w:r>
              <w:rPr>
                <w:rFonts w:hint="eastAsia"/>
                <w:color w:val="auto"/>
                <w:sz w:val="24"/>
                <w:szCs w:val="24"/>
              </w:rPr>
              <w:t>②</w:t>
            </w:r>
            <w:r>
              <w:rPr>
                <w:rFonts w:hint="default"/>
                <w:color w:val="auto"/>
                <w:sz w:val="24"/>
                <w:szCs w:val="24"/>
              </w:rPr>
              <w:fldChar w:fldCharType="end"/>
            </w:r>
            <w:r>
              <w:rPr>
                <w:rFonts w:hint="default"/>
                <w:color w:val="auto"/>
                <w:sz w:val="24"/>
                <w:szCs w:val="24"/>
              </w:rPr>
              <w:t>危险废物贮存</w:t>
            </w:r>
          </w:p>
          <w:p w14:paraId="183331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a、</w:t>
            </w:r>
            <w:r>
              <w:rPr>
                <w:rFonts w:hint="default"/>
                <w:color w:val="auto"/>
                <w:sz w:val="24"/>
                <w:szCs w:val="24"/>
                <w:highlight w:val="none"/>
              </w:rPr>
              <w:t>本项目</w:t>
            </w:r>
            <w:r>
              <w:rPr>
                <w:rFonts w:hint="eastAsia"/>
                <w:color w:val="auto"/>
                <w:sz w:val="24"/>
                <w:szCs w:val="24"/>
                <w:highlight w:val="none"/>
                <w:lang w:val="en-US" w:eastAsia="zh-CN"/>
              </w:rPr>
              <w:t>新建一座20m</w:t>
            </w:r>
            <w:r>
              <w:rPr>
                <w:rFonts w:hint="eastAsia"/>
                <w:color w:val="auto"/>
                <w:sz w:val="24"/>
                <w:szCs w:val="24"/>
                <w:highlight w:val="none"/>
                <w:vertAlign w:val="superscript"/>
                <w:lang w:val="en-US" w:eastAsia="zh-CN"/>
              </w:rPr>
              <w:t>2</w:t>
            </w:r>
            <w:r>
              <w:rPr>
                <w:rFonts w:hint="eastAsia"/>
                <w:color w:val="auto"/>
                <w:sz w:val="24"/>
                <w:szCs w:val="24"/>
                <w:highlight w:val="none"/>
                <w:lang w:val="en-US" w:eastAsia="zh-CN"/>
              </w:rPr>
              <w:t>的危废间</w:t>
            </w:r>
            <w:r>
              <w:rPr>
                <w:rFonts w:hint="default"/>
                <w:color w:val="auto"/>
                <w:sz w:val="24"/>
                <w:szCs w:val="24"/>
                <w:highlight w:val="none"/>
              </w:rPr>
              <w:t>，</w:t>
            </w:r>
            <w:r>
              <w:rPr>
                <w:rFonts w:hint="default"/>
                <w:color w:val="auto"/>
                <w:sz w:val="24"/>
                <w:szCs w:val="24"/>
              </w:rPr>
              <w:t>作为危险废物临时储存场所，地面与裙脚要用坚固、防渗的材料建造，应设计堵截泄漏的裙脚，地面与裙脚所围建的容积不低于堵截最大容器的最大储量或总储量的五分之一，禁止将不相容（相互反应）的危险废物在同一容器内混装，不同种类的危险废物在</w:t>
            </w:r>
            <w:r>
              <w:rPr>
                <w:rFonts w:hint="eastAsia"/>
                <w:color w:val="auto"/>
                <w:sz w:val="24"/>
                <w:szCs w:val="24"/>
              </w:rPr>
              <w:t>危险废物暂存间</w:t>
            </w:r>
            <w:r>
              <w:rPr>
                <w:rFonts w:hint="default"/>
                <w:color w:val="auto"/>
                <w:sz w:val="24"/>
                <w:szCs w:val="24"/>
              </w:rPr>
              <w:t>内分区存放，</w:t>
            </w:r>
            <w:r>
              <w:rPr>
                <w:rFonts w:hint="default" w:ascii="Times New Roman" w:hAnsi="Times New Roman" w:cs="Times New Roman"/>
                <w:color w:val="auto"/>
                <w:kern w:val="24"/>
                <w:sz w:val="24"/>
              </w:rPr>
              <w:t>危废暂存间地面及裙角作防渗处理，内壁</w:t>
            </w:r>
            <w:r>
              <w:rPr>
                <w:rFonts w:hint="default" w:ascii="Times New Roman" w:hAnsi="Times New Roman" w:cs="Times New Roman"/>
                <w:color w:val="auto"/>
                <w:sz w:val="24"/>
              </w:rPr>
              <w:t>设2毫米厚高密度聚乙烯，或至少2毫米厚的其它人工材料，确保防渗系数≤</w:t>
            </w:r>
            <w:r>
              <w:rPr>
                <w:rFonts w:hint="eastAsia" w:ascii="Times New Roman" w:hAnsi="Times New Roman" w:eastAsia="宋体" w:cs="Times New Roman"/>
                <w:snapToGrid w:val="0"/>
                <w:color w:val="auto"/>
                <w:kern w:val="0"/>
                <w:sz w:val="24"/>
                <w:szCs w:val="24"/>
                <w:highlight w:val="none"/>
                <w:lang w:val="en-US" w:eastAsia="zh-CN"/>
              </w:rPr>
              <w:t>1.0</w:t>
            </w:r>
            <w:r>
              <w:rPr>
                <w:rFonts w:ascii="Times New Roman" w:hAnsi="Times New Roman"/>
                <w:color w:val="auto"/>
                <w:sz w:val="24"/>
                <w:szCs w:val="24"/>
              </w:rPr>
              <w:t>×</w:t>
            </w:r>
            <w:r>
              <w:rPr>
                <w:rFonts w:hint="default" w:ascii="Times New Roman" w:hAnsi="Times New Roman" w:cs="Times New Roman"/>
                <w:color w:val="auto"/>
                <w:sz w:val="24"/>
              </w:rPr>
              <w:t>10</w:t>
            </w:r>
            <w:r>
              <w:rPr>
                <w:rFonts w:hint="default" w:ascii="Times New Roman" w:hAnsi="Times New Roman" w:cs="Times New Roman"/>
                <w:color w:val="auto"/>
                <w:sz w:val="24"/>
                <w:vertAlign w:val="superscript"/>
              </w:rPr>
              <w:t>-10</w:t>
            </w:r>
            <w:r>
              <w:rPr>
                <w:rFonts w:hint="default" w:ascii="Times New Roman" w:hAnsi="Times New Roman" w:cs="Times New Roman"/>
                <w:color w:val="auto"/>
                <w:sz w:val="24"/>
              </w:rPr>
              <w:t>cm/s</w:t>
            </w:r>
            <w:r>
              <w:rPr>
                <w:rFonts w:hint="default"/>
                <w:color w:val="auto"/>
                <w:sz w:val="24"/>
                <w:szCs w:val="24"/>
              </w:rPr>
              <w:t>。</w:t>
            </w:r>
          </w:p>
          <w:p w14:paraId="0FC6DFA6">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b、盛装危废的容器要符合标准要求，容器应根据危险废物的不同特性而设计，容器应不易破损、变形、老化，并能有效地防止渗透、扩散。装有危险废物的容器必须贴有符合《危险废物贮存污染控制标准》（GB18597-2001）及其修改单标准中所示的标签。</w:t>
            </w:r>
          </w:p>
          <w:p w14:paraId="18474BA1">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c、装载液体、半固体危险废物的容器内须留足够空间，容器顶部与液体表面之间保留100mm以上的空间。</w:t>
            </w:r>
          </w:p>
          <w:p w14:paraId="0FBDF13C">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d、盛装危险废物的容器要带盖。</w:t>
            </w:r>
          </w:p>
          <w:p w14:paraId="63107D36">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e、危废储存间地面与裙脚要用坚固、防渗的材料建造，建造材料必须与危废相容；地面要硬化、耐腐蚀，且表面无裂隙；储存间内要有安全照明设施和观察窗口。</w:t>
            </w:r>
          </w:p>
          <w:p w14:paraId="511107DB">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f、危废储存间要防风、防雨、防晒</w:t>
            </w:r>
            <w:r>
              <w:rPr>
                <w:rFonts w:hint="eastAsia"/>
                <w:color w:val="auto"/>
                <w:sz w:val="24"/>
                <w:szCs w:val="24"/>
              </w:rPr>
              <w:t>、防渗、防流失</w:t>
            </w:r>
            <w:r>
              <w:rPr>
                <w:rFonts w:hint="default"/>
                <w:color w:val="auto"/>
                <w:sz w:val="24"/>
                <w:szCs w:val="24"/>
              </w:rPr>
              <w:t>。</w:t>
            </w:r>
          </w:p>
          <w:p w14:paraId="2C0E41E3">
            <w:pPr>
              <w:bidi w:val="0"/>
              <w:rPr>
                <w:rFonts w:hint="default"/>
                <w:color w:val="auto"/>
              </w:rPr>
            </w:pPr>
            <w:r>
              <w:rPr>
                <w:rFonts w:hint="default"/>
                <w:color w:val="auto"/>
              </w:rPr>
              <w:t>g、危废储存间必须按照《环境保护图形标志固体废物贮存（处置）场》（GB 15562.2-1995）中的规定设立危险废物警示标志。</w:t>
            </w:r>
          </w:p>
          <w:p w14:paraId="4D567FA4">
            <w:pPr>
              <w:bidi w:val="0"/>
              <w:rPr>
                <w:rFonts w:hint="default"/>
                <w:color w:val="auto"/>
              </w:rPr>
            </w:pPr>
            <w:r>
              <w:rPr>
                <w:rFonts w:hint="default"/>
                <w:color w:val="auto"/>
              </w:rPr>
              <w:t>h、建立档案制度，对暂存的废物种类、数量、特性、包装容器类别、存放</w:t>
            </w:r>
            <w:r>
              <w:rPr>
                <w:rFonts w:hint="eastAsia"/>
                <w:color w:val="auto"/>
                <w:lang w:val="en-US" w:eastAsia="zh-CN"/>
              </w:rPr>
              <w:t>部</w:t>
            </w:r>
            <w:r>
              <w:rPr>
                <w:rFonts w:hint="default"/>
                <w:color w:val="auto"/>
              </w:rPr>
              <w:t>位、存入日期、运出日期等详细记录在案并长期保存。建立定期巡查、维护制度</w:t>
            </w:r>
            <w:r>
              <w:rPr>
                <w:rFonts w:hint="eastAsia"/>
                <w:color w:val="auto"/>
              </w:rPr>
              <w:t>。</w:t>
            </w:r>
          </w:p>
          <w:p w14:paraId="6BA296BD">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color w:val="auto"/>
                <w:sz w:val="24"/>
                <w:szCs w:val="24"/>
              </w:rPr>
            </w:pPr>
            <w:r>
              <w:rPr>
                <w:rFonts w:hint="default"/>
                <w:color w:val="auto"/>
                <w:sz w:val="24"/>
                <w:szCs w:val="24"/>
              </w:rPr>
              <w:t>本项目</w:t>
            </w:r>
            <w:r>
              <w:rPr>
                <w:rFonts w:hint="eastAsia"/>
                <w:color w:val="auto"/>
                <w:sz w:val="24"/>
                <w:szCs w:val="24"/>
                <w:lang w:val="en-US" w:eastAsia="zh-CN"/>
              </w:rPr>
              <w:t>建成后</w:t>
            </w:r>
            <w:r>
              <w:rPr>
                <w:rFonts w:hint="default"/>
                <w:color w:val="auto"/>
                <w:sz w:val="24"/>
                <w:szCs w:val="24"/>
              </w:rPr>
              <w:t>危险废物贮存场所基本情况见下表。</w:t>
            </w:r>
          </w:p>
          <w:p w14:paraId="4D438291">
            <w:pPr>
              <w:pStyle w:val="34"/>
              <w:bidi w:val="0"/>
              <w:rPr>
                <w:rFonts w:hint="default"/>
                <w:color w:val="auto"/>
                <w:sz w:val="21"/>
                <w:szCs w:val="21"/>
                <w:highlight w:val="none"/>
              </w:rPr>
            </w:pPr>
          </w:p>
          <w:p w14:paraId="459BA705">
            <w:pPr>
              <w:pStyle w:val="34"/>
              <w:bidi w:val="0"/>
              <w:rPr>
                <w:rFonts w:hint="default"/>
                <w:color w:val="auto"/>
                <w:sz w:val="21"/>
                <w:szCs w:val="21"/>
                <w:highlight w:val="none"/>
              </w:rPr>
            </w:pPr>
          </w:p>
          <w:p w14:paraId="3D44953F">
            <w:pPr>
              <w:pStyle w:val="34"/>
              <w:bidi w:val="0"/>
              <w:rPr>
                <w:rFonts w:hint="default"/>
                <w:color w:val="auto"/>
                <w:highlight w:val="none"/>
              </w:rPr>
            </w:pPr>
            <w:r>
              <w:rPr>
                <w:rFonts w:hint="default"/>
                <w:color w:val="auto"/>
                <w:sz w:val="21"/>
                <w:szCs w:val="21"/>
                <w:highlight w:val="none"/>
              </w:rPr>
              <w:t>表</w:t>
            </w:r>
            <w:r>
              <w:rPr>
                <w:rFonts w:hint="eastAsia"/>
                <w:color w:val="auto"/>
                <w:sz w:val="21"/>
                <w:szCs w:val="21"/>
                <w:highlight w:val="none"/>
                <w:lang w:val="en-US" w:eastAsia="zh-CN"/>
              </w:rPr>
              <w:t>46</w:t>
            </w:r>
            <w:r>
              <w:rPr>
                <w:rFonts w:hint="default"/>
                <w:color w:val="auto"/>
                <w:sz w:val="21"/>
                <w:szCs w:val="21"/>
                <w:highlight w:val="none"/>
              </w:rPr>
              <w:t xml:space="preserve">  危险废物贮存场所基本情况表</w:t>
            </w:r>
          </w:p>
          <w:tbl>
            <w:tblPr>
              <w:tblStyle w:val="20"/>
              <w:tblW w:w="8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4"/>
              <w:gridCol w:w="645"/>
              <w:gridCol w:w="1524"/>
              <w:gridCol w:w="779"/>
              <w:gridCol w:w="1282"/>
              <w:gridCol w:w="600"/>
              <w:gridCol w:w="627"/>
              <w:gridCol w:w="995"/>
              <w:gridCol w:w="660"/>
              <w:gridCol w:w="721"/>
            </w:tblGrid>
            <w:tr w14:paraId="0D1BF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14:paraId="4A365BD6">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序号</w:t>
                  </w:r>
                </w:p>
              </w:tc>
              <w:tc>
                <w:tcPr>
                  <w:tcW w:w="645" w:type="dxa"/>
                  <w:tcBorders>
                    <w:tl2br w:val="nil"/>
                    <w:tr2bl w:val="nil"/>
                  </w:tcBorders>
                  <w:noWrap w:val="0"/>
                  <w:vAlign w:val="center"/>
                </w:tcPr>
                <w:p w14:paraId="4756F33B">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贮存场所名称</w:t>
                  </w:r>
                </w:p>
              </w:tc>
              <w:tc>
                <w:tcPr>
                  <w:tcW w:w="1524" w:type="dxa"/>
                  <w:tcBorders>
                    <w:tl2br w:val="nil"/>
                    <w:tr2bl w:val="nil"/>
                  </w:tcBorders>
                  <w:noWrap w:val="0"/>
                  <w:vAlign w:val="center"/>
                </w:tcPr>
                <w:p w14:paraId="1731D1FF">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危险废物名称</w:t>
                  </w:r>
                </w:p>
              </w:tc>
              <w:tc>
                <w:tcPr>
                  <w:tcW w:w="779" w:type="dxa"/>
                  <w:tcBorders>
                    <w:tl2br w:val="nil"/>
                    <w:tr2bl w:val="nil"/>
                  </w:tcBorders>
                  <w:noWrap w:val="0"/>
                  <w:vAlign w:val="center"/>
                </w:tcPr>
                <w:p w14:paraId="0684B135">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危险废物类别</w:t>
                  </w:r>
                </w:p>
              </w:tc>
              <w:tc>
                <w:tcPr>
                  <w:tcW w:w="1282" w:type="dxa"/>
                  <w:tcBorders>
                    <w:tl2br w:val="nil"/>
                    <w:tr2bl w:val="nil"/>
                  </w:tcBorders>
                  <w:noWrap w:val="0"/>
                  <w:vAlign w:val="center"/>
                </w:tcPr>
                <w:p w14:paraId="20F38CD0">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危险废物代码</w:t>
                  </w:r>
                </w:p>
              </w:tc>
              <w:tc>
                <w:tcPr>
                  <w:tcW w:w="600" w:type="dxa"/>
                  <w:tcBorders>
                    <w:tl2br w:val="nil"/>
                    <w:tr2bl w:val="nil"/>
                  </w:tcBorders>
                  <w:noWrap w:val="0"/>
                  <w:vAlign w:val="center"/>
                </w:tcPr>
                <w:p w14:paraId="5D7A32EB">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位置</w:t>
                  </w:r>
                </w:p>
              </w:tc>
              <w:tc>
                <w:tcPr>
                  <w:tcW w:w="627" w:type="dxa"/>
                  <w:tcBorders>
                    <w:tl2br w:val="nil"/>
                    <w:tr2bl w:val="nil"/>
                  </w:tcBorders>
                  <w:noWrap w:val="0"/>
                  <w:vAlign w:val="center"/>
                </w:tcPr>
                <w:p w14:paraId="6C6F7E6A">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占地面积</w:t>
                  </w:r>
                </w:p>
              </w:tc>
              <w:tc>
                <w:tcPr>
                  <w:tcW w:w="995" w:type="dxa"/>
                  <w:tcBorders>
                    <w:tl2br w:val="nil"/>
                    <w:tr2bl w:val="nil"/>
                  </w:tcBorders>
                  <w:noWrap w:val="0"/>
                  <w:vAlign w:val="center"/>
                </w:tcPr>
                <w:p w14:paraId="511841F3">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贮存方式</w:t>
                  </w:r>
                </w:p>
              </w:tc>
              <w:tc>
                <w:tcPr>
                  <w:tcW w:w="660" w:type="dxa"/>
                  <w:tcBorders>
                    <w:tl2br w:val="nil"/>
                    <w:tr2bl w:val="nil"/>
                  </w:tcBorders>
                  <w:noWrap w:val="0"/>
                  <w:vAlign w:val="center"/>
                </w:tcPr>
                <w:p w14:paraId="4C83169B">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贮存</w:t>
                  </w:r>
                </w:p>
                <w:p w14:paraId="39498A85">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rPr>
                  </w:pPr>
                  <w:r>
                    <w:rPr>
                      <w:rFonts w:hint="default"/>
                      <w:color w:val="auto"/>
                      <w:sz w:val="21"/>
                      <w:szCs w:val="21"/>
                      <w:highlight w:val="none"/>
                    </w:rPr>
                    <w:t>能力</w:t>
                  </w:r>
                </w:p>
              </w:tc>
              <w:tc>
                <w:tcPr>
                  <w:tcW w:w="721" w:type="dxa"/>
                  <w:tcBorders>
                    <w:tl2br w:val="nil"/>
                    <w:tr2bl w:val="nil"/>
                  </w:tcBorders>
                  <w:noWrap w:val="0"/>
                  <w:vAlign w:val="center"/>
                </w:tcPr>
                <w:p w14:paraId="343D1C63">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贮存</w:t>
                  </w:r>
                </w:p>
                <w:p w14:paraId="5E5ABD80">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r>
                    <w:rPr>
                      <w:rFonts w:hint="default"/>
                      <w:color w:val="auto"/>
                      <w:sz w:val="21"/>
                      <w:szCs w:val="21"/>
                    </w:rPr>
                    <w:t>周期</w:t>
                  </w:r>
                </w:p>
              </w:tc>
            </w:tr>
            <w:tr w14:paraId="6E93C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14:paraId="709FC081">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eastAsia="zh-CN"/>
                    </w:rPr>
                  </w:pPr>
                  <w:r>
                    <w:rPr>
                      <w:rFonts w:hint="eastAsia"/>
                      <w:color w:val="auto"/>
                      <w:sz w:val="21"/>
                      <w:szCs w:val="21"/>
                      <w:lang w:val="en-US" w:eastAsia="zh-CN"/>
                    </w:rPr>
                    <w:t>1</w:t>
                  </w:r>
                </w:p>
              </w:tc>
              <w:tc>
                <w:tcPr>
                  <w:tcW w:w="645" w:type="dxa"/>
                  <w:vMerge w:val="restart"/>
                  <w:tcBorders>
                    <w:tl2br w:val="nil"/>
                    <w:tr2bl w:val="nil"/>
                  </w:tcBorders>
                  <w:noWrap w:val="0"/>
                  <w:vAlign w:val="center"/>
                </w:tcPr>
                <w:p w14:paraId="02733315">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危废间</w:t>
                  </w:r>
                </w:p>
              </w:tc>
              <w:tc>
                <w:tcPr>
                  <w:tcW w:w="1524" w:type="dxa"/>
                  <w:tcBorders>
                    <w:tl2br w:val="nil"/>
                    <w:tr2bl w:val="nil"/>
                  </w:tcBorders>
                  <w:noWrap w:val="0"/>
                  <w:vAlign w:val="center"/>
                </w:tcPr>
                <w:p w14:paraId="7A4508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废润滑油</w:t>
                  </w:r>
                </w:p>
              </w:tc>
              <w:tc>
                <w:tcPr>
                  <w:tcW w:w="779" w:type="dxa"/>
                  <w:tcBorders>
                    <w:tl2br w:val="nil"/>
                    <w:tr2bl w:val="nil"/>
                  </w:tcBorders>
                  <w:noWrap w:val="0"/>
                  <w:vAlign w:val="center"/>
                </w:tcPr>
                <w:p w14:paraId="56F8446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1282" w:type="dxa"/>
                  <w:tcBorders>
                    <w:tl2br w:val="nil"/>
                    <w:tr2bl w:val="nil"/>
                  </w:tcBorders>
                  <w:noWrap w:val="0"/>
                  <w:vAlign w:val="center"/>
                </w:tcPr>
                <w:p w14:paraId="2CA5C4D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s="Times New Roman"/>
                      <w:color w:val="auto"/>
                      <w:kern w:val="2"/>
                      <w:sz w:val="21"/>
                      <w:szCs w:val="21"/>
                      <w:lang w:val="en-US" w:eastAsia="zh-CN" w:bidi="ar-SA"/>
                    </w:rPr>
                    <w:t>900-214-08</w:t>
                  </w:r>
                </w:p>
              </w:tc>
              <w:tc>
                <w:tcPr>
                  <w:tcW w:w="600" w:type="dxa"/>
                  <w:vMerge w:val="restart"/>
                  <w:tcBorders>
                    <w:tl2br w:val="nil"/>
                    <w:tr2bl w:val="nil"/>
                  </w:tcBorders>
                  <w:noWrap w:val="0"/>
                  <w:vAlign w:val="center"/>
                </w:tcPr>
                <w:p w14:paraId="174901A3">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车间北侧</w:t>
                  </w:r>
                </w:p>
              </w:tc>
              <w:tc>
                <w:tcPr>
                  <w:tcW w:w="627" w:type="dxa"/>
                  <w:vMerge w:val="restart"/>
                  <w:tcBorders>
                    <w:tl2br w:val="nil"/>
                    <w:tr2bl w:val="nil"/>
                  </w:tcBorders>
                  <w:noWrap w:val="0"/>
                  <w:vAlign w:val="center"/>
                </w:tcPr>
                <w:p w14:paraId="555AFE72">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20m</w:t>
                  </w:r>
                  <w:r>
                    <w:rPr>
                      <w:rFonts w:hint="eastAsia"/>
                      <w:color w:val="auto"/>
                      <w:sz w:val="21"/>
                      <w:szCs w:val="21"/>
                      <w:highlight w:val="none"/>
                      <w:vertAlign w:val="superscript"/>
                      <w:lang w:val="en-US" w:eastAsia="zh-CN"/>
                    </w:rPr>
                    <w:t>2</w:t>
                  </w:r>
                </w:p>
              </w:tc>
              <w:tc>
                <w:tcPr>
                  <w:tcW w:w="995" w:type="dxa"/>
                  <w:tcBorders>
                    <w:tl2br w:val="nil"/>
                    <w:tr2bl w:val="nil"/>
                  </w:tcBorders>
                  <w:noWrap w:val="0"/>
                  <w:vAlign w:val="center"/>
                </w:tcPr>
                <w:p w14:paraId="22EB7F68">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密闭桶装</w:t>
                  </w:r>
                </w:p>
              </w:tc>
              <w:tc>
                <w:tcPr>
                  <w:tcW w:w="660" w:type="dxa"/>
                  <w:vMerge w:val="restart"/>
                  <w:tcBorders>
                    <w:tl2br w:val="nil"/>
                    <w:tr2bl w:val="nil"/>
                  </w:tcBorders>
                  <w:noWrap w:val="0"/>
                  <w:vAlign w:val="center"/>
                </w:tcPr>
                <w:p w14:paraId="0ED87AD3">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highlight w:val="none"/>
                    </w:rPr>
                  </w:pPr>
                  <w:r>
                    <w:rPr>
                      <w:rFonts w:hint="eastAsia"/>
                      <w:color w:val="auto"/>
                      <w:sz w:val="21"/>
                      <w:szCs w:val="21"/>
                      <w:highlight w:val="none"/>
                      <w:lang w:val="en-US" w:eastAsia="zh-CN"/>
                    </w:rPr>
                    <w:t>20m</w:t>
                  </w:r>
                  <w:r>
                    <w:rPr>
                      <w:rFonts w:hint="eastAsia"/>
                      <w:color w:val="auto"/>
                      <w:sz w:val="21"/>
                      <w:szCs w:val="21"/>
                      <w:highlight w:val="none"/>
                      <w:vertAlign w:val="superscript"/>
                      <w:lang w:val="en-US" w:eastAsia="zh-CN"/>
                    </w:rPr>
                    <w:t>2</w:t>
                  </w:r>
                </w:p>
              </w:tc>
              <w:tc>
                <w:tcPr>
                  <w:tcW w:w="721" w:type="dxa"/>
                  <w:tcBorders>
                    <w:tl2br w:val="nil"/>
                    <w:tr2bl w:val="nil"/>
                  </w:tcBorders>
                  <w:noWrap w:val="0"/>
                  <w:vAlign w:val="center"/>
                </w:tcPr>
                <w:p w14:paraId="1954982E">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lang w:val="en-US" w:eastAsia="zh-CN"/>
                    </w:rPr>
                  </w:pPr>
                  <w:r>
                    <w:rPr>
                      <w:rFonts w:hint="eastAsia"/>
                      <w:color w:val="auto"/>
                      <w:sz w:val="21"/>
                      <w:szCs w:val="21"/>
                      <w:lang w:val="en-US" w:eastAsia="zh-CN"/>
                    </w:rPr>
                    <w:t>半年</w:t>
                  </w:r>
                </w:p>
              </w:tc>
            </w:tr>
            <w:tr w14:paraId="6B7A8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14:paraId="6D8AE41D">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eastAsia="zh-CN"/>
                    </w:rPr>
                  </w:pPr>
                  <w:r>
                    <w:rPr>
                      <w:rFonts w:hint="eastAsia"/>
                      <w:color w:val="auto"/>
                      <w:sz w:val="21"/>
                      <w:szCs w:val="21"/>
                      <w:lang w:val="en-US" w:eastAsia="zh-CN"/>
                    </w:rPr>
                    <w:t>2</w:t>
                  </w:r>
                </w:p>
              </w:tc>
              <w:tc>
                <w:tcPr>
                  <w:tcW w:w="645" w:type="dxa"/>
                  <w:vMerge w:val="continue"/>
                  <w:tcBorders>
                    <w:tl2br w:val="nil"/>
                    <w:tr2bl w:val="nil"/>
                  </w:tcBorders>
                  <w:noWrap w:val="0"/>
                  <w:vAlign w:val="center"/>
                </w:tcPr>
                <w:p w14:paraId="61A65314">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14:paraId="4EB56F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废液压油</w:t>
                  </w:r>
                </w:p>
              </w:tc>
              <w:tc>
                <w:tcPr>
                  <w:tcW w:w="779" w:type="dxa"/>
                  <w:tcBorders>
                    <w:tl2br w:val="nil"/>
                    <w:tr2bl w:val="nil"/>
                  </w:tcBorders>
                  <w:noWrap w:val="0"/>
                  <w:vAlign w:val="center"/>
                </w:tcPr>
                <w:p w14:paraId="0C1B427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1282" w:type="dxa"/>
                  <w:tcBorders>
                    <w:tl2br w:val="nil"/>
                    <w:tr2bl w:val="nil"/>
                  </w:tcBorders>
                  <w:noWrap w:val="0"/>
                  <w:vAlign w:val="center"/>
                </w:tcPr>
                <w:p w14:paraId="7C742C4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s="Times New Roman"/>
                      <w:color w:val="auto"/>
                      <w:kern w:val="2"/>
                      <w:sz w:val="21"/>
                      <w:szCs w:val="21"/>
                      <w:lang w:val="en-US" w:eastAsia="zh-CN" w:bidi="ar-SA"/>
                    </w:rPr>
                    <w:t>900-218-08</w:t>
                  </w:r>
                </w:p>
              </w:tc>
              <w:tc>
                <w:tcPr>
                  <w:tcW w:w="600" w:type="dxa"/>
                  <w:vMerge w:val="continue"/>
                  <w:tcBorders>
                    <w:tl2br w:val="nil"/>
                    <w:tr2bl w:val="nil"/>
                  </w:tcBorders>
                  <w:noWrap w:val="0"/>
                  <w:vAlign w:val="center"/>
                </w:tcPr>
                <w:p w14:paraId="2FA05C9A">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14:paraId="068D4ABA">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14:paraId="39F0FD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14:paraId="795496BE">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14:paraId="2051938B">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rPr>
                  </w:pPr>
                  <w:r>
                    <w:rPr>
                      <w:rFonts w:hint="eastAsia"/>
                      <w:color w:val="auto"/>
                      <w:sz w:val="21"/>
                      <w:szCs w:val="21"/>
                      <w:lang w:val="en-US" w:eastAsia="zh-CN"/>
                    </w:rPr>
                    <w:t>半年</w:t>
                  </w:r>
                </w:p>
              </w:tc>
            </w:tr>
            <w:tr w14:paraId="158CB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14:paraId="4C173B9E">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3</w:t>
                  </w:r>
                </w:p>
              </w:tc>
              <w:tc>
                <w:tcPr>
                  <w:tcW w:w="645" w:type="dxa"/>
                  <w:vMerge w:val="continue"/>
                  <w:tcBorders>
                    <w:tl2br w:val="nil"/>
                    <w:tr2bl w:val="nil"/>
                  </w:tcBorders>
                  <w:noWrap w:val="0"/>
                  <w:vAlign w:val="center"/>
                </w:tcPr>
                <w:p w14:paraId="463C66EA">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14:paraId="656121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废切削液</w:t>
                  </w:r>
                </w:p>
              </w:tc>
              <w:tc>
                <w:tcPr>
                  <w:tcW w:w="779" w:type="dxa"/>
                  <w:tcBorders>
                    <w:tl2br w:val="nil"/>
                    <w:tr2bl w:val="nil"/>
                  </w:tcBorders>
                  <w:noWrap w:val="0"/>
                  <w:vAlign w:val="center"/>
                </w:tcPr>
                <w:p w14:paraId="5E370A1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1282" w:type="dxa"/>
                  <w:tcBorders>
                    <w:tl2br w:val="nil"/>
                    <w:tr2bl w:val="nil"/>
                  </w:tcBorders>
                  <w:noWrap w:val="0"/>
                  <w:vAlign w:val="center"/>
                </w:tcPr>
                <w:p w14:paraId="3FA81BD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eastAsia" w:cs="Times New Roman"/>
                      <w:color w:val="auto"/>
                      <w:kern w:val="2"/>
                      <w:sz w:val="21"/>
                      <w:szCs w:val="21"/>
                      <w:lang w:val="en-US" w:eastAsia="zh-CN" w:bidi="ar-SA"/>
                    </w:rPr>
                    <w:t>900-006-09</w:t>
                  </w:r>
                </w:p>
              </w:tc>
              <w:tc>
                <w:tcPr>
                  <w:tcW w:w="600" w:type="dxa"/>
                  <w:vMerge w:val="continue"/>
                  <w:tcBorders>
                    <w:tl2br w:val="nil"/>
                    <w:tr2bl w:val="nil"/>
                  </w:tcBorders>
                  <w:noWrap w:val="0"/>
                  <w:vAlign w:val="center"/>
                </w:tcPr>
                <w:p w14:paraId="69C34A80">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14:paraId="478299D3">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14:paraId="73E757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14:paraId="4D71247A">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14:paraId="1B12F56C">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rPr>
                  </w:pPr>
                  <w:r>
                    <w:rPr>
                      <w:rFonts w:hint="eastAsia"/>
                      <w:color w:val="auto"/>
                      <w:sz w:val="21"/>
                      <w:szCs w:val="21"/>
                      <w:lang w:val="en-US" w:eastAsia="zh-CN"/>
                    </w:rPr>
                    <w:t>半年</w:t>
                  </w:r>
                </w:p>
              </w:tc>
            </w:tr>
            <w:tr w14:paraId="44C380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14:paraId="2D9DB0A7">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lang w:val="en-US" w:eastAsia="zh-CN"/>
                    </w:rPr>
                  </w:pPr>
                  <w:r>
                    <w:rPr>
                      <w:rFonts w:hint="eastAsia"/>
                      <w:color w:val="auto"/>
                      <w:sz w:val="21"/>
                      <w:szCs w:val="21"/>
                      <w:lang w:val="en-US" w:eastAsia="zh-CN"/>
                    </w:rPr>
                    <w:t>4</w:t>
                  </w:r>
                </w:p>
              </w:tc>
              <w:tc>
                <w:tcPr>
                  <w:tcW w:w="645" w:type="dxa"/>
                  <w:vMerge w:val="continue"/>
                  <w:tcBorders>
                    <w:tl2br w:val="nil"/>
                    <w:tr2bl w:val="nil"/>
                  </w:tcBorders>
                  <w:noWrap w:val="0"/>
                  <w:vAlign w:val="center"/>
                </w:tcPr>
                <w:p w14:paraId="24D62172">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14:paraId="69D5D5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含油铁屑</w:t>
                  </w:r>
                </w:p>
              </w:tc>
              <w:tc>
                <w:tcPr>
                  <w:tcW w:w="779" w:type="dxa"/>
                  <w:tcBorders>
                    <w:tl2br w:val="nil"/>
                    <w:tr2bl w:val="nil"/>
                  </w:tcBorders>
                  <w:noWrap w:val="0"/>
                  <w:vAlign w:val="center"/>
                </w:tcPr>
                <w:p w14:paraId="50EAE4A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1282" w:type="dxa"/>
                  <w:tcBorders>
                    <w:tl2br w:val="nil"/>
                    <w:tr2bl w:val="nil"/>
                  </w:tcBorders>
                  <w:noWrap w:val="0"/>
                  <w:vAlign w:val="center"/>
                </w:tcPr>
                <w:p w14:paraId="6907035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s="Times New Roman"/>
                      <w:color w:val="auto"/>
                      <w:kern w:val="2"/>
                      <w:sz w:val="21"/>
                      <w:szCs w:val="21"/>
                      <w:lang w:val="en-US" w:eastAsia="zh-CN" w:bidi="ar-SA"/>
                    </w:rPr>
                    <w:t>900-006-09</w:t>
                  </w:r>
                </w:p>
              </w:tc>
              <w:tc>
                <w:tcPr>
                  <w:tcW w:w="600" w:type="dxa"/>
                  <w:vMerge w:val="continue"/>
                  <w:tcBorders>
                    <w:tl2br w:val="nil"/>
                    <w:tr2bl w:val="nil"/>
                  </w:tcBorders>
                  <w:noWrap w:val="0"/>
                  <w:vAlign w:val="center"/>
                </w:tcPr>
                <w:p w14:paraId="75A87720">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14:paraId="11BAA49B">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14:paraId="729085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14:paraId="6D71911E">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14:paraId="459C5285">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rPr>
                  </w:pPr>
                  <w:r>
                    <w:rPr>
                      <w:rFonts w:hint="eastAsia"/>
                      <w:color w:val="auto"/>
                      <w:sz w:val="21"/>
                      <w:szCs w:val="21"/>
                      <w:lang w:val="en-US" w:eastAsia="zh-CN"/>
                    </w:rPr>
                    <w:t>半年</w:t>
                  </w:r>
                </w:p>
              </w:tc>
            </w:tr>
            <w:tr w14:paraId="701CD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14:paraId="5419F808">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lang w:val="en-US" w:eastAsia="zh-CN"/>
                    </w:rPr>
                  </w:pPr>
                  <w:r>
                    <w:rPr>
                      <w:rFonts w:hint="eastAsia"/>
                      <w:color w:val="auto"/>
                      <w:sz w:val="21"/>
                      <w:szCs w:val="21"/>
                      <w:lang w:val="en-US" w:eastAsia="zh-CN"/>
                    </w:rPr>
                    <w:t>5</w:t>
                  </w:r>
                </w:p>
              </w:tc>
              <w:tc>
                <w:tcPr>
                  <w:tcW w:w="645" w:type="dxa"/>
                  <w:vMerge w:val="continue"/>
                  <w:tcBorders>
                    <w:tl2br w:val="nil"/>
                    <w:tr2bl w:val="nil"/>
                  </w:tcBorders>
                  <w:noWrap w:val="0"/>
                  <w:vAlign w:val="center"/>
                </w:tcPr>
                <w:p w14:paraId="19612D82">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14:paraId="0F76AD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漆渣</w:t>
                  </w:r>
                </w:p>
              </w:tc>
              <w:tc>
                <w:tcPr>
                  <w:tcW w:w="779" w:type="dxa"/>
                  <w:tcBorders>
                    <w:tl2br w:val="nil"/>
                    <w:tr2bl w:val="nil"/>
                  </w:tcBorders>
                  <w:noWrap w:val="0"/>
                  <w:vAlign w:val="center"/>
                </w:tcPr>
                <w:p w14:paraId="1A46FD2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lang w:val="en-US" w:eastAsia="zh-CN" w:bidi="ar-SA"/>
                    </w:rPr>
                    <w:t>HW09</w:t>
                  </w:r>
                </w:p>
              </w:tc>
              <w:tc>
                <w:tcPr>
                  <w:tcW w:w="1282" w:type="dxa"/>
                  <w:tcBorders>
                    <w:tl2br w:val="nil"/>
                    <w:tr2bl w:val="nil"/>
                  </w:tcBorders>
                  <w:noWrap w:val="0"/>
                  <w:vAlign w:val="center"/>
                </w:tcPr>
                <w:p w14:paraId="76E7C2A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s="Times New Roman"/>
                      <w:color w:val="auto"/>
                      <w:kern w:val="2"/>
                      <w:sz w:val="21"/>
                      <w:szCs w:val="21"/>
                      <w:lang w:val="en-US" w:eastAsia="zh-CN" w:bidi="ar-SA"/>
                    </w:rPr>
                    <w:t>900-006-09</w:t>
                  </w:r>
                </w:p>
              </w:tc>
              <w:tc>
                <w:tcPr>
                  <w:tcW w:w="600" w:type="dxa"/>
                  <w:vMerge w:val="continue"/>
                  <w:tcBorders>
                    <w:tl2br w:val="nil"/>
                    <w:tr2bl w:val="nil"/>
                  </w:tcBorders>
                  <w:noWrap w:val="0"/>
                  <w:vAlign w:val="center"/>
                </w:tcPr>
                <w:p w14:paraId="399B3D74">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14:paraId="7A7215B9">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14:paraId="0FEE61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14:paraId="389FE0CC">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14:paraId="315F7F07">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rPr>
                  </w:pPr>
                  <w:r>
                    <w:rPr>
                      <w:rFonts w:hint="eastAsia"/>
                      <w:color w:val="auto"/>
                      <w:sz w:val="21"/>
                      <w:szCs w:val="21"/>
                      <w:lang w:val="en-US" w:eastAsia="zh-CN"/>
                    </w:rPr>
                    <w:t>半年</w:t>
                  </w:r>
                </w:p>
              </w:tc>
            </w:tr>
            <w:tr w14:paraId="3F4DD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14:paraId="3DB01F6A">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w:t>
                  </w:r>
                </w:p>
              </w:tc>
              <w:tc>
                <w:tcPr>
                  <w:tcW w:w="645" w:type="dxa"/>
                  <w:vMerge w:val="continue"/>
                  <w:tcBorders>
                    <w:tl2br w:val="nil"/>
                    <w:tr2bl w:val="nil"/>
                  </w:tcBorders>
                  <w:noWrap w:val="0"/>
                  <w:vAlign w:val="center"/>
                </w:tcPr>
                <w:p w14:paraId="7C13C137">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14:paraId="0E15E1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油性漆及稀释剂废</w:t>
                  </w:r>
                  <w:r>
                    <w:rPr>
                      <w:rFonts w:hint="default" w:cs="Times New Roman"/>
                      <w:color w:val="auto"/>
                      <w:kern w:val="2"/>
                      <w:sz w:val="21"/>
                      <w:szCs w:val="21"/>
                      <w:highlight w:val="none"/>
                      <w:lang w:val="en-US" w:eastAsia="zh-CN" w:bidi="ar-SA"/>
                    </w:rPr>
                    <w:t>包装桶</w:t>
                  </w:r>
                </w:p>
              </w:tc>
              <w:tc>
                <w:tcPr>
                  <w:tcW w:w="779" w:type="dxa"/>
                  <w:tcBorders>
                    <w:tl2br w:val="nil"/>
                    <w:tr2bl w:val="nil"/>
                  </w:tcBorders>
                  <w:noWrap w:val="0"/>
                  <w:vAlign w:val="center"/>
                </w:tcPr>
                <w:p w14:paraId="7E7E188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HW49</w:t>
                  </w:r>
                </w:p>
              </w:tc>
              <w:tc>
                <w:tcPr>
                  <w:tcW w:w="1282" w:type="dxa"/>
                  <w:tcBorders>
                    <w:tl2br w:val="nil"/>
                    <w:tr2bl w:val="nil"/>
                  </w:tcBorders>
                  <w:noWrap w:val="0"/>
                  <w:vAlign w:val="center"/>
                </w:tcPr>
                <w:p w14:paraId="236E832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900-041-49</w:t>
                  </w:r>
                </w:p>
              </w:tc>
              <w:tc>
                <w:tcPr>
                  <w:tcW w:w="600" w:type="dxa"/>
                  <w:vMerge w:val="continue"/>
                  <w:tcBorders>
                    <w:tl2br w:val="nil"/>
                    <w:tr2bl w:val="nil"/>
                  </w:tcBorders>
                  <w:noWrap w:val="0"/>
                  <w:vAlign w:val="center"/>
                </w:tcPr>
                <w:p w14:paraId="2C0ABF49">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14:paraId="36C9C8FE">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14:paraId="5EACC3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14:paraId="77908DE6">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721" w:type="dxa"/>
                  <w:tcBorders>
                    <w:tl2br w:val="nil"/>
                    <w:tr2bl w:val="nil"/>
                  </w:tcBorders>
                  <w:noWrap w:val="0"/>
                  <w:vAlign w:val="center"/>
                </w:tcPr>
                <w:p w14:paraId="49120D13">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14:paraId="17EA48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14:paraId="041888BB">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w:t>
                  </w:r>
                </w:p>
              </w:tc>
              <w:tc>
                <w:tcPr>
                  <w:tcW w:w="645" w:type="dxa"/>
                  <w:vMerge w:val="continue"/>
                  <w:tcBorders>
                    <w:tl2br w:val="nil"/>
                    <w:tr2bl w:val="nil"/>
                  </w:tcBorders>
                  <w:noWrap w:val="0"/>
                  <w:vAlign w:val="center"/>
                </w:tcPr>
                <w:p w14:paraId="106375A7">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14:paraId="1A4701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废油桶</w:t>
                  </w:r>
                </w:p>
              </w:tc>
              <w:tc>
                <w:tcPr>
                  <w:tcW w:w="779" w:type="dxa"/>
                  <w:tcBorders>
                    <w:tl2br w:val="nil"/>
                    <w:tr2bl w:val="nil"/>
                  </w:tcBorders>
                  <w:noWrap w:val="0"/>
                  <w:vAlign w:val="center"/>
                </w:tcPr>
                <w:p w14:paraId="464AF84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1282" w:type="dxa"/>
                  <w:tcBorders>
                    <w:tl2br w:val="nil"/>
                    <w:tr2bl w:val="nil"/>
                  </w:tcBorders>
                  <w:noWrap w:val="0"/>
                  <w:vAlign w:val="center"/>
                </w:tcPr>
                <w:p w14:paraId="374ABF9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w:t>
                  </w:r>
                  <w:r>
                    <w:rPr>
                      <w:rFonts w:hint="eastAsia" w:ascii="Times New Roman" w:hAnsi="Times New Roman" w:eastAsia="宋体" w:cs="Times New Roman"/>
                      <w:color w:val="auto"/>
                      <w:sz w:val="21"/>
                      <w:szCs w:val="21"/>
                      <w:lang w:val="en-US" w:eastAsia="zh-CN"/>
                    </w:rPr>
                    <w:t>249</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08</w:t>
                  </w:r>
                </w:p>
              </w:tc>
              <w:tc>
                <w:tcPr>
                  <w:tcW w:w="600" w:type="dxa"/>
                  <w:vMerge w:val="continue"/>
                  <w:tcBorders>
                    <w:tl2br w:val="nil"/>
                    <w:tr2bl w:val="nil"/>
                  </w:tcBorders>
                  <w:noWrap w:val="0"/>
                  <w:vAlign w:val="center"/>
                </w:tcPr>
                <w:p w14:paraId="3173C98F">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14:paraId="4AAFE994">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14:paraId="519E82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14:paraId="6F189576">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14:paraId="2D91256A">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14:paraId="43DF0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14:paraId="289348D7">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8</w:t>
                  </w:r>
                </w:p>
              </w:tc>
              <w:tc>
                <w:tcPr>
                  <w:tcW w:w="645" w:type="dxa"/>
                  <w:vMerge w:val="continue"/>
                  <w:tcBorders>
                    <w:tl2br w:val="nil"/>
                    <w:tr2bl w:val="nil"/>
                  </w:tcBorders>
                  <w:noWrap w:val="0"/>
                  <w:vAlign w:val="center"/>
                </w:tcPr>
                <w:p w14:paraId="3DA14C94">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14:paraId="7CB9DE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废过滤棉</w:t>
                  </w:r>
                </w:p>
              </w:tc>
              <w:tc>
                <w:tcPr>
                  <w:tcW w:w="779" w:type="dxa"/>
                  <w:tcBorders>
                    <w:tl2br w:val="nil"/>
                    <w:tr2bl w:val="nil"/>
                  </w:tcBorders>
                  <w:noWrap w:val="0"/>
                  <w:vAlign w:val="center"/>
                </w:tcPr>
                <w:p w14:paraId="0EAD46E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HW49</w:t>
                  </w:r>
                </w:p>
              </w:tc>
              <w:tc>
                <w:tcPr>
                  <w:tcW w:w="1282" w:type="dxa"/>
                  <w:tcBorders>
                    <w:tl2br w:val="nil"/>
                    <w:tr2bl w:val="nil"/>
                  </w:tcBorders>
                  <w:noWrap w:val="0"/>
                  <w:vAlign w:val="center"/>
                </w:tcPr>
                <w:p w14:paraId="0FB7168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900-041-49</w:t>
                  </w:r>
                </w:p>
              </w:tc>
              <w:tc>
                <w:tcPr>
                  <w:tcW w:w="600" w:type="dxa"/>
                  <w:vMerge w:val="continue"/>
                  <w:tcBorders>
                    <w:tl2br w:val="nil"/>
                    <w:tr2bl w:val="nil"/>
                  </w:tcBorders>
                  <w:noWrap w:val="0"/>
                  <w:vAlign w:val="center"/>
                </w:tcPr>
                <w:p w14:paraId="06C17821">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627" w:type="dxa"/>
                  <w:vMerge w:val="continue"/>
                  <w:tcBorders>
                    <w:tl2br w:val="nil"/>
                    <w:tr2bl w:val="nil"/>
                  </w:tcBorders>
                  <w:noWrap w:val="0"/>
                  <w:vAlign w:val="center"/>
                </w:tcPr>
                <w:p w14:paraId="1A2B9C69">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995" w:type="dxa"/>
                  <w:tcBorders>
                    <w:tl2br w:val="nil"/>
                    <w:tr2bl w:val="nil"/>
                  </w:tcBorders>
                  <w:noWrap w:val="0"/>
                  <w:vAlign w:val="center"/>
                </w:tcPr>
                <w:p w14:paraId="081DB9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14:paraId="76AF10CE">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p>
              </w:tc>
              <w:tc>
                <w:tcPr>
                  <w:tcW w:w="721" w:type="dxa"/>
                  <w:tcBorders>
                    <w:tl2br w:val="nil"/>
                    <w:tr2bl w:val="nil"/>
                  </w:tcBorders>
                  <w:noWrap w:val="0"/>
                  <w:vAlign w:val="center"/>
                </w:tcPr>
                <w:p w14:paraId="4B111CFA">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14:paraId="1C0FF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14:paraId="141F0996">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w:t>
                  </w:r>
                </w:p>
              </w:tc>
              <w:tc>
                <w:tcPr>
                  <w:tcW w:w="645" w:type="dxa"/>
                  <w:vMerge w:val="continue"/>
                  <w:tcBorders>
                    <w:tl2br w:val="nil"/>
                    <w:tr2bl w:val="nil"/>
                  </w:tcBorders>
                  <w:noWrap w:val="0"/>
                  <w:vAlign w:val="center"/>
                </w:tcPr>
                <w:p w14:paraId="0C56F30B">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14:paraId="136728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废活性炭</w:t>
                  </w:r>
                </w:p>
              </w:tc>
              <w:tc>
                <w:tcPr>
                  <w:tcW w:w="779" w:type="dxa"/>
                  <w:tcBorders>
                    <w:tl2br w:val="nil"/>
                    <w:tr2bl w:val="nil"/>
                  </w:tcBorders>
                  <w:noWrap w:val="0"/>
                  <w:vAlign w:val="center"/>
                </w:tcPr>
                <w:p w14:paraId="64F6454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HW49</w:t>
                  </w:r>
                </w:p>
              </w:tc>
              <w:tc>
                <w:tcPr>
                  <w:tcW w:w="1282" w:type="dxa"/>
                  <w:tcBorders>
                    <w:tl2br w:val="nil"/>
                    <w:tr2bl w:val="nil"/>
                  </w:tcBorders>
                  <w:noWrap w:val="0"/>
                  <w:vAlign w:val="center"/>
                </w:tcPr>
                <w:p w14:paraId="0073FE9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900-041-49</w:t>
                  </w:r>
                </w:p>
              </w:tc>
              <w:tc>
                <w:tcPr>
                  <w:tcW w:w="600" w:type="dxa"/>
                  <w:vMerge w:val="continue"/>
                  <w:tcBorders>
                    <w:tl2br w:val="nil"/>
                    <w:tr2bl w:val="nil"/>
                  </w:tcBorders>
                  <w:noWrap w:val="0"/>
                  <w:vAlign w:val="center"/>
                </w:tcPr>
                <w:p w14:paraId="1A4FB8B1">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14:paraId="2B0514D7">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14:paraId="32E22A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专用容器</w:t>
                  </w:r>
                </w:p>
              </w:tc>
              <w:tc>
                <w:tcPr>
                  <w:tcW w:w="660" w:type="dxa"/>
                  <w:vMerge w:val="continue"/>
                  <w:tcBorders>
                    <w:tl2br w:val="nil"/>
                    <w:tr2bl w:val="nil"/>
                  </w:tcBorders>
                  <w:noWrap w:val="0"/>
                  <w:vAlign w:val="center"/>
                </w:tcPr>
                <w:p w14:paraId="23E00F8F">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14:paraId="1BBFF843">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14:paraId="183F1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14:paraId="66DA69A1">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10</w:t>
                  </w:r>
                </w:p>
              </w:tc>
              <w:tc>
                <w:tcPr>
                  <w:tcW w:w="645" w:type="dxa"/>
                  <w:vMerge w:val="continue"/>
                  <w:tcBorders>
                    <w:tl2br w:val="nil"/>
                    <w:tr2bl w:val="nil"/>
                  </w:tcBorders>
                  <w:noWrap w:val="0"/>
                  <w:vAlign w:val="center"/>
                </w:tcPr>
                <w:p w14:paraId="1CD5DA07">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14:paraId="6CD066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废催化剂</w:t>
                  </w:r>
                </w:p>
              </w:tc>
              <w:tc>
                <w:tcPr>
                  <w:tcW w:w="779" w:type="dxa"/>
                  <w:tcBorders>
                    <w:tl2br w:val="nil"/>
                    <w:tr2bl w:val="nil"/>
                  </w:tcBorders>
                  <w:noWrap w:val="0"/>
                  <w:vAlign w:val="center"/>
                </w:tcPr>
                <w:p w14:paraId="3F7984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HW50</w:t>
                  </w:r>
                </w:p>
              </w:tc>
              <w:tc>
                <w:tcPr>
                  <w:tcW w:w="1282" w:type="dxa"/>
                  <w:tcBorders>
                    <w:tl2br w:val="nil"/>
                    <w:tr2bl w:val="nil"/>
                  </w:tcBorders>
                  <w:noWrap w:val="0"/>
                  <w:vAlign w:val="center"/>
                </w:tcPr>
                <w:p w14:paraId="75707A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772-007-50</w:t>
                  </w:r>
                </w:p>
              </w:tc>
              <w:tc>
                <w:tcPr>
                  <w:tcW w:w="600" w:type="dxa"/>
                  <w:vMerge w:val="continue"/>
                  <w:tcBorders>
                    <w:tl2br w:val="nil"/>
                    <w:tr2bl w:val="nil"/>
                  </w:tcBorders>
                  <w:noWrap w:val="0"/>
                  <w:vAlign w:val="center"/>
                </w:tcPr>
                <w:p w14:paraId="718147BE">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14:paraId="6D066F9B">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14:paraId="068C8F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专用容器</w:t>
                  </w:r>
                </w:p>
              </w:tc>
              <w:tc>
                <w:tcPr>
                  <w:tcW w:w="660" w:type="dxa"/>
                  <w:vMerge w:val="continue"/>
                  <w:tcBorders>
                    <w:tl2br w:val="nil"/>
                    <w:tr2bl w:val="nil"/>
                  </w:tcBorders>
                  <w:noWrap w:val="0"/>
                  <w:vAlign w:val="center"/>
                </w:tcPr>
                <w:p w14:paraId="341D49A7">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14:paraId="594414A4">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olor w:val="auto"/>
                      <w:sz w:val="21"/>
                      <w:szCs w:val="21"/>
                      <w:lang w:val="en-US" w:eastAsia="zh-CN"/>
                    </w:rPr>
                  </w:pPr>
                  <w:r>
                    <w:rPr>
                      <w:rFonts w:hint="eastAsia"/>
                      <w:color w:val="auto"/>
                      <w:sz w:val="21"/>
                      <w:szCs w:val="21"/>
                      <w:lang w:val="en-US" w:eastAsia="zh-CN"/>
                    </w:rPr>
                    <w:t>半年</w:t>
                  </w:r>
                </w:p>
              </w:tc>
            </w:tr>
            <w:tr w14:paraId="4BC52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4" w:type="dxa"/>
                  <w:tcBorders>
                    <w:tl2br w:val="nil"/>
                    <w:tr2bl w:val="nil"/>
                  </w:tcBorders>
                  <w:noWrap w:val="0"/>
                  <w:vAlign w:val="center"/>
                </w:tcPr>
                <w:p w14:paraId="405F5A2F">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11</w:t>
                  </w:r>
                </w:p>
              </w:tc>
              <w:tc>
                <w:tcPr>
                  <w:tcW w:w="645" w:type="dxa"/>
                  <w:vMerge w:val="continue"/>
                  <w:tcBorders>
                    <w:tl2br w:val="nil"/>
                    <w:tr2bl w:val="nil"/>
                  </w:tcBorders>
                  <w:noWrap w:val="0"/>
                  <w:vAlign w:val="center"/>
                </w:tcPr>
                <w:p w14:paraId="5A175DCD">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1524" w:type="dxa"/>
                  <w:tcBorders>
                    <w:tl2br w:val="nil"/>
                    <w:tr2bl w:val="nil"/>
                  </w:tcBorders>
                  <w:noWrap w:val="0"/>
                  <w:vAlign w:val="center"/>
                </w:tcPr>
                <w:p w14:paraId="71F15E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废九宫格过滤材料</w:t>
                  </w:r>
                </w:p>
              </w:tc>
              <w:tc>
                <w:tcPr>
                  <w:tcW w:w="779" w:type="dxa"/>
                  <w:tcBorders>
                    <w:tl2br w:val="nil"/>
                    <w:tr2bl w:val="nil"/>
                  </w:tcBorders>
                  <w:noWrap w:val="0"/>
                  <w:vAlign w:val="center"/>
                </w:tcPr>
                <w:p w14:paraId="7C7A942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HW49</w:t>
                  </w:r>
                </w:p>
              </w:tc>
              <w:tc>
                <w:tcPr>
                  <w:tcW w:w="1282" w:type="dxa"/>
                  <w:tcBorders>
                    <w:tl2br w:val="nil"/>
                    <w:tr2bl w:val="nil"/>
                  </w:tcBorders>
                  <w:noWrap w:val="0"/>
                  <w:vAlign w:val="center"/>
                </w:tcPr>
                <w:p w14:paraId="22B3D35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900-041-49</w:t>
                  </w:r>
                </w:p>
              </w:tc>
              <w:tc>
                <w:tcPr>
                  <w:tcW w:w="600" w:type="dxa"/>
                  <w:vMerge w:val="continue"/>
                  <w:tcBorders>
                    <w:tl2br w:val="nil"/>
                    <w:tr2bl w:val="nil"/>
                  </w:tcBorders>
                  <w:noWrap w:val="0"/>
                  <w:vAlign w:val="center"/>
                </w:tcPr>
                <w:p w14:paraId="2F426583">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627" w:type="dxa"/>
                  <w:vMerge w:val="continue"/>
                  <w:tcBorders>
                    <w:tl2br w:val="nil"/>
                    <w:tr2bl w:val="nil"/>
                  </w:tcBorders>
                  <w:noWrap w:val="0"/>
                  <w:vAlign w:val="center"/>
                </w:tcPr>
                <w:p w14:paraId="3CC62E92">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995" w:type="dxa"/>
                  <w:tcBorders>
                    <w:tl2br w:val="nil"/>
                    <w:tr2bl w:val="nil"/>
                  </w:tcBorders>
                  <w:noWrap w:val="0"/>
                  <w:vAlign w:val="center"/>
                </w:tcPr>
                <w:p w14:paraId="594065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密闭桶装</w:t>
                  </w:r>
                </w:p>
              </w:tc>
              <w:tc>
                <w:tcPr>
                  <w:tcW w:w="660" w:type="dxa"/>
                  <w:vMerge w:val="continue"/>
                  <w:tcBorders>
                    <w:tl2br w:val="nil"/>
                    <w:tr2bl w:val="nil"/>
                  </w:tcBorders>
                  <w:noWrap w:val="0"/>
                  <w:vAlign w:val="center"/>
                </w:tcPr>
                <w:p w14:paraId="0970CF54">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rPr>
                  </w:pPr>
                </w:p>
              </w:tc>
              <w:tc>
                <w:tcPr>
                  <w:tcW w:w="721" w:type="dxa"/>
                  <w:tcBorders>
                    <w:tl2br w:val="nil"/>
                    <w:tr2bl w:val="nil"/>
                  </w:tcBorders>
                  <w:noWrap w:val="0"/>
                  <w:vAlign w:val="center"/>
                </w:tcPr>
                <w:p w14:paraId="0B6DF28D">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olor w:val="auto"/>
                      <w:sz w:val="21"/>
                      <w:szCs w:val="21"/>
                      <w:lang w:val="en-US" w:eastAsia="zh-CN"/>
                    </w:rPr>
                  </w:pPr>
                  <w:r>
                    <w:rPr>
                      <w:rFonts w:hint="eastAsia"/>
                      <w:color w:val="auto"/>
                      <w:sz w:val="21"/>
                      <w:szCs w:val="21"/>
                      <w:lang w:val="en-US" w:eastAsia="zh-CN"/>
                    </w:rPr>
                    <w:t>半年</w:t>
                  </w:r>
                </w:p>
              </w:tc>
            </w:tr>
          </w:tbl>
          <w:p w14:paraId="4FA69654">
            <w:pPr>
              <w:bidi w:val="0"/>
              <w:rPr>
                <w:rFonts w:hint="default"/>
                <w:color w:val="auto"/>
              </w:rPr>
            </w:pPr>
            <w:r>
              <w:rPr>
                <w:rFonts w:hint="default"/>
                <w:color w:val="auto"/>
              </w:rPr>
              <w:fldChar w:fldCharType="begin"/>
            </w:r>
            <w:r>
              <w:rPr>
                <w:rFonts w:hint="default"/>
                <w:color w:val="auto"/>
              </w:rPr>
              <w:instrText xml:space="preserve"> = 3 \* GB3 \* MERGEFORMAT </w:instrText>
            </w:r>
            <w:r>
              <w:rPr>
                <w:rFonts w:hint="default"/>
                <w:color w:val="auto"/>
              </w:rPr>
              <w:fldChar w:fldCharType="separate"/>
            </w:r>
            <w:r>
              <w:rPr>
                <w:rFonts w:hint="eastAsia"/>
                <w:color w:val="auto"/>
              </w:rPr>
              <w:t>③</w:t>
            </w:r>
            <w:r>
              <w:rPr>
                <w:rFonts w:hint="default"/>
                <w:color w:val="auto"/>
              </w:rPr>
              <w:fldChar w:fldCharType="end"/>
            </w:r>
            <w:r>
              <w:rPr>
                <w:rFonts w:hint="default"/>
                <w:color w:val="auto"/>
              </w:rPr>
              <w:t>危险废物运输</w:t>
            </w:r>
          </w:p>
          <w:p w14:paraId="01BF1803">
            <w:pPr>
              <w:bidi w:val="0"/>
              <w:rPr>
                <w:rFonts w:hint="default"/>
                <w:color w:val="auto"/>
              </w:rPr>
            </w:pPr>
            <w:r>
              <w:rPr>
                <w:rFonts w:hint="default"/>
                <w:color w:val="auto"/>
              </w:rPr>
              <w:t>本项目产生的危险废物按照《危险废物收集、贮存、运输技术规范》（HJ2025-2012）相关要求进行运输，并按要求填写危险废物的收集记录、厂内转运记录表，并将记录表作为危险废物管理的重要档案妥善保存。</w:t>
            </w:r>
          </w:p>
          <w:p w14:paraId="671C9968">
            <w:pPr>
              <w:bidi w:val="0"/>
              <w:rPr>
                <w:rFonts w:hint="default"/>
                <w:color w:val="auto"/>
              </w:rPr>
            </w:pPr>
            <w:r>
              <w:rPr>
                <w:rFonts w:hint="default"/>
                <w:color w:val="auto"/>
              </w:rPr>
              <w:t>a、运输承运危险废物时，应按照相关标准要求在危险废物包装上设置标志。</w:t>
            </w:r>
          </w:p>
          <w:p w14:paraId="3841A89A">
            <w:pPr>
              <w:bidi w:val="0"/>
              <w:rPr>
                <w:rFonts w:hint="default"/>
                <w:color w:val="auto"/>
              </w:rPr>
            </w:pPr>
            <w:r>
              <w:rPr>
                <w:rFonts w:hint="default"/>
                <w:color w:val="auto"/>
              </w:rPr>
              <w:t>b、所有运输车辆按规定的路线运输。</w:t>
            </w:r>
          </w:p>
          <w:p w14:paraId="131803F2">
            <w:pPr>
              <w:bidi w:val="0"/>
              <w:rPr>
                <w:rFonts w:hint="default"/>
                <w:color w:val="auto"/>
              </w:rPr>
            </w:pPr>
            <w:r>
              <w:rPr>
                <w:rFonts w:hint="default"/>
                <w:color w:val="auto"/>
              </w:rPr>
              <w:t>c、运输过程中危险废物应放置在密闭容器中，且运输设施应为封闭结构，具有防臭防遗撒功能，安装行驶及装卸记录仪。</w:t>
            </w:r>
          </w:p>
          <w:p w14:paraId="14804945">
            <w:pPr>
              <w:bidi w:val="0"/>
              <w:rPr>
                <w:rFonts w:hint="default"/>
                <w:color w:val="auto"/>
              </w:rPr>
            </w:pPr>
            <w:r>
              <w:rPr>
                <w:rFonts w:hint="default"/>
                <w:color w:val="auto"/>
              </w:rPr>
              <w:t>d、危险废物内部转运作业应采用专用的工具，危险废物内部转运应按照标准要求填写《危险废物厂内转运记录表》。</w:t>
            </w:r>
          </w:p>
          <w:p w14:paraId="7A740E67">
            <w:pPr>
              <w:bidi w:val="0"/>
              <w:rPr>
                <w:rFonts w:hint="default"/>
                <w:color w:val="auto"/>
              </w:rPr>
            </w:pPr>
            <w:r>
              <w:rPr>
                <w:rFonts w:hint="default"/>
                <w:color w:val="auto"/>
              </w:rPr>
              <w:t>e、危险废物内部转运结束后，应对转运路线进行检查和清理，无危险废物遗失在转运路线上。</w:t>
            </w:r>
          </w:p>
          <w:p w14:paraId="04ABA363">
            <w:pPr>
              <w:bidi w:val="0"/>
              <w:rPr>
                <w:rFonts w:hint="default"/>
                <w:color w:val="auto"/>
              </w:rPr>
            </w:pPr>
            <w:r>
              <w:rPr>
                <w:rFonts w:hint="default"/>
                <w:color w:val="auto"/>
              </w:rPr>
              <w:fldChar w:fldCharType="begin"/>
            </w:r>
            <w:r>
              <w:rPr>
                <w:rFonts w:hint="default"/>
                <w:color w:val="auto"/>
              </w:rPr>
              <w:instrText xml:space="preserve"> = 4 \* GB3 \* MERGEFORMAT </w:instrText>
            </w:r>
            <w:r>
              <w:rPr>
                <w:rFonts w:hint="default"/>
                <w:color w:val="auto"/>
              </w:rPr>
              <w:fldChar w:fldCharType="separate"/>
            </w:r>
            <w:r>
              <w:rPr>
                <w:rFonts w:hint="eastAsia"/>
                <w:color w:val="auto"/>
              </w:rPr>
              <w:t>④</w:t>
            </w:r>
            <w:r>
              <w:rPr>
                <w:rFonts w:hint="default"/>
                <w:color w:val="auto"/>
              </w:rPr>
              <w:fldChar w:fldCharType="end"/>
            </w:r>
            <w:r>
              <w:rPr>
                <w:rFonts w:hint="default"/>
                <w:color w:val="auto"/>
              </w:rPr>
              <w:t>危险废物处置</w:t>
            </w:r>
          </w:p>
          <w:p w14:paraId="6AEAD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color w:val="auto"/>
                <w:sz w:val="21"/>
                <w:szCs w:val="21"/>
                <w:lang w:val="zh-CN"/>
              </w:rPr>
            </w:pPr>
            <w:r>
              <w:rPr>
                <w:rFonts w:hint="default"/>
                <w:color w:val="auto"/>
                <w:sz w:val="24"/>
                <w:szCs w:val="24"/>
              </w:rPr>
              <w:t>本项目危险废物桶装收集后存放于</w:t>
            </w:r>
            <w:r>
              <w:rPr>
                <w:rFonts w:hint="eastAsia"/>
                <w:color w:val="auto"/>
                <w:sz w:val="24"/>
                <w:szCs w:val="24"/>
              </w:rPr>
              <w:t>危险废物暂存间</w:t>
            </w:r>
            <w:r>
              <w:rPr>
                <w:rFonts w:hint="default"/>
                <w:color w:val="auto"/>
                <w:sz w:val="24"/>
                <w:szCs w:val="24"/>
              </w:rPr>
              <w:t>，根据危险废物种类及数量，</w:t>
            </w:r>
            <w:r>
              <w:rPr>
                <w:rFonts w:hint="eastAsia"/>
                <w:color w:val="auto"/>
                <w:sz w:val="24"/>
                <w:szCs w:val="24"/>
                <w:lang w:val="en-US" w:eastAsia="zh-CN"/>
              </w:rPr>
              <w:t>定期交</w:t>
            </w:r>
            <w:r>
              <w:rPr>
                <w:rFonts w:hint="default"/>
                <w:color w:val="auto"/>
                <w:sz w:val="24"/>
                <w:szCs w:val="24"/>
              </w:rPr>
              <w:t>有资质的危险废物处置单位进行处理。</w:t>
            </w:r>
          </w:p>
          <w:p w14:paraId="6DDF396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lang w:val="en-US" w:eastAsia="zh-CN"/>
              </w:rPr>
            </w:pPr>
            <w:r>
              <w:rPr>
                <w:rFonts w:hint="eastAsia"/>
                <w:b/>
                <w:bCs/>
                <w:color w:val="auto"/>
                <w:lang w:val="en-US" w:eastAsia="zh-CN"/>
              </w:rPr>
              <w:t>5、地下水、土壤</w:t>
            </w:r>
          </w:p>
          <w:p w14:paraId="4219C9E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eastAsia" w:ascii="Times New Roman" w:hAnsi="Times New Roman" w:eastAsia="宋体" w:cs="Times New Roman"/>
                <w:color w:val="auto"/>
                <w:sz w:val="24"/>
                <w:szCs w:val="21"/>
                <w:shd w:val="clear" w:color="auto" w:fill="auto"/>
                <w:lang w:eastAsia="zh-CN"/>
              </w:rPr>
            </w:pPr>
            <w:r>
              <w:rPr>
                <w:rFonts w:hint="eastAsia" w:ascii="Times New Roman" w:hAnsi="Times New Roman" w:eastAsia="宋体" w:cs="Times New Roman"/>
                <w:color w:val="auto"/>
                <w:sz w:val="24"/>
                <w:szCs w:val="21"/>
                <w:shd w:val="clear" w:color="auto" w:fill="auto"/>
                <w:lang w:eastAsia="zh-CN"/>
              </w:rPr>
              <w:t>本项目生产过程产生的废气</w:t>
            </w:r>
            <w:r>
              <w:rPr>
                <w:rFonts w:hint="eastAsia" w:ascii="Times New Roman" w:hAnsi="Times New Roman" w:eastAsia="宋体" w:cs="Times New Roman"/>
                <w:color w:val="auto"/>
                <w:sz w:val="24"/>
                <w:szCs w:val="21"/>
                <w:shd w:val="clear" w:color="auto" w:fill="auto"/>
                <w:lang w:val="en-US" w:eastAsia="zh-CN"/>
              </w:rPr>
              <w:t>主要</w:t>
            </w:r>
            <w:r>
              <w:rPr>
                <w:rFonts w:hint="eastAsia" w:ascii="Times New Roman" w:hAnsi="Times New Roman" w:eastAsia="宋体" w:cs="Times New Roman"/>
                <w:color w:val="auto"/>
                <w:sz w:val="24"/>
                <w:szCs w:val="21"/>
                <w:shd w:val="clear" w:color="auto" w:fill="auto"/>
                <w:lang w:eastAsia="zh-CN"/>
              </w:rPr>
              <w:t>为</w:t>
            </w:r>
            <w:r>
              <w:rPr>
                <w:rFonts w:hint="eastAsia" w:cs="Times New Roman"/>
                <w:color w:val="auto"/>
                <w:sz w:val="24"/>
                <w:szCs w:val="21"/>
                <w:shd w:val="clear" w:color="auto" w:fill="auto"/>
                <w:lang w:val="en-US" w:eastAsia="zh-CN"/>
              </w:rPr>
              <w:t>颗粒物、</w:t>
            </w:r>
            <w:r>
              <w:rPr>
                <w:rFonts w:hint="eastAsia" w:ascii="Times New Roman" w:hAnsi="Times New Roman" w:eastAsia="宋体" w:cs="Times New Roman"/>
                <w:color w:val="auto"/>
                <w:sz w:val="24"/>
                <w:szCs w:val="21"/>
                <w:shd w:val="clear" w:color="auto" w:fill="auto"/>
                <w:lang w:val="en-US" w:eastAsia="zh-CN"/>
              </w:rPr>
              <w:t>非甲烷总烃</w:t>
            </w:r>
            <w:r>
              <w:rPr>
                <w:rFonts w:hint="eastAsia" w:ascii="Times New Roman" w:hAnsi="Times New Roman" w:eastAsia="宋体" w:cs="Times New Roman"/>
                <w:color w:val="auto"/>
                <w:sz w:val="24"/>
                <w:szCs w:val="21"/>
                <w:shd w:val="clear" w:color="auto" w:fill="auto"/>
                <w:lang w:eastAsia="zh-CN"/>
              </w:rPr>
              <w:t>，排放量较少，因此不会对土壤环境及地下水环境产生明显不利影响。</w:t>
            </w:r>
          </w:p>
          <w:p w14:paraId="00224C7C">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default" w:ascii="Times New Roman" w:hAnsi="Times New Roman" w:eastAsia="宋体" w:cs="Times New Roman"/>
                <w:color w:val="auto"/>
                <w:sz w:val="24"/>
                <w:szCs w:val="21"/>
                <w:shd w:val="clear" w:color="auto" w:fill="auto"/>
                <w:lang w:eastAsia="zh-CN"/>
              </w:rPr>
            </w:pPr>
            <w:r>
              <w:rPr>
                <w:rFonts w:hint="eastAsia" w:ascii="Times New Roman" w:hAnsi="Times New Roman" w:eastAsia="宋体" w:cs="Times New Roman"/>
                <w:color w:val="auto"/>
                <w:sz w:val="24"/>
                <w:szCs w:val="21"/>
                <w:shd w:val="clear" w:color="auto" w:fill="auto"/>
                <w:lang w:eastAsia="zh-CN"/>
              </w:rPr>
              <w:t>本项目</w:t>
            </w:r>
            <w:r>
              <w:rPr>
                <w:rFonts w:hint="eastAsia" w:cs="Times New Roman"/>
                <w:color w:val="auto"/>
                <w:sz w:val="24"/>
                <w:szCs w:val="21"/>
                <w:shd w:val="clear" w:color="auto" w:fill="auto"/>
                <w:lang w:val="en-US" w:eastAsia="zh-CN"/>
              </w:rPr>
              <w:t>生产过程不产生废水</w:t>
            </w:r>
            <w:r>
              <w:rPr>
                <w:rFonts w:hint="eastAsia" w:eastAsia="宋体" w:cs="Times New Roman"/>
                <w:color w:val="auto"/>
                <w:sz w:val="24"/>
                <w:szCs w:val="21"/>
                <w:shd w:val="clear" w:color="auto" w:fill="auto"/>
                <w:lang w:val="en-US" w:eastAsia="zh-CN"/>
              </w:rPr>
              <w:t>，</w:t>
            </w:r>
            <w:r>
              <w:rPr>
                <w:rFonts w:hint="eastAsia" w:cs="Times New Roman"/>
                <w:color w:val="auto"/>
                <w:sz w:val="24"/>
                <w:szCs w:val="21"/>
                <w:shd w:val="clear" w:color="auto" w:fill="auto"/>
                <w:lang w:val="en-US" w:eastAsia="zh-CN"/>
              </w:rPr>
              <w:t>生活污水水质简单，产生量很少，泼洒地面抑尘</w:t>
            </w:r>
            <w:r>
              <w:rPr>
                <w:rFonts w:hint="eastAsia" w:ascii="Times New Roman" w:hAnsi="Times New Roman" w:cs="Times New Roman"/>
                <w:smallCaps w:val="0"/>
                <w:color w:val="auto"/>
                <w:spacing w:val="0"/>
                <w:kern w:val="24"/>
                <w:position w:val="0"/>
                <w:sz w:val="24"/>
                <w:szCs w:val="24"/>
                <w:highlight w:val="none"/>
                <w:lang w:val="en-US" w:eastAsia="zh-CN" w:bidi="ar-SA"/>
              </w:rPr>
              <w:t>，</w:t>
            </w:r>
            <w:r>
              <w:rPr>
                <w:rFonts w:hint="eastAsia" w:ascii="Times New Roman" w:hAnsi="Times New Roman" w:eastAsia="宋体" w:cs="Times New Roman"/>
                <w:color w:val="auto"/>
                <w:sz w:val="24"/>
                <w:szCs w:val="21"/>
                <w:shd w:val="clear" w:color="auto" w:fill="auto"/>
                <w:lang w:eastAsia="zh-CN"/>
              </w:rPr>
              <w:t>不会对土壤及地下水环境产生明显不利影响。</w:t>
            </w:r>
          </w:p>
          <w:p w14:paraId="219CC9E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color w:val="auto"/>
                <w:sz w:val="24"/>
                <w:szCs w:val="24"/>
              </w:rPr>
            </w:pPr>
            <w:r>
              <w:rPr>
                <w:rFonts w:hint="eastAsia"/>
                <w:color w:val="auto"/>
                <w:sz w:val="24"/>
                <w:szCs w:val="24"/>
                <w:lang w:eastAsia="zh-CN"/>
              </w:rPr>
              <w:t>本项目</w:t>
            </w:r>
            <w:r>
              <w:rPr>
                <w:rFonts w:hint="eastAsia"/>
                <w:color w:val="auto"/>
                <w:sz w:val="24"/>
                <w:szCs w:val="24"/>
                <w:lang w:val="en-US" w:eastAsia="zh-CN"/>
              </w:rPr>
              <w:t>建成后对地下水、土壤的污染源</w:t>
            </w:r>
            <w:r>
              <w:rPr>
                <w:rFonts w:hint="eastAsia"/>
                <w:color w:val="auto"/>
                <w:sz w:val="24"/>
                <w:szCs w:val="24"/>
                <w:lang w:eastAsia="zh-CN"/>
              </w:rPr>
              <w:t>主要</w:t>
            </w:r>
            <w:r>
              <w:rPr>
                <w:rFonts w:hint="eastAsia"/>
                <w:color w:val="auto"/>
                <w:sz w:val="24"/>
                <w:szCs w:val="24"/>
                <w:lang w:val="en-US" w:eastAsia="zh-CN"/>
              </w:rPr>
              <w:t>为危险品库房存储的液化石油气、油性漆、油类以及</w:t>
            </w:r>
            <w:r>
              <w:rPr>
                <w:rFonts w:hint="eastAsia"/>
                <w:color w:val="auto"/>
                <w:sz w:val="24"/>
                <w:szCs w:val="24"/>
                <w:lang w:eastAsia="zh-CN"/>
              </w:rPr>
              <w:t>危废间</w:t>
            </w:r>
            <w:r>
              <w:rPr>
                <w:rFonts w:hint="eastAsia"/>
                <w:color w:val="auto"/>
                <w:sz w:val="24"/>
                <w:szCs w:val="24"/>
                <w:lang w:val="en-US" w:eastAsia="zh-CN"/>
              </w:rPr>
              <w:t>储存的危险废物，液化石油气、油性漆、润滑油、液压油、切削液、</w:t>
            </w:r>
            <w:r>
              <w:rPr>
                <w:rFonts w:hint="default" w:ascii="脣脦脤氓" w:hAnsi="脣脦脤氓" w:eastAsia="脣脦脤氓" w:cs="脣脦脤氓"/>
                <w:color w:val="auto"/>
                <w:kern w:val="0"/>
                <w:sz w:val="24"/>
                <w:szCs w:val="24"/>
                <w:lang w:val="en-US" w:eastAsia="zh-CN" w:bidi="ar"/>
              </w:rPr>
              <w:t>废润滑油、废液压油、废切削液、含油铁屑</w:t>
            </w:r>
            <w:r>
              <w:rPr>
                <w:rFonts w:hint="eastAsia"/>
                <w:color w:val="auto"/>
                <w:sz w:val="24"/>
                <w:szCs w:val="24"/>
                <w:lang w:val="en-US" w:eastAsia="zh-CN"/>
              </w:rPr>
              <w:t>，</w:t>
            </w:r>
            <w:r>
              <w:rPr>
                <w:rFonts w:hint="eastAsia"/>
                <w:color w:val="auto"/>
                <w:sz w:val="24"/>
                <w:szCs w:val="24"/>
                <w:lang w:eastAsia="zh-CN"/>
              </w:rPr>
              <w:t>可能因泄漏导致垂直入渗污染地下水、土壤，本项目</w:t>
            </w:r>
            <w:r>
              <w:rPr>
                <w:rFonts w:hint="eastAsia"/>
                <w:color w:val="auto"/>
                <w:sz w:val="24"/>
                <w:szCs w:val="24"/>
              </w:rPr>
              <w:t>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w:t>
            </w:r>
            <w:r>
              <w:rPr>
                <w:rFonts w:hint="eastAsia"/>
                <w:color w:val="auto"/>
                <w:sz w:val="24"/>
                <w:szCs w:val="24"/>
                <w:lang w:eastAsia="zh-CN"/>
              </w:rPr>
              <w:t>，做好防渗措施</w:t>
            </w:r>
            <w:r>
              <w:rPr>
                <w:rFonts w:hint="eastAsia"/>
                <w:color w:val="auto"/>
                <w:sz w:val="24"/>
                <w:szCs w:val="24"/>
              </w:rPr>
              <w:t>，避免由于泄漏造成物料下渗污染地下水</w:t>
            </w:r>
            <w:r>
              <w:rPr>
                <w:rFonts w:hint="eastAsia"/>
                <w:color w:val="auto"/>
                <w:sz w:val="24"/>
                <w:szCs w:val="24"/>
                <w:lang w:val="en-US" w:eastAsia="zh-CN"/>
              </w:rPr>
              <w:t>和土壤</w:t>
            </w:r>
            <w:r>
              <w:rPr>
                <w:rFonts w:hint="eastAsia"/>
                <w:color w:val="auto"/>
                <w:sz w:val="24"/>
                <w:szCs w:val="24"/>
              </w:rPr>
              <w:t>。</w:t>
            </w:r>
          </w:p>
          <w:p w14:paraId="18832921">
            <w:pPr>
              <w:spacing w:line="440" w:lineRule="exact"/>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t>防渗分区应根据建设项目场地天然包气带防污性能、污</w:t>
            </w:r>
            <w:r>
              <w:rPr>
                <w:rFonts w:hint="default" w:ascii="Times New Roman" w:hAnsi="Times New Roman" w:eastAsia="宋体" w:cs="Times New Roman"/>
                <w:color w:val="auto"/>
                <w:sz w:val="24"/>
                <w:szCs w:val="24"/>
              </w:rPr>
              <w:t>染控制难易程度和污染物特性，参照下表提出防渗技术要求。</w:t>
            </w:r>
          </w:p>
          <w:p w14:paraId="71DDBA5B">
            <w:pPr>
              <w:widowControl w:val="0"/>
              <w:ind w:firstLine="679" w:firstLineChars="294"/>
              <w:jc w:val="center"/>
              <w:rPr>
                <w:rFonts w:hint="default" w:ascii="Times New Roman" w:hAnsi="Times New Roman" w:eastAsia="宋体" w:cs="Times New Roman"/>
                <w:b/>
                <w:color w:val="auto"/>
                <w:spacing w:val="10"/>
                <w:kern w:val="2"/>
                <w:sz w:val="21"/>
                <w:szCs w:val="21"/>
                <w:highlight w:val="none"/>
                <w:lang w:bidi="ar"/>
              </w:rPr>
            </w:pPr>
            <w:r>
              <w:rPr>
                <w:rFonts w:hint="default" w:ascii="Times New Roman" w:hAnsi="Times New Roman" w:eastAsia="宋体" w:cs="Times New Roman"/>
                <w:b/>
                <w:color w:val="auto"/>
                <w:spacing w:val="10"/>
                <w:kern w:val="2"/>
                <w:sz w:val="21"/>
                <w:szCs w:val="21"/>
                <w:highlight w:val="none"/>
                <w:lang w:bidi="ar"/>
              </w:rPr>
              <w:t>表</w:t>
            </w:r>
            <w:r>
              <w:rPr>
                <w:rFonts w:hint="eastAsia" w:ascii="Times New Roman" w:hAnsi="Times New Roman" w:eastAsia="宋体" w:cs="Times New Roman"/>
                <w:b/>
                <w:color w:val="auto"/>
                <w:spacing w:val="10"/>
                <w:kern w:val="2"/>
                <w:sz w:val="21"/>
                <w:szCs w:val="21"/>
                <w:highlight w:val="none"/>
                <w:lang w:val="en-US" w:eastAsia="zh-CN" w:bidi="ar"/>
              </w:rPr>
              <w:t>4</w:t>
            </w:r>
            <w:r>
              <w:rPr>
                <w:rFonts w:hint="eastAsia" w:cs="Times New Roman"/>
                <w:b/>
                <w:color w:val="auto"/>
                <w:spacing w:val="10"/>
                <w:kern w:val="2"/>
                <w:sz w:val="21"/>
                <w:szCs w:val="21"/>
                <w:highlight w:val="none"/>
                <w:lang w:val="en-US" w:eastAsia="zh-CN" w:bidi="ar"/>
              </w:rPr>
              <w:t>7</w:t>
            </w:r>
            <w:r>
              <w:rPr>
                <w:rFonts w:hint="default" w:ascii="Times New Roman" w:hAnsi="Times New Roman" w:eastAsia="宋体" w:cs="Times New Roman"/>
                <w:b/>
                <w:color w:val="auto"/>
                <w:spacing w:val="10"/>
                <w:kern w:val="2"/>
                <w:sz w:val="21"/>
                <w:szCs w:val="21"/>
                <w:highlight w:val="none"/>
                <w:lang w:val="en-US" w:eastAsia="zh-CN" w:bidi="ar"/>
              </w:rPr>
              <w:t xml:space="preserve"> </w:t>
            </w:r>
            <w:r>
              <w:rPr>
                <w:rFonts w:hint="default" w:ascii="Times New Roman" w:hAnsi="Times New Roman" w:eastAsia="宋体" w:cs="Times New Roman"/>
                <w:b/>
                <w:color w:val="auto"/>
                <w:spacing w:val="10"/>
                <w:kern w:val="2"/>
                <w:sz w:val="21"/>
                <w:szCs w:val="21"/>
                <w:highlight w:val="none"/>
                <w:lang w:bidi="ar"/>
              </w:rPr>
              <w:t xml:space="preserve"> 地下水污染防渗分区参照表</w:t>
            </w:r>
          </w:p>
          <w:tbl>
            <w:tblPr>
              <w:tblStyle w:val="20"/>
              <w:tblW w:w="80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470"/>
              <w:gridCol w:w="1545"/>
              <w:gridCol w:w="1720"/>
              <w:gridCol w:w="2045"/>
            </w:tblGrid>
            <w:tr w14:paraId="28961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64" w:type="dxa"/>
                  <w:tcBorders>
                    <w:tl2br w:val="nil"/>
                    <w:tr2bl w:val="nil"/>
                  </w:tcBorders>
                  <w:noWrap w:val="0"/>
                  <w:vAlign w:val="center"/>
                </w:tcPr>
                <w:p w14:paraId="6339DB7B">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防渗区域</w:t>
                  </w:r>
                </w:p>
              </w:tc>
              <w:tc>
                <w:tcPr>
                  <w:tcW w:w="1470" w:type="dxa"/>
                  <w:tcBorders>
                    <w:tl2br w:val="nil"/>
                    <w:tr2bl w:val="nil"/>
                  </w:tcBorders>
                  <w:noWrap w:val="0"/>
                  <w:vAlign w:val="center"/>
                </w:tcPr>
                <w:p w14:paraId="25390C1B">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天然包气带防污性能</w:t>
                  </w:r>
                </w:p>
              </w:tc>
              <w:tc>
                <w:tcPr>
                  <w:tcW w:w="1545" w:type="dxa"/>
                  <w:tcBorders>
                    <w:tl2br w:val="nil"/>
                    <w:tr2bl w:val="nil"/>
                  </w:tcBorders>
                  <w:noWrap w:val="0"/>
                  <w:vAlign w:val="center"/>
                </w:tcPr>
                <w:p w14:paraId="58813538">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污染控制难易程度</w:t>
                  </w:r>
                </w:p>
              </w:tc>
              <w:tc>
                <w:tcPr>
                  <w:tcW w:w="1720" w:type="dxa"/>
                  <w:tcBorders>
                    <w:tl2br w:val="nil"/>
                    <w:tr2bl w:val="nil"/>
                  </w:tcBorders>
                  <w:noWrap w:val="0"/>
                  <w:vAlign w:val="center"/>
                </w:tcPr>
                <w:p w14:paraId="0B5B139F">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污染物类型</w:t>
                  </w:r>
                </w:p>
              </w:tc>
              <w:tc>
                <w:tcPr>
                  <w:tcW w:w="2045" w:type="dxa"/>
                  <w:tcBorders>
                    <w:tl2br w:val="nil"/>
                    <w:tr2bl w:val="nil"/>
                  </w:tcBorders>
                  <w:noWrap w:val="0"/>
                  <w:vAlign w:val="center"/>
                </w:tcPr>
                <w:p w14:paraId="527EFF13">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污染防渗技术要求</w:t>
                  </w:r>
                </w:p>
              </w:tc>
            </w:tr>
            <w:tr w14:paraId="083BC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vMerge w:val="restart"/>
                  <w:tcBorders>
                    <w:tl2br w:val="nil"/>
                    <w:tr2bl w:val="nil"/>
                  </w:tcBorders>
                  <w:noWrap w:val="0"/>
                  <w:vAlign w:val="center"/>
                </w:tcPr>
                <w:p w14:paraId="10244A3A">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重点防渗区</w:t>
                  </w:r>
                </w:p>
              </w:tc>
              <w:tc>
                <w:tcPr>
                  <w:tcW w:w="1470" w:type="dxa"/>
                  <w:tcBorders>
                    <w:tl2br w:val="nil"/>
                    <w:tr2bl w:val="nil"/>
                  </w:tcBorders>
                  <w:noWrap w:val="0"/>
                  <w:vAlign w:val="center"/>
                </w:tcPr>
                <w:p w14:paraId="01C9F932">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弱</w:t>
                  </w:r>
                </w:p>
              </w:tc>
              <w:tc>
                <w:tcPr>
                  <w:tcW w:w="1545" w:type="dxa"/>
                  <w:tcBorders>
                    <w:tl2br w:val="nil"/>
                    <w:tr2bl w:val="nil"/>
                  </w:tcBorders>
                  <w:noWrap w:val="0"/>
                  <w:vAlign w:val="center"/>
                </w:tcPr>
                <w:p w14:paraId="41C61E87">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难</w:t>
                  </w:r>
                </w:p>
              </w:tc>
              <w:tc>
                <w:tcPr>
                  <w:tcW w:w="1720" w:type="dxa"/>
                  <w:vMerge w:val="restart"/>
                  <w:tcBorders>
                    <w:tl2br w:val="nil"/>
                    <w:tr2bl w:val="nil"/>
                  </w:tcBorders>
                  <w:noWrap w:val="0"/>
                  <w:vAlign w:val="center"/>
                </w:tcPr>
                <w:p w14:paraId="293124A7">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重金属、持久性有机污染物</w:t>
                  </w:r>
                </w:p>
              </w:tc>
              <w:tc>
                <w:tcPr>
                  <w:tcW w:w="2045" w:type="dxa"/>
                  <w:vMerge w:val="restart"/>
                  <w:tcBorders>
                    <w:tl2br w:val="nil"/>
                    <w:tr2bl w:val="nil"/>
                  </w:tcBorders>
                  <w:noWrap w:val="0"/>
                  <w:vAlign w:val="center"/>
                </w:tcPr>
                <w:p w14:paraId="487B381F">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等效黏土防渗层Mb≥6.0m，K≤1×10</w:t>
                  </w:r>
                  <w:r>
                    <w:rPr>
                      <w:rFonts w:hint="default" w:ascii="Times New Roman" w:hAnsi="Times New Roman" w:eastAsia="宋体" w:cs="Times New Roman"/>
                      <w:color w:val="auto"/>
                      <w:sz w:val="21"/>
                      <w:szCs w:val="21"/>
                      <w:highlight w:val="none"/>
                      <w:vertAlign w:val="superscript"/>
                    </w:rPr>
                    <w:t>-7</w:t>
                  </w:r>
                  <w:r>
                    <w:rPr>
                      <w:rFonts w:hint="default" w:ascii="Times New Roman" w:hAnsi="Times New Roman" w:eastAsia="宋体" w:cs="Times New Roman"/>
                      <w:color w:val="auto"/>
                      <w:sz w:val="21"/>
                      <w:szCs w:val="21"/>
                      <w:highlight w:val="none"/>
                    </w:rPr>
                    <w:t>cm/s，或参考GB18598执行</w:t>
                  </w:r>
                </w:p>
              </w:tc>
            </w:tr>
            <w:tr w14:paraId="4FE95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vMerge w:val="continue"/>
                  <w:tcBorders>
                    <w:tl2br w:val="nil"/>
                    <w:tr2bl w:val="nil"/>
                  </w:tcBorders>
                  <w:noWrap w:val="0"/>
                  <w:vAlign w:val="center"/>
                </w:tcPr>
                <w:p w14:paraId="4DA1861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c>
                <w:tcPr>
                  <w:tcW w:w="1470" w:type="dxa"/>
                  <w:tcBorders>
                    <w:tl2br w:val="nil"/>
                    <w:tr2bl w:val="nil"/>
                  </w:tcBorders>
                  <w:noWrap w:val="0"/>
                  <w:vAlign w:val="center"/>
                </w:tcPr>
                <w:p w14:paraId="440D2965">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中—强</w:t>
                  </w:r>
                </w:p>
              </w:tc>
              <w:tc>
                <w:tcPr>
                  <w:tcW w:w="1545" w:type="dxa"/>
                  <w:tcBorders>
                    <w:tl2br w:val="nil"/>
                    <w:tr2bl w:val="nil"/>
                  </w:tcBorders>
                  <w:noWrap w:val="0"/>
                  <w:vAlign w:val="center"/>
                </w:tcPr>
                <w:p w14:paraId="7F71D447">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难</w:t>
                  </w:r>
                </w:p>
              </w:tc>
              <w:tc>
                <w:tcPr>
                  <w:tcW w:w="1720" w:type="dxa"/>
                  <w:vMerge w:val="continue"/>
                  <w:tcBorders>
                    <w:tl2br w:val="nil"/>
                    <w:tr2bl w:val="nil"/>
                  </w:tcBorders>
                  <w:noWrap w:val="0"/>
                  <w:vAlign w:val="center"/>
                </w:tcPr>
                <w:p w14:paraId="13ACBF0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c>
                <w:tcPr>
                  <w:tcW w:w="2045" w:type="dxa"/>
                  <w:vMerge w:val="continue"/>
                  <w:tcBorders>
                    <w:tl2br w:val="nil"/>
                    <w:tr2bl w:val="nil"/>
                  </w:tcBorders>
                  <w:noWrap w:val="0"/>
                  <w:vAlign w:val="center"/>
                </w:tcPr>
                <w:p w14:paraId="61C9762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r>
            <w:tr w14:paraId="67A0B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vMerge w:val="continue"/>
                  <w:tcBorders>
                    <w:tl2br w:val="nil"/>
                    <w:tr2bl w:val="nil"/>
                  </w:tcBorders>
                  <w:noWrap w:val="0"/>
                  <w:vAlign w:val="center"/>
                </w:tcPr>
                <w:p w14:paraId="6B3CF33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c>
                <w:tcPr>
                  <w:tcW w:w="1470" w:type="dxa"/>
                  <w:tcBorders>
                    <w:tl2br w:val="nil"/>
                    <w:tr2bl w:val="nil"/>
                  </w:tcBorders>
                  <w:noWrap w:val="0"/>
                  <w:vAlign w:val="center"/>
                </w:tcPr>
                <w:p w14:paraId="09C029DF">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弱</w:t>
                  </w:r>
                </w:p>
              </w:tc>
              <w:tc>
                <w:tcPr>
                  <w:tcW w:w="1545" w:type="dxa"/>
                  <w:tcBorders>
                    <w:tl2br w:val="nil"/>
                    <w:tr2bl w:val="nil"/>
                  </w:tcBorders>
                  <w:noWrap w:val="0"/>
                  <w:vAlign w:val="center"/>
                </w:tcPr>
                <w:p w14:paraId="30854AF0">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易</w:t>
                  </w:r>
                </w:p>
              </w:tc>
              <w:tc>
                <w:tcPr>
                  <w:tcW w:w="1720" w:type="dxa"/>
                  <w:vMerge w:val="continue"/>
                  <w:tcBorders>
                    <w:tl2br w:val="nil"/>
                    <w:tr2bl w:val="nil"/>
                  </w:tcBorders>
                  <w:noWrap w:val="0"/>
                  <w:vAlign w:val="center"/>
                </w:tcPr>
                <w:p w14:paraId="2E5F855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c>
                <w:tcPr>
                  <w:tcW w:w="2045" w:type="dxa"/>
                  <w:vMerge w:val="continue"/>
                  <w:tcBorders>
                    <w:tl2br w:val="nil"/>
                    <w:tr2bl w:val="nil"/>
                  </w:tcBorders>
                  <w:noWrap w:val="0"/>
                  <w:vAlign w:val="center"/>
                </w:tcPr>
                <w:p w14:paraId="6ABD11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r>
            <w:tr w14:paraId="2D30E7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vMerge w:val="restart"/>
                  <w:tcBorders>
                    <w:tl2br w:val="nil"/>
                    <w:tr2bl w:val="nil"/>
                  </w:tcBorders>
                  <w:noWrap w:val="0"/>
                  <w:vAlign w:val="center"/>
                </w:tcPr>
                <w:p w14:paraId="11281089">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一般防渗区</w:t>
                  </w:r>
                </w:p>
              </w:tc>
              <w:tc>
                <w:tcPr>
                  <w:tcW w:w="1470" w:type="dxa"/>
                  <w:tcBorders>
                    <w:tl2br w:val="nil"/>
                    <w:tr2bl w:val="nil"/>
                  </w:tcBorders>
                  <w:noWrap w:val="0"/>
                  <w:vAlign w:val="center"/>
                </w:tcPr>
                <w:p w14:paraId="7E171E11">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弱</w:t>
                  </w:r>
                </w:p>
              </w:tc>
              <w:tc>
                <w:tcPr>
                  <w:tcW w:w="1545" w:type="dxa"/>
                  <w:tcBorders>
                    <w:tl2br w:val="nil"/>
                    <w:tr2bl w:val="nil"/>
                  </w:tcBorders>
                  <w:noWrap w:val="0"/>
                  <w:vAlign w:val="center"/>
                </w:tcPr>
                <w:p w14:paraId="25328B04">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易—难</w:t>
                  </w:r>
                </w:p>
              </w:tc>
              <w:tc>
                <w:tcPr>
                  <w:tcW w:w="1720" w:type="dxa"/>
                  <w:vMerge w:val="restart"/>
                  <w:tcBorders>
                    <w:tl2br w:val="nil"/>
                    <w:tr2bl w:val="nil"/>
                  </w:tcBorders>
                  <w:noWrap w:val="0"/>
                  <w:vAlign w:val="center"/>
                </w:tcPr>
                <w:p w14:paraId="4E985170">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其他类型</w:t>
                  </w:r>
                </w:p>
              </w:tc>
              <w:tc>
                <w:tcPr>
                  <w:tcW w:w="2045" w:type="dxa"/>
                  <w:vMerge w:val="restart"/>
                  <w:tcBorders>
                    <w:tl2br w:val="nil"/>
                    <w:tr2bl w:val="nil"/>
                  </w:tcBorders>
                  <w:noWrap w:val="0"/>
                  <w:vAlign w:val="center"/>
                </w:tcPr>
                <w:p w14:paraId="57F2C651">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等效黏土防渗层Mb≥1.5m，K≤1×10</w:t>
                  </w:r>
                  <w:r>
                    <w:rPr>
                      <w:rFonts w:hint="default" w:ascii="Times New Roman" w:hAnsi="Times New Roman" w:eastAsia="宋体" w:cs="Times New Roman"/>
                      <w:color w:val="auto"/>
                      <w:sz w:val="21"/>
                      <w:szCs w:val="21"/>
                      <w:highlight w:val="none"/>
                      <w:vertAlign w:val="superscript"/>
                    </w:rPr>
                    <w:t>-7</w:t>
                  </w:r>
                  <w:r>
                    <w:rPr>
                      <w:rFonts w:hint="default" w:ascii="Times New Roman" w:hAnsi="Times New Roman" w:eastAsia="宋体" w:cs="Times New Roman"/>
                      <w:color w:val="auto"/>
                      <w:sz w:val="21"/>
                      <w:szCs w:val="21"/>
                      <w:highlight w:val="none"/>
                    </w:rPr>
                    <w:t>cm/s，或参考GB16</w:t>
                  </w:r>
                  <w:r>
                    <w:rPr>
                      <w:rFonts w:hint="default"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89执行</w:t>
                  </w:r>
                </w:p>
              </w:tc>
            </w:tr>
            <w:tr w14:paraId="3C09A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vMerge w:val="continue"/>
                  <w:tcBorders>
                    <w:tl2br w:val="nil"/>
                    <w:tr2bl w:val="nil"/>
                  </w:tcBorders>
                  <w:noWrap w:val="0"/>
                  <w:vAlign w:val="center"/>
                </w:tcPr>
                <w:p w14:paraId="4C09CA1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c>
                <w:tcPr>
                  <w:tcW w:w="1470" w:type="dxa"/>
                  <w:tcBorders>
                    <w:tl2br w:val="nil"/>
                    <w:tr2bl w:val="nil"/>
                  </w:tcBorders>
                  <w:noWrap w:val="0"/>
                  <w:vAlign w:val="center"/>
                </w:tcPr>
                <w:p w14:paraId="6E800C35">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中—强</w:t>
                  </w:r>
                </w:p>
              </w:tc>
              <w:tc>
                <w:tcPr>
                  <w:tcW w:w="1545" w:type="dxa"/>
                  <w:tcBorders>
                    <w:tl2br w:val="nil"/>
                    <w:tr2bl w:val="nil"/>
                  </w:tcBorders>
                  <w:noWrap w:val="0"/>
                  <w:vAlign w:val="center"/>
                </w:tcPr>
                <w:p w14:paraId="14CE5FAC">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难</w:t>
                  </w:r>
                </w:p>
              </w:tc>
              <w:tc>
                <w:tcPr>
                  <w:tcW w:w="1720" w:type="dxa"/>
                  <w:vMerge w:val="continue"/>
                  <w:tcBorders>
                    <w:tl2br w:val="nil"/>
                    <w:tr2bl w:val="nil"/>
                  </w:tcBorders>
                  <w:noWrap w:val="0"/>
                  <w:vAlign w:val="center"/>
                </w:tcPr>
                <w:p w14:paraId="5AFE1C5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c>
                <w:tcPr>
                  <w:tcW w:w="2045" w:type="dxa"/>
                  <w:vMerge w:val="continue"/>
                  <w:tcBorders>
                    <w:tl2br w:val="nil"/>
                    <w:tr2bl w:val="nil"/>
                  </w:tcBorders>
                  <w:noWrap w:val="0"/>
                  <w:vAlign w:val="center"/>
                </w:tcPr>
                <w:p w14:paraId="3579522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r>
            <w:tr w14:paraId="546718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vMerge w:val="continue"/>
                  <w:tcBorders>
                    <w:tl2br w:val="nil"/>
                    <w:tr2bl w:val="nil"/>
                  </w:tcBorders>
                  <w:noWrap w:val="0"/>
                  <w:vAlign w:val="center"/>
                </w:tcPr>
                <w:p w14:paraId="0ED1908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c>
                <w:tcPr>
                  <w:tcW w:w="1470" w:type="dxa"/>
                  <w:tcBorders>
                    <w:tl2br w:val="nil"/>
                    <w:tr2bl w:val="nil"/>
                  </w:tcBorders>
                  <w:noWrap w:val="0"/>
                  <w:vAlign w:val="center"/>
                </w:tcPr>
                <w:p w14:paraId="77B4ECE2">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中</w:t>
                  </w:r>
                </w:p>
              </w:tc>
              <w:tc>
                <w:tcPr>
                  <w:tcW w:w="1545" w:type="dxa"/>
                  <w:tcBorders>
                    <w:tl2br w:val="nil"/>
                    <w:tr2bl w:val="nil"/>
                  </w:tcBorders>
                  <w:noWrap w:val="0"/>
                  <w:vAlign w:val="center"/>
                </w:tcPr>
                <w:p w14:paraId="0FC8DE5C">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易</w:t>
                  </w:r>
                </w:p>
              </w:tc>
              <w:tc>
                <w:tcPr>
                  <w:tcW w:w="1720" w:type="dxa"/>
                  <w:vMerge w:val="restart"/>
                  <w:tcBorders>
                    <w:tl2br w:val="nil"/>
                    <w:tr2bl w:val="nil"/>
                  </w:tcBorders>
                  <w:noWrap w:val="0"/>
                  <w:vAlign w:val="center"/>
                </w:tcPr>
                <w:p w14:paraId="14562637">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重金属、持久性有机污染物</w:t>
                  </w:r>
                </w:p>
              </w:tc>
              <w:tc>
                <w:tcPr>
                  <w:tcW w:w="2045" w:type="dxa"/>
                  <w:vMerge w:val="continue"/>
                  <w:tcBorders>
                    <w:tl2br w:val="nil"/>
                    <w:tr2bl w:val="nil"/>
                  </w:tcBorders>
                  <w:noWrap w:val="0"/>
                  <w:vAlign w:val="center"/>
                </w:tcPr>
                <w:p w14:paraId="0729EC6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r>
            <w:tr w14:paraId="0F61E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vMerge w:val="continue"/>
                  <w:tcBorders>
                    <w:tl2br w:val="nil"/>
                    <w:tr2bl w:val="nil"/>
                  </w:tcBorders>
                  <w:noWrap w:val="0"/>
                  <w:vAlign w:val="center"/>
                </w:tcPr>
                <w:p w14:paraId="4491D3F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c>
                <w:tcPr>
                  <w:tcW w:w="1470" w:type="dxa"/>
                  <w:tcBorders>
                    <w:tl2br w:val="nil"/>
                    <w:tr2bl w:val="nil"/>
                  </w:tcBorders>
                  <w:noWrap w:val="0"/>
                  <w:vAlign w:val="center"/>
                </w:tcPr>
                <w:p w14:paraId="70525D9C">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强</w:t>
                  </w:r>
                </w:p>
              </w:tc>
              <w:tc>
                <w:tcPr>
                  <w:tcW w:w="1545" w:type="dxa"/>
                  <w:tcBorders>
                    <w:tl2br w:val="nil"/>
                    <w:tr2bl w:val="nil"/>
                  </w:tcBorders>
                  <w:noWrap w:val="0"/>
                  <w:vAlign w:val="center"/>
                </w:tcPr>
                <w:p w14:paraId="3FA6756C">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易</w:t>
                  </w:r>
                </w:p>
              </w:tc>
              <w:tc>
                <w:tcPr>
                  <w:tcW w:w="1720" w:type="dxa"/>
                  <w:vMerge w:val="continue"/>
                  <w:tcBorders>
                    <w:tl2br w:val="nil"/>
                    <w:tr2bl w:val="nil"/>
                  </w:tcBorders>
                  <w:noWrap w:val="0"/>
                  <w:vAlign w:val="center"/>
                </w:tcPr>
                <w:p w14:paraId="127D8D4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c>
                <w:tcPr>
                  <w:tcW w:w="2045" w:type="dxa"/>
                  <w:vMerge w:val="continue"/>
                  <w:tcBorders>
                    <w:tl2br w:val="nil"/>
                    <w:tr2bl w:val="nil"/>
                  </w:tcBorders>
                  <w:noWrap w:val="0"/>
                  <w:vAlign w:val="center"/>
                </w:tcPr>
                <w:p w14:paraId="20ABB44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p>
              </w:tc>
            </w:tr>
            <w:tr w14:paraId="342A2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tcBorders>
                    <w:tl2br w:val="nil"/>
                    <w:tr2bl w:val="nil"/>
                  </w:tcBorders>
                  <w:noWrap w:val="0"/>
                  <w:vAlign w:val="center"/>
                </w:tcPr>
                <w:p w14:paraId="17833E21">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简单防渗区</w:t>
                  </w:r>
                </w:p>
              </w:tc>
              <w:tc>
                <w:tcPr>
                  <w:tcW w:w="1470" w:type="dxa"/>
                  <w:tcBorders>
                    <w:tl2br w:val="nil"/>
                    <w:tr2bl w:val="nil"/>
                  </w:tcBorders>
                  <w:noWrap w:val="0"/>
                  <w:vAlign w:val="center"/>
                </w:tcPr>
                <w:p w14:paraId="0CD49A3B">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中—强</w:t>
                  </w:r>
                </w:p>
              </w:tc>
              <w:tc>
                <w:tcPr>
                  <w:tcW w:w="1545" w:type="dxa"/>
                  <w:tcBorders>
                    <w:tl2br w:val="nil"/>
                    <w:tr2bl w:val="nil"/>
                  </w:tcBorders>
                  <w:noWrap w:val="0"/>
                  <w:vAlign w:val="center"/>
                </w:tcPr>
                <w:p w14:paraId="1B7325A2">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易</w:t>
                  </w:r>
                </w:p>
              </w:tc>
              <w:tc>
                <w:tcPr>
                  <w:tcW w:w="1720" w:type="dxa"/>
                  <w:tcBorders>
                    <w:tl2br w:val="nil"/>
                    <w:tr2bl w:val="nil"/>
                  </w:tcBorders>
                  <w:noWrap w:val="0"/>
                  <w:vAlign w:val="center"/>
                </w:tcPr>
                <w:p w14:paraId="68BAD5F0">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其他类型</w:t>
                  </w:r>
                </w:p>
              </w:tc>
              <w:tc>
                <w:tcPr>
                  <w:tcW w:w="2045" w:type="dxa"/>
                  <w:tcBorders>
                    <w:tl2br w:val="nil"/>
                    <w:tr2bl w:val="nil"/>
                  </w:tcBorders>
                  <w:noWrap w:val="0"/>
                  <w:vAlign w:val="center"/>
                </w:tcPr>
                <w:p w14:paraId="74E7A26C">
                  <w:pPr>
                    <w:pStyle w:val="5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一般地面硬化</w:t>
                  </w:r>
                </w:p>
              </w:tc>
            </w:tr>
          </w:tbl>
          <w:p w14:paraId="61873275">
            <w:pPr>
              <w:adjustRightInd w:val="0"/>
              <w:snapToGrid w:val="0"/>
              <w:spacing w:line="500" w:lineRule="exact"/>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szCs w:val="24"/>
              </w:rPr>
              <w:t>根据上述分区原则，厂区</w:t>
            </w:r>
            <w:r>
              <w:rPr>
                <w:rFonts w:hint="default" w:ascii="Times New Roman" w:hAnsi="Times New Roman" w:eastAsia="宋体" w:cs="Times New Roman"/>
                <w:color w:val="auto"/>
                <w:sz w:val="24"/>
                <w:szCs w:val="24"/>
                <w:lang w:eastAsia="zh-CN"/>
              </w:rPr>
              <w:t>简单</w:t>
            </w:r>
            <w:r>
              <w:rPr>
                <w:rFonts w:hint="default" w:ascii="Times New Roman" w:hAnsi="Times New Roman" w:eastAsia="宋体" w:cs="Times New Roman"/>
                <w:color w:val="auto"/>
                <w:sz w:val="24"/>
                <w:szCs w:val="24"/>
              </w:rPr>
              <w:t>防渗区、重点防渗区、一般防渗区划分见表</w:t>
            </w:r>
            <w:r>
              <w:rPr>
                <w:rFonts w:hint="eastAsia" w:ascii="Times New Roman" w:hAnsi="Times New Roman" w:eastAsia="宋体" w:cs="Times New Roman"/>
                <w:color w:val="auto"/>
                <w:sz w:val="24"/>
                <w:szCs w:val="24"/>
                <w:lang w:val="en-US" w:eastAsia="zh-CN"/>
              </w:rPr>
              <w:t>46</w:t>
            </w:r>
            <w:r>
              <w:rPr>
                <w:rFonts w:hint="default" w:ascii="Times New Roman" w:hAnsi="Times New Roman" w:eastAsia="宋体" w:cs="Times New Roman"/>
                <w:color w:val="auto"/>
                <w:sz w:val="24"/>
                <w:szCs w:val="24"/>
              </w:rPr>
              <w:t>。</w:t>
            </w:r>
          </w:p>
          <w:p w14:paraId="4344FFB7">
            <w:pPr>
              <w:spacing w:line="480" w:lineRule="exact"/>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表</w:t>
            </w:r>
            <w:r>
              <w:rPr>
                <w:rFonts w:hint="eastAsia" w:ascii="Times New Roman" w:hAnsi="Times New Roman" w:eastAsia="宋体" w:cs="Times New Roman"/>
                <w:b/>
                <w:bCs/>
                <w:color w:val="auto"/>
                <w:sz w:val="21"/>
                <w:szCs w:val="21"/>
                <w:lang w:val="en-US" w:eastAsia="zh-CN"/>
              </w:rPr>
              <w:t>4</w:t>
            </w:r>
            <w:r>
              <w:rPr>
                <w:rFonts w:hint="eastAsia" w:cs="Times New Roman"/>
                <w:b/>
                <w:bCs/>
                <w:color w:val="auto"/>
                <w:sz w:val="21"/>
                <w:szCs w:val="21"/>
                <w:lang w:val="en-US" w:eastAsia="zh-CN"/>
              </w:rPr>
              <w:t>8</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eastAsia="zh-CN"/>
              </w:rPr>
              <w:t xml:space="preserve"> 厂区污染防治区划分一览表</w:t>
            </w:r>
          </w:p>
          <w:tbl>
            <w:tblPr>
              <w:tblStyle w:val="20"/>
              <w:tblW w:w="72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111"/>
              <w:gridCol w:w="2027"/>
              <w:gridCol w:w="2233"/>
            </w:tblGrid>
            <w:tr w14:paraId="5E392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noWrap w:val="0"/>
                  <w:vAlign w:val="center"/>
                </w:tcPr>
                <w:p w14:paraId="5047F3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2111" w:type="dxa"/>
                  <w:tcBorders>
                    <w:tl2br w:val="nil"/>
                    <w:tr2bl w:val="nil"/>
                  </w:tcBorders>
                  <w:noWrap w:val="0"/>
                  <w:vAlign w:val="center"/>
                </w:tcPr>
                <w:p w14:paraId="5931E4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2027" w:type="dxa"/>
                  <w:tcBorders>
                    <w:tl2br w:val="nil"/>
                    <w:tr2bl w:val="nil"/>
                  </w:tcBorders>
                  <w:noWrap w:val="0"/>
                  <w:vAlign w:val="center"/>
                </w:tcPr>
                <w:p w14:paraId="14DFDF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防渗区域及部位</w:t>
                  </w:r>
                </w:p>
              </w:tc>
              <w:tc>
                <w:tcPr>
                  <w:tcW w:w="2233" w:type="dxa"/>
                  <w:tcBorders>
                    <w:tl2br w:val="nil"/>
                    <w:tr2bl w:val="nil"/>
                  </w:tcBorders>
                  <w:noWrap w:val="0"/>
                  <w:vAlign w:val="center"/>
                </w:tcPr>
                <w:p w14:paraId="6DBC2E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防渗分区等级</w:t>
                  </w:r>
                </w:p>
              </w:tc>
            </w:tr>
            <w:tr w14:paraId="73F52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noWrap w:val="0"/>
                  <w:vAlign w:val="center"/>
                </w:tcPr>
                <w:p w14:paraId="7FB5AF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w:t>
                  </w:r>
                </w:p>
              </w:tc>
              <w:tc>
                <w:tcPr>
                  <w:tcW w:w="2111" w:type="dxa"/>
                  <w:tcBorders>
                    <w:tl2br w:val="nil"/>
                    <w:tr2bl w:val="nil"/>
                  </w:tcBorders>
                  <w:noWrap w:val="0"/>
                  <w:vAlign w:val="center"/>
                </w:tcPr>
                <w:p w14:paraId="254291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厂区地面</w:t>
                  </w:r>
                </w:p>
              </w:tc>
              <w:tc>
                <w:tcPr>
                  <w:tcW w:w="2027" w:type="dxa"/>
                  <w:tcBorders>
                    <w:tl2br w:val="nil"/>
                    <w:tr2bl w:val="nil"/>
                  </w:tcBorders>
                  <w:noWrap w:val="0"/>
                  <w:vAlign w:val="center"/>
                </w:tcPr>
                <w:p w14:paraId="382D50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地面</w:t>
                  </w:r>
                </w:p>
              </w:tc>
              <w:tc>
                <w:tcPr>
                  <w:tcW w:w="2233" w:type="dxa"/>
                  <w:tcBorders>
                    <w:tl2br w:val="nil"/>
                    <w:tr2bl w:val="nil"/>
                  </w:tcBorders>
                  <w:noWrap w:val="0"/>
                  <w:vAlign w:val="center"/>
                </w:tcPr>
                <w:p w14:paraId="7A44CE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简单防渗区</w:t>
                  </w:r>
                </w:p>
              </w:tc>
            </w:tr>
            <w:tr w14:paraId="5D9F0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noWrap w:val="0"/>
                  <w:vAlign w:val="center"/>
                </w:tcPr>
                <w:p w14:paraId="11F592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p>
              </w:tc>
              <w:tc>
                <w:tcPr>
                  <w:tcW w:w="2111" w:type="dxa"/>
                  <w:tcBorders>
                    <w:tl2br w:val="nil"/>
                    <w:tr2bl w:val="nil"/>
                  </w:tcBorders>
                  <w:noWrap w:val="0"/>
                  <w:vAlign w:val="center"/>
                </w:tcPr>
                <w:p w14:paraId="11ADDD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车间地面</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一般固废存储区</w:t>
                  </w:r>
                </w:p>
              </w:tc>
              <w:tc>
                <w:tcPr>
                  <w:tcW w:w="2027" w:type="dxa"/>
                  <w:tcBorders>
                    <w:tl2br w:val="nil"/>
                    <w:tr2bl w:val="nil"/>
                  </w:tcBorders>
                  <w:noWrap w:val="0"/>
                  <w:vAlign w:val="center"/>
                </w:tcPr>
                <w:p w14:paraId="0C8E5E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地面</w:t>
                  </w:r>
                </w:p>
              </w:tc>
              <w:tc>
                <w:tcPr>
                  <w:tcW w:w="2233" w:type="dxa"/>
                  <w:tcBorders>
                    <w:tl2br w:val="nil"/>
                    <w:tr2bl w:val="nil"/>
                  </w:tcBorders>
                  <w:noWrap w:val="0"/>
                  <w:vAlign w:val="center"/>
                </w:tcPr>
                <w:p w14:paraId="2503C9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一</w:t>
                  </w:r>
                  <w:r>
                    <w:rPr>
                      <w:rFonts w:hint="default" w:ascii="Times New Roman" w:hAnsi="Times New Roman" w:eastAsia="宋体" w:cs="Times New Roman"/>
                      <w:color w:val="auto"/>
                      <w:sz w:val="21"/>
                      <w:szCs w:val="21"/>
                      <w:highlight w:val="none"/>
                    </w:rPr>
                    <w:t>般防渗区</w:t>
                  </w:r>
                </w:p>
              </w:tc>
            </w:tr>
            <w:tr w14:paraId="58119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noWrap w:val="0"/>
                  <w:vAlign w:val="center"/>
                </w:tcPr>
                <w:p w14:paraId="4D502A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w:t>
                  </w:r>
                </w:p>
              </w:tc>
              <w:tc>
                <w:tcPr>
                  <w:tcW w:w="2111" w:type="dxa"/>
                  <w:tcBorders>
                    <w:tl2br w:val="nil"/>
                    <w:tr2bl w:val="nil"/>
                  </w:tcBorders>
                  <w:noWrap w:val="0"/>
                  <w:vAlign w:val="center"/>
                </w:tcPr>
                <w:p w14:paraId="1B04B4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olor w:val="auto"/>
                      <w:sz w:val="21"/>
                      <w:szCs w:val="21"/>
                      <w:lang w:val="en-US" w:eastAsia="zh-CN"/>
                    </w:rPr>
                    <w:t>危险品库房、喷漆房、烘干房</w:t>
                  </w:r>
                </w:p>
              </w:tc>
              <w:tc>
                <w:tcPr>
                  <w:tcW w:w="2027" w:type="dxa"/>
                  <w:tcBorders>
                    <w:tl2br w:val="nil"/>
                    <w:tr2bl w:val="nil"/>
                  </w:tcBorders>
                  <w:noWrap w:val="0"/>
                  <w:vAlign w:val="center"/>
                </w:tcPr>
                <w:p w14:paraId="2575D8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地面</w:t>
                  </w:r>
                </w:p>
              </w:tc>
              <w:tc>
                <w:tcPr>
                  <w:tcW w:w="2233" w:type="dxa"/>
                  <w:vMerge w:val="restart"/>
                  <w:tcBorders>
                    <w:tl2br w:val="nil"/>
                    <w:tr2bl w:val="nil"/>
                  </w:tcBorders>
                  <w:noWrap w:val="0"/>
                  <w:vAlign w:val="center"/>
                </w:tcPr>
                <w:p w14:paraId="138FAE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重点防渗区</w:t>
                  </w:r>
                </w:p>
              </w:tc>
            </w:tr>
            <w:tr w14:paraId="70BE4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noWrap w:val="0"/>
                  <w:vAlign w:val="center"/>
                </w:tcPr>
                <w:p w14:paraId="596285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2111" w:type="dxa"/>
                  <w:tcBorders>
                    <w:tl2br w:val="nil"/>
                    <w:tr2bl w:val="nil"/>
                  </w:tcBorders>
                  <w:noWrap w:val="0"/>
                  <w:vAlign w:val="center"/>
                </w:tcPr>
                <w:p w14:paraId="4374CA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危废间</w:t>
                  </w:r>
                </w:p>
              </w:tc>
              <w:tc>
                <w:tcPr>
                  <w:tcW w:w="2027" w:type="dxa"/>
                  <w:tcBorders>
                    <w:tl2br w:val="nil"/>
                    <w:tr2bl w:val="nil"/>
                  </w:tcBorders>
                  <w:noWrap w:val="0"/>
                  <w:vAlign w:val="center"/>
                </w:tcPr>
                <w:p w14:paraId="21C29B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地面及裙角</w:t>
                  </w:r>
                </w:p>
              </w:tc>
              <w:tc>
                <w:tcPr>
                  <w:tcW w:w="2233" w:type="dxa"/>
                  <w:vMerge w:val="continue"/>
                  <w:tcBorders>
                    <w:tl2br w:val="nil"/>
                    <w:tr2bl w:val="nil"/>
                  </w:tcBorders>
                  <w:noWrap w:val="0"/>
                  <w:vAlign w:val="center"/>
                </w:tcPr>
                <w:p w14:paraId="4DB0A3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p>
              </w:tc>
            </w:tr>
          </w:tbl>
          <w:p w14:paraId="12E6AC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snapToGrid/>
                <w:color w:val="auto"/>
                <w:kern w:val="2"/>
                <w:sz w:val="24"/>
                <w:szCs w:val="24"/>
                <w:highlight w:val="none"/>
                <w:lang w:val="en-US" w:eastAsia="zh-CN" w:bidi="ar"/>
              </w:rPr>
              <w:t>本项目防渗措施如下：</w:t>
            </w:r>
          </w:p>
          <w:p w14:paraId="4746A21B">
            <w:pPr>
              <w:keepNext w:val="0"/>
              <w:keepLines w:val="0"/>
              <w:pageBreakBefore w:val="0"/>
              <w:widowControl w:val="0"/>
              <w:kinsoku/>
              <w:wordWrap/>
              <w:overflowPunct/>
              <w:topLinePunct w:val="0"/>
              <w:bidi w:val="0"/>
              <w:spacing w:line="480" w:lineRule="exact"/>
              <w:ind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⑴</w:t>
            </w:r>
            <w:r>
              <w:rPr>
                <w:rFonts w:hint="eastAsia" w:cs="Times New Roman"/>
                <w:color w:val="auto"/>
                <w:sz w:val="24"/>
                <w:szCs w:val="24"/>
                <w:highlight w:val="none"/>
                <w:lang w:val="en-US" w:eastAsia="zh-CN"/>
              </w:rPr>
              <w:t>简单防渗区：</w:t>
            </w:r>
            <w:r>
              <w:rPr>
                <w:rFonts w:hint="eastAsia"/>
                <w:color w:val="auto"/>
                <w:lang w:val="en-US" w:eastAsia="zh-CN"/>
              </w:rPr>
              <w:t>厂区地面（除绿化用地）全部进行硬化处理。</w:t>
            </w:r>
          </w:p>
          <w:p w14:paraId="540CC6FC">
            <w:pPr>
              <w:keepNext w:val="0"/>
              <w:keepLines w:val="0"/>
              <w:pageBreakBefore w:val="0"/>
              <w:widowControl w:val="0"/>
              <w:kinsoku/>
              <w:wordWrap/>
              <w:overflowPunct/>
              <w:topLinePunct w:val="0"/>
              <w:bidi w:val="0"/>
              <w:spacing w:line="480" w:lineRule="exact"/>
              <w:ind w:right="0" w:rightChars="0" w:firstLine="480" w:firstLineChars="200"/>
              <w:textAlignment w:val="auto"/>
              <w:outlineLvl w:val="9"/>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snapToGrid w:val="0"/>
                <w:color w:val="auto"/>
                <w:kern w:val="0"/>
                <w:sz w:val="24"/>
                <w:szCs w:val="24"/>
                <w:highlight w:val="none"/>
              </w:rPr>
              <w:t>⑵</w:t>
            </w:r>
            <w:r>
              <w:rPr>
                <w:rFonts w:hint="eastAsia" w:cs="Times New Roman"/>
                <w:snapToGrid w:val="0"/>
                <w:color w:val="auto"/>
                <w:kern w:val="0"/>
                <w:sz w:val="24"/>
                <w:szCs w:val="24"/>
                <w:highlight w:val="none"/>
                <w:lang w:val="en-US" w:eastAsia="zh-CN"/>
              </w:rPr>
              <w:t>一般防渗区：</w:t>
            </w:r>
            <w:r>
              <w:rPr>
                <w:rFonts w:hint="eastAsia" w:ascii="Times New Roman" w:hAnsi="Times New Roman" w:eastAsia="宋体" w:cs="Times New Roman"/>
                <w:color w:val="auto"/>
                <w:sz w:val="24"/>
                <w:szCs w:val="24"/>
                <w:highlight w:val="none"/>
                <w:lang w:eastAsia="zh-CN"/>
              </w:rPr>
              <w:t>车间地面、</w:t>
            </w:r>
            <w:r>
              <w:rPr>
                <w:rFonts w:hint="eastAsia" w:ascii="Times New Roman" w:hAnsi="Times New Roman" w:eastAsia="宋体" w:cs="Times New Roman"/>
                <w:color w:val="auto"/>
                <w:sz w:val="24"/>
                <w:szCs w:val="24"/>
                <w:highlight w:val="none"/>
                <w:lang w:val="en-US" w:eastAsia="zh-CN"/>
              </w:rPr>
              <w:t>一般固废存储区</w:t>
            </w:r>
            <w:r>
              <w:rPr>
                <w:rFonts w:hint="default" w:ascii="Times New Roman" w:hAnsi="Times New Roman" w:eastAsia="宋体" w:cs="Times New Roman"/>
                <w:color w:val="auto"/>
                <w:sz w:val="24"/>
                <w:szCs w:val="24"/>
                <w:highlight w:val="none"/>
              </w:rPr>
              <w:t>进行硬化处理，采用C15混凝土，厚度150mm，渗透系数小于</w:t>
            </w:r>
            <w:r>
              <w:rPr>
                <w:rFonts w:hint="eastAsia" w:ascii="Times New Roman" w:hAnsi="Times New Roman" w:eastAsia="宋体" w:cs="Times New Roman"/>
                <w:snapToGrid w:val="0"/>
                <w:color w:val="auto"/>
                <w:kern w:val="0"/>
                <w:sz w:val="24"/>
                <w:szCs w:val="24"/>
                <w:highlight w:val="none"/>
                <w:lang w:val="en-US" w:eastAsia="zh-CN"/>
              </w:rPr>
              <w:t>1.0</w:t>
            </w:r>
            <w:r>
              <w:rPr>
                <w:rFonts w:ascii="Times New Roman" w:hAnsi="Times New Roman"/>
                <w:color w:val="auto"/>
                <w:sz w:val="24"/>
                <w:szCs w:val="24"/>
              </w:rPr>
              <w:t>×</w:t>
            </w:r>
            <w:r>
              <w:rPr>
                <w:rFonts w:hint="default" w:ascii="Times New Roman" w:hAnsi="Times New Roman" w:eastAsia="宋体" w:cs="Times New Roman"/>
                <w:color w:val="auto"/>
                <w:sz w:val="24"/>
                <w:szCs w:val="24"/>
                <w:highlight w:val="none"/>
              </w:rPr>
              <w:t>10</w:t>
            </w:r>
            <w:r>
              <w:rPr>
                <w:rFonts w:hint="default" w:ascii="Times New Roman" w:hAnsi="Times New Roman" w:eastAsia="宋体" w:cs="Times New Roman"/>
                <w:color w:val="auto"/>
                <w:sz w:val="24"/>
                <w:szCs w:val="24"/>
                <w:highlight w:val="none"/>
                <w:vertAlign w:val="superscript"/>
              </w:rPr>
              <w:t>-7</w:t>
            </w:r>
            <w:r>
              <w:rPr>
                <w:rFonts w:hint="default" w:ascii="Times New Roman" w:hAnsi="Times New Roman" w:eastAsia="宋体" w:cs="Times New Roman"/>
                <w:color w:val="auto"/>
                <w:sz w:val="24"/>
                <w:szCs w:val="24"/>
                <w:highlight w:val="none"/>
              </w:rPr>
              <w:t>cm/s</w:t>
            </w:r>
            <w:r>
              <w:rPr>
                <w:rFonts w:hint="eastAsia" w:ascii="Times New Roman" w:hAnsi="Times New Roman" w:eastAsia="宋体" w:cs="Times New Roman"/>
                <w:color w:val="auto"/>
                <w:sz w:val="24"/>
                <w:szCs w:val="24"/>
                <w:highlight w:val="none"/>
                <w:lang w:eastAsia="zh-CN"/>
              </w:rPr>
              <w:t>。</w:t>
            </w:r>
          </w:p>
          <w:p w14:paraId="49494F53">
            <w:pPr>
              <w:keepNext w:val="0"/>
              <w:keepLines w:val="0"/>
              <w:pageBreakBefore w:val="0"/>
              <w:widowControl w:val="0"/>
              <w:kinsoku/>
              <w:wordWrap/>
              <w:overflowPunct/>
              <w:topLinePunct w:val="0"/>
              <w:bidi w:val="0"/>
              <w:spacing w:line="480" w:lineRule="exact"/>
              <w:ind w:right="0" w:rightChars="0" w:firstLine="470" w:firstLineChars="196"/>
              <w:textAlignment w:val="auto"/>
              <w:outlineLvl w:val="9"/>
              <w:rPr>
                <w:rFonts w:hint="eastAsia"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rPr>
              <w:t>⑶</w:t>
            </w:r>
            <w:r>
              <w:rPr>
                <w:rFonts w:hint="eastAsia" w:cs="Times New Roman"/>
                <w:snapToGrid w:val="0"/>
                <w:color w:val="auto"/>
                <w:kern w:val="0"/>
                <w:sz w:val="24"/>
                <w:szCs w:val="24"/>
                <w:highlight w:val="none"/>
                <w:lang w:val="en-US" w:eastAsia="zh-CN"/>
              </w:rPr>
              <w:t>重点防渗区：</w:t>
            </w:r>
          </w:p>
          <w:p w14:paraId="62183694">
            <w:pPr>
              <w:keepNext w:val="0"/>
              <w:keepLines w:val="0"/>
              <w:pageBreakBefore w:val="0"/>
              <w:widowControl w:val="0"/>
              <w:kinsoku/>
              <w:wordWrap/>
              <w:overflowPunct/>
              <w:topLinePunct w:val="0"/>
              <w:bidi w:val="0"/>
              <w:spacing w:line="480" w:lineRule="exact"/>
              <w:ind w:right="0" w:rightChars="0" w:firstLine="470" w:firstLineChars="196"/>
              <w:textAlignment w:val="auto"/>
              <w:outlineLvl w:val="9"/>
              <w:rPr>
                <w:rFonts w:hint="default" w:ascii="Times New Roman" w:hAnsi="Times New Roman" w:eastAsia="宋体" w:cs="Times New Roman"/>
                <w:color w:val="auto"/>
                <w:kern w:val="0"/>
                <w:sz w:val="24"/>
                <w:szCs w:val="24"/>
                <w:highlight w:val="none"/>
              </w:rPr>
            </w:pPr>
            <w:r>
              <w:rPr>
                <w:rFonts w:hint="eastAsia"/>
                <w:color w:val="auto"/>
                <w:sz w:val="24"/>
                <w:szCs w:val="24"/>
                <w:lang w:val="en-US" w:eastAsia="zh-CN"/>
              </w:rPr>
              <w:t>危险品库房、喷漆房、烘干房</w:t>
            </w:r>
            <w:r>
              <w:rPr>
                <w:rFonts w:hint="eastAsia" w:ascii="Times New Roman" w:hAnsi="Times New Roman" w:eastAsia="宋体" w:cs="Times New Roman"/>
                <w:snapToGrid w:val="0"/>
                <w:color w:val="auto"/>
                <w:kern w:val="0"/>
                <w:sz w:val="24"/>
                <w:szCs w:val="24"/>
                <w:highlight w:val="none"/>
                <w:lang w:eastAsia="zh-CN"/>
              </w:rPr>
              <w:t>设置</w:t>
            </w:r>
            <w:r>
              <w:rPr>
                <w:rFonts w:hint="eastAsia" w:ascii="Times New Roman" w:hAnsi="Times New Roman" w:eastAsia="宋体" w:cs="Times New Roman"/>
                <w:snapToGrid w:val="0"/>
                <w:color w:val="auto"/>
                <w:kern w:val="0"/>
                <w:sz w:val="24"/>
                <w:szCs w:val="24"/>
                <w:highlight w:val="none"/>
                <w:lang w:val="en-US" w:eastAsia="zh-CN"/>
              </w:rPr>
              <w:t>20cm高围堰，地面均采用防渗混凝土进行防渗处理，渗透系数小于1.0</w:t>
            </w:r>
            <w:r>
              <w:rPr>
                <w:rFonts w:ascii="Times New Roman" w:hAnsi="Times New Roman"/>
                <w:color w:val="auto"/>
                <w:sz w:val="24"/>
                <w:szCs w:val="24"/>
              </w:rPr>
              <w:t>×</w:t>
            </w:r>
            <w:r>
              <w:rPr>
                <w:rFonts w:hint="default" w:ascii="Times New Roman" w:hAnsi="Times New Roman" w:eastAsia="宋体" w:cs="Times New Roman"/>
                <w:color w:val="auto"/>
                <w:sz w:val="24"/>
                <w:szCs w:val="24"/>
                <w:highlight w:val="none"/>
              </w:rPr>
              <w:t>10</w:t>
            </w:r>
            <w:r>
              <w:rPr>
                <w:rFonts w:hint="default" w:ascii="Times New Roman" w:hAnsi="Times New Roman" w:eastAsia="宋体" w:cs="Times New Roman"/>
                <w:color w:val="auto"/>
                <w:sz w:val="24"/>
                <w:szCs w:val="24"/>
                <w:highlight w:val="none"/>
                <w:vertAlign w:val="superscript"/>
              </w:rPr>
              <w:t>-</w:t>
            </w:r>
            <w:r>
              <w:rPr>
                <w:rFonts w:hint="eastAsia" w:cs="Times New Roman"/>
                <w:color w:val="auto"/>
                <w:sz w:val="24"/>
                <w:szCs w:val="24"/>
                <w:highlight w:val="none"/>
                <w:vertAlign w:val="superscript"/>
                <w:lang w:val="en-US" w:eastAsia="zh-CN"/>
              </w:rPr>
              <w:t>10</w:t>
            </w:r>
            <w:r>
              <w:rPr>
                <w:rFonts w:hint="default" w:ascii="Times New Roman" w:hAnsi="Times New Roman" w:eastAsia="宋体" w:cs="Times New Roman"/>
                <w:color w:val="auto"/>
                <w:sz w:val="24"/>
                <w:szCs w:val="24"/>
                <w:highlight w:val="none"/>
              </w:rPr>
              <w:t>cm/s。</w:t>
            </w:r>
          </w:p>
          <w:p w14:paraId="56C69086">
            <w:pPr>
              <w:bidi w:val="0"/>
              <w:rPr>
                <w:rFonts w:hint="default"/>
                <w:color w:val="auto"/>
                <w:lang w:val="en-US" w:eastAsia="zh-CN"/>
              </w:rPr>
            </w:pPr>
            <w:r>
              <w:rPr>
                <w:rFonts w:hint="default" w:ascii="Times New Roman" w:hAnsi="Times New Roman" w:cs="Times New Roman"/>
                <w:color w:val="auto"/>
                <w:kern w:val="24"/>
                <w:sz w:val="24"/>
              </w:rPr>
              <w:t>危废暂存间地面及裙角作防渗处理，内壁</w:t>
            </w:r>
            <w:r>
              <w:rPr>
                <w:rFonts w:hint="default" w:ascii="Times New Roman" w:hAnsi="Times New Roman" w:cs="Times New Roman"/>
                <w:color w:val="auto"/>
                <w:sz w:val="24"/>
              </w:rPr>
              <w:t>设2毫米厚高密度聚乙烯，或至少2毫米厚的其它人工材料，确保防渗系数≤</w:t>
            </w:r>
            <w:r>
              <w:rPr>
                <w:rFonts w:hint="eastAsia" w:ascii="Times New Roman" w:hAnsi="Times New Roman" w:eastAsia="宋体" w:cs="Times New Roman"/>
                <w:snapToGrid w:val="0"/>
                <w:color w:val="auto"/>
                <w:kern w:val="0"/>
                <w:sz w:val="24"/>
                <w:szCs w:val="24"/>
                <w:highlight w:val="none"/>
                <w:lang w:val="en-US" w:eastAsia="zh-CN"/>
              </w:rPr>
              <w:t>1.0</w:t>
            </w:r>
            <w:r>
              <w:rPr>
                <w:rFonts w:ascii="Times New Roman" w:hAnsi="Times New Roman"/>
                <w:color w:val="auto"/>
                <w:sz w:val="24"/>
                <w:szCs w:val="24"/>
              </w:rPr>
              <w:t>×</w:t>
            </w:r>
            <w:r>
              <w:rPr>
                <w:rFonts w:hint="default" w:ascii="Times New Roman" w:hAnsi="Times New Roman" w:cs="Times New Roman"/>
                <w:color w:val="auto"/>
                <w:sz w:val="24"/>
              </w:rPr>
              <w:t>10</w:t>
            </w:r>
            <w:r>
              <w:rPr>
                <w:rFonts w:hint="default" w:ascii="Times New Roman" w:hAnsi="Times New Roman" w:cs="Times New Roman"/>
                <w:color w:val="auto"/>
                <w:sz w:val="24"/>
                <w:vertAlign w:val="superscript"/>
              </w:rPr>
              <w:t>-10</w:t>
            </w:r>
            <w:r>
              <w:rPr>
                <w:rFonts w:hint="default" w:ascii="Times New Roman" w:hAnsi="Times New Roman" w:cs="Times New Roman"/>
                <w:color w:val="auto"/>
                <w:sz w:val="24"/>
              </w:rPr>
              <w:t>cm/s。</w:t>
            </w:r>
          </w:p>
          <w:p w14:paraId="260BAFF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ascii="Times New Roman" w:hAnsi="Times New Roman"/>
                <w:color w:val="auto"/>
                <w:sz w:val="21"/>
                <w:szCs w:val="21"/>
              </w:rPr>
            </w:pPr>
            <w:r>
              <w:rPr>
                <w:rFonts w:hint="eastAsia"/>
                <w:color w:val="auto"/>
                <w:sz w:val="24"/>
                <w:szCs w:val="24"/>
                <w:lang w:eastAsia="zh-CN"/>
              </w:rPr>
              <w:t>综上，采取上述防控措施后，</w:t>
            </w:r>
            <w:r>
              <w:rPr>
                <w:rFonts w:hint="eastAsia"/>
                <w:color w:val="auto"/>
                <w:sz w:val="24"/>
                <w:szCs w:val="24"/>
                <w:lang w:val="en-US" w:eastAsia="zh-CN"/>
              </w:rPr>
              <w:t>本项目建成后</w:t>
            </w:r>
            <w:r>
              <w:rPr>
                <w:rFonts w:hint="eastAsia" w:ascii="Times New Roman" w:hAnsi="Times New Roman"/>
                <w:color w:val="auto"/>
                <w:sz w:val="24"/>
                <w:szCs w:val="24"/>
              </w:rPr>
              <w:t>对区域</w:t>
            </w:r>
            <w:r>
              <w:rPr>
                <w:rFonts w:hint="eastAsia"/>
                <w:color w:val="auto"/>
                <w:sz w:val="24"/>
                <w:szCs w:val="24"/>
                <w:lang w:eastAsia="zh-CN"/>
              </w:rPr>
              <w:t>地下水、土壤</w:t>
            </w:r>
            <w:r>
              <w:rPr>
                <w:rFonts w:hint="eastAsia" w:ascii="Times New Roman" w:hAnsi="Times New Roman"/>
                <w:color w:val="auto"/>
                <w:sz w:val="24"/>
                <w:szCs w:val="24"/>
              </w:rPr>
              <w:t>环境影响较小。</w:t>
            </w:r>
          </w:p>
          <w:p w14:paraId="6F02B5C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textAlignment w:val="auto"/>
              <w:rPr>
                <w:rFonts w:hint="eastAsia"/>
                <w:b/>
                <w:bCs/>
                <w:color w:val="auto"/>
                <w:lang w:val="en-US" w:eastAsia="zh-CN"/>
              </w:rPr>
            </w:pPr>
            <w:r>
              <w:rPr>
                <w:rFonts w:hint="eastAsia"/>
                <w:b/>
                <w:bCs/>
                <w:color w:val="auto"/>
                <w:lang w:val="en-US" w:eastAsia="zh-CN"/>
              </w:rPr>
              <w:t>6、生态</w:t>
            </w:r>
          </w:p>
          <w:p w14:paraId="0D84CBDE">
            <w:pPr>
              <w:bidi w:val="0"/>
              <w:rPr>
                <w:rFonts w:hint="default"/>
                <w:color w:val="auto"/>
                <w:lang w:val="en-US" w:eastAsia="zh-CN"/>
              </w:rPr>
            </w:pPr>
            <w:r>
              <w:rPr>
                <w:rFonts w:hint="eastAsia"/>
                <w:color w:val="auto"/>
                <w:lang w:eastAsia="zh-CN"/>
              </w:rPr>
              <w:t>本项目用地范围内无生态环境保护目标。</w:t>
            </w:r>
            <w:r>
              <w:rPr>
                <w:rFonts w:hint="eastAsia"/>
                <w:color w:val="auto"/>
                <w:lang w:val="en-US" w:eastAsia="zh-CN"/>
              </w:rPr>
              <w:t>厂房已建成，施工期不涉及土建项目，</w:t>
            </w:r>
            <w:r>
              <w:rPr>
                <w:rFonts w:hint="eastAsia"/>
                <w:color w:val="auto"/>
                <w:lang w:eastAsia="zh-CN"/>
              </w:rPr>
              <w:t>对区域生态环境影响较小。</w:t>
            </w:r>
          </w:p>
          <w:p w14:paraId="422678C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lang w:val="en-US" w:eastAsia="zh-CN"/>
              </w:rPr>
            </w:pPr>
            <w:r>
              <w:rPr>
                <w:rFonts w:hint="eastAsia"/>
                <w:b/>
                <w:bCs/>
                <w:color w:val="auto"/>
                <w:lang w:val="en-US" w:eastAsia="zh-CN"/>
              </w:rPr>
              <w:t>7、环境风险</w:t>
            </w:r>
          </w:p>
          <w:p w14:paraId="43103A6F">
            <w:pPr>
              <w:bidi w:val="0"/>
              <w:rPr>
                <w:rFonts w:hint="eastAsia"/>
                <w:b/>
                <w:bCs/>
                <w:color w:val="auto"/>
                <w:highlight w:val="none"/>
                <w:lang w:val="en-US" w:eastAsia="zh-CN"/>
              </w:rPr>
            </w:pPr>
            <w:r>
              <w:rPr>
                <w:rFonts w:hint="eastAsia"/>
                <w:b/>
                <w:bCs/>
                <w:color w:val="auto"/>
                <w:highlight w:val="none"/>
                <w:lang w:val="en-US" w:eastAsia="zh-CN"/>
              </w:rPr>
              <w:t>7.1环境风险的识别</w:t>
            </w:r>
          </w:p>
          <w:p w14:paraId="3824A3A3">
            <w:pPr>
              <w:bidi w:val="0"/>
              <w:rPr>
                <w:rFonts w:hint="default"/>
                <w:color w:val="auto"/>
                <w:lang w:val="en-US" w:eastAsia="zh-CN"/>
              </w:rPr>
            </w:pPr>
            <w:r>
              <w:rPr>
                <w:rFonts w:hint="default"/>
                <w:color w:val="auto"/>
                <w:lang w:val="en-US" w:eastAsia="zh-CN"/>
              </w:rPr>
              <w:t>本项目</w:t>
            </w:r>
            <w:r>
              <w:rPr>
                <w:rFonts w:hint="eastAsia"/>
                <w:color w:val="auto"/>
                <w:lang w:val="en-US" w:eastAsia="zh-CN"/>
              </w:rPr>
              <w:t>建成后</w:t>
            </w:r>
            <w:r>
              <w:rPr>
                <w:rFonts w:hint="default"/>
                <w:color w:val="auto"/>
                <w:lang w:val="en-US" w:eastAsia="zh-CN"/>
              </w:rPr>
              <w:t>的风险物质主要为</w:t>
            </w:r>
            <w:r>
              <w:rPr>
                <w:rFonts w:hint="eastAsia"/>
                <w:color w:val="auto"/>
                <w:lang w:val="en-US" w:eastAsia="zh-CN"/>
              </w:rPr>
              <w:t>液化石油气、油性漆、</w:t>
            </w:r>
            <w:r>
              <w:rPr>
                <w:rFonts w:hint="eastAsia"/>
                <w:color w:val="auto"/>
                <w:lang w:eastAsia="zh-CN"/>
              </w:rPr>
              <w:t>润滑油、</w:t>
            </w:r>
            <w:r>
              <w:rPr>
                <w:rFonts w:hint="eastAsia"/>
                <w:color w:val="auto"/>
                <w:lang w:val="en-US" w:eastAsia="zh-CN"/>
              </w:rPr>
              <w:t>液压油</w:t>
            </w:r>
            <w:r>
              <w:rPr>
                <w:rFonts w:hint="eastAsia"/>
                <w:color w:val="auto"/>
                <w:lang w:eastAsia="zh-CN"/>
              </w:rPr>
              <w:t>、</w:t>
            </w:r>
            <w:r>
              <w:rPr>
                <w:rFonts w:hint="eastAsia"/>
                <w:color w:val="auto"/>
                <w:lang w:val="en-US" w:eastAsia="zh-CN"/>
              </w:rPr>
              <w:t>切削液</w:t>
            </w:r>
            <w:r>
              <w:rPr>
                <w:rFonts w:hint="eastAsia"/>
                <w:color w:val="auto"/>
                <w:lang w:eastAsia="zh-CN"/>
              </w:rPr>
              <w:t>以及产生的废润滑油、</w:t>
            </w:r>
            <w:r>
              <w:rPr>
                <w:rFonts w:hint="eastAsia"/>
                <w:color w:val="auto"/>
                <w:lang w:val="en-US" w:eastAsia="zh-CN"/>
              </w:rPr>
              <w:t>废液压油</w:t>
            </w:r>
            <w:r>
              <w:rPr>
                <w:rFonts w:hint="eastAsia"/>
                <w:color w:val="auto"/>
                <w:lang w:eastAsia="zh-CN"/>
              </w:rPr>
              <w:t>、</w:t>
            </w:r>
            <w:r>
              <w:rPr>
                <w:rFonts w:hint="eastAsia"/>
                <w:color w:val="auto"/>
                <w:lang w:val="en-US" w:eastAsia="zh-CN"/>
              </w:rPr>
              <w:t>废切削液</w:t>
            </w:r>
            <w:r>
              <w:rPr>
                <w:rFonts w:hint="default"/>
                <w:color w:val="auto"/>
                <w:lang w:val="en-US" w:eastAsia="zh-CN"/>
              </w:rPr>
              <w:t>，上述物质在储存、使用过程中可能发生泄漏事故。</w:t>
            </w:r>
            <w:r>
              <w:rPr>
                <w:rFonts w:hint="eastAsia"/>
                <w:color w:val="auto"/>
                <w:lang w:val="en-US" w:eastAsia="zh-CN"/>
              </w:rPr>
              <w:t>液化石油气、油性漆、</w:t>
            </w:r>
            <w:r>
              <w:rPr>
                <w:rFonts w:hint="eastAsia"/>
                <w:color w:val="auto"/>
                <w:lang w:eastAsia="zh-CN"/>
              </w:rPr>
              <w:t>润滑油、</w:t>
            </w:r>
            <w:r>
              <w:rPr>
                <w:rFonts w:hint="eastAsia"/>
                <w:color w:val="auto"/>
                <w:lang w:val="en-US" w:eastAsia="zh-CN"/>
              </w:rPr>
              <w:t>液压油</w:t>
            </w:r>
            <w:r>
              <w:rPr>
                <w:rFonts w:hint="eastAsia"/>
                <w:color w:val="auto"/>
                <w:lang w:eastAsia="zh-CN"/>
              </w:rPr>
              <w:t>、</w:t>
            </w:r>
            <w:r>
              <w:rPr>
                <w:rFonts w:hint="eastAsia"/>
                <w:color w:val="auto"/>
                <w:lang w:val="en-US" w:eastAsia="zh-CN"/>
              </w:rPr>
              <w:t>切削液存储于危险品库房，</w:t>
            </w:r>
            <w:r>
              <w:rPr>
                <w:rFonts w:hint="eastAsia"/>
                <w:color w:val="auto"/>
                <w:lang w:eastAsia="zh-CN"/>
              </w:rPr>
              <w:t>废润滑油、</w:t>
            </w:r>
            <w:r>
              <w:rPr>
                <w:rFonts w:hint="eastAsia"/>
                <w:color w:val="auto"/>
                <w:lang w:val="en-US" w:eastAsia="zh-CN"/>
              </w:rPr>
              <w:t>废液压油</w:t>
            </w:r>
            <w:r>
              <w:rPr>
                <w:rFonts w:hint="eastAsia"/>
                <w:color w:val="auto"/>
                <w:lang w:eastAsia="zh-CN"/>
              </w:rPr>
              <w:t>、</w:t>
            </w:r>
            <w:r>
              <w:rPr>
                <w:rFonts w:hint="eastAsia"/>
                <w:color w:val="auto"/>
                <w:lang w:val="en-US" w:eastAsia="zh-CN"/>
              </w:rPr>
              <w:t>废切削液存储于危废间</w:t>
            </w:r>
            <w:r>
              <w:rPr>
                <w:rFonts w:hint="default"/>
                <w:color w:val="auto"/>
                <w:lang w:val="en-US" w:eastAsia="zh-CN"/>
              </w:rPr>
              <w:t>。</w:t>
            </w:r>
          </w:p>
          <w:p w14:paraId="290DE855">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default" w:ascii="Times New Roman" w:hAnsi="Times New Roman" w:eastAsia="宋体" w:cs="Times New Roman"/>
                <w:b/>
                <w:bCs/>
                <w:color w:val="auto"/>
                <w:sz w:val="21"/>
                <w:szCs w:val="21"/>
                <w:highlight w:val="none"/>
                <w:shd w:val="clear" w:color="auto" w:fill="auto"/>
                <w:lang w:val="en-US" w:eastAsia="zh-CN"/>
              </w:rPr>
            </w:pPr>
            <w:r>
              <w:rPr>
                <w:rFonts w:hint="default" w:ascii="Times New Roman" w:hAnsi="Times New Roman" w:eastAsia="宋体" w:cs="Times New Roman"/>
                <w:b/>
                <w:bCs/>
                <w:color w:val="auto"/>
                <w:sz w:val="21"/>
                <w:szCs w:val="21"/>
                <w:highlight w:val="none"/>
                <w:shd w:val="clear" w:color="auto" w:fill="auto"/>
                <w:lang w:val="zh-CN" w:eastAsia="zh-CN"/>
              </w:rPr>
              <w:t>表</w:t>
            </w:r>
            <w:r>
              <w:rPr>
                <w:rFonts w:hint="eastAsia" w:cs="Times New Roman"/>
                <w:b/>
                <w:bCs/>
                <w:color w:val="auto"/>
                <w:sz w:val="21"/>
                <w:szCs w:val="21"/>
                <w:highlight w:val="none"/>
                <w:shd w:val="clear" w:color="auto" w:fill="auto"/>
                <w:lang w:val="en-US" w:eastAsia="zh-CN"/>
              </w:rPr>
              <w:t xml:space="preserve">49  </w:t>
            </w:r>
            <w:r>
              <w:rPr>
                <w:rFonts w:hint="eastAsia" w:ascii="Times New Roman" w:hAnsi="Times New Roman" w:eastAsia="宋体" w:cs="Times New Roman"/>
                <w:b/>
                <w:bCs/>
                <w:color w:val="auto"/>
                <w:sz w:val="21"/>
                <w:szCs w:val="21"/>
                <w:highlight w:val="none"/>
                <w:shd w:val="clear" w:color="auto" w:fill="auto"/>
                <w:lang w:val="en-US" w:eastAsia="zh-CN"/>
              </w:rPr>
              <w:t>风险物质识别及影响途径</w:t>
            </w:r>
            <w:r>
              <w:rPr>
                <w:rFonts w:hint="eastAsia" w:ascii="Times New Roman" w:hAnsi="Times New Roman" w:eastAsia="宋体" w:cs="Times New Roman"/>
                <w:b/>
                <w:bCs/>
                <w:color w:val="auto"/>
                <w:sz w:val="21"/>
                <w:szCs w:val="21"/>
                <w:highlight w:val="none"/>
                <w:shd w:val="clear" w:color="auto" w:fill="auto"/>
                <w:lang w:val="zh-CN" w:eastAsia="zh-CN"/>
              </w:rPr>
              <w:t>一览</w:t>
            </w:r>
            <w:r>
              <w:rPr>
                <w:rFonts w:hint="default" w:ascii="Times New Roman" w:hAnsi="Times New Roman" w:eastAsia="宋体" w:cs="Times New Roman"/>
                <w:b/>
                <w:bCs/>
                <w:color w:val="auto"/>
                <w:sz w:val="21"/>
                <w:szCs w:val="21"/>
                <w:highlight w:val="none"/>
                <w:shd w:val="clear" w:color="auto" w:fill="auto"/>
                <w:lang w:val="zh-CN" w:eastAsia="zh-CN"/>
              </w:rPr>
              <w:t>表</w:t>
            </w:r>
          </w:p>
          <w:tbl>
            <w:tblPr>
              <w:tblStyle w:val="20"/>
              <w:tblW w:w="82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23"/>
              <w:gridCol w:w="1151"/>
              <w:gridCol w:w="1381"/>
              <w:gridCol w:w="946"/>
              <w:gridCol w:w="1133"/>
              <w:gridCol w:w="2273"/>
            </w:tblGrid>
            <w:tr w14:paraId="0F525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14:paraId="600A9E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风险物质名称</w:t>
                  </w:r>
                </w:p>
              </w:tc>
              <w:tc>
                <w:tcPr>
                  <w:tcW w:w="1151" w:type="dxa"/>
                  <w:tcBorders>
                    <w:tl2br w:val="nil"/>
                    <w:tr2bl w:val="nil"/>
                  </w:tcBorders>
                  <w:noWrap w:val="0"/>
                  <w:tcMar>
                    <w:top w:w="15" w:type="dxa"/>
                    <w:left w:w="15" w:type="dxa"/>
                    <w:right w:w="15" w:type="dxa"/>
                  </w:tcMar>
                  <w:vAlign w:val="center"/>
                </w:tcPr>
                <w:p w14:paraId="6A8C19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highlight w:val="none"/>
                      <w:shd w:val="clear" w:color="auto" w:fill="auto"/>
                      <w:lang w:eastAsia="zh-CN"/>
                    </w:rPr>
                    <w:t>储存场所</w:t>
                  </w:r>
                </w:p>
              </w:tc>
              <w:tc>
                <w:tcPr>
                  <w:tcW w:w="1381" w:type="dxa"/>
                  <w:tcBorders>
                    <w:tl2br w:val="nil"/>
                    <w:tr2bl w:val="nil"/>
                  </w:tcBorders>
                  <w:noWrap w:val="0"/>
                  <w:tcMar>
                    <w:top w:w="15" w:type="dxa"/>
                    <w:left w:w="15" w:type="dxa"/>
                    <w:right w:w="15" w:type="dxa"/>
                  </w:tcMar>
                  <w:vAlign w:val="center"/>
                </w:tcPr>
                <w:p w14:paraId="55C6A5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color w:val="auto"/>
                      <w:sz w:val="21"/>
                      <w:szCs w:val="21"/>
                      <w:shd w:val="clear" w:color="auto" w:fill="auto"/>
                      <w:lang w:val="en-US"/>
                    </w:rPr>
                  </w:pPr>
                  <w:r>
                    <w:rPr>
                      <w:rFonts w:hint="eastAsia" w:ascii="Times New Roman" w:hAnsi="Times New Roman" w:eastAsia="宋体" w:cs="Times New Roman"/>
                      <w:color w:val="auto"/>
                      <w:sz w:val="21"/>
                      <w:szCs w:val="21"/>
                      <w:highlight w:val="none"/>
                      <w:shd w:val="clear" w:color="auto" w:fill="auto"/>
                      <w:lang w:val="en-US" w:eastAsia="zh-CN"/>
                    </w:rPr>
                    <w:t>最大储存量</w:t>
                  </w:r>
                  <w:r>
                    <w:rPr>
                      <w:rFonts w:hint="eastAsia" w:eastAsia="宋体" w:cs="Times New Roman"/>
                      <w:color w:val="auto"/>
                      <w:sz w:val="21"/>
                      <w:szCs w:val="21"/>
                      <w:highlight w:val="none"/>
                      <w:shd w:val="clear" w:color="auto" w:fill="auto"/>
                      <w:lang w:val="en-US" w:eastAsia="zh-CN"/>
                    </w:rPr>
                    <w:t>（t）</w:t>
                  </w:r>
                </w:p>
              </w:tc>
              <w:tc>
                <w:tcPr>
                  <w:tcW w:w="946" w:type="dxa"/>
                  <w:tcBorders>
                    <w:tl2br w:val="nil"/>
                    <w:tr2bl w:val="nil"/>
                  </w:tcBorders>
                  <w:noWrap w:val="0"/>
                  <w:tcMar>
                    <w:top w:w="15" w:type="dxa"/>
                    <w:left w:w="15" w:type="dxa"/>
                    <w:right w:w="15" w:type="dxa"/>
                  </w:tcMar>
                  <w:vAlign w:val="center"/>
                </w:tcPr>
                <w:p w14:paraId="3B691D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临界量（t）</w:t>
                  </w:r>
                </w:p>
              </w:tc>
              <w:tc>
                <w:tcPr>
                  <w:tcW w:w="1133" w:type="dxa"/>
                  <w:tcBorders>
                    <w:tl2br w:val="nil"/>
                    <w:tr2bl w:val="nil"/>
                  </w:tcBorders>
                  <w:noWrap w:val="0"/>
                  <w:tcMar>
                    <w:top w:w="15" w:type="dxa"/>
                    <w:left w:w="15" w:type="dxa"/>
                    <w:right w:w="15" w:type="dxa"/>
                  </w:tcMar>
                  <w:vAlign w:val="center"/>
                </w:tcPr>
                <w:p w14:paraId="791DED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Q值</w:t>
                  </w:r>
                </w:p>
              </w:tc>
              <w:tc>
                <w:tcPr>
                  <w:tcW w:w="2273" w:type="dxa"/>
                  <w:tcBorders>
                    <w:tl2br w:val="nil"/>
                    <w:tr2bl w:val="nil"/>
                  </w:tcBorders>
                  <w:noWrap w:val="0"/>
                  <w:tcMar>
                    <w:top w:w="15" w:type="dxa"/>
                    <w:left w:w="15" w:type="dxa"/>
                    <w:right w:w="15" w:type="dxa"/>
                  </w:tcMar>
                  <w:vAlign w:val="center"/>
                </w:tcPr>
                <w:p w14:paraId="6B4E1E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rPr>
                  </w:pPr>
                  <w:r>
                    <w:rPr>
                      <w:rFonts w:hint="eastAsia" w:ascii="Times New Roman" w:hAnsi="Times New Roman" w:eastAsia="宋体" w:cs="Times New Roman"/>
                      <w:color w:val="auto"/>
                      <w:sz w:val="21"/>
                      <w:szCs w:val="21"/>
                      <w:highlight w:val="none"/>
                      <w:shd w:val="clear" w:color="auto" w:fill="auto"/>
                      <w:lang w:val="en-US" w:eastAsia="zh-CN"/>
                    </w:rPr>
                    <w:t>影响</w:t>
                  </w:r>
                  <w:r>
                    <w:rPr>
                      <w:rFonts w:hint="eastAsia" w:cs="Times New Roman"/>
                      <w:color w:val="auto"/>
                      <w:sz w:val="21"/>
                      <w:szCs w:val="21"/>
                      <w:highlight w:val="none"/>
                      <w:shd w:val="clear" w:color="auto" w:fill="auto"/>
                      <w:lang w:val="en-US" w:eastAsia="zh-CN"/>
                    </w:rPr>
                    <w:t>途径</w:t>
                  </w:r>
                </w:p>
              </w:tc>
            </w:tr>
            <w:tr w14:paraId="677FF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14:paraId="24E72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液化石油气</w:t>
                  </w:r>
                </w:p>
              </w:tc>
              <w:tc>
                <w:tcPr>
                  <w:tcW w:w="1151" w:type="dxa"/>
                  <w:tcBorders>
                    <w:tl2br w:val="nil"/>
                    <w:tr2bl w:val="nil"/>
                  </w:tcBorders>
                  <w:noWrap w:val="0"/>
                  <w:tcMar>
                    <w:top w:w="15" w:type="dxa"/>
                    <w:left w:w="15" w:type="dxa"/>
                    <w:right w:w="15" w:type="dxa"/>
                  </w:tcMar>
                  <w:vAlign w:val="center"/>
                </w:tcPr>
                <w:p w14:paraId="7C8736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危险品库房-气瓶存储区</w:t>
                  </w:r>
                </w:p>
              </w:tc>
              <w:tc>
                <w:tcPr>
                  <w:tcW w:w="1381" w:type="dxa"/>
                  <w:tcBorders>
                    <w:tl2br w:val="nil"/>
                    <w:tr2bl w:val="nil"/>
                  </w:tcBorders>
                  <w:noWrap w:val="0"/>
                  <w:tcMar>
                    <w:top w:w="15" w:type="dxa"/>
                    <w:left w:w="15" w:type="dxa"/>
                    <w:right w:w="15" w:type="dxa"/>
                  </w:tcMar>
                  <w:vAlign w:val="center"/>
                </w:tcPr>
                <w:p w14:paraId="22D6BA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0.2</w:t>
                  </w:r>
                </w:p>
              </w:tc>
              <w:tc>
                <w:tcPr>
                  <w:tcW w:w="946" w:type="dxa"/>
                  <w:tcBorders>
                    <w:tl2br w:val="nil"/>
                    <w:tr2bl w:val="nil"/>
                  </w:tcBorders>
                  <w:noWrap w:val="0"/>
                  <w:tcMar>
                    <w:top w:w="15" w:type="dxa"/>
                    <w:left w:w="15" w:type="dxa"/>
                    <w:right w:w="15" w:type="dxa"/>
                  </w:tcMar>
                  <w:vAlign w:val="center"/>
                </w:tcPr>
                <w:p w14:paraId="52E46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10</w:t>
                  </w:r>
                </w:p>
              </w:tc>
              <w:tc>
                <w:tcPr>
                  <w:tcW w:w="1133" w:type="dxa"/>
                  <w:tcBorders>
                    <w:tl2br w:val="nil"/>
                    <w:tr2bl w:val="nil"/>
                  </w:tcBorders>
                  <w:noWrap w:val="0"/>
                  <w:tcMar>
                    <w:top w:w="15" w:type="dxa"/>
                    <w:left w:w="15" w:type="dxa"/>
                    <w:right w:w="15" w:type="dxa"/>
                  </w:tcMar>
                  <w:vAlign w:val="center"/>
                </w:tcPr>
                <w:p w14:paraId="52B6F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0.02</w:t>
                  </w:r>
                </w:p>
              </w:tc>
              <w:tc>
                <w:tcPr>
                  <w:tcW w:w="2273" w:type="dxa"/>
                  <w:vMerge w:val="restart"/>
                  <w:tcBorders>
                    <w:tl2br w:val="nil"/>
                    <w:tr2bl w:val="nil"/>
                  </w:tcBorders>
                  <w:noWrap w:val="0"/>
                  <w:tcMar>
                    <w:top w:w="15" w:type="dxa"/>
                    <w:left w:w="15" w:type="dxa"/>
                    <w:right w:w="15" w:type="dxa"/>
                  </w:tcMar>
                  <w:vAlign w:val="center"/>
                </w:tcPr>
                <w:p w14:paraId="6C7EF3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泄漏下渗影响土壤及地下水环境</w:t>
                  </w:r>
                  <w:r>
                    <w:rPr>
                      <w:rFonts w:hint="eastAsia" w:cs="Times New Roman"/>
                      <w:color w:val="auto"/>
                      <w:sz w:val="21"/>
                      <w:szCs w:val="21"/>
                      <w:shd w:val="clear" w:color="auto" w:fill="auto"/>
                      <w:lang w:val="en-US" w:eastAsia="zh-CN"/>
                    </w:rPr>
                    <w:t>，</w:t>
                  </w:r>
                  <w:r>
                    <w:rPr>
                      <w:rFonts w:hint="eastAsia" w:ascii="Times New Roman" w:hAnsi="Times New Roman" w:eastAsia="宋体" w:cs="Times New Roman"/>
                      <w:color w:val="auto"/>
                      <w:sz w:val="21"/>
                      <w:szCs w:val="21"/>
                      <w:shd w:val="clear" w:color="auto" w:fill="auto"/>
                      <w:lang w:val="en-US" w:eastAsia="zh-CN"/>
                    </w:rPr>
                    <w:t>引起火灾产生废气、消防废水等</w:t>
                  </w:r>
                </w:p>
              </w:tc>
            </w:tr>
            <w:tr w14:paraId="38437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14:paraId="46D96A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油性漆</w:t>
                  </w:r>
                </w:p>
              </w:tc>
              <w:tc>
                <w:tcPr>
                  <w:tcW w:w="1151" w:type="dxa"/>
                  <w:tcBorders>
                    <w:tl2br w:val="nil"/>
                    <w:tr2bl w:val="nil"/>
                  </w:tcBorders>
                  <w:noWrap w:val="0"/>
                  <w:tcMar>
                    <w:top w:w="15" w:type="dxa"/>
                    <w:left w:w="15" w:type="dxa"/>
                    <w:right w:w="15" w:type="dxa"/>
                  </w:tcMar>
                  <w:vAlign w:val="center"/>
                </w:tcPr>
                <w:p w14:paraId="30C47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危险品库房</w:t>
                  </w:r>
                </w:p>
              </w:tc>
              <w:tc>
                <w:tcPr>
                  <w:tcW w:w="1381" w:type="dxa"/>
                  <w:tcBorders>
                    <w:tl2br w:val="nil"/>
                    <w:tr2bl w:val="nil"/>
                  </w:tcBorders>
                  <w:noWrap w:val="0"/>
                  <w:tcMar>
                    <w:top w:w="15" w:type="dxa"/>
                    <w:left w:w="15" w:type="dxa"/>
                    <w:right w:w="15" w:type="dxa"/>
                  </w:tcMar>
                  <w:vAlign w:val="center"/>
                </w:tcPr>
                <w:p w14:paraId="1F5277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0.15</w:t>
                  </w:r>
                </w:p>
              </w:tc>
              <w:tc>
                <w:tcPr>
                  <w:tcW w:w="946" w:type="dxa"/>
                  <w:tcBorders>
                    <w:tl2br w:val="nil"/>
                    <w:tr2bl w:val="nil"/>
                  </w:tcBorders>
                  <w:noWrap w:val="0"/>
                  <w:tcMar>
                    <w:top w:w="15" w:type="dxa"/>
                    <w:left w:w="15" w:type="dxa"/>
                    <w:right w:w="15" w:type="dxa"/>
                  </w:tcMar>
                  <w:vAlign w:val="center"/>
                </w:tcPr>
                <w:p w14:paraId="1AE950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10</w:t>
                  </w:r>
                </w:p>
              </w:tc>
              <w:tc>
                <w:tcPr>
                  <w:tcW w:w="1133" w:type="dxa"/>
                  <w:tcBorders>
                    <w:tl2br w:val="nil"/>
                    <w:tr2bl w:val="nil"/>
                  </w:tcBorders>
                  <w:noWrap w:val="0"/>
                  <w:tcMar>
                    <w:top w:w="15" w:type="dxa"/>
                    <w:left w:w="15" w:type="dxa"/>
                    <w:right w:w="15" w:type="dxa"/>
                  </w:tcMar>
                  <w:vAlign w:val="center"/>
                </w:tcPr>
                <w:p w14:paraId="708C87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0.015</w:t>
                  </w:r>
                </w:p>
              </w:tc>
              <w:tc>
                <w:tcPr>
                  <w:tcW w:w="2273" w:type="dxa"/>
                  <w:vMerge w:val="continue"/>
                  <w:tcBorders>
                    <w:tl2br w:val="nil"/>
                    <w:tr2bl w:val="nil"/>
                  </w:tcBorders>
                  <w:noWrap w:val="0"/>
                  <w:tcMar>
                    <w:top w:w="15" w:type="dxa"/>
                    <w:left w:w="15" w:type="dxa"/>
                    <w:right w:w="15" w:type="dxa"/>
                  </w:tcMar>
                  <w:vAlign w:val="center"/>
                </w:tcPr>
                <w:p w14:paraId="242248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14:paraId="05B0B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14:paraId="402A1B4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润滑油</w:t>
                  </w:r>
                </w:p>
              </w:tc>
              <w:tc>
                <w:tcPr>
                  <w:tcW w:w="1151" w:type="dxa"/>
                  <w:tcBorders>
                    <w:tl2br w:val="nil"/>
                    <w:tr2bl w:val="nil"/>
                  </w:tcBorders>
                  <w:noWrap w:val="0"/>
                  <w:tcMar>
                    <w:top w:w="15" w:type="dxa"/>
                    <w:left w:w="15" w:type="dxa"/>
                    <w:right w:w="15" w:type="dxa"/>
                  </w:tcMar>
                  <w:vAlign w:val="center"/>
                </w:tcPr>
                <w:p w14:paraId="667BD41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highlight w:val="none"/>
                      <w:shd w:val="clear" w:color="auto" w:fill="auto"/>
                      <w:lang w:val="en-US" w:eastAsia="zh-CN"/>
                    </w:rPr>
                    <w:t>危险品库房</w:t>
                  </w:r>
                </w:p>
              </w:tc>
              <w:tc>
                <w:tcPr>
                  <w:tcW w:w="1381" w:type="dxa"/>
                  <w:tcBorders>
                    <w:tl2br w:val="nil"/>
                    <w:tr2bl w:val="nil"/>
                  </w:tcBorders>
                  <w:noWrap w:val="0"/>
                  <w:tcMar>
                    <w:top w:w="15" w:type="dxa"/>
                    <w:left w:w="15" w:type="dxa"/>
                    <w:right w:w="15" w:type="dxa"/>
                  </w:tcMar>
                  <w:vAlign w:val="center"/>
                </w:tcPr>
                <w:p w14:paraId="261A5A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0.02</w:t>
                  </w:r>
                </w:p>
              </w:tc>
              <w:tc>
                <w:tcPr>
                  <w:tcW w:w="946" w:type="dxa"/>
                  <w:tcBorders>
                    <w:tl2br w:val="nil"/>
                    <w:tr2bl w:val="nil"/>
                  </w:tcBorders>
                  <w:noWrap w:val="0"/>
                  <w:tcMar>
                    <w:top w:w="15" w:type="dxa"/>
                    <w:left w:w="15" w:type="dxa"/>
                    <w:right w:w="15" w:type="dxa"/>
                  </w:tcMar>
                  <w:vAlign w:val="center"/>
                </w:tcPr>
                <w:p w14:paraId="6AA657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2500</w:t>
                  </w:r>
                </w:p>
              </w:tc>
              <w:tc>
                <w:tcPr>
                  <w:tcW w:w="1133" w:type="dxa"/>
                  <w:tcBorders>
                    <w:tl2br w:val="nil"/>
                    <w:tr2bl w:val="nil"/>
                  </w:tcBorders>
                  <w:noWrap w:val="0"/>
                  <w:tcMar>
                    <w:top w:w="15" w:type="dxa"/>
                    <w:left w:w="15" w:type="dxa"/>
                    <w:right w:w="15" w:type="dxa"/>
                  </w:tcMar>
                  <w:vAlign w:val="center"/>
                </w:tcPr>
                <w:p w14:paraId="666C55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0.000008</w:t>
                  </w:r>
                </w:p>
              </w:tc>
              <w:tc>
                <w:tcPr>
                  <w:tcW w:w="2273" w:type="dxa"/>
                  <w:vMerge w:val="continue"/>
                  <w:tcBorders>
                    <w:tl2br w:val="nil"/>
                    <w:tr2bl w:val="nil"/>
                  </w:tcBorders>
                  <w:noWrap w:val="0"/>
                  <w:tcMar>
                    <w:top w:w="15" w:type="dxa"/>
                    <w:left w:w="15" w:type="dxa"/>
                    <w:right w:w="15" w:type="dxa"/>
                  </w:tcMar>
                  <w:vAlign w:val="center"/>
                </w:tcPr>
                <w:p w14:paraId="603B80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14:paraId="434F6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14:paraId="71ADD99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液压油</w:t>
                  </w:r>
                </w:p>
              </w:tc>
              <w:tc>
                <w:tcPr>
                  <w:tcW w:w="1151" w:type="dxa"/>
                  <w:tcBorders>
                    <w:tl2br w:val="nil"/>
                    <w:tr2bl w:val="nil"/>
                  </w:tcBorders>
                  <w:noWrap w:val="0"/>
                  <w:tcMar>
                    <w:top w:w="15" w:type="dxa"/>
                    <w:left w:w="15" w:type="dxa"/>
                    <w:right w:w="15" w:type="dxa"/>
                  </w:tcMar>
                  <w:vAlign w:val="center"/>
                </w:tcPr>
                <w:p w14:paraId="56A8D82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highlight w:val="none"/>
                      <w:shd w:val="clear" w:color="auto" w:fill="auto"/>
                      <w:lang w:val="en-US" w:eastAsia="zh-CN"/>
                    </w:rPr>
                    <w:t>危险品库房</w:t>
                  </w:r>
                </w:p>
              </w:tc>
              <w:tc>
                <w:tcPr>
                  <w:tcW w:w="1381" w:type="dxa"/>
                  <w:tcBorders>
                    <w:tl2br w:val="nil"/>
                    <w:tr2bl w:val="nil"/>
                  </w:tcBorders>
                  <w:noWrap w:val="0"/>
                  <w:tcMar>
                    <w:top w:w="15" w:type="dxa"/>
                    <w:left w:w="15" w:type="dxa"/>
                    <w:right w:w="15" w:type="dxa"/>
                  </w:tcMar>
                  <w:vAlign w:val="center"/>
                </w:tcPr>
                <w:p w14:paraId="79486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0.01</w:t>
                  </w:r>
                </w:p>
              </w:tc>
              <w:tc>
                <w:tcPr>
                  <w:tcW w:w="946" w:type="dxa"/>
                  <w:tcBorders>
                    <w:tl2br w:val="nil"/>
                    <w:tr2bl w:val="nil"/>
                  </w:tcBorders>
                  <w:noWrap w:val="0"/>
                  <w:tcMar>
                    <w:top w:w="15" w:type="dxa"/>
                    <w:left w:w="15" w:type="dxa"/>
                    <w:right w:w="15" w:type="dxa"/>
                  </w:tcMar>
                  <w:vAlign w:val="center"/>
                </w:tcPr>
                <w:p w14:paraId="63D04C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2500</w:t>
                  </w:r>
                </w:p>
              </w:tc>
              <w:tc>
                <w:tcPr>
                  <w:tcW w:w="1133" w:type="dxa"/>
                  <w:tcBorders>
                    <w:tl2br w:val="nil"/>
                    <w:tr2bl w:val="nil"/>
                  </w:tcBorders>
                  <w:noWrap w:val="0"/>
                  <w:tcMar>
                    <w:top w:w="15" w:type="dxa"/>
                    <w:left w:w="15" w:type="dxa"/>
                    <w:right w:w="15" w:type="dxa"/>
                  </w:tcMar>
                  <w:vAlign w:val="center"/>
                </w:tcPr>
                <w:p w14:paraId="76ABFD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0.000004</w:t>
                  </w:r>
                </w:p>
              </w:tc>
              <w:tc>
                <w:tcPr>
                  <w:tcW w:w="2273" w:type="dxa"/>
                  <w:vMerge w:val="continue"/>
                  <w:tcBorders>
                    <w:tl2br w:val="nil"/>
                    <w:tr2bl w:val="nil"/>
                  </w:tcBorders>
                  <w:noWrap w:val="0"/>
                  <w:tcMar>
                    <w:top w:w="15" w:type="dxa"/>
                    <w:left w:w="15" w:type="dxa"/>
                    <w:right w:w="15" w:type="dxa"/>
                  </w:tcMar>
                  <w:vAlign w:val="center"/>
                </w:tcPr>
                <w:p w14:paraId="67D0EA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14:paraId="738D1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14:paraId="0E7811D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切削液</w:t>
                  </w:r>
                </w:p>
              </w:tc>
              <w:tc>
                <w:tcPr>
                  <w:tcW w:w="1151" w:type="dxa"/>
                  <w:tcBorders>
                    <w:tl2br w:val="nil"/>
                    <w:tr2bl w:val="nil"/>
                  </w:tcBorders>
                  <w:noWrap w:val="0"/>
                  <w:tcMar>
                    <w:top w:w="15" w:type="dxa"/>
                    <w:left w:w="15" w:type="dxa"/>
                    <w:right w:w="15" w:type="dxa"/>
                  </w:tcMar>
                  <w:vAlign w:val="center"/>
                </w:tcPr>
                <w:p w14:paraId="0B5874E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highlight w:val="none"/>
                      <w:shd w:val="clear" w:color="auto" w:fill="auto"/>
                      <w:lang w:val="en-US" w:eastAsia="zh-CN"/>
                    </w:rPr>
                    <w:t>危险品库房</w:t>
                  </w:r>
                </w:p>
              </w:tc>
              <w:tc>
                <w:tcPr>
                  <w:tcW w:w="1381" w:type="dxa"/>
                  <w:tcBorders>
                    <w:tl2br w:val="nil"/>
                    <w:tr2bl w:val="nil"/>
                  </w:tcBorders>
                  <w:noWrap w:val="0"/>
                  <w:tcMar>
                    <w:top w:w="15" w:type="dxa"/>
                    <w:left w:w="15" w:type="dxa"/>
                    <w:right w:w="15" w:type="dxa"/>
                  </w:tcMar>
                  <w:vAlign w:val="center"/>
                </w:tcPr>
                <w:p w14:paraId="73F9B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0.01</w:t>
                  </w:r>
                </w:p>
              </w:tc>
              <w:tc>
                <w:tcPr>
                  <w:tcW w:w="946" w:type="dxa"/>
                  <w:tcBorders>
                    <w:tl2br w:val="nil"/>
                    <w:tr2bl w:val="nil"/>
                  </w:tcBorders>
                  <w:noWrap w:val="0"/>
                  <w:tcMar>
                    <w:top w:w="15" w:type="dxa"/>
                    <w:left w:w="15" w:type="dxa"/>
                    <w:right w:w="15" w:type="dxa"/>
                  </w:tcMar>
                  <w:vAlign w:val="center"/>
                </w:tcPr>
                <w:p w14:paraId="08D82F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2500</w:t>
                  </w:r>
                </w:p>
              </w:tc>
              <w:tc>
                <w:tcPr>
                  <w:tcW w:w="1133" w:type="dxa"/>
                  <w:tcBorders>
                    <w:tl2br w:val="nil"/>
                    <w:tr2bl w:val="nil"/>
                  </w:tcBorders>
                  <w:noWrap w:val="0"/>
                  <w:tcMar>
                    <w:top w:w="15" w:type="dxa"/>
                    <w:left w:w="15" w:type="dxa"/>
                    <w:right w:w="15" w:type="dxa"/>
                  </w:tcMar>
                  <w:vAlign w:val="center"/>
                </w:tcPr>
                <w:p w14:paraId="7C2A47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0.000004</w:t>
                  </w:r>
                </w:p>
              </w:tc>
              <w:tc>
                <w:tcPr>
                  <w:tcW w:w="2273" w:type="dxa"/>
                  <w:vMerge w:val="continue"/>
                  <w:tcBorders>
                    <w:tl2br w:val="nil"/>
                    <w:tr2bl w:val="nil"/>
                  </w:tcBorders>
                  <w:noWrap w:val="0"/>
                  <w:tcMar>
                    <w:top w:w="15" w:type="dxa"/>
                    <w:left w:w="15" w:type="dxa"/>
                    <w:right w:w="15" w:type="dxa"/>
                  </w:tcMar>
                  <w:vAlign w:val="center"/>
                </w:tcPr>
                <w:p w14:paraId="4CD636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14:paraId="3293F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14:paraId="7392471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废润滑油</w:t>
                  </w:r>
                </w:p>
              </w:tc>
              <w:tc>
                <w:tcPr>
                  <w:tcW w:w="1151" w:type="dxa"/>
                  <w:tcBorders>
                    <w:tl2br w:val="nil"/>
                    <w:tr2bl w:val="nil"/>
                  </w:tcBorders>
                  <w:noWrap w:val="0"/>
                  <w:tcMar>
                    <w:top w:w="15" w:type="dxa"/>
                    <w:left w:w="15" w:type="dxa"/>
                    <w:right w:w="15" w:type="dxa"/>
                  </w:tcMar>
                  <w:vAlign w:val="center"/>
                </w:tcPr>
                <w:p w14:paraId="05840E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危废间</w:t>
                  </w:r>
                </w:p>
              </w:tc>
              <w:tc>
                <w:tcPr>
                  <w:tcW w:w="1381" w:type="dxa"/>
                  <w:tcBorders>
                    <w:tl2br w:val="nil"/>
                    <w:tr2bl w:val="nil"/>
                  </w:tcBorders>
                  <w:noWrap w:val="0"/>
                  <w:tcMar>
                    <w:top w:w="15" w:type="dxa"/>
                    <w:left w:w="15" w:type="dxa"/>
                    <w:right w:w="15" w:type="dxa"/>
                  </w:tcMar>
                  <w:vAlign w:val="center"/>
                </w:tcPr>
                <w:p w14:paraId="6583B8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0.002</w:t>
                  </w:r>
                </w:p>
              </w:tc>
              <w:tc>
                <w:tcPr>
                  <w:tcW w:w="946" w:type="dxa"/>
                  <w:tcBorders>
                    <w:tl2br w:val="nil"/>
                    <w:tr2bl w:val="nil"/>
                  </w:tcBorders>
                  <w:noWrap w:val="0"/>
                  <w:tcMar>
                    <w:top w:w="15" w:type="dxa"/>
                    <w:left w:w="15" w:type="dxa"/>
                    <w:right w:w="15" w:type="dxa"/>
                  </w:tcMar>
                  <w:vAlign w:val="center"/>
                </w:tcPr>
                <w:p w14:paraId="59021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100</w:t>
                  </w:r>
                </w:p>
              </w:tc>
              <w:tc>
                <w:tcPr>
                  <w:tcW w:w="1133" w:type="dxa"/>
                  <w:tcBorders>
                    <w:tl2br w:val="nil"/>
                    <w:tr2bl w:val="nil"/>
                  </w:tcBorders>
                  <w:noWrap w:val="0"/>
                  <w:tcMar>
                    <w:top w:w="15" w:type="dxa"/>
                    <w:left w:w="15" w:type="dxa"/>
                    <w:right w:w="15" w:type="dxa"/>
                  </w:tcMar>
                  <w:vAlign w:val="center"/>
                </w:tcPr>
                <w:p w14:paraId="7C6087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0.00002</w:t>
                  </w:r>
                </w:p>
              </w:tc>
              <w:tc>
                <w:tcPr>
                  <w:tcW w:w="2273" w:type="dxa"/>
                  <w:vMerge w:val="continue"/>
                  <w:tcBorders>
                    <w:tl2br w:val="nil"/>
                    <w:tr2bl w:val="nil"/>
                  </w:tcBorders>
                  <w:noWrap w:val="0"/>
                  <w:tcMar>
                    <w:top w:w="15" w:type="dxa"/>
                    <w:left w:w="15" w:type="dxa"/>
                    <w:right w:w="15" w:type="dxa"/>
                  </w:tcMar>
                  <w:vAlign w:val="center"/>
                </w:tcPr>
                <w:p w14:paraId="430546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14:paraId="5A6B0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14:paraId="66BF56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废液压油</w:t>
                  </w:r>
                </w:p>
              </w:tc>
              <w:tc>
                <w:tcPr>
                  <w:tcW w:w="1151" w:type="dxa"/>
                  <w:tcBorders>
                    <w:tl2br w:val="nil"/>
                    <w:tr2bl w:val="nil"/>
                  </w:tcBorders>
                  <w:noWrap w:val="0"/>
                  <w:tcMar>
                    <w:top w:w="15" w:type="dxa"/>
                    <w:left w:w="15" w:type="dxa"/>
                    <w:right w:w="15" w:type="dxa"/>
                  </w:tcMar>
                  <w:vAlign w:val="center"/>
                </w:tcPr>
                <w:p w14:paraId="38B5F46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危废间</w:t>
                  </w:r>
                </w:p>
              </w:tc>
              <w:tc>
                <w:tcPr>
                  <w:tcW w:w="1381" w:type="dxa"/>
                  <w:tcBorders>
                    <w:tl2br w:val="nil"/>
                    <w:tr2bl w:val="nil"/>
                  </w:tcBorders>
                  <w:noWrap w:val="0"/>
                  <w:tcMar>
                    <w:top w:w="15" w:type="dxa"/>
                    <w:left w:w="15" w:type="dxa"/>
                    <w:right w:w="15" w:type="dxa"/>
                  </w:tcMar>
                  <w:vAlign w:val="center"/>
                </w:tcPr>
                <w:p w14:paraId="4296CC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p>
              </w:tc>
              <w:tc>
                <w:tcPr>
                  <w:tcW w:w="946" w:type="dxa"/>
                  <w:tcBorders>
                    <w:tl2br w:val="nil"/>
                    <w:tr2bl w:val="nil"/>
                  </w:tcBorders>
                  <w:noWrap w:val="0"/>
                  <w:tcMar>
                    <w:top w:w="15" w:type="dxa"/>
                    <w:left w:w="15" w:type="dxa"/>
                    <w:right w:w="15" w:type="dxa"/>
                  </w:tcMar>
                  <w:vAlign w:val="center"/>
                </w:tcPr>
                <w:p w14:paraId="34BB64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100</w:t>
                  </w:r>
                </w:p>
              </w:tc>
              <w:tc>
                <w:tcPr>
                  <w:tcW w:w="1133" w:type="dxa"/>
                  <w:tcBorders>
                    <w:tl2br w:val="nil"/>
                    <w:tr2bl w:val="nil"/>
                  </w:tcBorders>
                  <w:noWrap w:val="0"/>
                  <w:tcMar>
                    <w:top w:w="15" w:type="dxa"/>
                    <w:left w:w="15" w:type="dxa"/>
                    <w:right w:w="15" w:type="dxa"/>
                  </w:tcMar>
                  <w:vAlign w:val="center"/>
                </w:tcPr>
                <w:p w14:paraId="3E63DA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0.00001</w:t>
                  </w:r>
                </w:p>
              </w:tc>
              <w:tc>
                <w:tcPr>
                  <w:tcW w:w="2273" w:type="dxa"/>
                  <w:vMerge w:val="continue"/>
                  <w:tcBorders>
                    <w:tl2br w:val="nil"/>
                    <w:tr2bl w:val="nil"/>
                  </w:tcBorders>
                  <w:noWrap w:val="0"/>
                  <w:tcMar>
                    <w:top w:w="15" w:type="dxa"/>
                    <w:left w:w="15" w:type="dxa"/>
                    <w:right w:w="15" w:type="dxa"/>
                  </w:tcMar>
                  <w:vAlign w:val="center"/>
                </w:tcPr>
                <w:p w14:paraId="4FC6ED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14:paraId="3BD2B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23" w:type="dxa"/>
                  <w:tcBorders>
                    <w:tl2br w:val="nil"/>
                    <w:tr2bl w:val="nil"/>
                  </w:tcBorders>
                  <w:noWrap w:val="0"/>
                  <w:tcMar>
                    <w:top w:w="15" w:type="dxa"/>
                    <w:left w:w="15" w:type="dxa"/>
                    <w:right w:w="15" w:type="dxa"/>
                  </w:tcMar>
                  <w:vAlign w:val="center"/>
                </w:tcPr>
                <w:p w14:paraId="04EDB0F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废切削液</w:t>
                  </w:r>
                </w:p>
              </w:tc>
              <w:tc>
                <w:tcPr>
                  <w:tcW w:w="1151" w:type="dxa"/>
                  <w:tcBorders>
                    <w:tl2br w:val="nil"/>
                    <w:tr2bl w:val="nil"/>
                  </w:tcBorders>
                  <w:noWrap w:val="0"/>
                  <w:tcMar>
                    <w:top w:w="15" w:type="dxa"/>
                    <w:left w:w="15" w:type="dxa"/>
                    <w:right w:w="15" w:type="dxa"/>
                  </w:tcMar>
                  <w:vAlign w:val="center"/>
                </w:tcPr>
                <w:p w14:paraId="185C4BB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危废间</w:t>
                  </w:r>
                </w:p>
              </w:tc>
              <w:tc>
                <w:tcPr>
                  <w:tcW w:w="1381" w:type="dxa"/>
                  <w:tcBorders>
                    <w:tl2br w:val="nil"/>
                    <w:tr2bl w:val="nil"/>
                  </w:tcBorders>
                  <w:noWrap w:val="0"/>
                  <w:tcMar>
                    <w:top w:w="15" w:type="dxa"/>
                    <w:left w:w="15" w:type="dxa"/>
                    <w:right w:w="15" w:type="dxa"/>
                  </w:tcMar>
                  <w:vAlign w:val="center"/>
                </w:tcPr>
                <w:p w14:paraId="4B288C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p>
              </w:tc>
              <w:tc>
                <w:tcPr>
                  <w:tcW w:w="946" w:type="dxa"/>
                  <w:tcBorders>
                    <w:tl2br w:val="nil"/>
                    <w:tr2bl w:val="nil"/>
                  </w:tcBorders>
                  <w:noWrap w:val="0"/>
                  <w:tcMar>
                    <w:top w:w="15" w:type="dxa"/>
                    <w:left w:w="15" w:type="dxa"/>
                    <w:right w:w="15" w:type="dxa"/>
                  </w:tcMar>
                  <w:vAlign w:val="center"/>
                </w:tcPr>
                <w:p w14:paraId="0B4D80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100</w:t>
                  </w:r>
                </w:p>
              </w:tc>
              <w:tc>
                <w:tcPr>
                  <w:tcW w:w="1133" w:type="dxa"/>
                  <w:tcBorders>
                    <w:tl2br w:val="nil"/>
                    <w:tr2bl w:val="nil"/>
                  </w:tcBorders>
                  <w:noWrap w:val="0"/>
                  <w:tcMar>
                    <w:top w:w="15" w:type="dxa"/>
                    <w:left w:w="15" w:type="dxa"/>
                    <w:right w:w="15" w:type="dxa"/>
                  </w:tcMar>
                  <w:vAlign w:val="center"/>
                </w:tcPr>
                <w:p w14:paraId="195CE2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0.00001</w:t>
                  </w:r>
                </w:p>
              </w:tc>
              <w:tc>
                <w:tcPr>
                  <w:tcW w:w="2273" w:type="dxa"/>
                  <w:vMerge w:val="continue"/>
                  <w:tcBorders>
                    <w:tl2br w:val="nil"/>
                    <w:tr2bl w:val="nil"/>
                  </w:tcBorders>
                  <w:noWrap w:val="0"/>
                  <w:tcMar>
                    <w:top w:w="15" w:type="dxa"/>
                    <w:left w:w="15" w:type="dxa"/>
                    <w:right w:w="15" w:type="dxa"/>
                  </w:tcMar>
                  <w:vAlign w:val="center"/>
                </w:tcPr>
                <w:p w14:paraId="15DD3A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14:paraId="47F3F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801" w:type="dxa"/>
                  <w:gridSpan w:val="4"/>
                  <w:tcBorders>
                    <w:tl2br w:val="nil"/>
                    <w:tr2bl w:val="nil"/>
                  </w:tcBorders>
                  <w:noWrap w:val="0"/>
                  <w:tcMar>
                    <w:top w:w="15" w:type="dxa"/>
                    <w:left w:w="15" w:type="dxa"/>
                    <w:right w:w="15" w:type="dxa"/>
                  </w:tcMar>
                  <w:vAlign w:val="center"/>
                </w:tcPr>
                <w:p w14:paraId="217F3DD8">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eastAsia="宋体" w:cs="Times New Roman"/>
                      <w:bCs/>
                      <w:color w:val="auto"/>
                      <w:kern w:val="0"/>
                      <w:sz w:val="21"/>
                      <w:szCs w:val="21"/>
                      <w:highlight w:val="none"/>
                    </w:rPr>
                    <w:t>项目Q值∑</w:t>
                  </w:r>
                </w:p>
              </w:tc>
              <w:tc>
                <w:tcPr>
                  <w:tcW w:w="1133" w:type="dxa"/>
                  <w:tcBorders>
                    <w:tl2br w:val="nil"/>
                    <w:tr2bl w:val="nil"/>
                  </w:tcBorders>
                  <w:noWrap w:val="0"/>
                  <w:tcMar>
                    <w:top w:w="15" w:type="dxa"/>
                    <w:left w:w="15" w:type="dxa"/>
                    <w:right w:w="15" w:type="dxa"/>
                  </w:tcMar>
                  <w:vAlign w:val="center"/>
                </w:tcPr>
                <w:p w14:paraId="0B70F39E">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color w:val="auto"/>
                      <w:kern w:val="0"/>
                      <w:sz w:val="21"/>
                      <w:szCs w:val="21"/>
                      <w:highlight w:val="none"/>
                      <w:lang w:val="en-US" w:eastAsia="zh-CN" w:bidi="ar"/>
                    </w:rPr>
                    <w:t>0.035452</w:t>
                  </w:r>
                  <w:r>
                    <w:rPr>
                      <w:rFonts w:hint="eastAsia" w:ascii="Times New Roman" w:hAnsi="Times New Roman" w:eastAsia="宋体" w:cs="Times New Roman"/>
                      <w:color w:val="auto"/>
                      <w:kern w:val="0"/>
                      <w:sz w:val="21"/>
                      <w:szCs w:val="21"/>
                      <w:highlight w:val="none"/>
                      <w:lang w:val="en-US" w:eastAsia="zh-CN" w:bidi="ar"/>
                    </w:rPr>
                    <w:t>＜1</w:t>
                  </w:r>
                </w:p>
              </w:tc>
              <w:tc>
                <w:tcPr>
                  <w:tcW w:w="2273" w:type="dxa"/>
                  <w:tcBorders>
                    <w:tl2br w:val="nil"/>
                    <w:tr2bl w:val="nil"/>
                  </w:tcBorders>
                  <w:noWrap w:val="0"/>
                  <w:tcMar>
                    <w:top w:w="15" w:type="dxa"/>
                    <w:left w:w="15" w:type="dxa"/>
                    <w:right w:w="15" w:type="dxa"/>
                  </w:tcMar>
                  <w:vAlign w:val="center"/>
                </w:tcPr>
                <w:p w14:paraId="52BF80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sz w:val="21"/>
                      <w:szCs w:val="21"/>
                      <w:shd w:val="clear" w:color="auto" w:fill="auto"/>
                      <w:lang w:val="en-US" w:eastAsia="zh-CN"/>
                    </w:rPr>
                    <w:t>/</w:t>
                  </w:r>
                </w:p>
              </w:tc>
            </w:tr>
          </w:tbl>
          <w:p w14:paraId="23B18ADF">
            <w:pPr>
              <w:bidi w:val="0"/>
              <w:rPr>
                <w:rFonts w:hint="eastAsia"/>
                <w:color w:val="auto"/>
                <w:lang w:eastAsia="zh-CN"/>
              </w:rPr>
            </w:pPr>
            <w:r>
              <w:rPr>
                <w:rFonts w:hint="eastAsia"/>
                <w:color w:val="auto"/>
                <w:lang w:eastAsia="zh-CN"/>
              </w:rPr>
              <w:t>润滑油、</w:t>
            </w:r>
            <w:r>
              <w:rPr>
                <w:rFonts w:hint="eastAsia"/>
                <w:color w:val="auto"/>
                <w:lang w:val="en-US" w:eastAsia="zh-CN"/>
              </w:rPr>
              <w:t>液压油、切削液、液化石油气</w:t>
            </w:r>
            <w:r>
              <w:rPr>
                <w:rFonts w:hint="eastAsia"/>
                <w:color w:val="auto"/>
                <w:lang w:eastAsia="zh-CN"/>
              </w:rPr>
              <w:t>主要理化性质见下表。</w:t>
            </w:r>
          </w:p>
          <w:p w14:paraId="695FD949">
            <w:pPr>
              <w:bidi w:val="0"/>
              <w:jc w:val="center"/>
              <w:rPr>
                <w:rFonts w:hint="eastAsia"/>
                <w:b/>
                <w:bCs/>
                <w:color w:val="auto"/>
                <w:sz w:val="21"/>
                <w:szCs w:val="21"/>
                <w:lang w:eastAsia="zh-CN"/>
              </w:rPr>
            </w:pPr>
            <w:r>
              <w:rPr>
                <w:rFonts w:hint="eastAsia"/>
                <w:b/>
                <w:bCs/>
                <w:color w:val="auto"/>
                <w:sz w:val="21"/>
                <w:szCs w:val="21"/>
                <w:lang w:eastAsia="zh-CN"/>
              </w:rPr>
              <w:t>表</w:t>
            </w:r>
            <w:r>
              <w:rPr>
                <w:rFonts w:hint="eastAsia"/>
                <w:b/>
                <w:bCs/>
                <w:color w:val="auto"/>
                <w:sz w:val="21"/>
                <w:szCs w:val="21"/>
                <w:lang w:val="en-US" w:eastAsia="zh-CN"/>
              </w:rPr>
              <w:t>50</w:t>
            </w:r>
            <w:r>
              <w:rPr>
                <w:rFonts w:hint="eastAsia"/>
                <w:b/>
                <w:bCs/>
                <w:color w:val="auto"/>
                <w:sz w:val="21"/>
                <w:szCs w:val="21"/>
                <w:lang w:eastAsia="zh-CN"/>
              </w:rPr>
              <w:t xml:space="preserve">  </w:t>
            </w:r>
            <w:r>
              <w:rPr>
                <w:rFonts w:hint="eastAsia"/>
                <w:b/>
                <w:bCs/>
                <w:color w:val="auto"/>
                <w:sz w:val="21"/>
                <w:szCs w:val="21"/>
                <w:lang w:val="en-US" w:eastAsia="zh-CN"/>
              </w:rPr>
              <w:t>润滑油、液压油</w:t>
            </w:r>
            <w:r>
              <w:rPr>
                <w:rFonts w:hint="eastAsia"/>
                <w:b/>
                <w:bCs/>
                <w:color w:val="auto"/>
                <w:sz w:val="21"/>
                <w:szCs w:val="21"/>
                <w:lang w:eastAsia="zh-CN"/>
              </w:rPr>
              <w:t>的理化性质及危险性识别</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660"/>
              <w:gridCol w:w="1312"/>
              <w:gridCol w:w="1534"/>
              <w:gridCol w:w="2061"/>
            </w:tblGrid>
            <w:tr w14:paraId="3C778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6" w:type="dxa"/>
                  <w:noWrap w:val="0"/>
                  <w:vAlign w:val="center"/>
                </w:tcPr>
                <w:p w14:paraId="1E379F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物质名称</w:t>
                  </w:r>
                </w:p>
              </w:tc>
              <w:tc>
                <w:tcPr>
                  <w:tcW w:w="1660" w:type="dxa"/>
                  <w:noWrap w:val="0"/>
                  <w:vAlign w:val="center"/>
                </w:tcPr>
                <w:p w14:paraId="31B5E8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分子式</w:t>
                  </w:r>
                </w:p>
              </w:tc>
              <w:tc>
                <w:tcPr>
                  <w:tcW w:w="1312" w:type="dxa"/>
                  <w:noWrap w:val="0"/>
                  <w:vAlign w:val="center"/>
                </w:tcPr>
                <w:p w14:paraId="577EE3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分子量</w:t>
                  </w:r>
                </w:p>
              </w:tc>
              <w:tc>
                <w:tcPr>
                  <w:tcW w:w="1534" w:type="dxa"/>
                  <w:noWrap w:val="0"/>
                  <w:vAlign w:val="center"/>
                </w:tcPr>
                <w:p w14:paraId="2A65F1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沸点</w:t>
                  </w:r>
                </w:p>
              </w:tc>
              <w:tc>
                <w:tcPr>
                  <w:tcW w:w="2061" w:type="dxa"/>
                  <w:noWrap w:val="0"/>
                  <w:vAlign w:val="center"/>
                </w:tcPr>
                <w:p w14:paraId="10F62E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自燃点</w:t>
                  </w:r>
                </w:p>
              </w:tc>
            </w:tr>
            <w:tr w14:paraId="624F9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6" w:type="dxa"/>
                  <w:noWrap w:val="0"/>
                  <w:vAlign w:val="center"/>
                </w:tcPr>
                <w:p w14:paraId="17C57F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润滑油</w:t>
                  </w:r>
                </w:p>
              </w:tc>
              <w:tc>
                <w:tcPr>
                  <w:tcW w:w="1660" w:type="dxa"/>
                  <w:noWrap w:val="0"/>
                  <w:vAlign w:val="center"/>
                </w:tcPr>
                <w:p w14:paraId="5F8696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1312" w:type="dxa"/>
                  <w:noWrap w:val="0"/>
                  <w:vAlign w:val="center"/>
                </w:tcPr>
                <w:p w14:paraId="20061A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1534" w:type="dxa"/>
                  <w:noWrap w:val="0"/>
                  <w:vAlign w:val="center"/>
                </w:tcPr>
                <w:p w14:paraId="7AFEB8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150-180</w:t>
                  </w:r>
                  <w:r>
                    <w:rPr>
                      <w:rFonts w:hint="default" w:ascii="Times New Roman" w:hAnsi="Times New Roman" w:eastAsia="宋体" w:cs="Times New Roman"/>
                      <w:color w:val="auto"/>
                      <w:sz w:val="21"/>
                      <w:szCs w:val="21"/>
                      <w:lang w:eastAsia="zh-CN"/>
                    </w:rPr>
                    <w:t>℃</w:t>
                  </w:r>
                </w:p>
              </w:tc>
              <w:tc>
                <w:tcPr>
                  <w:tcW w:w="2061" w:type="dxa"/>
                  <w:noWrap w:val="0"/>
                  <w:vAlign w:val="center"/>
                </w:tcPr>
                <w:p w14:paraId="389ACF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300-350℃</w:t>
                  </w:r>
                </w:p>
              </w:tc>
            </w:tr>
            <w:tr w14:paraId="4798D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6" w:type="dxa"/>
                  <w:noWrap w:val="0"/>
                  <w:vAlign w:val="center"/>
                </w:tcPr>
                <w:p w14:paraId="5E410E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闪点（开口）</w:t>
                  </w:r>
                </w:p>
              </w:tc>
              <w:tc>
                <w:tcPr>
                  <w:tcW w:w="1660" w:type="dxa"/>
                  <w:noWrap w:val="0"/>
                  <w:vAlign w:val="center"/>
                </w:tcPr>
                <w:p w14:paraId="4FB89C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蒸汽压（145.8℃）</w:t>
                  </w:r>
                </w:p>
              </w:tc>
              <w:tc>
                <w:tcPr>
                  <w:tcW w:w="1312" w:type="dxa"/>
                  <w:noWrap w:val="0"/>
                  <w:vAlign w:val="center"/>
                </w:tcPr>
                <w:p w14:paraId="00A8AC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引燃温度</w:t>
                  </w:r>
                </w:p>
              </w:tc>
              <w:tc>
                <w:tcPr>
                  <w:tcW w:w="1534" w:type="dxa"/>
                  <w:noWrap w:val="0"/>
                  <w:vAlign w:val="center"/>
                </w:tcPr>
                <w:p w14:paraId="3FD8CC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密度</w:t>
                  </w:r>
                </w:p>
              </w:tc>
              <w:tc>
                <w:tcPr>
                  <w:tcW w:w="2061" w:type="dxa"/>
                  <w:noWrap w:val="0"/>
                  <w:vAlign w:val="center"/>
                </w:tcPr>
                <w:p w14:paraId="5C8056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爆炸下限</w:t>
                  </w:r>
                </w:p>
              </w:tc>
            </w:tr>
            <w:tr w14:paraId="1A3A7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6" w:type="dxa"/>
                  <w:noWrap w:val="0"/>
                  <w:vAlign w:val="center"/>
                </w:tcPr>
                <w:p w14:paraId="3EF528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120-340℃</w:t>
                  </w:r>
                </w:p>
              </w:tc>
              <w:tc>
                <w:tcPr>
                  <w:tcW w:w="1660" w:type="dxa"/>
                  <w:noWrap w:val="0"/>
                  <w:vAlign w:val="center"/>
                </w:tcPr>
                <w:p w14:paraId="76E73D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0.13Pa</w:t>
                  </w:r>
                </w:p>
              </w:tc>
              <w:tc>
                <w:tcPr>
                  <w:tcW w:w="1312" w:type="dxa"/>
                  <w:noWrap w:val="0"/>
                  <w:vAlign w:val="center"/>
                </w:tcPr>
                <w:p w14:paraId="534218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1534" w:type="dxa"/>
                  <w:noWrap w:val="0"/>
                  <w:vAlign w:val="center"/>
                </w:tcPr>
                <w:p w14:paraId="1A4D86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0.91×10³（kg/m³）</w:t>
                  </w:r>
                </w:p>
              </w:tc>
              <w:tc>
                <w:tcPr>
                  <w:tcW w:w="2061" w:type="dxa"/>
                  <w:noWrap w:val="0"/>
                  <w:vAlign w:val="center"/>
                </w:tcPr>
                <w:p w14:paraId="194A80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r>
            <w:tr w14:paraId="03FE6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6" w:type="dxa"/>
                  <w:noWrap w:val="0"/>
                  <w:vAlign w:val="center"/>
                </w:tcPr>
                <w:p w14:paraId="2774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形状和溶解性</w:t>
                  </w:r>
                </w:p>
              </w:tc>
              <w:tc>
                <w:tcPr>
                  <w:tcW w:w="6567" w:type="dxa"/>
                  <w:gridSpan w:val="4"/>
                  <w:noWrap w:val="0"/>
                  <w:vAlign w:val="center"/>
                </w:tcPr>
                <w:p w14:paraId="011E97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淡黄色粘稠液体，溶于苯、乙醇、乙醚、氯仿、丙酮等多数有机溶剂。</w:t>
                  </w:r>
                </w:p>
              </w:tc>
            </w:tr>
            <w:tr w14:paraId="775D4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6" w:type="dxa"/>
                  <w:noWrap w:val="0"/>
                  <w:vAlign w:val="center"/>
                </w:tcPr>
                <w:p w14:paraId="4A18A6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储存注意</w:t>
                  </w:r>
                </w:p>
              </w:tc>
              <w:tc>
                <w:tcPr>
                  <w:tcW w:w="6567" w:type="dxa"/>
                  <w:gridSpan w:val="4"/>
                  <w:noWrap w:val="0"/>
                  <w:vAlign w:val="center"/>
                </w:tcPr>
                <w:p w14:paraId="485648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储存于阴凉、通风的库房。远离火种、热源。应与氧化剂分开存放，切忌混储。</w:t>
                  </w:r>
                </w:p>
              </w:tc>
            </w:tr>
            <w:tr w14:paraId="6D941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6" w:type="dxa"/>
                  <w:noWrap w:val="0"/>
                  <w:vAlign w:val="center"/>
                </w:tcPr>
                <w:p w14:paraId="160370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健康危害</w:t>
                  </w:r>
                </w:p>
              </w:tc>
              <w:tc>
                <w:tcPr>
                  <w:tcW w:w="6567" w:type="dxa"/>
                  <w:gridSpan w:val="4"/>
                  <w:noWrap w:val="0"/>
                  <w:vAlign w:val="center"/>
                </w:tcPr>
                <w:p w14:paraId="2CFDB2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急性吸入可出现乏力、头痛、头晕、恶心，严重者可引起油脂性肺炎。慢接触者，暴露部位可发生油性痤疮和接触性皮炎，可引发神经衰弱综合征，呼吸道和眼刺激症状及慢性油脂性肺炎。</w:t>
                  </w:r>
                </w:p>
              </w:tc>
            </w:tr>
          </w:tbl>
          <w:p w14:paraId="43A54929">
            <w:pPr>
              <w:bidi w:val="0"/>
              <w:jc w:val="center"/>
              <w:rPr>
                <w:rFonts w:hint="eastAsia"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eastAsia="zh-CN"/>
              </w:rPr>
              <w:t>表</w:t>
            </w:r>
            <w:r>
              <w:rPr>
                <w:rFonts w:hint="eastAsia" w:ascii="Times New Roman" w:hAnsi="Times New Roman" w:eastAsia="宋体" w:cs="Times New Roman"/>
                <w:b/>
                <w:bCs/>
                <w:color w:val="auto"/>
                <w:sz w:val="21"/>
                <w:szCs w:val="21"/>
                <w:highlight w:val="none"/>
                <w:lang w:val="en-US" w:eastAsia="zh-CN"/>
              </w:rPr>
              <w:t>51</w:t>
            </w:r>
            <w:r>
              <w:rPr>
                <w:rFonts w:hint="eastAsia" w:ascii="Times New Roman" w:hAnsi="Times New Roman" w:eastAsia="宋体" w:cs="Times New Roman"/>
                <w:b/>
                <w:bCs/>
                <w:color w:val="auto"/>
                <w:sz w:val="21"/>
                <w:szCs w:val="21"/>
                <w:highlight w:val="none"/>
                <w:lang w:eastAsia="zh-CN"/>
              </w:rPr>
              <w:t xml:space="preserve">  </w:t>
            </w:r>
            <w:r>
              <w:rPr>
                <w:rFonts w:hint="eastAsia" w:ascii="Times New Roman" w:hAnsi="Times New Roman" w:eastAsia="宋体" w:cs="Times New Roman"/>
                <w:b/>
                <w:bCs/>
                <w:color w:val="auto"/>
                <w:sz w:val="21"/>
                <w:szCs w:val="21"/>
                <w:highlight w:val="none"/>
                <w:lang w:val="en-US" w:eastAsia="zh-CN"/>
              </w:rPr>
              <w:t>切削液</w:t>
            </w:r>
            <w:r>
              <w:rPr>
                <w:rFonts w:hint="eastAsia" w:ascii="Times New Roman" w:hAnsi="Times New Roman" w:eastAsia="宋体" w:cs="Times New Roman"/>
                <w:b/>
                <w:bCs/>
                <w:color w:val="auto"/>
                <w:sz w:val="21"/>
                <w:szCs w:val="21"/>
                <w:highlight w:val="none"/>
                <w:lang w:eastAsia="zh-CN"/>
              </w:rPr>
              <w:t>的理化性质及危险性识别</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660"/>
              <w:gridCol w:w="1312"/>
              <w:gridCol w:w="1534"/>
              <w:gridCol w:w="1940"/>
            </w:tblGrid>
            <w:tr w14:paraId="40495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noWrap w:val="0"/>
                  <w:vAlign w:val="center"/>
                </w:tcPr>
                <w:p w14:paraId="08CE8E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物质名称</w:t>
                  </w:r>
                </w:p>
              </w:tc>
              <w:tc>
                <w:tcPr>
                  <w:tcW w:w="1660" w:type="dxa"/>
                  <w:noWrap w:val="0"/>
                  <w:vAlign w:val="center"/>
                </w:tcPr>
                <w:p w14:paraId="7B91C1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分子式</w:t>
                  </w:r>
                </w:p>
              </w:tc>
              <w:tc>
                <w:tcPr>
                  <w:tcW w:w="1312" w:type="dxa"/>
                  <w:noWrap w:val="0"/>
                  <w:vAlign w:val="center"/>
                </w:tcPr>
                <w:p w14:paraId="4D7CA3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分子量</w:t>
                  </w:r>
                </w:p>
              </w:tc>
              <w:tc>
                <w:tcPr>
                  <w:tcW w:w="1534" w:type="dxa"/>
                  <w:noWrap w:val="0"/>
                  <w:vAlign w:val="center"/>
                </w:tcPr>
                <w:p w14:paraId="109373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沸点</w:t>
                  </w:r>
                </w:p>
              </w:tc>
              <w:tc>
                <w:tcPr>
                  <w:tcW w:w="1940" w:type="dxa"/>
                  <w:noWrap w:val="0"/>
                  <w:vAlign w:val="center"/>
                </w:tcPr>
                <w:p w14:paraId="150680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自</w:t>
                  </w:r>
                  <w:r>
                    <w:rPr>
                      <w:rFonts w:hint="default" w:ascii="Times New Roman" w:hAnsi="Times New Roman" w:eastAsia="宋体" w:cs="Times New Roman"/>
                      <w:color w:val="auto"/>
                      <w:sz w:val="21"/>
                      <w:szCs w:val="21"/>
                      <w:lang w:eastAsia="zh-CN"/>
                    </w:rPr>
                    <w:t>燃点</w:t>
                  </w:r>
                </w:p>
              </w:tc>
            </w:tr>
            <w:tr w14:paraId="6E6FD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noWrap w:val="0"/>
                  <w:vAlign w:val="center"/>
                </w:tcPr>
                <w:p w14:paraId="1ED083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切削液</w:t>
                  </w:r>
                </w:p>
              </w:tc>
              <w:tc>
                <w:tcPr>
                  <w:tcW w:w="1660" w:type="dxa"/>
                  <w:noWrap w:val="0"/>
                  <w:vAlign w:val="center"/>
                </w:tcPr>
                <w:p w14:paraId="41CAD26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w:t>
                  </w:r>
                </w:p>
              </w:tc>
              <w:tc>
                <w:tcPr>
                  <w:tcW w:w="1312" w:type="dxa"/>
                  <w:noWrap w:val="0"/>
                  <w:vAlign w:val="center"/>
                </w:tcPr>
                <w:p w14:paraId="4F47244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w:t>
                  </w:r>
                </w:p>
              </w:tc>
              <w:tc>
                <w:tcPr>
                  <w:tcW w:w="1534" w:type="dxa"/>
                  <w:noWrap w:val="0"/>
                  <w:vAlign w:val="center"/>
                </w:tcPr>
                <w:p w14:paraId="506D0F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w:t>
                  </w:r>
                </w:p>
              </w:tc>
              <w:tc>
                <w:tcPr>
                  <w:tcW w:w="1940" w:type="dxa"/>
                  <w:noWrap w:val="0"/>
                  <w:vAlign w:val="center"/>
                </w:tcPr>
                <w:p w14:paraId="78A2DE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不自燃</w:t>
                  </w:r>
                </w:p>
              </w:tc>
            </w:tr>
            <w:tr w14:paraId="6038C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noWrap w:val="0"/>
                  <w:vAlign w:val="center"/>
                </w:tcPr>
                <w:p w14:paraId="2C5615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闪点（开口）</w:t>
                  </w:r>
                </w:p>
              </w:tc>
              <w:tc>
                <w:tcPr>
                  <w:tcW w:w="1660" w:type="dxa"/>
                  <w:noWrap w:val="0"/>
                  <w:vAlign w:val="center"/>
                </w:tcPr>
                <w:p w14:paraId="1E4119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蒸汽压（</w:t>
                  </w:r>
                  <w:r>
                    <w:rPr>
                      <w:rFonts w:hint="eastAsia" w:cs="Times New Roman"/>
                      <w:color w:val="auto"/>
                      <w:sz w:val="21"/>
                      <w:szCs w:val="21"/>
                      <w:lang w:val="en-US" w:eastAsia="zh-CN"/>
                    </w:rPr>
                    <w:t>204</w:t>
                  </w:r>
                  <w:r>
                    <w:rPr>
                      <w:rFonts w:hint="default" w:ascii="Times New Roman" w:hAnsi="Times New Roman" w:eastAsia="宋体" w:cs="Times New Roman"/>
                      <w:color w:val="auto"/>
                      <w:sz w:val="21"/>
                      <w:szCs w:val="21"/>
                      <w:lang w:eastAsia="zh-CN"/>
                    </w:rPr>
                    <w:t>℃）</w:t>
                  </w:r>
                </w:p>
              </w:tc>
              <w:tc>
                <w:tcPr>
                  <w:tcW w:w="1312" w:type="dxa"/>
                  <w:noWrap w:val="0"/>
                  <w:vAlign w:val="center"/>
                </w:tcPr>
                <w:p w14:paraId="171F9E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引燃温度</w:t>
                  </w:r>
                </w:p>
              </w:tc>
              <w:tc>
                <w:tcPr>
                  <w:tcW w:w="1534" w:type="dxa"/>
                  <w:noWrap w:val="0"/>
                  <w:vAlign w:val="center"/>
                </w:tcPr>
                <w:p w14:paraId="49EEAB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密度（水=1）</w:t>
                  </w:r>
                </w:p>
              </w:tc>
              <w:tc>
                <w:tcPr>
                  <w:tcW w:w="1940" w:type="dxa"/>
                  <w:noWrap w:val="0"/>
                  <w:vAlign w:val="center"/>
                </w:tcPr>
                <w:p w14:paraId="5B8CCE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爆炸下限</w:t>
                  </w:r>
                </w:p>
              </w:tc>
            </w:tr>
            <w:tr w14:paraId="7BC25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noWrap w:val="0"/>
                  <w:vAlign w:val="center"/>
                </w:tcPr>
                <w:p w14:paraId="012C9D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76</w:t>
                  </w:r>
                  <w:r>
                    <w:rPr>
                      <w:rFonts w:hint="default" w:ascii="Times New Roman" w:hAnsi="Times New Roman" w:eastAsia="宋体" w:cs="Times New Roman"/>
                      <w:color w:val="auto"/>
                      <w:sz w:val="21"/>
                      <w:szCs w:val="21"/>
                      <w:lang w:eastAsia="zh-CN"/>
                    </w:rPr>
                    <w:t>℃</w:t>
                  </w:r>
                </w:p>
              </w:tc>
              <w:tc>
                <w:tcPr>
                  <w:tcW w:w="1660" w:type="dxa"/>
                  <w:noWrap w:val="0"/>
                  <w:vAlign w:val="center"/>
                </w:tcPr>
                <w:p w14:paraId="07A5CF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0.13Pa</w:t>
                  </w:r>
                </w:p>
              </w:tc>
              <w:tc>
                <w:tcPr>
                  <w:tcW w:w="1312" w:type="dxa"/>
                  <w:noWrap w:val="0"/>
                  <w:vAlign w:val="center"/>
                </w:tcPr>
                <w:p w14:paraId="7F8FD6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248</w:t>
                  </w:r>
                  <w:r>
                    <w:rPr>
                      <w:rFonts w:hint="default" w:ascii="Times New Roman" w:hAnsi="Times New Roman" w:eastAsia="宋体" w:cs="Times New Roman"/>
                      <w:color w:val="auto"/>
                      <w:sz w:val="21"/>
                      <w:szCs w:val="21"/>
                      <w:lang w:eastAsia="zh-CN"/>
                    </w:rPr>
                    <w:t>℃</w:t>
                  </w:r>
                </w:p>
              </w:tc>
              <w:tc>
                <w:tcPr>
                  <w:tcW w:w="1534" w:type="dxa"/>
                  <w:noWrap w:val="0"/>
                  <w:vAlign w:val="center"/>
                </w:tcPr>
                <w:p w14:paraId="1E2EFC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1.01</w:t>
                  </w:r>
                </w:p>
              </w:tc>
              <w:tc>
                <w:tcPr>
                  <w:tcW w:w="1940" w:type="dxa"/>
                  <w:noWrap w:val="0"/>
                  <w:vAlign w:val="center"/>
                </w:tcPr>
                <w:p w14:paraId="6885CC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14:paraId="70189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noWrap w:val="0"/>
                  <w:vAlign w:val="center"/>
                </w:tcPr>
                <w:p w14:paraId="297940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理化特性</w:t>
                  </w:r>
                </w:p>
              </w:tc>
              <w:tc>
                <w:tcPr>
                  <w:tcW w:w="6446" w:type="dxa"/>
                  <w:gridSpan w:val="4"/>
                  <w:noWrap w:val="0"/>
                  <w:vAlign w:val="center"/>
                </w:tcPr>
                <w:p w14:paraId="5D03A9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主要成分：有机醇胺、酯肪酸、精制矿物油、极压机、界面活性剂、无机盐、防腐剂、非铁腐蚀抑制剂、香料、消泡剂、</w:t>
                  </w:r>
                </w:p>
              </w:tc>
            </w:tr>
            <w:tr w14:paraId="31E2C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noWrap w:val="0"/>
                  <w:vAlign w:val="center"/>
                </w:tcPr>
                <w:p w14:paraId="708E96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储存注意</w:t>
                  </w:r>
                </w:p>
              </w:tc>
              <w:tc>
                <w:tcPr>
                  <w:tcW w:w="6446" w:type="dxa"/>
                  <w:gridSpan w:val="4"/>
                  <w:noWrap w:val="0"/>
                  <w:vAlign w:val="center"/>
                </w:tcPr>
                <w:p w14:paraId="6E0F45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储存在原本之封闭桶子内及固定位置，避免高温储存（室温条件即可）。避免储存接近电源、火源之场所。</w:t>
                  </w:r>
                </w:p>
              </w:tc>
            </w:tr>
            <w:tr w14:paraId="41038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noWrap w:val="0"/>
                  <w:vAlign w:val="center"/>
                </w:tcPr>
                <w:p w14:paraId="349621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健康危害</w:t>
                  </w:r>
                </w:p>
              </w:tc>
              <w:tc>
                <w:tcPr>
                  <w:tcW w:w="6446" w:type="dxa"/>
                  <w:gridSpan w:val="4"/>
                  <w:noWrap w:val="0"/>
                  <w:vAlign w:val="center"/>
                </w:tcPr>
                <w:p w14:paraId="5268FA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长期接触对眼、鼻、皮肤等方面有刺激性影响。不属于急性毒性物质之范围内。</w:t>
                  </w:r>
                </w:p>
              </w:tc>
            </w:tr>
          </w:tbl>
          <w:p w14:paraId="2D48EDD5">
            <w:pPr>
              <w:bidi w:val="0"/>
              <w:jc w:val="center"/>
              <w:rPr>
                <w:rFonts w:hint="eastAsia"/>
                <w:b/>
                <w:bCs/>
                <w:color w:val="auto"/>
                <w:sz w:val="21"/>
                <w:szCs w:val="21"/>
                <w:highlight w:val="none"/>
                <w:lang w:eastAsia="zh-CN"/>
              </w:rPr>
            </w:pPr>
            <w:r>
              <w:rPr>
                <w:rFonts w:hint="eastAsia"/>
                <w:b/>
                <w:bCs/>
                <w:color w:val="auto"/>
                <w:sz w:val="21"/>
                <w:szCs w:val="21"/>
                <w:highlight w:val="none"/>
                <w:lang w:eastAsia="zh-CN"/>
              </w:rPr>
              <w:t>表</w:t>
            </w:r>
            <w:r>
              <w:rPr>
                <w:rFonts w:hint="eastAsia"/>
                <w:b/>
                <w:bCs/>
                <w:color w:val="auto"/>
                <w:sz w:val="21"/>
                <w:szCs w:val="21"/>
                <w:highlight w:val="none"/>
                <w:lang w:val="en-US" w:eastAsia="zh-CN"/>
              </w:rPr>
              <w:t>52</w:t>
            </w:r>
            <w:r>
              <w:rPr>
                <w:rFonts w:hint="eastAsia"/>
                <w:b/>
                <w:bCs/>
                <w:color w:val="auto"/>
                <w:sz w:val="21"/>
                <w:szCs w:val="21"/>
                <w:highlight w:val="none"/>
                <w:lang w:eastAsia="zh-CN"/>
              </w:rPr>
              <w:t xml:space="preserve">  </w:t>
            </w:r>
            <w:r>
              <w:rPr>
                <w:rFonts w:hint="eastAsia"/>
                <w:b/>
                <w:bCs/>
                <w:color w:val="auto"/>
                <w:sz w:val="21"/>
                <w:szCs w:val="21"/>
                <w:highlight w:val="none"/>
                <w:lang w:val="en-US" w:eastAsia="zh-CN"/>
              </w:rPr>
              <w:t>液化石油气</w:t>
            </w:r>
            <w:r>
              <w:rPr>
                <w:rFonts w:hint="eastAsia"/>
                <w:b/>
                <w:bCs/>
                <w:color w:val="auto"/>
                <w:sz w:val="21"/>
                <w:szCs w:val="21"/>
                <w:highlight w:val="none"/>
                <w:lang w:eastAsia="zh-CN"/>
              </w:rPr>
              <w:t>的理化性质及危险性识别</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89"/>
              <w:gridCol w:w="996"/>
              <w:gridCol w:w="321"/>
              <w:gridCol w:w="1769"/>
              <w:gridCol w:w="138"/>
              <w:gridCol w:w="195"/>
              <w:gridCol w:w="2754"/>
            </w:tblGrid>
            <w:tr w14:paraId="52C19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pct"/>
                  <w:vMerge w:val="restart"/>
                  <w:tcBorders>
                    <w:tl2br w:val="nil"/>
                    <w:tr2bl w:val="nil"/>
                  </w:tcBorders>
                  <w:noWrap w:val="0"/>
                  <w:vAlign w:val="center"/>
                </w:tcPr>
                <w:p w14:paraId="4AA8675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标识</w:t>
                  </w:r>
                </w:p>
              </w:tc>
              <w:tc>
                <w:tcPr>
                  <w:tcW w:w="2938" w:type="pct"/>
                  <w:gridSpan w:val="6"/>
                  <w:tcBorders>
                    <w:tl2br w:val="nil"/>
                    <w:tr2bl w:val="nil"/>
                  </w:tcBorders>
                  <w:noWrap w:val="0"/>
                  <w:vAlign w:val="center"/>
                </w:tcPr>
                <w:p w14:paraId="15F69BFA">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lang w:val="en-US" w:eastAsia="zh-CN"/>
                    </w:rPr>
                  </w:pPr>
                  <w:r>
                    <w:rPr>
                      <w:rFonts w:hint="default" w:ascii="Times New Roman" w:hAnsi="Times New Roman" w:eastAsia="宋体" w:cs="Times New Roman"/>
                      <w:b w:val="0"/>
                      <w:bCs w:val="0"/>
                      <w:color w:val="auto"/>
                      <w:spacing w:val="10"/>
                      <w:sz w:val="21"/>
                      <w:szCs w:val="21"/>
                      <w:highlight w:val="none"/>
                    </w:rPr>
                    <w:t>中文名：</w:t>
                  </w:r>
                  <w:r>
                    <w:rPr>
                      <w:rFonts w:hint="default" w:ascii="Times New Roman" w:hAnsi="Times New Roman" w:eastAsia="宋体" w:cs="Times New Roman"/>
                      <w:b w:val="0"/>
                      <w:bCs w:val="0"/>
                      <w:color w:val="auto"/>
                      <w:spacing w:val="10"/>
                      <w:sz w:val="21"/>
                      <w:szCs w:val="21"/>
                      <w:highlight w:val="none"/>
                      <w:lang w:val="en-US" w:eastAsia="zh-CN"/>
                    </w:rPr>
                    <w:t>液化石油气</w:t>
                  </w:r>
                </w:p>
              </w:tc>
              <w:tc>
                <w:tcPr>
                  <w:tcW w:w="1648" w:type="pct"/>
                  <w:tcBorders>
                    <w:tl2br w:val="nil"/>
                    <w:tr2bl w:val="nil"/>
                  </w:tcBorders>
                  <w:noWrap w:val="0"/>
                  <w:vAlign w:val="center"/>
                </w:tcPr>
                <w:p w14:paraId="0A879938">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lang w:val="en-US" w:eastAsia="zh-CN"/>
                    </w:rPr>
                  </w:pPr>
                  <w:r>
                    <w:rPr>
                      <w:rFonts w:hint="default" w:ascii="Times New Roman" w:hAnsi="Times New Roman" w:eastAsia="宋体" w:cs="Times New Roman"/>
                      <w:b w:val="0"/>
                      <w:bCs w:val="0"/>
                      <w:color w:val="auto"/>
                      <w:spacing w:val="10"/>
                      <w:sz w:val="21"/>
                      <w:szCs w:val="21"/>
                      <w:highlight w:val="none"/>
                    </w:rPr>
                    <w:t>危险货物编号：</w:t>
                  </w:r>
                  <w:r>
                    <w:rPr>
                      <w:rFonts w:hint="default" w:ascii="Times New Roman" w:hAnsi="Times New Roman" w:eastAsia="宋体" w:cs="Times New Roman"/>
                      <w:b w:val="0"/>
                      <w:bCs w:val="0"/>
                      <w:color w:val="auto"/>
                      <w:sz w:val="21"/>
                      <w:szCs w:val="21"/>
                      <w:highlight w:val="none"/>
                    </w:rPr>
                    <w:t>210</w:t>
                  </w:r>
                  <w:r>
                    <w:rPr>
                      <w:rFonts w:hint="default" w:ascii="Times New Roman" w:hAnsi="Times New Roman" w:eastAsia="宋体" w:cs="Times New Roman"/>
                      <w:b w:val="0"/>
                      <w:bCs w:val="0"/>
                      <w:color w:val="auto"/>
                      <w:sz w:val="21"/>
                      <w:szCs w:val="21"/>
                      <w:highlight w:val="none"/>
                      <w:lang w:val="en-US" w:eastAsia="zh-CN"/>
                    </w:rPr>
                    <w:t>53</w:t>
                  </w:r>
                </w:p>
              </w:tc>
            </w:tr>
            <w:tr w14:paraId="666D0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pct"/>
                  <w:vMerge w:val="continue"/>
                  <w:tcBorders>
                    <w:tl2br w:val="nil"/>
                    <w:tr2bl w:val="nil"/>
                  </w:tcBorders>
                  <w:noWrap w:val="0"/>
                  <w:vAlign w:val="center"/>
                </w:tcPr>
                <w:p w14:paraId="68F0E4E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p>
              </w:tc>
              <w:tc>
                <w:tcPr>
                  <w:tcW w:w="2938" w:type="pct"/>
                  <w:gridSpan w:val="6"/>
                  <w:tcBorders>
                    <w:tl2br w:val="nil"/>
                    <w:tr2bl w:val="nil"/>
                  </w:tcBorders>
                  <w:noWrap w:val="0"/>
                  <w:vAlign w:val="center"/>
                </w:tcPr>
                <w:p w14:paraId="1A300C7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lang w:val="en-US" w:eastAsia="zh-CN"/>
                    </w:rPr>
                  </w:pPr>
                  <w:r>
                    <w:rPr>
                      <w:rFonts w:hint="default" w:ascii="Times New Roman" w:hAnsi="Times New Roman" w:eastAsia="宋体" w:cs="Times New Roman"/>
                      <w:b w:val="0"/>
                      <w:bCs w:val="0"/>
                      <w:color w:val="auto"/>
                      <w:spacing w:val="10"/>
                      <w:sz w:val="21"/>
                      <w:szCs w:val="21"/>
                      <w:highlight w:val="none"/>
                    </w:rPr>
                    <w:t>英文名</w:t>
                  </w:r>
                  <w:r>
                    <w:rPr>
                      <w:rFonts w:hint="default" w:ascii="Times New Roman" w:hAnsi="Times New Roman" w:eastAsia="宋体" w:cs="Times New Roman"/>
                      <w:b w:val="0"/>
                      <w:bCs w:val="0"/>
                      <w:color w:val="auto"/>
                      <w:spacing w:val="10"/>
                      <w:sz w:val="21"/>
                      <w:szCs w:val="21"/>
                      <w:highlight w:val="none"/>
                      <w:lang w:val="en-GB"/>
                    </w:rPr>
                    <w:t>：</w:t>
                  </w:r>
                  <w:r>
                    <w:rPr>
                      <w:rFonts w:hint="default" w:ascii="Times New Roman" w:hAnsi="Times New Roman" w:eastAsia="宋体" w:cs="Times New Roman"/>
                      <w:b w:val="0"/>
                      <w:bCs w:val="0"/>
                      <w:color w:val="auto"/>
                      <w:spacing w:val="10"/>
                      <w:sz w:val="21"/>
                      <w:szCs w:val="21"/>
                      <w:highlight w:val="none"/>
                      <w:lang w:val="en-US" w:eastAsia="zh-CN"/>
                    </w:rPr>
                    <w:t>Liquefied petroleum gas</w:t>
                  </w:r>
                </w:p>
              </w:tc>
              <w:tc>
                <w:tcPr>
                  <w:tcW w:w="1648" w:type="pct"/>
                  <w:tcBorders>
                    <w:tl2br w:val="nil"/>
                    <w:tr2bl w:val="nil"/>
                  </w:tcBorders>
                  <w:noWrap w:val="0"/>
                  <w:vAlign w:val="center"/>
                </w:tcPr>
                <w:p w14:paraId="214502E6">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lang w:val="en-US" w:eastAsia="zh-CN"/>
                    </w:rPr>
                  </w:pPr>
                  <w:r>
                    <w:rPr>
                      <w:rFonts w:hint="default" w:ascii="Times New Roman" w:hAnsi="Times New Roman" w:eastAsia="宋体" w:cs="Times New Roman"/>
                      <w:b w:val="0"/>
                      <w:bCs w:val="0"/>
                      <w:color w:val="auto"/>
                      <w:spacing w:val="10"/>
                      <w:sz w:val="21"/>
                      <w:szCs w:val="21"/>
                      <w:highlight w:val="none"/>
                    </w:rPr>
                    <w:t>UN编号：</w:t>
                  </w:r>
                  <w:r>
                    <w:rPr>
                      <w:rFonts w:hint="default" w:ascii="Times New Roman" w:hAnsi="Times New Roman" w:eastAsia="宋体" w:cs="Times New Roman"/>
                      <w:b w:val="0"/>
                      <w:bCs w:val="0"/>
                      <w:color w:val="auto"/>
                      <w:spacing w:val="10"/>
                      <w:sz w:val="21"/>
                      <w:szCs w:val="21"/>
                      <w:highlight w:val="none"/>
                      <w:lang w:val="en-US" w:eastAsia="zh-CN"/>
                    </w:rPr>
                    <w:t>1075</w:t>
                  </w:r>
                </w:p>
              </w:tc>
            </w:tr>
            <w:tr w14:paraId="6CA6A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pct"/>
                  <w:vMerge w:val="continue"/>
                  <w:tcBorders>
                    <w:tl2br w:val="nil"/>
                    <w:tr2bl w:val="nil"/>
                  </w:tcBorders>
                  <w:noWrap w:val="0"/>
                  <w:vAlign w:val="center"/>
                </w:tcPr>
                <w:p w14:paraId="026F2A3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p>
              </w:tc>
              <w:tc>
                <w:tcPr>
                  <w:tcW w:w="1487" w:type="pct"/>
                  <w:gridSpan w:val="2"/>
                  <w:tcBorders>
                    <w:tl2br w:val="nil"/>
                    <w:tr2bl w:val="nil"/>
                  </w:tcBorders>
                  <w:noWrap w:val="0"/>
                  <w:vAlign w:val="center"/>
                </w:tcPr>
                <w:p w14:paraId="152507FA">
                  <w:pPr>
                    <w:keepNext w:val="0"/>
                    <w:keepLines w:val="0"/>
                    <w:pageBreakBefore w:val="0"/>
                    <w:kinsoku/>
                    <w:wordWrap/>
                    <w:overflowPunct/>
                    <w:topLinePunct w:val="0"/>
                    <w:autoSpaceDE/>
                    <w:autoSpaceDN/>
                    <w:bidi w:val="0"/>
                    <w:adjustRightInd/>
                    <w:snapToGrid/>
                    <w:spacing w:line="240" w:lineRule="auto"/>
                    <w:ind w:left="920" w:firstLine="0" w:firstLineChars="0"/>
                    <w:jc w:val="left"/>
                    <w:textAlignment w:val="auto"/>
                    <w:rPr>
                      <w:rFonts w:hint="default" w:ascii="Times New Roman" w:hAnsi="Times New Roman" w:eastAsia="宋体" w:cs="Times New Roman"/>
                      <w:b w:val="0"/>
                      <w:bCs w:val="0"/>
                      <w:color w:val="auto"/>
                      <w:spacing w:val="10"/>
                      <w:sz w:val="21"/>
                      <w:szCs w:val="21"/>
                      <w:highlight w:val="none"/>
                      <w:lang w:val="en-US" w:eastAsia="zh-CN"/>
                    </w:rPr>
                  </w:pPr>
                  <w:r>
                    <w:rPr>
                      <w:rFonts w:hint="default" w:ascii="Times New Roman" w:hAnsi="Times New Roman" w:eastAsia="宋体" w:cs="Times New Roman"/>
                      <w:b w:val="0"/>
                      <w:bCs w:val="0"/>
                      <w:color w:val="auto"/>
                      <w:spacing w:val="10"/>
                      <w:sz w:val="21"/>
                      <w:szCs w:val="21"/>
                      <w:highlight w:val="none"/>
                    </w:rPr>
                    <w:t>分子式：</w:t>
                  </w:r>
                </w:p>
              </w:tc>
              <w:tc>
                <w:tcPr>
                  <w:tcW w:w="1450" w:type="pct"/>
                  <w:gridSpan w:val="4"/>
                  <w:tcBorders>
                    <w:tl2br w:val="nil"/>
                    <w:tr2bl w:val="nil"/>
                  </w:tcBorders>
                  <w:noWrap w:val="0"/>
                  <w:vAlign w:val="center"/>
                </w:tcPr>
                <w:p w14:paraId="561AC1F7">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分子量：/</w:t>
                  </w:r>
                </w:p>
              </w:tc>
              <w:tc>
                <w:tcPr>
                  <w:tcW w:w="1648" w:type="pct"/>
                  <w:tcBorders>
                    <w:tl2br w:val="nil"/>
                    <w:tr2bl w:val="nil"/>
                  </w:tcBorders>
                  <w:noWrap w:val="0"/>
                  <w:vAlign w:val="center"/>
                </w:tcPr>
                <w:p w14:paraId="114E6332">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lang w:val="en-US" w:eastAsia="zh-CN"/>
                    </w:rPr>
                  </w:pPr>
                  <w:r>
                    <w:rPr>
                      <w:rFonts w:hint="default" w:ascii="Times New Roman" w:hAnsi="Times New Roman" w:eastAsia="宋体" w:cs="Times New Roman"/>
                      <w:b w:val="0"/>
                      <w:bCs w:val="0"/>
                      <w:color w:val="auto"/>
                      <w:spacing w:val="10"/>
                      <w:sz w:val="21"/>
                      <w:szCs w:val="21"/>
                      <w:highlight w:val="none"/>
                    </w:rPr>
                    <w:t>CAS号：</w:t>
                  </w:r>
                  <w:r>
                    <w:rPr>
                      <w:rFonts w:hint="default" w:ascii="Times New Roman" w:hAnsi="Times New Roman" w:eastAsia="宋体" w:cs="Times New Roman"/>
                      <w:b w:val="0"/>
                      <w:bCs w:val="0"/>
                      <w:color w:val="auto"/>
                      <w:spacing w:val="10"/>
                      <w:sz w:val="21"/>
                      <w:szCs w:val="21"/>
                      <w:highlight w:val="none"/>
                      <w:lang w:val="en-US" w:eastAsia="zh-CN"/>
                    </w:rPr>
                    <w:t>68476-85-7</w:t>
                  </w:r>
                </w:p>
              </w:tc>
            </w:tr>
            <w:tr w14:paraId="21DED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pct"/>
                  <w:vMerge w:val="restart"/>
                  <w:tcBorders>
                    <w:tl2br w:val="nil"/>
                    <w:tr2bl w:val="nil"/>
                  </w:tcBorders>
                  <w:noWrap w:val="0"/>
                  <w:vAlign w:val="center"/>
                </w:tcPr>
                <w:p w14:paraId="2B34C335">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理化性质</w:t>
                  </w:r>
                </w:p>
              </w:tc>
              <w:tc>
                <w:tcPr>
                  <w:tcW w:w="891" w:type="pct"/>
                  <w:tcBorders>
                    <w:tl2br w:val="nil"/>
                    <w:tr2bl w:val="nil"/>
                  </w:tcBorders>
                  <w:noWrap w:val="0"/>
                  <w:vAlign w:val="center"/>
                </w:tcPr>
                <w:p w14:paraId="394D91EE">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外观与性状</w:t>
                  </w:r>
                </w:p>
              </w:tc>
              <w:tc>
                <w:tcPr>
                  <w:tcW w:w="3695" w:type="pct"/>
                  <w:gridSpan w:val="6"/>
                  <w:tcBorders>
                    <w:tl2br w:val="nil"/>
                    <w:tr2bl w:val="nil"/>
                  </w:tcBorders>
                  <w:noWrap w:val="0"/>
                  <w:vAlign w:val="center"/>
                </w:tcPr>
                <w:p w14:paraId="4C384B42">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lang w:val="en-US" w:eastAsia="zh-CN"/>
                    </w:rPr>
                    <w:t>无色气体或黄棕色油状液体，有特殊臭味</w:t>
                  </w:r>
                  <w:r>
                    <w:rPr>
                      <w:rFonts w:hint="default" w:ascii="Times New Roman" w:hAnsi="Times New Roman" w:eastAsia="宋体" w:cs="Times New Roman"/>
                      <w:b w:val="0"/>
                      <w:bCs w:val="0"/>
                      <w:color w:val="auto"/>
                      <w:spacing w:val="10"/>
                      <w:sz w:val="21"/>
                      <w:szCs w:val="21"/>
                      <w:highlight w:val="none"/>
                    </w:rPr>
                    <w:t>。</w:t>
                  </w:r>
                </w:p>
              </w:tc>
            </w:tr>
            <w:tr w14:paraId="2BFF69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pct"/>
                  <w:vMerge w:val="continue"/>
                  <w:tcBorders>
                    <w:tl2br w:val="nil"/>
                    <w:tr2bl w:val="nil"/>
                  </w:tcBorders>
                  <w:noWrap w:val="0"/>
                  <w:vAlign w:val="center"/>
                </w:tcPr>
                <w:p w14:paraId="4370AD2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p>
              </w:tc>
              <w:tc>
                <w:tcPr>
                  <w:tcW w:w="891" w:type="pct"/>
                  <w:tcBorders>
                    <w:tl2br w:val="nil"/>
                    <w:tr2bl w:val="nil"/>
                  </w:tcBorders>
                  <w:noWrap w:val="0"/>
                  <w:vAlign w:val="center"/>
                </w:tcPr>
                <w:p w14:paraId="045E272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溶解性</w:t>
                  </w:r>
                </w:p>
              </w:tc>
              <w:tc>
                <w:tcPr>
                  <w:tcW w:w="3695" w:type="pct"/>
                  <w:gridSpan w:val="6"/>
                  <w:tcBorders>
                    <w:tl2br w:val="nil"/>
                    <w:tr2bl w:val="nil"/>
                  </w:tcBorders>
                  <w:noWrap w:val="0"/>
                  <w:vAlign w:val="center"/>
                </w:tcPr>
                <w:p w14:paraId="2C0E6448">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rPr>
                    <w:t>微溶于水，溶于乙醇、乙醚。</w:t>
                  </w:r>
                </w:p>
              </w:tc>
            </w:tr>
            <w:tr w14:paraId="75818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pct"/>
                  <w:vMerge w:val="restart"/>
                  <w:tcBorders>
                    <w:tl2br w:val="nil"/>
                    <w:tr2bl w:val="nil"/>
                  </w:tcBorders>
                  <w:noWrap w:val="0"/>
                  <w:vAlign w:val="center"/>
                </w:tcPr>
                <w:p w14:paraId="4F4C83DA">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毒性及健康危害</w:t>
                  </w:r>
                </w:p>
              </w:tc>
              <w:tc>
                <w:tcPr>
                  <w:tcW w:w="891" w:type="pct"/>
                  <w:tcBorders>
                    <w:tl2br w:val="nil"/>
                    <w:tr2bl w:val="nil"/>
                  </w:tcBorders>
                  <w:noWrap w:val="0"/>
                  <w:vAlign w:val="center"/>
                </w:tcPr>
                <w:p w14:paraId="543C4AC3">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侵入途径</w:t>
                  </w:r>
                </w:p>
              </w:tc>
              <w:tc>
                <w:tcPr>
                  <w:tcW w:w="3695" w:type="pct"/>
                  <w:gridSpan w:val="6"/>
                  <w:tcBorders>
                    <w:tl2br w:val="nil"/>
                    <w:tr2bl w:val="nil"/>
                  </w:tcBorders>
                  <w:noWrap w:val="0"/>
                  <w:vAlign w:val="center"/>
                </w:tcPr>
                <w:p w14:paraId="190F0F58">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吸入。</w:t>
                  </w:r>
                </w:p>
              </w:tc>
            </w:tr>
            <w:tr w14:paraId="7CB05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pct"/>
                  <w:vMerge w:val="continue"/>
                  <w:tcBorders>
                    <w:tl2br w:val="nil"/>
                    <w:tr2bl w:val="nil"/>
                  </w:tcBorders>
                  <w:noWrap w:val="0"/>
                  <w:vAlign w:val="center"/>
                </w:tcPr>
                <w:p w14:paraId="00DBC8F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p>
              </w:tc>
              <w:tc>
                <w:tcPr>
                  <w:tcW w:w="891" w:type="pct"/>
                  <w:tcBorders>
                    <w:tl2br w:val="nil"/>
                    <w:tr2bl w:val="nil"/>
                  </w:tcBorders>
                  <w:noWrap w:val="0"/>
                  <w:vAlign w:val="center"/>
                </w:tcPr>
                <w:p w14:paraId="515A2305">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毒性</w:t>
                  </w:r>
                </w:p>
              </w:tc>
              <w:tc>
                <w:tcPr>
                  <w:tcW w:w="1847" w:type="pct"/>
                  <w:gridSpan w:val="3"/>
                  <w:tcBorders>
                    <w:tl2br w:val="nil"/>
                    <w:tr2bl w:val="nil"/>
                  </w:tcBorders>
                  <w:noWrap w:val="0"/>
                  <w:vAlign w:val="center"/>
                </w:tcPr>
                <w:p w14:paraId="45672F6E">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LD</w:t>
                  </w:r>
                  <w:r>
                    <w:rPr>
                      <w:rFonts w:hint="default" w:ascii="Times New Roman" w:hAnsi="Times New Roman" w:eastAsia="宋体" w:cs="Times New Roman"/>
                      <w:b w:val="0"/>
                      <w:bCs w:val="0"/>
                      <w:color w:val="auto"/>
                      <w:spacing w:val="10"/>
                      <w:sz w:val="21"/>
                      <w:szCs w:val="21"/>
                      <w:highlight w:val="none"/>
                      <w:vertAlign w:val="subscript"/>
                    </w:rPr>
                    <w:t>50</w:t>
                  </w:r>
                  <w:r>
                    <w:rPr>
                      <w:rFonts w:hint="default" w:ascii="Times New Roman" w:hAnsi="Times New Roman" w:eastAsia="宋体" w:cs="Times New Roman"/>
                      <w:b w:val="0"/>
                      <w:bCs w:val="0"/>
                      <w:color w:val="auto"/>
                      <w:spacing w:val="10"/>
                      <w:sz w:val="21"/>
                      <w:szCs w:val="21"/>
                      <w:highlight w:val="none"/>
                    </w:rPr>
                    <w:t>：</w:t>
                  </w:r>
                </w:p>
              </w:tc>
              <w:tc>
                <w:tcPr>
                  <w:tcW w:w="1848" w:type="pct"/>
                  <w:gridSpan w:val="3"/>
                  <w:tcBorders>
                    <w:tl2br w:val="nil"/>
                    <w:tr2bl w:val="nil"/>
                  </w:tcBorders>
                  <w:noWrap w:val="0"/>
                  <w:vAlign w:val="center"/>
                </w:tcPr>
                <w:p w14:paraId="515476A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LC</w:t>
                  </w:r>
                  <w:r>
                    <w:rPr>
                      <w:rFonts w:hint="default" w:ascii="Times New Roman" w:hAnsi="Times New Roman" w:eastAsia="宋体" w:cs="Times New Roman"/>
                      <w:b w:val="0"/>
                      <w:bCs w:val="0"/>
                      <w:color w:val="auto"/>
                      <w:spacing w:val="10"/>
                      <w:sz w:val="21"/>
                      <w:szCs w:val="21"/>
                      <w:highlight w:val="none"/>
                      <w:vertAlign w:val="subscript"/>
                    </w:rPr>
                    <w:t>50</w:t>
                  </w:r>
                  <w:r>
                    <w:rPr>
                      <w:rFonts w:hint="default" w:ascii="Times New Roman" w:hAnsi="Times New Roman" w:eastAsia="宋体" w:cs="Times New Roman"/>
                      <w:b w:val="0"/>
                      <w:bCs w:val="0"/>
                      <w:color w:val="auto"/>
                      <w:spacing w:val="10"/>
                      <w:sz w:val="21"/>
                      <w:szCs w:val="21"/>
                      <w:highlight w:val="none"/>
                    </w:rPr>
                    <w:t>：</w:t>
                  </w:r>
                </w:p>
              </w:tc>
            </w:tr>
            <w:tr w14:paraId="04E6E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pct"/>
                  <w:vMerge w:val="continue"/>
                  <w:tcBorders>
                    <w:tl2br w:val="nil"/>
                    <w:tr2bl w:val="nil"/>
                  </w:tcBorders>
                  <w:noWrap w:val="0"/>
                  <w:vAlign w:val="center"/>
                </w:tcPr>
                <w:p w14:paraId="101A6BA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p>
              </w:tc>
              <w:tc>
                <w:tcPr>
                  <w:tcW w:w="891" w:type="pct"/>
                  <w:tcBorders>
                    <w:tl2br w:val="nil"/>
                    <w:tr2bl w:val="nil"/>
                  </w:tcBorders>
                  <w:noWrap w:val="0"/>
                  <w:vAlign w:val="center"/>
                </w:tcPr>
                <w:p w14:paraId="7D6C40DE">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健康危害</w:t>
                  </w:r>
                </w:p>
              </w:tc>
              <w:tc>
                <w:tcPr>
                  <w:tcW w:w="3695" w:type="pct"/>
                  <w:gridSpan w:val="6"/>
                  <w:tcBorders>
                    <w:tl2br w:val="nil"/>
                    <w:tr2bl w:val="nil"/>
                  </w:tcBorders>
                  <w:noWrap w:val="0"/>
                  <w:vAlign w:val="center"/>
                </w:tcPr>
                <w:p w14:paraId="69F11F5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lang w:val="en-US" w:eastAsia="zh-CN"/>
                    </w:rPr>
                  </w:pPr>
                  <w:r>
                    <w:rPr>
                      <w:rFonts w:hint="default" w:ascii="Times New Roman" w:hAnsi="Times New Roman" w:eastAsia="宋体" w:cs="Times New Roman"/>
                      <w:b w:val="0"/>
                      <w:bCs w:val="0"/>
                      <w:color w:val="auto"/>
                      <w:spacing w:val="10"/>
                      <w:sz w:val="21"/>
                      <w:szCs w:val="21"/>
                      <w:highlight w:val="none"/>
                      <w:lang w:val="en-US" w:eastAsia="zh-CN"/>
                    </w:rPr>
                    <w:t>健康危害：本品有麻醉作用。急性中毒：有头晕、头痛、兴奋或嗜睡、恶心、呕吐、脉缓等；重症者可突然倒下，尿失禁，意识丧失甚至呼吸停止。可致批复冻伤。慢性影响：长期接触低浓度者，可出现头痛，头晕、睡眠不佳、易疲劳、情绪不稳以及植物神经功能紊乱等</w:t>
                  </w:r>
                </w:p>
              </w:tc>
            </w:tr>
            <w:tr w14:paraId="66A4C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pct"/>
                  <w:vMerge w:val="continue"/>
                  <w:tcBorders>
                    <w:tl2br w:val="nil"/>
                    <w:tr2bl w:val="nil"/>
                  </w:tcBorders>
                  <w:noWrap w:val="0"/>
                  <w:vAlign w:val="center"/>
                </w:tcPr>
                <w:p w14:paraId="237448D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p>
              </w:tc>
              <w:tc>
                <w:tcPr>
                  <w:tcW w:w="891" w:type="pct"/>
                  <w:tcBorders>
                    <w:tl2br w:val="nil"/>
                    <w:tr2bl w:val="nil"/>
                  </w:tcBorders>
                  <w:noWrap w:val="0"/>
                  <w:vAlign w:val="center"/>
                </w:tcPr>
                <w:p w14:paraId="7C347216">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急救方法</w:t>
                  </w:r>
                </w:p>
              </w:tc>
              <w:tc>
                <w:tcPr>
                  <w:tcW w:w="3695" w:type="pct"/>
                  <w:gridSpan w:val="6"/>
                  <w:tcBorders>
                    <w:tl2br w:val="nil"/>
                    <w:tr2bl w:val="nil"/>
                  </w:tcBorders>
                  <w:noWrap w:val="0"/>
                  <w:vAlign w:val="center"/>
                </w:tcPr>
                <w:p w14:paraId="24991E68">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脱去并隔离被污染的衣服和鞋。接触液化气体，接触部位用温水浸泡复暖。注意患者保暖并且保持安静。确保医务人员了解该物质相关的个体防护知识，注意自身防护。迅速脱离现场至空气新鲜处。注意保暖，呼吸困难时给输氧。呼吸停止时，立即进行人工呼吸，就医。</w:t>
                  </w:r>
                </w:p>
              </w:tc>
            </w:tr>
            <w:tr w14:paraId="3EC77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pct"/>
                  <w:vMerge w:val="restart"/>
                  <w:tcBorders>
                    <w:tl2br w:val="nil"/>
                    <w:tr2bl w:val="nil"/>
                  </w:tcBorders>
                  <w:noWrap w:val="0"/>
                  <w:vAlign w:val="center"/>
                </w:tcPr>
                <w:p w14:paraId="425886EA">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燃烧爆炸危险性</w:t>
                  </w:r>
                </w:p>
              </w:tc>
              <w:tc>
                <w:tcPr>
                  <w:tcW w:w="891" w:type="pct"/>
                  <w:tcBorders>
                    <w:tl2br w:val="nil"/>
                    <w:tr2bl w:val="nil"/>
                  </w:tcBorders>
                  <w:noWrap w:val="0"/>
                  <w:vAlign w:val="center"/>
                </w:tcPr>
                <w:p w14:paraId="467B4B2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燃烧性</w:t>
                  </w:r>
                </w:p>
              </w:tc>
              <w:tc>
                <w:tcPr>
                  <w:tcW w:w="788" w:type="pct"/>
                  <w:gridSpan w:val="2"/>
                  <w:tcBorders>
                    <w:tl2br w:val="nil"/>
                    <w:tr2bl w:val="nil"/>
                  </w:tcBorders>
                  <w:noWrap w:val="0"/>
                  <w:vAlign w:val="center"/>
                </w:tcPr>
                <w:p w14:paraId="1870C356">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易燃</w:t>
                  </w:r>
                </w:p>
              </w:tc>
              <w:tc>
                <w:tcPr>
                  <w:tcW w:w="1141" w:type="pct"/>
                  <w:gridSpan w:val="2"/>
                  <w:tcBorders>
                    <w:tl2br w:val="nil"/>
                    <w:tr2bl w:val="nil"/>
                  </w:tcBorders>
                  <w:noWrap w:val="0"/>
                  <w:vAlign w:val="center"/>
                </w:tcPr>
                <w:p w14:paraId="551BAB8E">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燃烧分解物</w:t>
                  </w:r>
                </w:p>
              </w:tc>
              <w:tc>
                <w:tcPr>
                  <w:tcW w:w="1765" w:type="pct"/>
                  <w:gridSpan w:val="2"/>
                  <w:tcBorders>
                    <w:tl2br w:val="nil"/>
                    <w:tr2bl w:val="nil"/>
                  </w:tcBorders>
                  <w:noWrap w:val="0"/>
                  <w:vAlign w:val="center"/>
                </w:tcPr>
                <w:p w14:paraId="61232F21">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w:t>
                  </w:r>
                </w:p>
              </w:tc>
            </w:tr>
            <w:tr w14:paraId="04BE0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pct"/>
                  <w:vMerge w:val="continue"/>
                  <w:tcBorders>
                    <w:tl2br w:val="nil"/>
                    <w:tr2bl w:val="nil"/>
                  </w:tcBorders>
                  <w:noWrap w:val="0"/>
                  <w:vAlign w:val="center"/>
                </w:tcPr>
                <w:p w14:paraId="54EBFBD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p>
              </w:tc>
              <w:tc>
                <w:tcPr>
                  <w:tcW w:w="891" w:type="pct"/>
                  <w:tcBorders>
                    <w:tl2br w:val="nil"/>
                    <w:tr2bl w:val="nil"/>
                  </w:tcBorders>
                  <w:noWrap w:val="0"/>
                  <w:vAlign w:val="center"/>
                </w:tcPr>
                <w:p w14:paraId="5C988977">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危险特性</w:t>
                  </w:r>
                </w:p>
              </w:tc>
              <w:tc>
                <w:tcPr>
                  <w:tcW w:w="3695" w:type="pct"/>
                  <w:gridSpan w:val="6"/>
                  <w:tcBorders>
                    <w:tl2br w:val="nil"/>
                    <w:tr2bl w:val="nil"/>
                  </w:tcBorders>
                  <w:noWrap w:val="0"/>
                  <w:vAlign w:val="center"/>
                </w:tcPr>
                <w:p w14:paraId="244FFCF6">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rPr>
                    <w:t>蒸气能与空气形成爆炸性混合物；遇热源、明火着火、爆炸危险。与</w:t>
                  </w:r>
                  <w:r>
                    <w:rPr>
                      <w:rFonts w:hint="default" w:ascii="Times New Roman" w:hAnsi="Times New Roman" w:eastAsia="宋体" w:cs="Times New Roman"/>
                      <w:b w:val="0"/>
                      <w:bCs w:val="0"/>
                      <w:color w:val="auto"/>
                      <w:spacing w:val="10"/>
                      <w:sz w:val="21"/>
                      <w:szCs w:val="21"/>
                      <w:highlight w:val="none"/>
                    </w:rPr>
                    <w:t>五氟化溴、氯气、次氯酸、三氟化氮、液氧、二氟化溴、强氧化剂接触剧烈反应。</w:t>
                  </w:r>
                </w:p>
              </w:tc>
            </w:tr>
            <w:tr w14:paraId="3074A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pct"/>
                  <w:vMerge w:val="continue"/>
                  <w:tcBorders>
                    <w:tl2br w:val="nil"/>
                    <w:tr2bl w:val="nil"/>
                  </w:tcBorders>
                  <w:noWrap w:val="0"/>
                  <w:vAlign w:val="center"/>
                </w:tcPr>
                <w:p w14:paraId="4DEF4D0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p>
              </w:tc>
              <w:tc>
                <w:tcPr>
                  <w:tcW w:w="891" w:type="pct"/>
                  <w:tcBorders>
                    <w:tl2br w:val="nil"/>
                    <w:tr2bl w:val="nil"/>
                  </w:tcBorders>
                  <w:noWrap w:val="0"/>
                  <w:vAlign w:val="center"/>
                </w:tcPr>
                <w:p w14:paraId="0255C521">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储运条件</w:t>
                  </w:r>
                </w:p>
                <w:p w14:paraId="0CAD7301">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与泄漏处理</w:t>
                  </w:r>
                </w:p>
              </w:tc>
              <w:tc>
                <w:tcPr>
                  <w:tcW w:w="3695" w:type="pct"/>
                  <w:gridSpan w:val="6"/>
                  <w:tcBorders>
                    <w:tl2br w:val="nil"/>
                    <w:tr2bl w:val="nil"/>
                  </w:tcBorders>
                  <w:noWrap w:val="0"/>
                  <w:vAlign w:val="center"/>
                </w:tcPr>
                <w:p w14:paraId="171BF5D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储运条件：储存在阴凉、通风良好的专用库房内或大型气柜，远离容易起火的地方。与五氟化溴、氯气、二氧化氯、三氟化氮、液氧、二氟化氧、氧化剂隔离储运。泄漏处理：</w:t>
                  </w:r>
                  <w:r>
                    <w:rPr>
                      <w:rFonts w:hint="default" w:ascii="Times New Roman" w:hAnsi="Times New Roman" w:eastAsia="宋体" w:cs="Times New Roman"/>
                      <w:b w:val="0"/>
                      <w:bCs w:val="0"/>
                      <w:color w:val="auto"/>
                      <w:sz w:val="21"/>
                      <w:szCs w:val="21"/>
                      <w:highlight w:val="none"/>
                    </w:rPr>
                    <w:t>切断火源，勿使其燃烧，同时关闭阀门等，制止渗漏；并用雾状水保护阀门人员；操作时必须穿戴防毒面具与手套。对残余废气或钢瓶泄漏出气要用排风机排至空旷地方。</w:t>
                  </w:r>
                </w:p>
              </w:tc>
            </w:tr>
            <w:tr w14:paraId="5B0DC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pct"/>
                  <w:vMerge w:val="continue"/>
                  <w:tcBorders>
                    <w:tl2br w:val="nil"/>
                    <w:tr2bl w:val="nil"/>
                  </w:tcBorders>
                  <w:noWrap w:val="0"/>
                  <w:vAlign w:val="center"/>
                </w:tcPr>
                <w:p w14:paraId="2D66575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p>
              </w:tc>
              <w:tc>
                <w:tcPr>
                  <w:tcW w:w="891" w:type="pct"/>
                  <w:tcBorders>
                    <w:tl2br w:val="nil"/>
                    <w:tr2bl w:val="nil"/>
                  </w:tcBorders>
                  <w:noWrap w:val="0"/>
                  <w:vAlign w:val="center"/>
                </w:tcPr>
                <w:p w14:paraId="58976038">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pacing w:val="10"/>
                      <w:sz w:val="21"/>
                      <w:szCs w:val="21"/>
                      <w:highlight w:val="none"/>
                    </w:rPr>
                    <w:t>灭火方法</w:t>
                  </w:r>
                </w:p>
              </w:tc>
              <w:tc>
                <w:tcPr>
                  <w:tcW w:w="3695" w:type="pct"/>
                  <w:gridSpan w:val="6"/>
                  <w:tcBorders>
                    <w:tl2br w:val="nil"/>
                    <w:tr2bl w:val="nil"/>
                  </w:tcBorders>
                  <w:noWrap w:val="0"/>
                  <w:vAlign w:val="center"/>
                </w:tcPr>
                <w:p w14:paraId="79BD5EC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val="0"/>
                      <w:color w:val="auto"/>
                      <w:spacing w:val="10"/>
                      <w:sz w:val="21"/>
                      <w:szCs w:val="21"/>
                      <w:highlight w:val="none"/>
                    </w:rPr>
                  </w:pPr>
                  <w:r>
                    <w:rPr>
                      <w:rFonts w:hint="default" w:ascii="Times New Roman" w:hAnsi="Times New Roman" w:eastAsia="宋体" w:cs="Times New Roman"/>
                      <w:b w:val="0"/>
                      <w:bCs w:val="0"/>
                      <w:color w:val="auto"/>
                      <w:sz w:val="21"/>
                      <w:szCs w:val="21"/>
                      <w:highlight w:val="none"/>
                    </w:rPr>
                    <w:t>用泡沫、雾状水、二氧化碳、干粉。</w:t>
                  </w:r>
                </w:p>
              </w:tc>
            </w:tr>
          </w:tbl>
          <w:p w14:paraId="461B5E43">
            <w:pPr>
              <w:numPr>
                <w:ilvl w:val="0"/>
                <w:numId w:val="0"/>
              </w:numPr>
              <w:ind w:leftChars="200"/>
              <w:rPr>
                <w:rFonts w:hint="default"/>
                <w:b/>
                <w:bCs/>
                <w:color w:val="auto"/>
                <w:lang w:val="en-US" w:eastAsia="zh-CN"/>
              </w:rPr>
            </w:pPr>
            <w:r>
              <w:rPr>
                <w:rFonts w:hint="eastAsia"/>
                <w:b/>
                <w:bCs/>
                <w:color w:val="auto"/>
                <w:lang w:val="en-US" w:eastAsia="zh-CN"/>
              </w:rPr>
              <w:t>7.2环境影响途径</w:t>
            </w:r>
          </w:p>
          <w:p w14:paraId="008899FD">
            <w:pPr>
              <w:spacing w:line="480" w:lineRule="exact"/>
              <w:ind w:firstLine="480" w:firstLineChars="200"/>
              <w:rPr>
                <w:rFonts w:hint="default" w:ascii="Times New Roman" w:hAnsi="Times New Roman" w:eastAsia="宋体" w:cs="Times New Roman"/>
                <w:b w:val="0"/>
                <w:bCs w:val="0"/>
                <w:smallCaps w:val="0"/>
                <w:color w:val="auto"/>
                <w:spacing w:val="0"/>
                <w:position w:val="0"/>
                <w:sz w:val="24"/>
                <w:szCs w:val="24"/>
                <w:highlight w:val="none"/>
              </w:rPr>
            </w:pPr>
            <w:r>
              <w:rPr>
                <w:rFonts w:hint="default" w:ascii="Times New Roman" w:hAnsi="Times New Roman" w:eastAsia="宋体" w:cs="Times New Roman"/>
                <w:b w:val="0"/>
                <w:bCs w:val="0"/>
                <w:smallCaps w:val="0"/>
                <w:color w:val="auto"/>
                <w:spacing w:val="0"/>
                <w:position w:val="0"/>
                <w:sz w:val="24"/>
                <w:szCs w:val="24"/>
                <w:highlight w:val="none"/>
              </w:rPr>
              <w:t>本项目可能影响环境的途径分别为：</w:t>
            </w:r>
          </w:p>
          <w:p w14:paraId="249B4893">
            <w:pPr>
              <w:pStyle w:val="41"/>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泄漏事故：</w:t>
            </w:r>
            <w:r>
              <w:rPr>
                <w:rFonts w:hint="eastAsia" w:ascii="Times New Roman" w:hAnsi="Times New Roman" w:eastAsia="宋体" w:cs="Times New Roman"/>
                <w:color w:val="auto"/>
                <w:kern w:val="2"/>
                <w:sz w:val="24"/>
                <w:szCs w:val="24"/>
                <w:lang w:val="en-US" w:eastAsia="zh-CN" w:bidi="ar-SA"/>
              </w:rPr>
              <w:t>液化石油气、</w:t>
            </w:r>
            <w:r>
              <w:rPr>
                <w:rFonts w:hint="eastAsia" w:eastAsia="宋体"/>
                <w:color w:val="auto"/>
                <w:kern w:val="2"/>
                <w:sz w:val="24"/>
                <w:szCs w:val="24"/>
                <w:lang w:val="en-US" w:eastAsia="zh-CN" w:bidi="ar-SA"/>
              </w:rPr>
              <w:t>油性漆、润滑油、废润滑油、液压油、废液压油、切削液、废切削液泄漏</w:t>
            </w:r>
            <w:r>
              <w:rPr>
                <w:rFonts w:hint="default" w:ascii="Times New Roman" w:hAnsi="Times New Roman" w:eastAsia="宋体"/>
                <w:color w:val="auto"/>
                <w:kern w:val="2"/>
                <w:sz w:val="24"/>
                <w:szCs w:val="24"/>
                <w:lang w:val="en-US" w:eastAsia="zh-CN" w:bidi="ar-SA"/>
              </w:rPr>
              <w:t>主要为因碰撞、包装不合格、设备损坏等原因导致泄漏，污染地下水；或于雨天发生泄漏，随雨水散排流出厂界，对外界环境造成影响。</w:t>
            </w:r>
          </w:p>
          <w:p w14:paraId="42A86213">
            <w:pPr>
              <w:bidi w:val="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火灾事故次生环境风险事故：火灾事故对环境的危害主要为有毒烟雾和灭火过程中产生的消防废水散流造成的次生环境污染问题，同时消防水中携带了一定量的风险物质，若不能及时收集可能排出厂界，对外界水环境造成影响。</w:t>
            </w:r>
          </w:p>
          <w:p w14:paraId="6B28CCF6">
            <w:pPr>
              <w:numPr>
                <w:ilvl w:val="0"/>
                <w:numId w:val="0"/>
              </w:numPr>
              <w:ind w:leftChars="200"/>
              <w:rPr>
                <w:rFonts w:hint="eastAsia"/>
                <w:b/>
                <w:bCs/>
                <w:color w:val="auto"/>
                <w:sz w:val="24"/>
                <w:szCs w:val="24"/>
                <w:lang w:val="en-US" w:eastAsia="zh-CN"/>
              </w:rPr>
            </w:pPr>
            <w:r>
              <w:rPr>
                <w:rFonts w:hint="eastAsia"/>
                <w:b/>
                <w:bCs/>
                <w:color w:val="auto"/>
                <w:sz w:val="24"/>
                <w:szCs w:val="24"/>
                <w:lang w:val="en-US" w:eastAsia="zh-CN"/>
              </w:rPr>
              <w:t>7.3环境风险分析</w:t>
            </w:r>
          </w:p>
          <w:p w14:paraId="598353D2">
            <w:pPr>
              <w:bidi w:val="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泄漏事故：风险物质在生产使用区及储存区泄漏时，生产使用区及储存区均设置防渗、防流失措施，不会溢流出生产使用区及储存区，不会对外界环境产生影响。风险物质在厂区运输过程泄漏，泄漏量较小，基本能够将泄漏物围堵在厂区范围内，基本不会对外部水环境产生影响。</w:t>
            </w:r>
          </w:p>
          <w:p w14:paraId="7B7B68DE">
            <w:pPr>
              <w:bidi w:val="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火灾本身是安全事故，但会产生消防废水，最坏情景是消防废水未控制住溢漏出厂外，本项目泄漏量小，对环境影响不大。</w:t>
            </w:r>
          </w:p>
          <w:p w14:paraId="4CE23832">
            <w:pPr>
              <w:bidi w:val="0"/>
              <w:rPr>
                <w:rFonts w:hint="default" w:eastAsia="宋体"/>
                <w:color w:val="auto"/>
                <w:sz w:val="24"/>
                <w:szCs w:val="24"/>
                <w:lang w:val="en-US" w:eastAsia="zh-CN"/>
              </w:rPr>
            </w:pPr>
            <w:r>
              <w:rPr>
                <w:rFonts w:hint="eastAsia"/>
                <w:b/>
                <w:bCs/>
                <w:color w:val="auto"/>
                <w:sz w:val="24"/>
                <w:szCs w:val="24"/>
                <w:lang w:val="en-US" w:eastAsia="zh-CN"/>
              </w:rPr>
              <w:t>7.4环境风险防范措施及应急措施</w:t>
            </w:r>
          </w:p>
          <w:p w14:paraId="1766549F">
            <w:pPr>
              <w:pStyle w:val="41"/>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eastAsia" w:eastAsia="宋体"/>
                <w:color w:val="auto"/>
                <w:kern w:val="2"/>
                <w:sz w:val="24"/>
                <w:szCs w:val="24"/>
                <w:lang w:val="en-US" w:eastAsia="zh-CN" w:bidi="ar-SA"/>
              </w:rPr>
              <w:t>（1）风险防范措施</w:t>
            </w:r>
          </w:p>
          <w:p w14:paraId="1FF5BE97">
            <w:pPr>
              <w:pStyle w:val="41"/>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eastAsia" w:eastAsia="宋体"/>
                <w:color w:val="auto"/>
                <w:kern w:val="2"/>
                <w:sz w:val="24"/>
                <w:szCs w:val="24"/>
                <w:lang w:val="en-US" w:eastAsia="zh-CN" w:bidi="ar-SA"/>
              </w:rPr>
              <w:t>企业应</w:t>
            </w:r>
            <w:r>
              <w:rPr>
                <w:rFonts w:hint="default" w:ascii="Times New Roman" w:hAnsi="Times New Roman" w:eastAsia="宋体"/>
                <w:color w:val="auto"/>
                <w:kern w:val="2"/>
                <w:sz w:val="24"/>
                <w:szCs w:val="24"/>
                <w:lang w:val="en-US" w:eastAsia="zh-CN" w:bidi="ar-SA"/>
              </w:rPr>
              <w:t>配备较好的设备和相应的抢险设施、风险物质储存区有防扬散、防流失、防渗漏等防治措施并参照国家标准《危险废物贮存污染控制标准》</w:t>
            </w:r>
            <w:r>
              <w:rPr>
                <w:rFonts w:hint="eastAsia" w:ascii="Times New Roman" w:hAnsi="Times New Roman" w:eastAsia="宋体"/>
                <w:color w:val="auto"/>
                <w:kern w:val="2"/>
                <w:sz w:val="24"/>
                <w:szCs w:val="24"/>
                <w:lang w:val="en-US" w:eastAsia="zh-CN" w:bidi="ar-SA"/>
              </w:rPr>
              <w:t>（</w:t>
            </w:r>
            <w:r>
              <w:rPr>
                <w:rFonts w:hint="default" w:ascii="Times New Roman" w:hAnsi="Times New Roman" w:eastAsia="宋体"/>
                <w:color w:val="auto"/>
                <w:kern w:val="2"/>
                <w:sz w:val="24"/>
                <w:szCs w:val="24"/>
                <w:lang w:val="en-US" w:eastAsia="zh-CN" w:bidi="ar-SA"/>
              </w:rPr>
              <w:t>GB18597-2001</w:t>
            </w:r>
            <w:r>
              <w:rPr>
                <w:rFonts w:hint="eastAsia" w:ascii="Times New Roman" w:hAnsi="Times New Roman" w:eastAsia="宋体"/>
                <w:color w:val="auto"/>
                <w:kern w:val="2"/>
                <w:sz w:val="24"/>
                <w:szCs w:val="24"/>
                <w:lang w:val="en-US" w:eastAsia="zh-CN" w:bidi="ar-SA"/>
              </w:rPr>
              <w:t>）</w:t>
            </w:r>
            <w:r>
              <w:rPr>
                <w:rFonts w:hint="default" w:ascii="Times New Roman" w:hAnsi="Times New Roman" w:eastAsia="宋体"/>
                <w:color w:val="auto"/>
                <w:kern w:val="2"/>
                <w:sz w:val="24"/>
                <w:szCs w:val="24"/>
                <w:lang w:val="en-US" w:eastAsia="zh-CN" w:bidi="ar-SA"/>
              </w:rPr>
              <w:t>和《危险废物收集贮存运输技术规范》</w:t>
            </w:r>
            <w:r>
              <w:rPr>
                <w:rFonts w:hint="eastAsia" w:ascii="Times New Roman" w:hAnsi="Times New Roman" w:eastAsia="宋体"/>
                <w:color w:val="auto"/>
                <w:kern w:val="2"/>
                <w:sz w:val="24"/>
                <w:szCs w:val="24"/>
                <w:lang w:val="en-US" w:eastAsia="zh-CN" w:bidi="ar-SA"/>
              </w:rPr>
              <w:t>（</w:t>
            </w:r>
            <w:r>
              <w:rPr>
                <w:rFonts w:hint="default" w:ascii="Times New Roman" w:hAnsi="Times New Roman" w:eastAsia="宋体"/>
                <w:color w:val="auto"/>
                <w:kern w:val="2"/>
                <w:sz w:val="24"/>
                <w:szCs w:val="24"/>
                <w:lang w:val="en-US" w:eastAsia="zh-CN" w:bidi="ar-SA"/>
              </w:rPr>
              <w:t>HJ2025-2012</w:t>
            </w:r>
            <w:r>
              <w:rPr>
                <w:rFonts w:hint="eastAsia" w:ascii="Times New Roman" w:hAnsi="Times New Roman" w:eastAsia="宋体"/>
                <w:color w:val="auto"/>
                <w:kern w:val="2"/>
                <w:sz w:val="24"/>
                <w:szCs w:val="24"/>
                <w:lang w:val="en-US" w:eastAsia="zh-CN" w:bidi="ar-SA"/>
              </w:rPr>
              <w:t>）</w:t>
            </w:r>
            <w:r>
              <w:rPr>
                <w:rFonts w:hint="default" w:ascii="Times New Roman" w:hAnsi="Times New Roman" w:eastAsia="宋体"/>
                <w:color w:val="auto"/>
                <w:kern w:val="2"/>
                <w:sz w:val="24"/>
                <w:szCs w:val="24"/>
                <w:lang w:val="en-US" w:eastAsia="zh-CN" w:bidi="ar-SA"/>
              </w:rPr>
              <w:t>的要求进行设计</w:t>
            </w:r>
            <w:r>
              <w:rPr>
                <w:rFonts w:hint="eastAsia" w:ascii="Times New Roman" w:hAnsi="Times New Roman" w:eastAsia="宋体"/>
                <w:color w:val="auto"/>
                <w:kern w:val="2"/>
                <w:sz w:val="24"/>
                <w:szCs w:val="24"/>
                <w:lang w:val="en-US" w:eastAsia="zh-CN" w:bidi="ar-SA"/>
              </w:rPr>
              <w:t>，并编制</w:t>
            </w:r>
            <w:r>
              <w:rPr>
                <w:rFonts w:hint="eastAsia" w:eastAsia="宋体"/>
                <w:color w:val="auto"/>
                <w:kern w:val="2"/>
                <w:sz w:val="24"/>
                <w:szCs w:val="24"/>
                <w:lang w:val="en-US" w:eastAsia="zh-CN" w:bidi="ar-SA"/>
              </w:rPr>
              <w:t>突发环境</w:t>
            </w:r>
            <w:r>
              <w:rPr>
                <w:rFonts w:hint="eastAsia" w:ascii="Times New Roman" w:hAnsi="Times New Roman" w:eastAsia="宋体"/>
                <w:color w:val="auto"/>
                <w:kern w:val="2"/>
                <w:sz w:val="24"/>
                <w:szCs w:val="24"/>
                <w:lang w:val="en-US" w:eastAsia="zh-CN" w:bidi="ar-SA"/>
              </w:rPr>
              <w:t>应急预案</w:t>
            </w:r>
            <w:r>
              <w:rPr>
                <w:rFonts w:hint="default" w:ascii="Times New Roman" w:hAnsi="Times New Roman" w:eastAsia="宋体"/>
                <w:color w:val="auto"/>
                <w:kern w:val="2"/>
                <w:sz w:val="24"/>
                <w:szCs w:val="24"/>
                <w:lang w:val="en-US" w:eastAsia="zh-CN" w:bidi="ar-SA"/>
              </w:rPr>
              <w:t>。</w:t>
            </w:r>
            <w:r>
              <w:rPr>
                <w:rFonts w:hint="eastAsia" w:eastAsia="宋体"/>
                <w:color w:val="auto"/>
                <w:kern w:val="2"/>
                <w:sz w:val="24"/>
                <w:szCs w:val="24"/>
                <w:lang w:val="en-US" w:eastAsia="zh-CN" w:bidi="ar-SA"/>
              </w:rPr>
              <w:t>危废间</w:t>
            </w:r>
            <w:r>
              <w:rPr>
                <w:rFonts w:hint="default" w:ascii="Times New Roman" w:hAnsi="Times New Roman" w:eastAsia="宋体"/>
                <w:color w:val="auto"/>
                <w:kern w:val="2"/>
                <w:sz w:val="24"/>
                <w:szCs w:val="24"/>
                <w:lang w:val="en-US" w:eastAsia="zh-CN" w:bidi="ar-SA"/>
              </w:rPr>
              <w:t>还应保持地面平滑无开裂、采用刷环氧地坪漆等方式进行进一步的防渗处理，门口设置围挡或斜坡，如果发生泄漏事故，确保风险物质不会溢流出上述区域，避免对水环境、土壤和大气环境造成影响。在液化石油气</w:t>
            </w:r>
            <w:r>
              <w:rPr>
                <w:rFonts w:hint="eastAsia" w:eastAsia="宋体"/>
                <w:color w:val="auto"/>
                <w:kern w:val="2"/>
                <w:sz w:val="24"/>
                <w:szCs w:val="24"/>
                <w:lang w:val="en-US" w:eastAsia="zh-CN" w:bidi="ar-SA"/>
              </w:rPr>
              <w:t>气瓶区</w:t>
            </w:r>
            <w:r>
              <w:rPr>
                <w:rFonts w:hint="default" w:ascii="Times New Roman" w:hAnsi="Times New Roman" w:eastAsia="宋体"/>
                <w:color w:val="auto"/>
                <w:kern w:val="2"/>
                <w:sz w:val="24"/>
                <w:szCs w:val="24"/>
                <w:lang w:val="en-US" w:eastAsia="zh-CN" w:bidi="ar-SA"/>
              </w:rPr>
              <w:t>配备若干灭火器和防火材料，每天派专人检查液化石油气管路及其相关使用部件，严格执行巡检制度，确保设备正常运行。</w:t>
            </w:r>
          </w:p>
          <w:p w14:paraId="3FF44D82">
            <w:pPr>
              <w:pStyle w:val="41"/>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当发生事故时，为不使事故扩大，防止二次灾害的发生，要求及时抢险抢修，必须对各种险情进行事故前预测，保证抢险队伍的素质，遇险时应及时与当地消防部门取得联系，以获得有力支持。</w:t>
            </w:r>
          </w:p>
          <w:p w14:paraId="68054352">
            <w:pPr>
              <w:pStyle w:val="41"/>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项目在运营中应确保正确操作和正常运行，在操作运行方面要求工作人员必须进行岗前专业培训，严格执行安全生产操作规程，进行安全性专业维护和保养，对安全设备进行定期校验，确保安全生产。同时建立夜间值班巡查制度、安全奖惩制度等。</w:t>
            </w:r>
          </w:p>
          <w:p w14:paraId="4F5CCD31">
            <w:pPr>
              <w:bidi w:val="0"/>
              <w:rPr>
                <w:rFonts w:hint="default" w:ascii="Times New Roman" w:hAnsi="Times New Roman" w:eastAsia="宋体"/>
                <w:color w:val="auto"/>
                <w:kern w:val="2"/>
                <w:sz w:val="24"/>
                <w:szCs w:val="24"/>
                <w:lang w:val="en-US" w:eastAsia="zh-CN" w:bidi="ar-SA"/>
              </w:rPr>
            </w:pPr>
            <w:r>
              <w:rPr>
                <w:rFonts w:hint="eastAsia" w:ascii="Times New Roman" w:hAnsi="Times New Roman" w:eastAsia="宋体" w:cs="Times New Roman"/>
                <w:color w:val="auto"/>
                <w:lang w:val="en-US" w:eastAsia="zh-CN"/>
              </w:rPr>
              <w:t>本项目润滑油</w:t>
            </w:r>
            <w:r>
              <w:rPr>
                <w:rFonts w:hint="eastAsia" w:cs="Times New Roman"/>
                <w:color w:val="auto"/>
                <w:lang w:val="en-US" w:eastAsia="zh-CN"/>
              </w:rPr>
              <w:t>、切削液、液压油、漆料等均</w:t>
            </w:r>
            <w:r>
              <w:rPr>
                <w:rFonts w:hint="eastAsia" w:ascii="Times New Roman" w:hAnsi="Times New Roman" w:eastAsia="宋体" w:cs="Times New Roman"/>
                <w:color w:val="auto"/>
                <w:lang w:val="en-US" w:eastAsia="zh-CN"/>
              </w:rPr>
              <w:t>为桶装，年使用量</w:t>
            </w:r>
            <w:r>
              <w:rPr>
                <w:rFonts w:hint="eastAsia" w:cs="Times New Roman"/>
                <w:color w:val="auto"/>
                <w:lang w:val="en-US" w:eastAsia="zh-CN"/>
              </w:rPr>
              <w:t>很少</w:t>
            </w:r>
            <w:r>
              <w:rPr>
                <w:rFonts w:hint="eastAsia" w:ascii="Times New Roman" w:hAnsi="Times New Roman" w:eastAsia="宋体" w:cs="Times New Roman"/>
                <w:color w:val="auto"/>
                <w:lang w:val="en-US" w:eastAsia="zh-CN"/>
              </w:rPr>
              <w:t>，且储存时油桶下设铁质托盘，储存区地面进行硬化、防腐防渗处理</w:t>
            </w:r>
            <w:r>
              <w:rPr>
                <w:rFonts w:hint="eastAsia" w:cs="Times New Roman"/>
                <w:color w:val="auto"/>
                <w:lang w:val="en-US" w:eastAsia="zh-CN"/>
              </w:rPr>
              <w:t>。</w:t>
            </w:r>
            <w:r>
              <w:rPr>
                <w:rFonts w:hint="eastAsia" w:ascii="Times New Roman" w:hAnsi="Times New Roman" w:eastAsia="宋体" w:cs="Times New Roman"/>
                <w:color w:val="auto"/>
                <w:lang w:val="en-US" w:eastAsia="zh-CN"/>
              </w:rPr>
              <w:t>废润滑油</w:t>
            </w:r>
            <w:r>
              <w:rPr>
                <w:rFonts w:hint="eastAsia" w:cs="Times New Roman"/>
                <w:color w:val="auto"/>
                <w:lang w:val="en-US" w:eastAsia="zh-CN"/>
              </w:rPr>
              <w:t>等危险废物</w:t>
            </w:r>
            <w:r>
              <w:rPr>
                <w:rFonts w:hint="eastAsia" w:ascii="Times New Roman" w:hAnsi="Times New Roman" w:eastAsia="宋体" w:cs="Times New Roman"/>
                <w:color w:val="auto"/>
                <w:lang w:val="en-US" w:eastAsia="zh-CN"/>
              </w:rPr>
              <w:t>储存在危废间内，</w:t>
            </w:r>
            <w:r>
              <w:rPr>
                <w:rFonts w:hint="eastAsia" w:cs="Times New Roman"/>
                <w:color w:val="auto"/>
                <w:lang w:val="en-US" w:eastAsia="zh-CN"/>
              </w:rPr>
              <w:t>使用专用容器承装</w:t>
            </w:r>
            <w:r>
              <w:rPr>
                <w:rFonts w:hint="eastAsia" w:ascii="Times New Roman" w:hAnsi="Times New Roman" w:eastAsia="宋体" w:cs="Times New Roman"/>
                <w:color w:val="auto"/>
                <w:lang w:val="en-US" w:eastAsia="zh-CN"/>
              </w:rPr>
              <w:t>，下设铁质托盘</w:t>
            </w:r>
            <w:r>
              <w:rPr>
                <w:rFonts w:hint="eastAsia" w:cs="Times New Roman"/>
                <w:color w:val="auto"/>
                <w:lang w:val="en-US" w:eastAsia="zh-CN"/>
              </w:rPr>
              <w:t>；危废间</w:t>
            </w:r>
            <w:r>
              <w:rPr>
                <w:rFonts w:hint="eastAsia" w:ascii="Times New Roman" w:hAnsi="Times New Roman" w:eastAsia="宋体" w:cs="Times New Roman"/>
                <w:color w:val="auto"/>
                <w:lang w:val="en-US" w:eastAsia="zh-CN"/>
              </w:rPr>
              <w:t>地面及裙角进行硬化、防腐防渗处理；使用润滑油等油类物质的设备，定期巡检，避免跑冒滴漏现场发生，油类使用区域下方设铁质托盘，车间地面进行硬化、防腐防渗处理。因此，本项目对</w:t>
            </w:r>
            <w:r>
              <w:rPr>
                <w:rFonts w:hint="eastAsia" w:cs="Times New Roman"/>
                <w:color w:val="auto"/>
                <w:highlight w:val="none"/>
                <w:lang w:val="en-US" w:eastAsia="zh-CN"/>
              </w:rPr>
              <w:t>地下水</w:t>
            </w:r>
            <w:r>
              <w:rPr>
                <w:rFonts w:hint="eastAsia" w:ascii="Times New Roman" w:hAnsi="Times New Roman" w:eastAsia="宋体" w:cs="Times New Roman"/>
                <w:color w:val="auto"/>
                <w:lang w:val="en-US" w:eastAsia="zh-CN"/>
              </w:rPr>
              <w:t>及土壤</w:t>
            </w:r>
            <w:r>
              <w:rPr>
                <w:rFonts w:hint="eastAsia" w:ascii="Times New Roman" w:hAnsi="Times New Roman" w:eastAsia="宋体" w:cs="Times New Roman"/>
                <w:color w:val="auto"/>
                <w:highlight w:val="none"/>
                <w:lang w:val="en-US" w:eastAsia="zh-CN"/>
              </w:rPr>
              <w:t>环</w:t>
            </w:r>
            <w:r>
              <w:rPr>
                <w:rFonts w:hint="eastAsia" w:ascii="Times New Roman" w:hAnsi="Times New Roman" w:eastAsia="宋体" w:cs="Times New Roman"/>
                <w:color w:val="auto"/>
                <w:lang w:val="en-US" w:eastAsia="zh-CN"/>
              </w:rPr>
              <w:t>境影响很小。</w:t>
            </w:r>
          </w:p>
          <w:p w14:paraId="03D86A37">
            <w:pPr>
              <w:pStyle w:val="41"/>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企业应建立健全防范制度，加强监督管理，规范操作，这类事故发生的概率处于可接受范围内。</w:t>
            </w:r>
          </w:p>
          <w:p w14:paraId="3DA72B8F">
            <w:pPr>
              <w:keepNext w:val="0"/>
              <w:keepLines w:val="0"/>
              <w:widowControl/>
              <w:suppressLineNumbers w:val="0"/>
              <w:spacing w:before="0" w:beforeAutospacing="0" w:after="0" w:afterAutospacing="0" w:line="480" w:lineRule="exact"/>
              <w:ind w:left="0" w:right="0" w:firstLine="480" w:firstLineChars="200"/>
              <w:rPr>
                <w:rFonts w:hint="default" w:ascii="Times New Roman" w:hAnsi="Times New Roman" w:eastAsia="宋体"/>
                <w:color w:val="auto"/>
                <w:kern w:val="2"/>
                <w:sz w:val="24"/>
                <w:szCs w:val="24"/>
                <w:lang w:val="en-US" w:eastAsia="zh-CN" w:bidi="ar-SA"/>
              </w:rPr>
            </w:pPr>
            <w:r>
              <w:rPr>
                <w:rFonts w:hint="eastAsia"/>
                <w:color w:val="auto"/>
                <w:kern w:val="2"/>
                <w:sz w:val="24"/>
                <w:szCs w:val="24"/>
                <w:lang w:val="en-US" w:eastAsia="zh-CN" w:bidi="ar-SA"/>
              </w:rPr>
              <w:t>（2）</w:t>
            </w:r>
            <w:r>
              <w:rPr>
                <w:rFonts w:hint="default" w:ascii="Times New Roman" w:hAnsi="Times New Roman" w:eastAsia="宋体"/>
                <w:color w:val="auto"/>
                <w:kern w:val="2"/>
                <w:sz w:val="24"/>
                <w:szCs w:val="24"/>
                <w:lang w:val="en-US" w:eastAsia="zh-CN" w:bidi="ar-SA"/>
              </w:rPr>
              <w:t>应急措施</w:t>
            </w:r>
          </w:p>
          <w:p w14:paraId="22A21C72">
            <w:pPr>
              <w:pStyle w:val="41"/>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default" w:ascii="Times New Roman" w:hAnsi="Times New Roman" w:eastAsia="宋体"/>
                <w:color w:val="auto"/>
                <w:kern w:val="2"/>
                <w:sz w:val="24"/>
                <w:szCs w:val="24"/>
                <w:lang w:val="en-US" w:eastAsia="zh-CN" w:bidi="ar-SA"/>
              </w:rPr>
              <w:t>风险物质发生</w:t>
            </w:r>
            <w:r>
              <w:rPr>
                <w:rFonts w:hint="eastAsia" w:ascii="Times New Roman" w:hAnsi="Times New Roman" w:eastAsia="宋体"/>
                <w:color w:val="auto"/>
                <w:kern w:val="2"/>
                <w:sz w:val="24"/>
                <w:szCs w:val="24"/>
                <w:lang w:val="en-US" w:eastAsia="zh-CN" w:bidi="ar-SA"/>
              </w:rPr>
              <w:t>泄漏</w:t>
            </w:r>
            <w:r>
              <w:rPr>
                <w:rFonts w:hint="default" w:ascii="Times New Roman" w:hAnsi="Times New Roman" w:eastAsia="宋体"/>
                <w:color w:val="auto"/>
                <w:kern w:val="2"/>
                <w:sz w:val="24"/>
                <w:szCs w:val="24"/>
                <w:lang w:val="en-US" w:eastAsia="zh-CN" w:bidi="ar-SA"/>
              </w:rPr>
              <w:t>，通过工作人员或视频监控人员预警，根据现场情况将沙土沙袋、吸油毡、储油桶等运至</w:t>
            </w:r>
            <w:r>
              <w:rPr>
                <w:rFonts w:hint="eastAsia" w:eastAsia="宋体"/>
                <w:color w:val="auto"/>
                <w:kern w:val="2"/>
                <w:sz w:val="24"/>
                <w:szCs w:val="24"/>
                <w:lang w:val="en-US" w:eastAsia="zh-CN" w:bidi="ar-SA"/>
              </w:rPr>
              <w:t>事</w:t>
            </w:r>
            <w:r>
              <w:rPr>
                <w:rFonts w:hint="default" w:ascii="Times New Roman" w:hAnsi="Times New Roman" w:eastAsia="宋体"/>
                <w:color w:val="auto"/>
                <w:kern w:val="2"/>
                <w:sz w:val="24"/>
                <w:szCs w:val="24"/>
                <w:lang w:val="en-US" w:eastAsia="zh-CN" w:bidi="ar-SA"/>
              </w:rPr>
              <w:t>发现场进行现场环境应急处置，利用沙土沙袋，先进行溢流的围堵，避免污染面积扩散，用吸附材料吸收泄漏液体，然后移至安全地区，能够有效防止事故扩大。液化石油气</w:t>
            </w:r>
            <w:r>
              <w:rPr>
                <w:rFonts w:hint="eastAsia" w:eastAsia="宋体"/>
                <w:color w:val="auto"/>
                <w:kern w:val="2"/>
                <w:sz w:val="24"/>
                <w:szCs w:val="24"/>
                <w:lang w:val="en-US" w:eastAsia="zh-CN" w:bidi="ar-SA"/>
              </w:rPr>
              <w:t>气瓶</w:t>
            </w:r>
            <w:r>
              <w:rPr>
                <w:rFonts w:hint="default" w:ascii="Times New Roman" w:hAnsi="Times New Roman" w:eastAsia="宋体"/>
                <w:color w:val="auto"/>
                <w:kern w:val="2"/>
                <w:sz w:val="24"/>
                <w:szCs w:val="24"/>
                <w:lang w:val="en-US" w:eastAsia="zh-CN" w:bidi="ar-SA"/>
              </w:rPr>
              <w:t>设置安全控制阀，一旦发生泄漏应立刻关闭阀门，</w:t>
            </w:r>
            <w:r>
              <w:rPr>
                <w:rFonts w:hint="eastAsia" w:eastAsia="宋体"/>
                <w:color w:val="auto"/>
                <w:kern w:val="2"/>
                <w:sz w:val="24"/>
                <w:szCs w:val="24"/>
                <w:lang w:val="en-US" w:eastAsia="zh-CN" w:bidi="ar-SA"/>
              </w:rPr>
              <w:t>气瓶</w:t>
            </w:r>
            <w:r>
              <w:rPr>
                <w:rFonts w:hint="default" w:ascii="Times New Roman" w:hAnsi="Times New Roman" w:eastAsia="宋体"/>
                <w:color w:val="auto"/>
                <w:kern w:val="2"/>
                <w:sz w:val="24"/>
                <w:szCs w:val="24"/>
                <w:lang w:val="en-US" w:eastAsia="zh-CN" w:bidi="ar-SA"/>
              </w:rPr>
              <w:t>区配备若干灭火器和防火材料，一旦发生泄漏火灾，应立即灭火。当风险物质泄漏至雨水管网时，应急组对厂区雨水排口进行封堵，防止泄漏物泄漏厂区外。一旦泄漏致厂区外，企业应告知当地政府、生态环境局、环境保护监测站等进行处理。</w:t>
            </w:r>
          </w:p>
          <w:p w14:paraId="0DCBA51A">
            <w:pPr>
              <w:pStyle w:val="41"/>
              <w:keepNext w:val="0"/>
              <w:keepLines w:val="0"/>
              <w:suppressLineNumbers w:val="0"/>
              <w:spacing w:before="0" w:beforeAutospacing="0" w:after="0" w:afterAutospacing="0"/>
              <w:ind w:left="0" w:right="0" w:firstLine="480"/>
              <w:rPr>
                <w:rFonts w:hint="default" w:ascii="Times New Roman" w:hAnsi="Times New Roman" w:eastAsia="宋体"/>
                <w:color w:val="auto"/>
                <w:kern w:val="2"/>
                <w:sz w:val="24"/>
                <w:szCs w:val="24"/>
                <w:lang w:val="en-US" w:eastAsia="zh-CN" w:bidi="ar-SA"/>
              </w:rPr>
            </w:pPr>
            <w:r>
              <w:rPr>
                <w:rFonts w:hint="eastAsia" w:eastAsia="宋体"/>
                <w:color w:val="auto"/>
                <w:kern w:val="2"/>
                <w:sz w:val="24"/>
                <w:szCs w:val="24"/>
                <w:lang w:val="en-US" w:eastAsia="zh-CN" w:bidi="ar-SA"/>
              </w:rPr>
              <w:t>（3）制定环境风险应急预案。</w:t>
            </w:r>
          </w:p>
          <w:p w14:paraId="5C581D1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default"/>
                <w:b/>
                <w:bCs/>
                <w:color w:val="auto"/>
                <w:lang w:val="en-US" w:eastAsia="zh-CN"/>
              </w:rPr>
            </w:pPr>
            <w:r>
              <w:rPr>
                <w:rFonts w:hint="eastAsia"/>
                <w:b/>
                <w:bCs/>
                <w:color w:val="auto"/>
                <w:lang w:val="en-US" w:eastAsia="zh-CN"/>
              </w:rPr>
              <w:t>8、电磁辐射</w:t>
            </w:r>
          </w:p>
          <w:p w14:paraId="36B20234">
            <w:pPr>
              <w:bidi w:val="0"/>
              <w:ind w:firstLine="480" w:firstLineChars="200"/>
              <w:rPr>
                <w:rFonts w:hint="default"/>
                <w:color w:val="auto"/>
                <w:lang w:val="en-US" w:eastAsia="zh-CN"/>
              </w:rPr>
            </w:pPr>
            <w:r>
              <w:rPr>
                <w:rFonts w:hint="default"/>
                <w:color w:val="auto"/>
                <w:lang w:val="en-US" w:eastAsia="zh-CN"/>
              </w:rPr>
              <w:t>本项目不涉及电磁辐射源，即不会对项目所在区环境产生相应的电磁辐射影响</w:t>
            </w:r>
            <w:r>
              <w:rPr>
                <w:rFonts w:hint="eastAsia"/>
                <w:color w:val="auto"/>
                <w:lang w:val="en-US" w:eastAsia="zh-CN"/>
              </w:rPr>
              <w:t>。</w:t>
            </w:r>
          </w:p>
          <w:p w14:paraId="74CB8ACA">
            <w:pPr>
              <w:bidi w:val="0"/>
              <w:ind w:firstLine="480" w:firstLineChars="200"/>
              <w:rPr>
                <w:rFonts w:hint="default"/>
                <w:color w:val="auto"/>
                <w:lang w:val="en-US" w:eastAsia="zh-CN"/>
              </w:rPr>
            </w:pPr>
          </w:p>
          <w:p w14:paraId="23800634">
            <w:pPr>
              <w:bidi w:val="0"/>
              <w:ind w:firstLine="480" w:firstLineChars="200"/>
              <w:rPr>
                <w:rFonts w:hint="default"/>
                <w:color w:val="auto"/>
                <w:lang w:val="en-US" w:eastAsia="zh-CN"/>
              </w:rPr>
            </w:pPr>
          </w:p>
          <w:p w14:paraId="55817608">
            <w:pPr>
              <w:bidi w:val="0"/>
              <w:ind w:firstLine="480" w:firstLineChars="200"/>
              <w:rPr>
                <w:rFonts w:hint="default"/>
                <w:color w:val="auto"/>
                <w:lang w:val="en-US" w:eastAsia="zh-CN"/>
              </w:rPr>
            </w:pPr>
          </w:p>
          <w:p w14:paraId="4AFB7F7D">
            <w:pPr>
              <w:bidi w:val="0"/>
              <w:ind w:firstLine="480" w:firstLineChars="200"/>
              <w:rPr>
                <w:rFonts w:hint="default"/>
                <w:color w:val="auto"/>
                <w:lang w:val="en-US" w:eastAsia="zh-CN"/>
              </w:rPr>
            </w:pPr>
          </w:p>
          <w:p w14:paraId="18F839EF">
            <w:pPr>
              <w:bidi w:val="0"/>
              <w:ind w:firstLine="480" w:firstLineChars="200"/>
              <w:rPr>
                <w:rFonts w:hint="default"/>
                <w:color w:val="auto"/>
                <w:lang w:val="en-US" w:eastAsia="zh-CN"/>
              </w:rPr>
            </w:pPr>
          </w:p>
          <w:p w14:paraId="6F0917DC">
            <w:pPr>
              <w:bidi w:val="0"/>
              <w:ind w:firstLine="480" w:firstLineChars="200"/>
              <w:rPr>
                <w:rFonts w:hint="default"/>
                <w:color w:val="auto"/>
                <w:lang w:val="en-US" w:eastAsia="zh-CN"/>
              </w:rPr>
            </w:pPr>
          </w:p>
          <w:p w14:paraId="0325378A">
            <w:pPr>
              <w:bidi w:val="0"/>
              <w:ind w:firstLine="480" w:firstLineChars="200"/>
              <w:rPr>
                <w:rFonts w:hint="default"/>
                <w:color w:val="auto"/>
                <w:lang w:val="en-US" w:eastAsia="zh-CN"/>
              </w:rPr>
            </w:pPr>
          </w:p>
          <w:p w14:paraId="7A2C2AA7">
            <w:pPr>
              <w:bidi w:val="0"/>
              <w:ind w:firstLine="480" w:firstLineChars="200"/>
              <w:rPr>
                <w:rFonts w:hint="default"/>
                <w:color w:val="auto"/>
                <w:lang w:val="en-US" w:eastAsia="zh-CN"/>
              </w:rPr>
            </w:pPr>
          </w:p>
          <w:p w14:paraId="2F43DEF7">
            <w:pPr>
              <w:bidi w:val="0"/>
              <w:ind w:firstLine="480" w:firstLineChars="200"/>
              <w:rPr>
                <w:rFonts w:hint="default"/>
                <w:color w:val="auto"/>
                <w:lang w:val="en-US" w:eastAsia="zh-CN"/>
              </w:rPr>
            </w:pPr>
          </w:p>
          <w:p w14:paraId="68D7EB8A">
            <w:pPr>
              <w:bidi w:val="0"/>
              <w:ind w:firstLine="480" w:firstLineChars="200"/>
              <w:rPr>
                <w:rFonts w:hint="default"/>
                <w:color w:val="auto"/>
                <w:lang w:val="en-US" w:eastAsia="zh-CN"/>
              </w:rPr>
            </w:pPr>
          </w:p>
          <w:p w14:paraId="0AA203C7">
            <w:pPr>
              <w:bidi w:val="0"/>
              <w:ind w:firstLine="480" w:firstLineChars="200"/>
              <w:rPr>
                <w:rFonts w:hint="default"/>
                <w:color w:val="auto"/>
                <w:lang w:val="en-US" w:eastAsia="zh-CN"/>
              </w:rPr>
            </w:pPr>
          </w:p>
          <w:p w14:paraId="42962790">
            <w:pPr>
              <w:bidi w:val="0"/>
              <w:ind w:firstLine="480" w:firstLineChars="200"/>
              <w:rPr>
                <w:rFonts w:hint="default"/>
                <w:color w:val="auto"/>
                <w:lang w:val="en-US" w:eastAsia="zh-CN"/>
              </w:rPr>
            </w:pPr>
          </w:p>
          <w:p w14:paraId="2CD027E6">
            <w:pPr>
              <w:bidi w:val="0"/>
              <w:ind w:firstLine="480" w:firstLineChars="200"/>
              <w:rPr>
                <w:rFonts w:hint="default"/>
                <w:color w:val="auto"/>
                <w:lang w:val="en-US" w:eastAsia="zh-CN"/>
              </w:rPr>
            </w:pPr>
          </w:p>
          <w:p w14:paraId="142F9244">
            <w:pPr>
              <w:bidi w:val="0"/>
              <w:ind w:firstLine="480" w:firstLineChars="200"/>
              <w:rPr>
                <w:rFonts w:hint="default"/>
                <w:color w:val="auto"/>
                <w:lang w:val="en-US" w:eastAsia="zh-CN"/>
              </w:rPr>
            </w:pPr>
          </w:p>
          <w:p w14:paraId="30F293FD">
            <w:pPr>
              <w:bidi w:val="0"/>
              <w:ind w:firstLine="480" w:firstLineChars="200"/>
              <w:rPr>
                <w:rFonts w:hint="default"/>
                <w:color w:val="auto"/>
                <w:lang w:val="en-US" w:eastAsia="zh-CN"/>
              </w:rPr>
            </w:pPr>
          </w:p>
          <w:p w14:paraId="3ED05F79">
            <w:pPr>
              <w:bidi w:val="0"/>
              <w:ind w:firstLine="480" w:firstLineChars="200"/>
              <w:rPr>
                <w:rFonts w:hint="default"/>
                <w:color w:val="auto"/>
                <w:lang w:val="en-US" w:eastAsia="zh-CN"/>
              </w:rPr>
            </w:pPr>
          </w:p>
          <w:p w14:paraId="615465D1">
            <w:pPr>
              <w:bidi w:val="0"/>
              <w:ind w:firstLine="480" w:firstLineChars="200"/>
              <w:rPr>
                <w:rFonts w:hint="eastAsia"/>
                <w:color w:val="auto"/>
                <w:lang w:val="en-US" w:eastAsia="zh-CN"/>
              </w:rPr>
            </w:pPr>
          </w:p>
        </w:tc>
      </w:tr>
    </w:tbl>
    <w:p w14:paraId="46AE3853">
      <w:r>
        <w:br w:type="page"/>
      </w:r>
    </w:p>
    <w:p w14:paraId="5249EE7E">
      <w:pPr>
        <w:pStyle w:val="18"/>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ascii="黑体" w:hAnsi="黑体" w:eastAsia="黑体"/>
          <w:snapToGrid w:val="0"/>
          <w:color w:val="0070C0"/>
          <w:sz w:val="30"/>
          <w:szCs w:val="30"/>
        </w:rPr>
      </w:pPr>
      <w:r>
        <w:rPr>
          <w:rFonts w:hint="eastAsia" w:ascii="黑体" w:hAnsi="黑体" w:eastAsia="黑体"/>
          <w:snapToGrid w:val="0"/>
          <w:color w:val="auto"/>
          <w:sz w:val="30"/>
          <w:szCs w:val="30"/>
        </w:rPr>
        <w:t>五、</w:t>
      </w:r>
      <w:bookmarkStart w:id="2" w:name="_Hlk54167917"/>
      <w:r>
        <w:rPr>
          <w:rFonts w:hint="eastAsia" w:ascii="黑体" w:hAnsi="黑体" w:eastAsia="黑体"/>
          <w:snapToGrid w:val="0"/>
          <w:color w:val="auto"/>
          <w:sz w:val="30"/>
          <w:szCs w:val="30"/>
        </w:rPr>
        <w:t>环境保护措施监督检查清单</w:t>
      </w:r>
      <w:bookmarkEnd w:id="2"/>
    </w:p>
    <w:tbl>
      <w:tblPr>
        <w:tblStyle w:val="20"/>
        <w:tblW w:w="9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620"/>
        <w:gridCol w:w="1088"/>
        <w:gridCol w:w="2790"/>
        <w:gridCol w:w="3137"/>
      </w:tblGrid>
      <w:tr w14:paraId="7D077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13" w:type="dxa"/>
            <w:tcBorders>
              <w:tl2br w:val="single" w:color="auto" w:sz="4" w:space="0"/>
            </w:tcBorders>
            <w:noWrap w:val="0"/>
            <w:vAlign w:val="top"/>
          </w:tcPr>
          <w:p w14:paraId="5D0AF569">
            <w:pPr>
              <w:pStyle w:val="27"/>
              <w:bidi w:val="0"/>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内容</w:t>
            </w:r>
          </w:p>
          <w:p w14:paraId="0B1875C3">
            <w:pPr>
              <w:pStyle w:val="27"/>
              <w:bidi w:val="0"/>
              <w:jc w:val="both"/>
              <w:rPr>
                <w:rFonts w:hint="eastAsia"/>
                <w:color w:val="auto"/>
                <w:sz w:val="21"/>
                <w:szCs w:val="21"/>
              </w:rPr>
            </w:pPr>
          </w:p>
          <w:p w14:paraId="20B731CC">
            <w:pPr>
              <w:pStyle w:val="27"/>
              <w:bidi w:val="0"/>
              <w:jc w:val="both"/>
              <w:rPr>
                <w:rFonts w:hint="eastAsia"/>
                <w:color w:val="auto"/>
                <w:sz w:val="21"/>
                <w:szCs w:val="21"/>
              </w:rPr>
            </w:pPr>
            <w:r>
              <w:rPr>
                <w:rFonts w:hint="eastAsia"/>
                <w:color w:val="auto"/>
                <w:sz w:val="21"/>
                <w:szCs w:val="21"/>
              </w:rPr>
              <w:t>要素</w:t>
            </w:r>
          </w:p>
        </w:tc>
        <w:tc>
          <w:tcPr>
            <w:tcW w:w="1620" w:type="dxa"/>
            <w:noWrap w:val="0"/>
            <w:vAlign w:val="center"/>
          </w:tcPr>
          <w:p w14:paraId="717F0560">
            <w:pPr>
              <w:pStyle w:val="27"/>
              <w:bidi w:val="0"/>
              <w:rPr>
                <w:rFonts w:hint="eastAsia"/>
                <w:color w:val="auto"/>
                <w:sz w:val="21"/>
                <w:szCs w:val="21"/>
              </w:rPr>
            </w:pPr>
            <w:r>
              <w:rPr>
                <w:rFonts w:hint="eastAsia"/>
                <w:color w:val="auto"/>
                <w:sz w:val="21"/>
                <w:szCs w:val="21"/>
              </w:rPr>
              <w:t>排放口</w:t>
            </w:r>
            <w:r>
              <w:rPr>
                <w:rFonts w:hint="eastAsia"/>
                <w:color w:val="auto"/>
                <w:sz w:val="21"/>
                <w:szCs w:val="21"/>
                <w:lang w:eastAsia="zh-CN"/>
              </w:rPr>
              <w:t>（</w:t>
            </w:r>
            <w:r>
              <w:rPr>
                <w:rFonts w:hint="eastAsia"/>
                <w:color w:val="auto"/>
                <w:sz w:val="21"/>
                <w:szCs w:val="21"/>
              </w:rPr>
              <w:t>编号、名称</w:t>
            </w:r>
            <w:r>
              <w:rPr>
                <w:rFonts w:hint="eastAsia"/>
                <w:color w:val="auto"/>
                <w:sz w:val="21"/>
                <w:szCs w:val="21"/>
                <w:lang w:eastAsia="zh-CN"/>
              </w:rPr>
              <w:t>）</w:t>
            </w:r>
            <w:r>
              <w:rPr>
                <w:rFonts w:hint="eastAsia"/>
                <w:color w:val="auto"/>
                <w:sz w:val="21"/>
                <w:szCs w:val="21"/>
              </w:rPr>
              <w:t>/污染源</w:t>
            </w:r>
          </w:p>
        </w:tc>
        <w:tc>
          <w:tcPr>
            <w:tcW w:w="1088" w:type="dxa"/>
            <w:noWrap w:val="0"/>
            <w:vAlign w:val="center"/>
          </w:tcPr>
          <w:p w14:paraId="17AA4584">
            <w:pPr>
              <w:pStyle w:val="27"/>
              <w:bidi w:val="0"/>
              <w:rPr>
                <w:rFonts w:hint="eastAsia"/>
                <w:color w:val="auto"/>
                <w:sz w:val="21"/>
                <w:szCs w:val="21"/>
              </w:rPr>
            </w:pPr>
            <w:r>
              <w:rPr>
                <w:rFonts w:hint="eastAsia"/>
                <w:color w:val="auto"/>
                <w:sz w:val="21"/>
                <w:szCs w:val="21"/>
              </w:rPr>
              <w:t>污染物项目</w:t>
            </w:r>
          </w:p>
        </w:tc>
        <w:tc>
          <w:tcPr>
            <w:tcW w:w="2790" w:type="dxa"/>
            <w:noWrap w:val="0"/>
            <w:vAlign w:val="center"/>
          </w:tcPr>
          <w:p w14:paraId="6E817519">
            <w:pPr>
              <w:pStyle w:val="27"/>
              <w:bidi w:val="0"/>
              <w:rPr>
                <w:rFonts w:hint="eastAsia"/>
                <w:color w:val="auto"/>
                <w:sz w:val="21"/>
                <w:szCs w:val="21"/>
              </w:rPr>
            </w:pPr>
            <w:r>
              <w:rPr>
                <w:rFonts w:hint="eastAsia"/>
                <w:color w:val="auto"/>
                <w:sz w:val="21"/>
                <w:szCs w:val="21"/>
              </w:rPr>
              <w:t>环境保护措施</w:t>
            </w:r>
          </w:p>
        </w:tc>
        <w:tc>
          <w:tcPr>
            <w:tcW w:w="3137" w:type="dxa"/>
            <w:noWrap w:val="0"/>
            <w:vAlign w:val="center"/>
          </w:tcPr>
          <w:p w14:paraId="3FD73CBB">
            <w:pPr>
              <w:pStyle w:val="27"/>
              <w:bidi w:val="0"/>
              <w:rPr>
                <w:rFonts w:hint="eastAsia"/>
                <w:color w:val="auto"/>
                <w:sz w:val="21"/>
                <w:szCs w:val="21"/>
              </w:rPr>
            </w:pPr>
            <w:r>
              <w:rPr>
                <w:rFonts w:hint="eastAsia"/>
                <w:color w:val="auto"/>
                <w:sz w:val="21"/>
                <w:szCs w:val="21"/>
              </w:rPr>
              <w:t>执行标准</w:t>
            </w:r>
          </w:p>
        </w:tc>
      </w:tr>
      <w:tr w14:paraId="0E3AAE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restart"/>
            <w:noWrap w:val="0"/>
            <w:vAlign w:val="center"/>
          </w:tcPr>
          <w:p w14:paraId="405AC457">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 w:val="21"/>
                <w:szCs w:val="21"/>
                <w:lang w:val="en-US" w:eastAsia="zh-CN"/>
              </w:rPr>
            </w:pPr>
            <w:r>
              <w:rPr>
                <w:rFonts w:hint="eastAsia"/>
                <w:color w:val="auto"/>
                <w:sz w:val="21"/>
                <w:szCs w:val="21"/>
                <w:lang w:val="en-US" w:eastAsia="zh-CN"/>
              </w:rPr>
              <w:t>大气环境</w:t>
            </w:r>
          </w:p>
        </w:tc>
        <w:tc>
          <w:tcPr>
            <w:tcW w:w="1620" w:type="dxa"/>
            <w:vMerge w:val="restart"/>
            <w:noWrap w:val="0"/>
            <w:vAlign w:val="center"/>
          </w:tcPr>
          <w:p w14:paraId="1E1413AF">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调漆、喷漆、烘干、塑粉固化废气、燃料燃烧排放口（</w:t>
            </w:r>
            <w:r>
              <w:rPr>
                <w:rFonts w:hint="default"/>
                <w:sz w:val="21"/>
                <w:szCs w:val="21"/>
                <w:lang w:val="en-US" w:eastAsia="zh-CN"/>
              </w:rPr>
              <w:t>DA00</w:t>
            </w:r>
            <w:r>
              <w:rPr>
                <w:rFonts w:hint="eastAsia"/>
                <w:sz w:val="21"/>
                <w:szCs w:val="21"/>
                <w:lang w:val="en-US" w:eastAsia="zh-CN"/>
              </w:rPr>
              <w:t>1）</w:t>
            </w:r>
          </w:p>
        </w:tc>
        <w:tc>
          <w:tcPr>
            <w:tcW w:w="1088" w:type="dxa"/>
            <w:noWrap w:val="0"/>
            <w:vAlign w:val="center"/>
          </w:tcPr>
          <w:p w14:paraId="169923A9">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2790" w:type="dxa"/>
            <w:vMerge w:val="restart"/>
            <w:noWrap w:val="0"/>
            <w:vAlign w:val="center"/>
          </w:tcPr>
          <w:p w14:paraId="758F8D1D">
            <w:pPr>
              <w:pStyle w:val="2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lang w:val="en-US" w:eastAsia="zh-CN"/>
              </w:rPr>
            </w:pPr>
            <w:r>
              <w:rPr>
                <w:rFonts w:hint="eastAsia" w:cs="Times New Roman"/>
                <w:b w:val="0"/>
                <w:bCs w:val="0"/>
                <w:color w:val="000000"/>
                <w:kern w:val="0"/>
                <w:sz w:val="21"/>
                <w:szCs w:val="21"/>
                <w:lang w:val="en-US" w:eastAsia="zh-CN" w:bidi="ar"/>
              </w:rPr>
              <w:t>固化房</w:t>
            </w:r>
            <w:r>
              <w:rPr>
                <w:rFonts w:hint="default" w:ascii="Times New Roman" w:hAnsi="Times New Roman" w:eastAsia="宋体" w:cs="Times New Roman"/>
                <w:b w:val="0"/>
                <w:bCs w:val="0"/>
                <w:color w:val="000000"/>
                <w:kern w:val="0"/>
                <w:sz w:val="21"/>
                <w:szCs w:val="21"/>
                <w:lang w:val="en-US" w:eastAsia="zh-CN" w:bidi="ar"/>
              </w:rPr>
              <w:t>顶部设置集气管道</w:t>
            </w:r>
            <w:r>
              <w:rPr>
                <w:rFonts w:hint="eastAsia" w:cs="Times New Roman"/>
                <w:b w:val="0"/>
                <w:bCs w:val="0"/>
                <w:color w:val="000000"/>
                <w:kern w:val="0"/>
                <w:sz w:val="21"/>
                <w:szCs w:val="21"/>
                <w:lang w:val="en-US" w:eastAsia="zh-CN" w:bidi="ar"/>
              </w:rPr>
              <w:t>，</w:t>
            </w:r>
            <w:r>
              <w:rPr>
                <w:rFonts w:hint="eastAsia"/>
                <w:sz w:val="21"/>
                <w:szCs w:val="21"/>
                <w:lang w:val="en-US" w:eastAsia="zh-CN"/>
              </w:rPr>
              <w:t>喷漆房、烘干房采用上送下吸的送排风方式，废气从底部与固化房产生的废气进入一套过滤棉+活性炭吸附/脱附+催化燃烧装置进行处理，处理后通过1根15m高排气筒排放</w:t>
            </w:r>
          </w:p>
        </w:tc>
        <w:tc>
          <w:tcPr>
            <w:tcW w:w="3137" w:type="dxa"/>
            <w:noWrap w:val="0"/>
            <w:vAlign w:val="center"/>
          </w:tcPr>
          <w:p w14:paraId="2156B8E8">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rPr>
              <w:t>《大气污染物综合排放标准》（</w:t>
            </w:r>
            <w:r>
              <w:rPr>
                <w:sz w:val="21"/>
                <w:szCs w:val="21"/>
              </w:rPr>
              <w:t>GB16297-1996</w:t>
            </w:r>
            <w:r>
              <w:rPr>
                <w:rFonts w:hint="eastAsia"/>
                <w:sz w:val="21"/>
                <w:szCs w:val="21"/>
              </w:rPr>
              <w:t>）表</w:t>
            </w:r>
            <w:r>
              <w:rPr>
                <w:sz w:val="21"/>
                <w:szCs w:val="21"/>
              </w:rPr>
              <w:t>2</w:t>
            </w:r>
            <w:r>
              <w:rPr>
                <w:rFonts w:hint="eastAsia"/>
                <w:sz w:val="21"/>
                <w:szCs w:val="21"/>
              </w:rPr>
              <w:t>中</w:t>
            </w:r>
            <w:r>
              <w:rPr>
                <w:sz w:val="21"/>
                <w:szCs w:val="21"/>
              </w:rPr>
              <w:t>二级标准</w:t>
            </w:r>
            <w:r>
              <w:rPr>
                <w:rFonts w:hint="eastAsia"/>
                <w:sz w:val="21"/>
                <w:szCs w:val="21"/>
              </w:rPr>
              <w:t>：颗粒物（染料尘）排放浓度限值</w:t>
            </w:r>
            <w:r>
              <w:rPr>
                <w:sz w:val="21"/>
                <w:szCs w:val="21"/>
              </w:rPr>
              <w:t>18mg/m</w:t>
            </w:r>
            <w:r>
              <w:rPr>
                <w:sz w:val="21"/>
                <w:szCs w:val="21"/>
                <w:vertAlign w:val="superscript"/>
              </w:rPr>
              <w:t>3</w:t>
            </w:r>
          </w:p>
        </w:tc>
      </w:tr>
      <w:tr w14:paraId="56753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14:paraId="432951A2">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vMerge w:val="continue"/>
            <w:noWrap w:val="0"/>
            <w:vAlign w:val="center"/>
          </w:tcPr>
          <w:p w14:paraId="03DC5078">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1"/>
                <w:lang w:val="en-US" w:eastAsia="zh-CN"/>
              </w:rPr>
            </w:pPr>
          </w:p>
        </w:tc>
        <w:tc>
          <w:tcPr>
            <w:tcW w:w="1088" w:type="dxa"/>
            <w:noWrap w:val="0"/>
            <w:vAlign w:val="center"/>
          </w:tcPr>
          <w:p w14:paraId="10EEE0E6">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非甲烷总烃、</w:t>
            </w:r>
            <w:r>
              <w:rPr>
                <w:rFonts w:hint="eastAsia"/>
                <w:color w:val="auto"/>
                <w:sz w:val="21"/>
                <w:szCs w:val="21"/>
                <w:lang w:val="en-US" w:eastAsia="zh-CN"/>
              </w:rPr>
              <w:t>苯、甲苯、二甲苯</w:t>
            </w:r>
          </w:p>
        </w:tc>
        <w:tc>
          <w:tcPr>
            <w:tcW w:w="2790" w:type="dxa"/>
            <w:vMerge w:val="continue"/>
            <w:noWrap w:val="0"/>
            <w:vAlign w:val="center"/>
          </w:tcPr>
          <w:p w14:paraId="7FB68100">
            <w:pPr>
              <w:pStyle w:val="2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lang w:val="en-US" w:eastAsia="zh-CN"/>
              </w:rPr>
            </w:pPr>
          </w:p>
        </w:tc>
        <w:tc>
          <w:tcPr>
            <w:tcW w:w="3137" w:type="dxa"/>
            <w:noWrap w:val="0"/>
            <w:vAlign w:val="center"/>
          </w:tcPr>
          <w:p w14:paraId="73BC9E15">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r>
              <w:rPr>
                <w:rFonts w:hint="eastAsia" w:cs="Times New Roman"/>
                <w:color w:val="auto"/>
                <w:sz w:val="21"/>
                <w:szCs w:val="21"/>
                <w:lang w:eastAsia="zh-CN"/>
              </w:rPr>
              <w:t>工业企业挥发性有机物排放控制标准</w:t>
            </w:r>
            <w:r>
              <w:rPr>
                <w:rFonts w:hint="default" w:ascii="Times New Roman" w:hAnsi="Times New Roman" w:eastAsia="宋体" w:cs="Times New Roman"/>
                <w:color w:val="auto"/>
                <w:sz w:val="21"/>
                <w:szCs w:val="21"/>
              </w:rPr>
              <w:t>》（DB13/2322-2016）表1</w:t>
            </w:r>
            <w:r>
              <w:rPr>
                <w:rFonts w:hint="eastAsia"/>
                <w:color w:val="auto"/>
                <w:sz w:val="21"/>
                <w:szCs w:val="21"/>
              </w:rPr>
              <w:t>表面涂装业</w:t>
            </w:r>
            <w:r>
              <w:rPr>
                <w:rFonts w:hint="eastAsia"/>
                <w:color w:val="auto"/>
                <w:sz w:val="21"/>
                <w:szCs w:val="21"/>
                <w:lang w:val="en-US" w:eastAsia="zh-CN"/>
              </w:rPr>
              <w:t>非甲烷总烃最高允许有组织排放浓度60mg/m</w:t>
            </w:r>
            <w:r>
              <w:rPr>
                <w:rFonts w:hint="eastAsia"/>
                <w:color w:val="auto"/>
                <w:sz w:val="21"/>
                <w:szCs w:val="21"/>
                <w:vertAlign w:val="superscript"/>
                <w:lang w:val="en-US" w:eastAsia="zh-CN"/>
              </w:rPr>
              <w:t>3</w:t>
            </w:r>
            <w:r>
              <w:rPr>
                <w:rFonts w:hint="eastAsia"/>
                <w:color w:val="auto"/>
                <w:sz w:val="21"/>
                <w:szCs w:val="21"/>
                <w:lang w:val="en-US" w:eastAsia="zh-CN"/>
              </w:rPr>
              <w:t>，苯最高允许有组织排放浓度1mg/m</w:t>
            </w:r>
            <w:r>
              <w:rPr>
                <w:rFonts w:hint="eastAsia"/>
                <w:color w:val="auto"/>
                <w:sz w:val="21"/>
                <w:szCs w:val="21"/>
                <w:vertAlign w:val="superscript"/>
                <w:lang w:val="en-US" w:eastAsia="zh-CN"/>
              </w:rPr>
              <w:t>3</w:t>
            </w:r>
            <w:r>
              <w:rPr>
                <w:rFonts w:hint="eastAsia"/>
                <w:color w:val="auto"/>
                <w:sz w:val="21"/>
                <w:szCs w:val="21"/>
                <w:lang w:val="en-US" w:eastAsia="zh-CN"/>
              </w:rPr>
              <w:t>，甲苯与二甲苯合计最高允许排放浓度20mg/m</w:t>
            </w:r>
            <w:r>
              <w:rPr>
                <w:rFonts w:hint="eastAsia"/>
                <w:color w:val="auto"/>
                <w:sz w:val="21"/>
                <w:szCs w:val="21"/>
                <w:vertAlign w:val="superscript"/>
                <w:lang w:val="en-US" w:eastAsia="zh-CN"/>
              </w:rPr>
              <w:t>3</w:t>
            </w:r>
          </w:p>
        </w:tc>
      </w:tr>
      <w:tr w14:paraId="6DD8F9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14:paraId="3AF98696">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vMerge w:val="continue"/>
            <w:noWrap w:val="0"/>
            <w:vAlign w:val="center"/>
          </w:tcPr>
          <w:p w14:paraId="20A0FB8C">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1"/>
                <w:lang w:val="en-US" w:eastAsia="zh-CN"/>
              </w:rPr>
            </w:pPr>
          </w:p>
        </w:tc>
        <w:tc>
          <w:tcPr>
            <w:tcW w:w="1088" w:type="dxa"/>
            <w:noWrap w:val="0"/>
            <w:vAlign w:val="center"/>
          </w:tcPr>
          <w:p w14:paraId="528E2A82">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颗粒物、SO</w:t>
            </w:r>
            <w:r>
              <w:rPr>
                <w:rFonts w:hint="eastAsia"/>
                <w:color w:val="auto"/>
                <w:sz w:val="21"/>
                <w:szCs w:val="21"/>
                <w:vertAlign w:val="subscript"/>
                <w:lang w:val="en-US" w:eastAsia="zh-CN"/>
              </w:rPr>
              <w:t>2</w:t>
            </w:r>
            <w:r>
              <w:rPr>
                <w:rFonts w:hint="eastAsia"/>
                <w:color w:val="auto"/>
                <w:sz w:val="21"/>
                <w:szCs w:val="21"/>
                <w:lang w:val="en-US" w:eastAsia="zh-CN"/>
              </w:rPr>
              <w:t>、NO</w:t>
            </w:r>
            <w:r>
              <w:rPr>
                <w:rFonts w:hint="eastAsia"/>
                <w:color w:val="auto"/>
                <w:sz w:val="21"/>
                <w:szCs w:val="21"/>
                <w:vertAlign w:val="subscript"/>
                <w:lang w:val="en-US" w:eastAsia="zh-CN"/>
              </w:rPr>
              <w:t>X</w:t>
            </w:r>
            <w:r>
              <w:rPr>
                <w:rFonts w:hint="eastAsia"/>
                <w:color w:val="auto"/>
                <w:sz w:val="21"/>
                <w:szCs w:val="21"/>
                <w:vertAlign w:val="baseline"/>
                <w:lang w:val="en-US" w:eastAsia="zh-CN"/>
              </w:rPr>
              <w:t>、烟气黑度</w:t>
            </w:r>
          </w:p>
        </w:tc>
        <w:tc>
          <w:tcPr>
            <w:tcW w:w="2790" w:type="dxa"/>
            <w:noWrap w:val="0"/>
            <w:vAlign w:val="center"/>
          </w:tcPr>
          <w:p w14:paraId="6B0B4251">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pacing w:val="0"/>
                <w:sz w:val="21"/>
                <w:szCs w:val="21"/>
                <w:highlight w:val="none"/>
                <w:lang w:val="en-US" w:eastAsia="zh-CN"/>
              </w:rPr>
              <w:t>低氮燃烧器+</w:t>
            </w:r>
            <w:r>
              <w:rPr>
                <w:rFonts w:hint="default" w:ascii="Times New Roman" w:hAnsi="Times New Roman" w:eastAsia="宋体" w:cs="Times New Roman"/>
                <w:color w:val="auto"/>
                <w:sz w:val="21"/>
                <w:szCs w:val="21"/>
                <w:lang w:val="en-US" w:eastAsia="zh-CN"/>
              </w:rPr>
              <w:t>过滤棉+活性炭吸附</w:t>
            </w:r>
            <w:r>
              <w:rPr>
                <w:rFonts w:hint="eastAsia" w:ascii="Times New Roman" w:hAnsi="Times New Roman" w:eastAsia="宋体" w:cs="Times New Roman"/>
                <w:color w:val="auto"/>
                <w:sz w:val="21"/>
                <w:szCs w:val="21"/>
                <w:lang w:val="en-US" w:eastAsia="zh-CN"/>
              </w:rPr>
              <w:t>/脱附</w:t>
            </w:r>
            <w:r>
              <w:rPr>
                <w:rFonts w:hint="default" w:ascii="Times New Roman" w:hAnsi="Times New Roman" w:eastAsia="宋体" w:cs="Times New Roman"/>
                <w:color w:val="auto"/>
                <w:sz w:val="21"/>
                <w:szCs w:val="21"/>
                <w:lang w:val="en-US" w:eastAsia="zh-CN"/>
              </w:rPr>
              <w:t>+催化燃烧装置+1根15m高排气筒</w:t>
            </w:r>
            <w:r>
              <w:rPr>
                <w:rFonts w:hint="eastAsia" w:cs="Times New Roman"/>
                <w:color w:val="auto"/>
                <w:sz w:val="21"/>
                <w:szCs w:val="21"/>
                <w:lang w:val="en-US" w:eastAsia="zh-CN"/>
              </w:rPr>
              <w:t>（与喷漆烘干等工序共用一套）</w:t>
            </w:r>
          </w:p>
        </w:tc>
        <w:tc>
          <w:tcPr>
            <w:tcW w:w="3137" w:type="dxa"/>
            <w:noWrap w:val="0"/>
            <w:vAlign w:val="center"/>
          </w:tcPr>
          <w:p w14:paraId="22A4A875">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olor w:val="auto"/>
                <w:sz w:val="21"/>
                <w:szCs w:val="21"/>
                <w:highlight w:val="none"/>
                <w:lang w:val="en-US" w:eastAsia="zh-CN"/>
              </w:rPr>
              <w:t>《工业窑炉大气污染物排放标准》（DB13/1640-2012）中表1其他窑炉（新建窑炉）</w:t>
            </w:r>
            <w:r>
              <w:rPr>
                <w:rFonts w:hint="eastAsia"/>
                <w:color w:val="auto"/>
                <w:sz w:val="21"/>
                <w:szCs w:val="21"/>
                <w:highlight w:val="none"/>
              </w:rPr>
              <w:t>颗粒物</w:t>
            </w:r>
            <w:r>
              <w:rPr>
                <w:rFonts w:hint="eastAsia"/>
                <w:color w:val="auto"/>
                <w:sz w:val="21"/>
                <w:szCs w:val="21"/>
                <w:highlight w:val="none"/>
                <w:lang w:val="en-US" w:eastAsia="zh-CN"/>
              </w:rPr>
              <w:t>最高允许排放浓度50mg/m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，表2中SO</w:t>
            </w:r>
            <w:r>
              <w:rPr>
                <w:rFonts w:hint="eastAsia"/>
                <w:color w:val="auto"/>
                <w:sz w:val="21"/>
                <w:szCs w:val="21"/>
                <w:highlight w:val="none"/>
                <w:vertAlign w:val="subscript"/>
                <w:lang w:val="en-US" w:eastAsia="zh-CN"/>
              </w:rPr>
              <w:t>2</w:t>
            </w:r>
            <w:r>
              <w:rPr>
                <w:rFonts w:hint="eastAsia"/>
                <w:color w:val="auto"/>
                <w:sz w:val="21"/>
                <w:szCs w:val="21"/>
                <w:highlight w:val="none"/>
                <w:lang w:val="en-US" w:eastAsia="zh-CN"/>
              </w:rPr>
              <w:t>最高允许排放浓度400mg/m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，NO</w:t>
            </w:r>
            <w:r>
              <w:rPr>
                <w:rFonts w:hint="eastAsia"/>
                <w:color w:val="auto"/>
                <w:sz w:val="21"/>
                <w:szCs w:val="21"/>
                <w:highlight w:val="none"/>
                <w:vertAlign w:val="subscript"/>
                <w:lang w:val="en-US" w:eastAsia="zh-CN"/>
              </w:rPr>
              <w:t>X</w:t>
            </w:r>
            <w:r>
              <w:rPr>
                <w:rFonts w:hint="eastAsia"/>
                <w:color w:val="auto"/>
                <w:sz w:val="21"/>
                <w:szCs w:val="21"/>
                <w:highlight w:val="none"/>
                <w:lang w:val="en-US" w:eastAsia="zh-CN"/>
              </w:rPr>
              <w:t>最高允许排放浓度400mg/m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，烟气黑度小于1级（格林曼黑度），</w:t>
            </w:r>
            <w:r>
              <w:rPr>
                <w:rFonts w:hint="default" w:ascii="Times New Roman" w:hAnsi="Times New Roman" w:eastAsia="宋体" w:cs="Times New Roman"/>
                <w:color w:val="auto"/>
                <w:sz w:val="21"/>
                <w:szCs w:val="21"/>
                <w:highlight w:val="none"/>
                <w:lang w:val="en-US" w:eastAsia="zh-CN"/>
              </w:rPr>
              <w:t>同时应满足</w:t>
            </w:r>
            <w:r>
              <w:rPr>
                <w:rFonts w:hint="default" w:ascii="Times New Roman" w:hAnsi="Times New Roman" w:cs="Times New Roman"/>
                <w:b w:val="0"/>
                <w:color w:val="auto"/>
                <w:sz w:val="21"/>
                <w:szCs w:val="21"/>
                <w:highlight w:val="none"/>
              </w:rPr>
              <w:t>中共唐山市委办公室 唐山市人民政府办公室 关于印发《2019</w:t>
            </w:r>
            <w:r>
              <w:rPr>
                <w:rFonts w:hint="eastAsia" w:ascii="宋体" w:hAnsi="宋体" w:eastAsia="宋体" w:cs="宋体"/>
                <w:b w:val="0"/>
                <w:color w:val="auto"/>
                <w:sz w:val="21"/>
                <w:szCs w:val="21"/>
                <w:highlight w:val="none"/>
              </w:rPr>
              <w:t>年“十项重点工作”工</w:t>
            </w:r>
            <w:r>
              <w:rPr>
                <w:rFonts w:hint="default" w:ascii="Times New Roman" w:hAnsi="Times New Roman" w:cs="Times New Roman"/>
                <w:b w:val="0"/>
                <w:color w:val="auto"/>
                <w:sz w:val="21"/>
                <w:szCs w:val="21"/>
                <w:highlight w:val="none"/>
              </w:rPr>
              <w:t>作方案》的通知</w:t>
            </w:r>
            <w:r>
              <w:rPr>
                <w:rFonts w:hint="default" w:ascii="Times New Roman" w:hAnsi="Times New Roman" w:cs="Times New Roman"/>
                <w:b w:val="0"/>
                <w:color w:val="auto"/>
                <w:sz w:val="21"/>
                <w:szCs w:val="21"/>
                <w:highlight w:val="none"/>
                <w:lang w:val="en-US" w:eastAsia="zh-CN"/>
              </w:rPr>
              <w:t>中</w:t>
            </w:r>
            <w:r>
              <w:rPr>
                <w:rFonts w:hint="default" w:ascii="Times New Roman" w:hAnsi="Times New Roman" w:cs="Times New Roman"/>
                <w:color w:val="auto"/>
                <w:sz w:val="21"/>
                <w:szCs w:val="21"/>
                <w:highlight w:val="none"/>
                <w:lang w:val="en-US" w:eastAsia="zh-CN"/>
              </w:rPr>
              <w:t>无行业排放标准的颗粒物、二氧化硫、氮氧化物排放浓度控制在30mg/Nm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、200mg/Nm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、300mg/Nm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以下要求</w:t>
            </w:r>
            <w:r>
              <w:rPr>
                <w:rFonts w:hint="eastAsia"/>
                <w:color w:val="auto"/>
                <w:sz w:val="21"/>
                <w:szCs w:val="21"/>
                <w:highlight w:val="none"/>
                <w:lang w:val="en-US" w:eastAsia="zh-CN"/>
              </w:rPr>
              <w:t>，并且颗粒物排放浓度满足《钢铁工业大气污染物超低排放标准》（DB13/2169-2018）表1颗粒物排放限值：10mg/m</w:t>
            </w:r>
            <w:r>
              <w:rPr>
                <w:rFonts w:hint="eastAsia"/>
                <w:color w:val="auto"/>
                <w:sz w:val="21"/>
                <w:szCs w:val="21"/>
                <w:highlight w:val="none"/>
                <w:vertAlign w:val="superscript"/>
                <w:lang w:val="en-US" w:eastAsia="zh-CN"/>
              </w:rPr>
              <w:t>3</w:t>
            </w:r>
          </w:p>
        </w:tc>
      </w:tr>
      <w:tr w14:paraId="35E7B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14:paraId="31280850">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noWrap w:val="0"/>
            <w:vAlign w:val="center"/>
          </w:tcPr>
          <w:p w14:paraId="7E4082DF">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sz w:val="21"/>
                <w:szCs w:val="21"/>
                <w:lang w:val="en-US" w:eastAsia="zh-CN"/>
              </w:rPr>
              <w:t>喷塑、打磨、腻子打磨、</w:t>
            </w:r>
            <w:r>
              <w:rPr>
                <w:rFonts w:hint="eastAsia" w:cs="Times New Roman"/>
                <w:color w:val="auto"/>
                <w:sz w:val="21"/>
                <w:szCs w:val="21"/>
                <w:lang w:val="en-US" w:eastAsia="zh-CN"/>
              </w:rPr>
              <w:t>打砂、抛丸</w:t>
            </w:r>
            <w:r>
              <w:rPr>
                <w:rFonts w:hint="eastAsia"/>
                <w:sz w:val="21"/>
                <w:szCs w:val="21"/>
                <w:lang w:val="en-US" w:eastAsia="zh-CN"/>
              </w:rPr>
              <w:t>废气排放口（</w:t>
            </w:r>
            <w:r>
              <w:rPr>
                <w:rFonts w:hint="default"/>
                <w:sz w:val="21"/>
                <w:szCs w:val="21"/>
                <w:lang w:val="en-US" w:eastAsia="zh-CN"/>
              </w:rPr>
              <w:t>DA00</w:t>
            </w:r>
            <w:r>
              <w:rPr>
                <w:rFonts w:hint="eastAsia"/>
                <w:sz w:val="21"/>
                <w:szCs w:val="21"/>
                <w:lang w:val="en-US" w:eastAsia="zh-CN"/>
              </w:rPr>
              <w:t>2）</w:t>
            </w:r>
          </w:p>
        </w:tc>
        <w:tc>
          <w:tcPr>
            <w:tcW w:w="1088" w:type="dxa"/>
            <w:noWrap w:val="0"/>
            <w:vAlign w:val="center"/>
          </w:tcPr>
          <w:p w14:paraId="4C40122F">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颗粒物</w:t>
            </w:r>
          </w:p>
        </w:tc>
        <w:tc>
          <w:tcPr>
            <w:tcW w:w="2790" w:type="dxa"/>
            <w:noWrap w:val="0"/>
            <w:vAlign w:val="center"/>
          </w:tcPr>
          <w:p w14:paraId="2054071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olor w:val="auto"/>
                <w:sz w:val="21"/>
                <w:szCs w:val="21"/>
                <w:lang w:val="en-US" w:eastAsia="zh-CN"/>
              </w:rPr>
            </w:pPr>
            <w:r>
              <w:rPr>
                <w:rFonts w:hint="eastAsia" w:cs="Times New Roman"/>
                <w:b w:val="0"/>
                <w:bCs w:val="0"/>
                <w:color w:val="auto"/>
                <w:kern w:val="0"/>
                <w:sz w:val="21"/>
                <w:szCs w:val="21"/>
                <w:lang w:val="en-US" w:eastAsia="zh-CN" w:bidi="ar"/>
              </w:rPr>
              <w:t>喷塑</w:t>
            </w:r>
            <w:r>
              <w:rPr>
                <w:rFonts w:hint="default" w:ascii="Times New Roman" w:hAnsi="Times New Roman" w:eastAsia="宋体" w:cs="Times New Roman"/>
                <w:b w:val="0"/>
                <w:bCs w:val="0"/>
                <w:color w:val="auto"/>
                <w:kern w:val="0"/>
                <w:sz w:val="21"/>
                <w:szCs w:val="21"/>
                <w:lang w:val="en-US" w:eastAsia="zh-CN" w:bidi="ar"/>
              </w:rPr>
              <w:t>房顶部设置集气管道</w:t>
            </w:r>
            <w:r>
              <w:rPr>
                <w:rFonts w:hint="eastAsia" w:cs="Times New Roman"/>
                <w:b w:val="0"/>
                <w:bCs w:val="0"/>
                <w:color w:val="auto"/>
                <w:kern w:val="0"/>
                <w:sz w:val="21"/>
                <w:szCs w:val="21"/>
                <w:lang w:val="en-US" w:eastAsia="zh-CN" w:bidi="ar"/>
              </w:rPr>
              <w:t>，废气</w:t>
            </w:r>
            <w:r>
              <w:rPr>
                <w:rFonts w:hint="eastAsia"/>
                <w:color w:val="auto"/>
                <w:sz w:val="21"/>
                <w:szCs w:val="21"/>
                <w:lang w:val="en-US" w:eastAsia="zh-CN"/>
              </w:rPr>
              <w:t>经管道进入袋式除尘器（单独使用）进行处理；</w:t>
            </w:r>
          </w:p>
          <w:p w14:paraId="407EF8E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打磨废气通过集气罩收集经管道进入袋式除尘器；腻子打磨间、打砂房顶部设集尘管道，废气经管道进入袋式除尘器（打磨、腻子打磨、打砂工序共用一套袋式除尘器）；抛丸废气经设备自带除尘器处理。经过处理后的喷塑、打磨、腻子打磨、</w:t>
            </w:r>
            <w:r>
              <w:rPr>
                <w:rFonts w:hint="eastAsia" w:cs="Times New Roman"/>
                <w:color w:val="auto"/>
                <w:sz w:val="21"/>
                <w:szCs w:val="21"/>
                <w:lang w:val="en-US" w:eastAsia="zh-CN"/>
              </w:rPr>
              <w:t>打砂、抛丸废气</w:t>
            </w:r>
            <w:r>
              <w:rPr>
                <w:rFonts w:hint="eastAsia"/>
                <w:color w:val="auto"/>
                <w:sz w:val="21"/>
                <w:szCs w:val="21"/>
                <w:lang w:val="en-US" w:eastAsia="zh-CN"/>
              </w:rPr>
              <w:t>共用1根15m高排气筒排放</w:t>
            </w:r>
          </w:p>
        </w:tc>
        <w:tc>
          <w:tcPr>
            <w:tcW w:w="3137" w:type="dxa"/>
            <w:noWrap w:val="0"/>
            <w:vAlign w:val="center"/>
          </w:tcPr>
          <w:p w14:paraId="38ED3B54">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sz w:val="21"/>
                <w:szCs w:val="21"/>
                <w:lang w:eastAsia="zh-CN"/>
              </w:rPr>
            </w:pPr>
            <w:r>
              <w:rPr>
                <w:rFonts w:hint="eastAsia"/>
                <w:sz w:val="21"/>
                <w:szCs w:val="21"/>
                <w:lang w:val="en-US" w:eastAsia="zh-CN"/>
              </w:rPr>
              <w:t>喷塑：</w:t>
            </w:r>
            <w:r>
              <w:rPr>
                <w:rFonts w:hint="eastAsia"/>
                <w:sz w:val="21"/>
                <w:szCs w:val="21"/>
              </w:rPr>
              <w:t>《大气污染物综合排放标准》（</w:t>
            </w:r>
            <w:r>
              <w:rPr>
                <w:rFonts w:hint="default"/>
                <w:sz w:val="21"/>
                <w:szCs w:val="21"/>
              </w:rPr>
              <w:t>GB16297-1996</w:t>
            </w:r>
            <w:r>
              <w:rPr>
                <w:rFonts w:hint="eastAsia"/>
                <w:sz w:val="21"/>
                <w:szCs w:val="21"/>
              </w:rPr>
              <w:t>）表</w:t>
            </w:r>
            <w:r>
              <w:rPr>
                <w:rFonts w:hint="default"/>
                <w:sz w:val="21"/>
                <w:szCs w:val="21"/>
              </w:rPr>
              <w:t>2</w:t>
            </w:r>
            <w:r>
              <w:rPr>
                <w:rFonts w:hint="eastAsia"/>
                <w:sz w:val="21"/>
                <w:szCs w:val="21"/>
              </w:rPr>
              <w:t>中</w:t>
            </w:r>
            <w:r>
              <w:rPr>
                <w:rFonts w:hint="default"/>
                <w:sz w:val="21"/>
                <w:szCs w:val="21"/>
              </w:rPr>
              <w:t>二级标准</w:t>
            </w:r>
            <w:r>
              <w:rPr>
                <w:rFonts w:hint="eastAsia"/>
                <w:sz w:val="21"/>
                <w:szCs w:val="21"/>
              </w:rPr>
              <w:t>：颗粒物（染料尘）排放浓度限值</w:t>
            </w:r>
            <w:r>
              <w:rPr>
                <w:rFonts w:hint="default"/>
                <w:sz w:val="21"/>
                <w:szCs w:val="21"/>
              </w:rPr>
              <w:t>18mg/m</w:t>
            </w:r>
            <w:r>
              <w:rPr>
                <w:rFonts w:hint="default"/>
                <w:sz w:val="21"/>
                <w:szCs w:val="21"/>
                <w:vertAlign w:val="superscript"/>
              </w:rPr>
              <w:t>3</w:t>
            </w:r>
            <w:r>
              <w:rPr>
                <w:rFonts w:hint="eastAsia"/>
                <w:sz w:val="21"/>
                <w:szCs w:val="21"/>
                <w:lang w:eastAsia="zh-CN"/>
              </w:rPr>
              <w:t>；</w:t>
            </w:r>
          </w:p>
          <w:p w14:paraId="4E0C783B">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r>
              <w:rPr>
                <w:rFonts w:hint="eastAsia"/>
                <w:sz w:val="21"/>
                <w:szCs w:val="21"/>
                <w:lang w:val="en-US" w:eastAsia="zh-CN"/>
              </w:rPr>
              <w:t>打磨、腻子打磨、打砂、抛丸：</w:t>
            </w:r>
            <w:r>
              <w:rPr>
                <w:rFonts w:hint="default"/>
                <w:sz w:val="21"/>
                <w:szCs w:val="21"/>
                <w:lang w:val="en-US" w:eastAsia="zh-CN"/>
              </w:rPr>
              <w:t>《钢铁工业大气污染物超低排放标准》(DB13/2169-2018)中表1颗粒物排放限值10</w:t>
            </w:r>
            <w:r>
              <w:rPr>
                <w:rFonts w:hint="default"/>
                <w:sz w:val="21"/>
                <w:szCs w:val="21"/>
              </w:rPr>
              <w:t>mg/m</w:t>
            </w:r>
            <w:r>
              <w:rPr>
                <w:rFonts w:hint="eastAsia"/>
                <w:sz w:val="21"/>
                <w:szCs w:val="21"/>
                <w:vertAlign w:val="superscript"/>
                <w:lang w:val="en-US" w:eastAsia="zh-CN"/>
              </w:rPr>
              <w:t>3</w:t>
            </w:r>
          </w:p>
        </w:tc>
      </w:tr>
      <w:tr w14:paraId="13F1A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14:paraId="55DBF03A">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vMerge w:val="restart"/>
            <w:noWrap w:val="0"/>
            <w:vAlign w:val="center"/>
          </w:tcPr>
          <w:p w14:paraId="1BF0D855">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调漆、喷漆、烘干、喷塑、固化过程未捕集部分</w:t>
            </w:r>
          </w:p>
        </w:tc>
        <w:tc>
          <w:tcPr>
            <w:tcW w:w="1088" w:type="dxa"/>
            <w:noWrap w:val="0"/>
            <w:vAlign w:val="center"/>
          </w:tcPr>
          <w:p w14:paraId="0C1BBEE3">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2790" w:type="dxa"/>
            <w:vMerge w:val="restart"/>
            <w:noWrap w:val="0"/>
            <w:vAlign w:val="center"/>
          </w:tcPr>
          <w:p w14:paraId="35AD785A">
            <w:pPr>
              <w:pStyle w:val="2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lang w:val="en-US" w:eastAsia="zh-CN"/>
              </w:rPr>
            </w:pPr>
            <w:r>
              <w:rPr>
                <w:rFonts w:hint="eastAsia"/>
                <w:sz w:val="21"/>
                <w:szCs w:val="21"/>
                <w:lang w:eastAsia="zh-CN"/>
              </w:rPr>
              <w:t>车间内无组织排放</w:t>
            </w:r>
          </w:p>
        </w:tc>
        <w:tc>
          <w:tcPr>
            <w:tcW w:w="3137" w:type="dxa"/>
            <w:noWrap w:val="0"/>
            <w:vAlign w:val="center"/>
          </w:tcPr>
          <w:p w14:paraId="4D487F5C">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sz w:val="21"/>
                <w:szCs w:val="21"/>
                <w:lang w:bidi="ar"/>
              </w:rPr>
              <w:t>《大气污染物综合排放标准》（GB16297-1996）表2中</w:t>
            </w:r>
            <w:r>
              <w:rPr>
                <w:rFonts w:hint="default"/>
                <w:sz w:val="21"/>
                <w:szCs w:val="21"/>
                <w:lang w:val="en-US" w:eastAsia="zh-CN" w:bidi="ar"/>
              </w:rPr>
              <w:t>颗粒物</w:t>
            </w:r>
            <w:r>
              <w:rPr>
                <w:rFonts w:hint="default"/>
                <w:sz w:val="21"/>
                <w:szCs w:val="21"/>
                <w:lang w:bidi="ar"/>
              </w:rPr>
              <w:t>无组织排放浓度限值</w:t>
            </w:r>
            <w:r>
              <w:rPr>
                <w:rFonts w:hint="default"/>
                <w:sz w:val="21"/>
                <w:szCs w:val="21"/>
                <w:lang w:val="en-US" w:eastAsia="zh-CN" w:bidi="ar"/>
              </w:rPr>
              <w:t>1.0</w:t>
            </w:r>
            <w:r>
              <w:rPr>
                <w:rFonts w:hint="default"/>
                <w:sz w:val="21"/>
                <w:szCs w:val="21"/>
                <w:lang w:bidi="ar"/>
              </w:rPr>
              <w:t>mg/m</w:t>
            </w:r>
            <w:r>
              <w:rPr>
                <w:rFonts w:hint="default"/>
                <w:sz w:val="21"/>
                <w:szCs w:val="21"/>
                <w:vertAlign w:val="superscript"/>
                <w:lang w:bidi="ar"/>
              </w:rPr>
              <w:t>3</w:t>
            </w:r>
          </w:p>
        </w:tc>
      </w:tr>
      <w:tr w14:paraId="3D72F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14:paraId="19217938">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vMerge w:val="continue"/>
            <w:noWrap w:val="0"/>
            <w:vAlign w:val="center"/>
          </w:tcPr>
          <w:p w14:paraId="57FABF2F">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1"/>
                <w:lang w:val="en-US" w:eastAsia="zh-CN"/>
              </w:rPr>
            </w:pPr>
          </w:p>
        </w:tc>
        <w:tc>
          <w:tcPr>
            <w:tcW w:w="1088" w:type="dxa"/>
            <w:noWrap w:val="0"/>
            <w:vAlign w:val="center"/>
          </w:tcPr>
          <w:p w14:paraId="319E9342">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非甲烷总烃、</w:t>
            </w:r>
            <w:r>
              <w:rPr>
                <w:rFonts w:hint="eastAsia"/>
                <w:color w:val="auto"/>
                <w:sz w:val="21"/>
                <w:szCs w:val="21"/>
                <w:lang w:val="en-US" w:eastAsia="zh-CN"/>
              </w:rPr>
              <w:t>苯、甲苯、二甲苯</w:t>
            </w:r>
          </w:p>
        </w:tc>
        <w:tc>
          <w:tcPr>
            <w:tcW w:w="2790" w:type="dxa"/>
            <w:vMerge w:val="continue"/>
            <w:noWrap w:val="0"/>
            <w:vAlign w:val="center"/>
          </w:tcPr>
          <w:p w14:paraId="2A602BA2">
            <w:pPr>
              <w:pStyle w:val="2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lang w:val="en-US" w:eastAsia="zh-CN"/>
              </w:rPr>
            </w:pPr>
          </w:p>
        </w:tc>
        <w:tc>
          <w:tcPr>
            <w:tcW w:w="3137" w:type="dxa"/>
            <w:noWrap w:val="0"/>
            <w:vAlign w:val="center"/>
          </w:tcPr>
          <w:p w14:paraId="601D5397">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sz w:val="21"/>
                <w:szCs w:val="21"/>
                <w:lang w:bidi="ar"/>
              </w:rPr>
              <w:t>《工业企业挥发性有机物排放控制标准》（DB13/2322-2016）表2企业边界大气污染物</w:t>
            </w:r>
            <w:r>
              <w:rPr>
                <w:rFonts w:hint="eastAsia"/>
                <w:sz w:val="21"/>
                <w:szCs w:val="21"/>
                <w:lang w:val="en-US" w:eastAsia="zh-CN" w:bidi="ar"/>
              </w:rPr>
              <w:t>排放浓度限值：非甲烷总烃2.0</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苯0.1</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甲苯0.6</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二甲苯0.2</w:t>
            </w:r>
            <w:r>
              <w:rPr>
                <w:rFonts w:hint="eastAsia"/>
                <w:color w:val="auto"/>
                <w:sz w:val="21"/>
                <w:szCs w:val="21"/>
              </w:rPr>
              <w:t>mg/m</w:t>
            </w:r>
            <w:r>
              <w:rPr>
                <w:rFonts w:hint="eastAsia"/>
                <w:color w:val="auto"/>
                <w:sz w:val="21"/>
                <w:szCs w:val="21"/>
                <w:vertAlign w:val="superscript"/>
              </w:rPr>
              <w:t>3</w:t>
            </w:r>
            <w:r>
              <w:rPr>
                <w:rFonts w:hint="eastAsia"/>
                <w:sz w:val="21"/>
                <w:szCs w:val="21"/>
                <w:lang w:eastAsia="zh-CN"/>
              </w:rPr>
              <w:t>；</w:t>
            </w:r>
            <w:r>
              <w:rPr>
                <w:rFonts w:hint="eastAsia"/>
                <w:sz w:val="21"/>
                <w:szCs w:val="21"/>
              </w:rPr>
              <w:t>表3中生产车间或生产设备边界大气污染物</w:t>
            </w:r>
            <w:r>
              <w:rPr>
                <w:rFonts w:hint="eastAsia"/>
                <w:sz w:val="21"/>
                <w:szCs w:val="21"/>
                <w:lang w:val="en-US" w:eastAsia="zh-CN"/>
              </w:rPr>
              <w:t>中</w:t>
            </w:r>
            <w:r>
              <w:rPr>
                <w:rFonts w:hint="eastAsia"/>
                <w:sz w:val="21"/>
                <w:szCs w:val="21"/>
              </w:rPr>
              <w:t>浓度限值</w:t>
            </w:r>
            <w:r>
              <w:rPr>
                <w:rFonts w:hint="eastAsia"/>
                <w:sz w:val="21"/>
                <w:szCs w:val="21"/>
                <w:lang w:eastAsia="zh-CN"/>
              </w:rPr>
              <w:t>：</w:t>
            </w:r>
            <w:r>
              <w:rPr>
                <w:rFonts w:hint="eastAsia"/>
                <w:color w:val="auto"/>
                <w:sz w:val="21"/>
                <w:szCs w:val="21"/>
                <w:lang w:val="en-US" w:eastAsia="zh-CN"/>
              </w:rPr>
              <w:t>非甲烷总烃</w:t>
            </w:r>
            <w:r>
              <w:rPr>
                <w:rFonts w:hint="eastAsia"/>
                <w:color w:val="auto"/>
                <w:sz w:val="21"/>
                <w:szCs w:val="21"/>
              </w:rPr>
              <w:t>4</w:t>
            </w:r>
            <w:r>
              <w:rPr>
                <w:rFonts w:hint="default"/>
                <w:color w:val="auto"/>
                <w:sz w:val="21"/>
                <w:szCs w:val="21"/>
              </w:rPr>
              <w:t>.0mg/m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苯</w:t>
            </w:r>
            <w:r>
              <w:rPr>
                <w:rFonts w:hint="eastAsia"/>
                <w:color w:val="auto"/>
                <w:sz w:val="21"/>
                <w:szCs w:val="21"/>
                <w:lang w:val="en-US" w:eastAsia="zh-CN"/>
              </w:rPr>
              <w:t>0.4</w:t>
            </w:r>
            <w:r>
              <w:rPr>
                <w:rFonts w:hint="default"/>
                <w:color w:val="auto"/>
                <w:sz w:val="21"/>
                <w:szCs w:val="21"/>
              </w:rPr>
              <w:t>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甲苯</w:t>
            </w:r>
            <w:r>
              <w:rPr>
                <w:rFonts w:hint="eastAsia"/>
                <w:color w:val="auto"/>
                <w:sz w:val="21"/>
                <w:szCs w:val="21"/>
                <w:lang w:val="en-US" w:eastAsia="zh-CN"/>
              </w:rPr>
              <w:t>1.0</w:t>
            </w:r>
            <w:r>
              <w:rPr>
                <w:rFonts w:hint="default"/>
                <w:color w:val="auto"/>
                <w:sz w:val="21"/>
                <w:szCs w:val="21"/>
              </w:rPr>
              <w:t>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二甲苯</w:t>
            </w:r>
            <w:r>
              <w:rPr>
                <w:rFonts w:hint="eastAsia"/>
                <w:color w:val="auto"/>
                <w:sz w:val="21"/>
                <w:szCs w:val="21"/>
                <w:lang w:val="en-US" w:eastAsia="zh-CN"/>
              </w:rPr>
              <w:t>1.2</w:t>
            </w:r>
            <w:r>
              <w:rPr>
                <w:rFonts w:hint="default"/>
                <w:color w:val="auto"/>
                <w:sz w:val="21"/>
                <w:szCs w:val="21"/>
              </w:rPr>
              <w:t>mg/m</w:t>
            </w:r>
            <w:r>
              <w:rPr>
                <w:rFonts w:hint="default"/>
                <w:color w:val="auto"/>
                <w:sz w:val="21"/>
                <w:szCs w:val="21"/>
                <w:vertAlign w:val="superscript"/>
              </w:rPr>
              <w:t>3</w:t>
            </w:r>
          </w:p>
        </w:tc>
      </w:tr>
      <w:tr w14:paraId="24159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14:paraId="571F092C">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noWrap w:val="0"/>
            <w:vAlign w:val="center"/>
          </w:tcPr>
          <w:p w14:paraId="5F5A8659">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打磨、腻子打磨、打砂、抛丸过程未捕集部分</w:t>
            </w:r>
          </w:p>
        </w:tc>
        <w:tc>
          <w:tcPr>
            <w:tcW w:w="1088" w:type="dxa"/>
            <w:noWrap w:val="0"/>
            <w:vAlign w:val="center"/>
          </w:tcPr>
          <w:p w14:paraId="27C0A383">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2790" w:type="dxa"/>
            <w:noWrap w:val="0"/>
            <w:vAlign w:val="center"/>
          </w:tcPr>
          <w:p w14:paraId="6DD4D123">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kern w:val="2"/>
                <w:sz w:val="21"/>
                <w:szCs w:val="21"/>
                <w:highlight w:val="none"/>
                <w:lang w:val="en-US" w:eastAsia="zh-CN" w:bidi="ar"/>
              </w:rPr>
            </w:pPr>
            <w:r>
              <w:rPr>
                <w:rFonts w:hint="eastAsia"/>
                <w:sz w:val="21"/>
                <w:szCs w:val="21"/>
                <w:lang w:eastAsia="zh-CN"/>
              </w:rPr>
              <w:t>车间内无组织排放</w:t>
            </w:r>
          </w:p>
        </w:tc>
        <w:tc>
          <w:tcPr>
            <w:tcW w:w="3137" w:type="dxa"/>
            <w:vMerge w:val="restart"/>
            <w:noWrap w:val="0"/>
            <w:vAlign w:val="center"/>
          </w:tcPr>
          <w:p w14:paraId="7BF552B6">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1"/>
                <w:szCs w:val="21"/>
                <w:vertAlign w:val="baseline"/>
                <w:lang w:val="en-US" w:eastAsia="zh-CN" w:bidi="ar-SA"/>
              </w:rPr>
            </w:pPr>
            <w:r>
              <w:rPr>
                <w:rFonts w:hint="default"/>
                <w:sz w:val="21"/>
                <w:szCs w:val="21"/>
                <w:lang w:bidi="ar"/>
              </w:rPr>
              <w:t>《大气污染物综合排放标准》（GB16297-1996）表2中</w:t>
            </w:r>
            <w:r>
              <w:rPr>
                <w:rFonts w:hint="default"/>
                <w:sz w:val="21"/>
                <w:szCs w:val="21"/>
                <w:lang w:val="en-US" w:eastAsia="zh-CN" w:bidi="ar"/>
              </w:rPr>
              <w:t>颗粒物</w:t>
            </w:r>
            <w:r>
              <w:rPr>
                <w:rFonts w:hint="default"/>
                <w:sz w:val="21"/>
                <w:szCs w:val="21"/>
                <w:lang w:bidi="ar"/>
              </w:rPr>
              <w:t>无组织排放浓度限值</w:t>
            </w:r>
            <w:r>
              <w:rPr>
                <w:rFonts w:hint="default"/>
                <w:sz w:val="21"/>
                <w:szCs w:val="21"/>
                <w:lang w:val="en-US" w:eastAsia="zh-CN" w:bidi="ar"/>
              </w:rPr>
              <w:t>1.0</w:t>
            </w:r>
            <w:r>
              <w:rPr>
                <w:rFonts w:hint="default"/>
                <w:sz w:val="21"/>
                <w:szCs w:val="21"/>
                <w:lang w:bidi="ar"/>
              </w:rPr>
              <w:t>mg/m</w:t>
            </w:r>
            <w:r>
              <w:rPr>
                <w:rFonts w:hint="default"/>
                <w:sz w:val="21"/>
                <w:szCs w:val="21"/>
                <w:vertAlign w:val="superscript"/>
                <w:lang w:bidi="ar"/>
              </w:rPr>
              <w:t>3</w:t>
            </w:r>
          </w:p>
        </w:tc>
      </w:tr>
      <w:tr w14:paraId="467441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vMerge w:val="continue"/>
            <w:noWrap w:val="0"/>
            <w:vAlign w:val="center"/>
          </w:tcPr>
          <w:p w14:paraId="275FBCF9">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p>
        </w:tc>
        <w:tc>
          <w:tcPr>
            <w:tcW w:w="1620" w:type="dxa"/>
            <w:noWrap w:val="0"/>
            <w:vAlign w:val="center"/>
          </w:tcPr>
          <w:p w14:paraId="4D788716">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焊接工序</w:t>
            </w:r>
          </w:p>
        </w:tc>
        <w:tc>
          <w:tcPr>
            <w:tcW w:w="1088" w:type="dxa"/>
            <w:noWrap w:val="0"/>
            <w:vAlign w:val="center"/>
          </w:tcPr>
          <w:p w14:paraId="5C44BB60">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2790" w:type="dxa"/>
            <w:noWrap w:val="0"/>
            <w:vAlign w:val="center"/>
          </w:tcPr>
          <w:p w14:paraId="58316636">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highlight w:val="none"/>
                <w:lang w:val="en-US" w:eastAsia="zh-CN" w:bidi="ar"/>
              </w:rPr>
              <w:t>焊接过程产生的废气经移动式烟尘净化器处理后，无组织排放于车间内</w:t>
            </w:r>
          </w:p>
        </w:tc>
        <w:tc>
          <w:tcPr>
            <w:tcW w:w="3137" w:type="dxa"/>
            <w:vMerge w:val="continue"/>
            <w:noWrap w:val="0"/>
            <w:vAlign w:val="center"/>
          </w:tcPr>
          <w:p w14:paraId="07762F24">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1"/>
                <w:szCs w:val="21"/>
                <w:vertAlign w:val="baseline"/>
                <w:lang w:val="en-US" w:eastAsia="zh-CN" w:bidi="ar-SA"/>
              </w:rPr>
            </w:pPr>
          </w:p>
        </w:tc>
      </w:tr>
      <w:tr w14:paraId="51D82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noWrap w:val="0"/>
            <w:vAlign w:val="center"/>
          </w:tcPr>
          <w:p w14:paraId="4D20E880">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rPr>
            </w:pPr>
            <w:r>
              <w:rPr>
                <w:rFonts w:hint="eastAsia"/>
                <w:color w:val="auto"/>
                <w:sz w:val="21"/>
                <w:szCs w:val="21"/>
              </w:rPr>
              <w:t>地表水环境</w:t>
            </w:r>
          </w:p>
        </w:tc>
        <w:tc>
          <w:tcPr>
            <w:tcW w:w="1620" w:type="dxa"/>
            <w:noWrap w:val="0"/>
            <w:vAlign w:val="center"/>
          </w:tcPr>
          <w:p w14:paraId="18C5D128">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r>
              <w:rPr>
                <w:rFonts w:hint="eastAsia"/>
                <w:color w:val="auto"/>
                <w:sz w:val="21"/>
                <w:szCs w:val="21"/>
                <w:lang w:val="en-US" w:eastAsia="zh-CN"/>
              </w:rPr>
              <w:t>生活污水</w:t>
            </w:r>
          </w:p>
        </w:tc>
        <w:tc>
          <w:tcPr>
            <w:tcW w:w="1088" w:type="dxa"/>
            <w:noWrap w:val="0"/>
            <w:vAlign w:val="center"/>
          </w:tcPr>
          <w:p w14:paraId="3EE08B24">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r>
              <w:rPr>
                <w:rFonts w:hint="default"/>
                <w:sz w:val="21"/>
                <w:szCs w:val="21"/>
                <w:lang w:val="en-US" w:eastAsia="zh-CN"/>
              </w:rPr>
              <w:t>COD、氨氮</w:t>
            </w:r>
            <w:r>
              <w:rPr>
                <w:rFonts w:hint="eastAsia"/>
                <w:sz w:val="21"/>
                <w:szCs w:val="21"/>
                <w:lang w:val="en-US" w:eastAsia="zh-CN"/>
              </w:rPr>
              <w:t>等</w:t>
            </w:r>
          </w:p>
        </w:tc>
        <w:tc>
          <w:tcPr>
            <w:tcW w:w="2790" w:type="dxa"/>
            <w:noWrap w:val="0"/>
            <w:vAlign w:val="center"/>
          </w:tcPr>
          <w:p w14:paraId="383E9A9B">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eastAsia="zh-CN"/>
              </w:rPr>
            </w:pPr>
            <w:r>
              <w:rPr>
                <w:rFonts w:hint="eastAsia"/>
                <w:color w:val="auto"/>
                <w:sz w:val="21"/>
                <w:szCs w:val="21"/>
                <w:lang w:val="en-US" w:eastAsia="zh-CN"/>
              </w:rPr>
              <w:t>泼洒厂区地面抑尘</w:t>
            </w:r>
          </w:p>
        </w:tc>
        <w:tc>
          <w:tcPr>
            <w:tcW w:w="3137" w:type="dxa"/>
            <w:noWrap w:val="0"/>
            <w:vAlign w:val="center"/>
          </w:tcPr>
          <w:p w14:paraId="3B0010FF">
            <w:pPr>
              <w:pStyle w:val="2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olor w:val="auto"/>
                <w:sz w:val="21"/>
                <w:szCs w:val="21"/>
                <w:lang w:val="en-US"/>
              </w:rPr>
            </w:pPr>
            <w:r>
              <w:rPr>
                <w:rFonts w:hint="eastAsia"/>
                <w:color w:val="auto"/>
                <w:sz w:val="21"/>
                <w:szCs w:val="21"/>
                <w:lang w:val="en-US" w:eastAsia="zh-CN"/>
              </w:rPr>
              <w:t>-</w:t>
            </w:r>
          </w:p>
        </w:tc>
      </w:tr>
      <w:tr w14:paraId="78E5F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noWrap w:val="0"/>
            <w:vAlign w:val="center"/>
          </w:tcPr>
          <w:p w14:paraId="3D7A1A01">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rPr>
            </w:pPr>
            <w:r>
              <w:rPr>
                <w:rFonts w:hint="eastAsia"/>
                <w:color w:val="auto"/>
                <w:sz w:val="21"/>
                <w:szCs w:val="21"/>
              </w:rPr>
              <w:t>声环境</w:t>
            </w:r>
          </w:p>
        </w:tc>
        <w:tc>
          <w:tcPr>
            <w:tcW w:w="1620" w:type="dxa"/>
            <w:noWrap w:val="0"/>
            <w:vAlign w:val="center"/>
          </w:tcPr>
          <w:p w14:paraId="1D3CDFD6">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lang w:val="en-US" w:eastAsia="zh-CN"/>
              </w:rPr>
            </w:pPr>
            <w:r>
              <w:rPr>
                <w:rFonts w:hint="eastAsia"/>
                <w:color w:val="auto"/>
                <w:sz w:val="21"/>
                <w:szCs w:val="21"/>
                <w:lang w:val="en-US" w:eastAsia="zh-CN"/>
              </w:rPr>
              <w:t>生产设备运行</w:t>
            </w:r>
          </w:p>
        </w:tc>
        <w:tc>
          <w:tcPr>
            <w:tcW w:w="1088" w:type="dxa"/>
            <w:noWrap w:val="0"/>
            <w:vAlign w:val="center"/>
          </w:tcPr>
          <w:p w14:paraId="0DF8BE1D">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噪声</w:t>
            </w:r>
          </w:p>
        </w:tc>
        <w:tc>
          <w:tcPr>
            <w:tcW w:w="2790" w:type="dxa"/>
            <w:noWrap w:val="0"/>
            <w:vAlign w:val="center"/>
          </w:tcPr>
          <w:p w14:paraId="439FEA92">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lang w:val="en-US" w:eastAsia="zh-CN"/>
              </w:rPr>
            </w:pPr>
            <w:r>
              <w:rPr>
                <w:rFonts w:hint="eastAsia"/>
                <w:color w:val="auto"/>
                <w:sz w:val="21"/>
                <w:szCs w:val="21"/>
                <w:lang w:val="en-US" w:eastAsia="zh-CN"/>
              </w:rPr>
              <w:t>基础减振，厂房隔声、距离衰减等</w:t>
            </w:r>
          </w:p>
        </w:tc>
        <w:tc>
          <w:tcPr>
            <w:tcW w:w="3137" w:type="dxa"/>
            <w:noWrap w:val="0"/>
            <w:vAlign w:val="center"/>
          </w:tcPr>
          <w:p w14:paraId="7B8252C3">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lang w:val="en-US" w:eastAsia="zh-CN"/>
              </w:rPr>
            </w:pPr>
            <w:r>
              <w:rPr>
                <w:rFonts w:hint="eastAsia"/>
                <w:color w:val="auto"/>
                <w:sz w:val="21"/>
                <w:szCs w:val="21"/>
                <w:lang w:val="en-US" w:eastAsia="zh-CN"/>
              </w:rPr>
              <w:t>厂界满足</w:t>
            </w:r>
            <w:r>
              <w:rPr>
                <w:rFonts w:hint="default"/>
                <w:color w:val="auto"/>
                <w:sz w:val="21"/>
                <w:szCs w:val="21"/>
              </w:rPr>
              <w:t>《工业企业厂界环境噪声排放标准》（GB12348-2008）中</w:t>
            </w:r>
            <w:r>
              <w:rPr>
                <w:rFonts w:hint="eastAsia"/>
                <w:color w:val="auto"/>
                <w:sz w:val="21"/>
                <w:szCs w:val="21"/>
                <w:lang w:val="en-US" w:eastAsia="zh-CN"/>
              </w:rPr>
              <w:t>2类标准</w:t>
            </w:r>
          </w:p>
        </w:tc>
      </w:tr>
      <w:tr w14:paraId="15AAF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3" w:type="dxa"/>
            <w:noWrap w:val="0"/>
            <w:vAlign w:val="center"/>
          </w:tcPr>
          <w:p w14:paraId="7CAAF477">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rPr>
            </w:pPr>
            <w:r>
              <w:rPr>
                <w:rFonts w:hint="eastAsia"/>
                <w:color w:val="auto"/>
                <w:sz w:val="21"/>
                <w:szCs w:val="21"/>
              </w:rPr>
              <w:t>电磁辐射</w:t>
            </w:r>
          </w:p>
        </w:tc>
        <w:tc>
          <w:tcPr>
            <w:tcW w:w="1620" w:type="dxa"/>
            <w:noWrap w:val="0"/>
            <w:vAlign w:val="center"/>
          </w:tcPr>
          <w:p w14:paraId="32B9E0A1">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1088" w:type="dxa"/>
            <w:noWrap w:val="0"/>
            <w:vAlign w:val="center"/>
          </w:tcPr>
          <w:p w14:paraId="4DE413DA">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2790" w:type="dxa"/>
            <w:noWrap w:val="0"/>
            <w:vAlign w:val="center"/>
          </w:tcPr>
          <w:p w14:paraId="1A501A10">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3137" w:type="dxa"/>
            <w:noWrap w:val="0"/>
            <w:vAlign w:val="center"/>
          </w:tcPr>
          <w:p w14:paraId="23BFA413">
            <w:pPr>
              <w:pStyle w:val="2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lang w:val="en-US" w:eastAsia="zh-CN"/>
              </w:rPr>
            </w:pPr>
            <w:r>
              <w:rPr>
                <w:rFonts w:hint="eastAsia"/>
                <w:color w:val="auto"/>
                <w:sz w:val="21"/>
                <w:szCs w:val="21"/>
                <w:lang w:val="en-US" w:eastAsia="zh-CN"/>
              </w:rPr>
              <w:t>-</w:t>
            </w:r>
          </w:p>
        </w:tc>
      </w:tr>
      <w:tr w14:paraId="67692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13" w:type="dxa"/>
            <w:noWrap w:val="0"/>
            <w:vAlign w:val="center"/>
          </w:tcPr>
          <w:p w14:paraId="38900693">
            <w:pPr>
              <w:pStyle w:val="27"/>
              <w:bidi w:val="0"/>
              <w:ind w:firstLine="0" w:firstLineChars="0"/>
              <w:rPr>
                <w:rFonts w:hint="eastAsia"/>
                <w:color w:val="auto"/>
                <w:sz w:val="21"/>
                <w:szCs w:val="21"/>
              </w:rPr>
            </w:pPr>
            <w:r>
              <w:rPr>
                <w:rFonts w:hint="eastAsia" w:ascii="Times New Roman" w:hAnsi="Times New Roman" w:eastAsia="宋体" w:cs="Times New Roman"/>
                <w:b w:val="0"/>
                <w:bCs w:val="0"/>
                <w:color w:val="auto"/>
                <w:kern w:val="0"/>
                <w:sz w:val="21"/>
                <w:szCs w:val="21"/>
                <w:lang w:val="en-US" w:eastAsia="zh-CN" w:bidi="ar"/>
              </w:rPr>
              <w:t>固体废物</w:t>
            </w:r>
          </w:p>
        </w:tc>
        <w:tc>
          <w:tcPr>
            <w:tcW w:w="8635" w:type="dxa"/>
            <w:gridSpan w:val="4"/>
            <w:noWrap w:val="0"/>
            <w:vAlign w:val="center"/>
          </w:tcPr>
          <w:p w14:paraId="43EB354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本项目固体废物包括一般工业固体废物、职工生活垃圾，危险废物。</w:t>
            </w:r>
          </w:p>
          <w:p w14:paraId="4180CC4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auto"/>
                <w:sz w:val="21"/>
                <w:szCs w:val="21"/>
                <w:lang w:val="en-US" w:eastAsia="zh-CN"/>
              </w:rPr>
            </w:pPr>
            <w:r>
              <w:rPr>
                <w:rFonts w:hint="eastAsia"/>
                <w:color w:val="auto"/>
                <w:sz w:val="21"/>
                <w:szCs w:val="21"/>
                <w:lang w:val="en-US" w:eastAsia="zh-CN"/>
              </w:rPr>
              <w:t>一般工业固体废物：</w:t>
            </w:r>
            <w:r>
              <w:rPr>
                <w:rFonts w:hint="eastAsia" w:ascii="脣脦脤氓" w:hAnsi="脣脦脤氓" w:eastAsia="脣脦脤氓" w:cs="脣脦脤氓"/>
                <w:color w:val="auto"/>
                <w:kern w:val="0"/>
                <w:sz w:val="21"/>
                <w:szCs w:val="21"/>
                <w:lang w:val="en-US" w:eastAsia="zh-CN" w:bidi="ar"/>
              </w:rPr>
              <w:t>一般</w:t>
            </w:r>
            <w:r>
              <w:rPr>
                <w:rFonts w:ascii="脣脦脤氓" w:hAnsi="脣脦脤氓" w:eastAsia="脣脦脤氓" w:cs="脣脦脤氓"/>
                <w:color w:val="auto"/>
                <w:kern w:val="0"/>
                <w:sz w:val="21"/>
                <w:szCs w:val="21"/>
                <w:lang w:val="en-US" w:eastAsia="zh-CN" w:bidi="ar"/>
              </w:rPr>
              <w:t>固体废物收集</w:t>
            </w:r>
            <w:r>
              <w:rPr>
                <w:rFonts w:hint="default" w:ascii="脣脦脤氓" w:hAnsi="脣脦脤氓" w:eastAsia="脣脦脤氓" w:cs="脣脦脤氓"/>
                <w:color w:val="auto"/>
                <w:kern w:val="0"/>
                <w:sz w:val="21"/>
                <w:szCs w:val="21"/>
                <w:lang w:val="en-US" w:eastAsia="zh-CN" w:bidi="ar"/>
              </w:rPr>
              <w:t>后全部暂存于一般工业固废暂存间，其中废边角料、废铁屑、废磨料</w:t>
            </w:r>
            <w:r>
              <w:rPr>
                <w:rFonts w:hint="eastAsia" w:ascii="脣脦脤氓" w:hAnsi="脣脦脤氓" w:eastAsia="脣脦脤氓" w:cs="脣脦脤氓"/>
                <w:color w:val="auto"/>
                <w:kern w:val="0"/>
                <w:sz w:val="21"/>
                <w:szCs w:val="21"/>
                <w:lang w:val="en-US" w:eastAsia="zh-CN" w:bidi="ar"/>
              </w:rPr>
              <w:t>、</w:t>
            </w:r>
            <w:r>
              <w:rPr>
                <w:rFonts w:hint="default" w:ascii="脣脦脤氓" w:hAnsi="脣脦脤氓" w:eastAsia="脣脦脤氓" w:cs="脣脦脤氓"/>
                <w:color w:val="auto"/>
                <w:kern w:val="0"/>
                <w:sz w:val="21"/>
                <w:szCs w:val="21"/>
                <w:lang w:val="en-US" w:eastAsia="zh-CN" w:bidi="ar"/>
              </w:rPr>
              <w:t>废钢丸、</w:t>
            </w:r>
            <w:r>
              <w:rPr>
                <w:rFonts w:hint="eastAsia" w:ascii="脣脦脤氓" w:hAnsi="脣脦脤氓" w:eastAsia="脣脦脤氓" w:cs="脣脦脤氓"/>
                <w:color w:val="auto"/>
                <w:kern w:val="0"/>
                <w:sz w:val="21"/>
                <w:szCs w:val="21"/>
                <w:lang w:val="en-US" w:eastAsia="zh-CN" w:bidi="ar"/>
              </w:rPr>
              <w:t>袋式除尘器</w:t>
            </w:r>
            <w:r>
              <w:rPr>
                <w:rFonts w:hint="default" w:ascii="脣脦脤氓" w:hAnsi="脣脦脤氓" w:eastAsia="脣脦脤氓" w:cs="脣脦脤氓"/>
                <w:color w:val="auto"/>
                <w:kern w:val="0"/>
                <w:sz w:val="21"/>
                <w:szCs w:val="21"/>
                <w:lang w:val="en-US" w:eastAsia="zh-CN" w:bidi="ar"/>
              </w:rPr>
              <w:t>除尘灰</w:t>
            </w:r>
            <w:r>
              <w:rPr>
                <w:rFonts w:hint="eastAsia" w:ascii="脣脦脤氓" w:hAnsi="脣脦脤氓" w:eastAsia="脣脦脤氓" w:cs="脣脦脤氓"/>
                <w:color w:val="auto"/>
                <w:kern w:val="0"/>
                <w:sz w:val="21"/>
                <w:szCs w:val="21"/>
                <w:lang w:val="en-US" w:eastAsia="zh-CN" w:bidi="ar"/>
              </w:rPr>
              <w:t>、焊烟净化器除尘灰</w:t>
            </w:r>
            <w:r>
              <w:rPr>
                <w:rFonts w:hint="default" w:ascii="脣脦脤氓" w:hAnsi="脣脦脤氓" w:eastAsia="脣脦脤氓" w:cs="脣脦脤氓"/>
                <w:color w:val="auto"/>
                <w:kern w:val="0"/>
                <w:sz w:val="21"/>
                <w:szCs w:val="21"/>
                <w:lang w:val="en-US" w:eastAsia="zh-CN" w:bidi="ar"/>
              </w:rPr>
              <w:t>等外售</w:t>
            </w:r>
            <w:r>
              <w:rPr>
                <w:rFonts w:hint="eastAsia" w:ascii="脣脦脤氓" w:hAnsi="脣脦脤氓" w:eastAsia="脣脦脤氓" w:cs="脣脦脤氓"/>
                <w:color w:val="auto"/>
                <w:kern w:val="0"/>
                <w:sz w:val="21"/>
                <w:szCs w:val="21"/>
                <w:lang w:val="en-US" w:eastAsia="zh-CN" w:bidi="ar"/>
              </w:rPr>
              <w:t>相关企业</w:t>
            </w:r>
            <w:r>
              <w:rPr>
                <w:rFonts w:hint="default" w:ascii="脣脦脤氓" w:hAnsi="脣脦脤氓" w:eastAsia="脣脦脤氓" w:cs="脣脦脤氓"/>
                <w:color w:val="auto"/>
                <w:kern w:val="0"/>
                <w:sz w:val="21"/>
                <w:szCs w:val="21"/>
                <w:lang w:val="en-US" w:eastAsia="zh-CN" w:bidi="ar"/>
              </w:rPr>
              <w:t>，</w:t>
            </w:r>
            <w:r>
              <w:rPr>
                <w:rFonts w:hint="eastAsia" w:ascii="脣脦脤氓" w:hAnsi="脣脦脤氓" w:eastAsia="脣脦脤氓" w:cs="脣脦脤氓"/>
                <w:color w:val="auto"/>
                <w:kern w:val="0"/>
                <w:sz w:val="21"/>
                <w:szCs w:val="21"/>
                <w:lang w:val="en-US" w:eastAsia="zh-CN" w:bidi="ar"/>
              </w:rPr>
              <w:t>废焊料、废过滤材料</w:t>
            </w:r>
            <w:r>
              <w:rPr>
                <w:rFonts w:hint="default" w:ascii="脣脦脤氓" w:hAnsi="脣脦脤氓" w:eastAsia="脣脦脤氓" w:cs="脣脦脤氓"/>
                <w:color w:val="auto"/>
                <w:kern w:val="0"/>
                <w:sz w:val="21"/>
                <w:szCs w:val="21"/>
                <w:lang w:val="en-US" w:eastAsia="zh-CN" w:bidi="ar"/>
              </w:rPr>
              <w:t>、</w:t>
            </w:r>
            <w:r>
              <w:rPr>
                <w:rFonts w:hint="eastAsia" w:ascii="脣脦脤氓" w:hAnsi="脣脦脤氓" w:eastAsia="脣脦脤氓" w:cs="脣脦脤氓"/>
                <w:color w:val="auto"/>
                <w:kern w:val="0"/>
                <w:sz w:val="21"/>
                <w:szCs w:val="21"/>
                <w:lang w:val="en-US" w:eastAsia="zh-CN" w:bidi="ar"/>
              </w:rPr>
              <w:t>废布袋</w:t>
            </w:r>
            <w:r>
              <w:rPr>
                <w:rFonts w:hint="default" w:ascii="脣脦脤氓" w:hAnsi="脣脦脤氓" w:eastAsia="脣脦脤氓" w:cs="脣脦脤氓"/>
                <w:color w:val="auto"/>
                <w:kern w:val="0"/>
                <w:sz w:val="21"/>
                <w:szCs w:val="21"/>
                <w:lang w:val="en-US" w:eastAsia="zh-CN" w:bidi="ar"/>
              </w:rPr>
              <w:t>与水性漆</w:t>
            </w:r>
            <w:r>
              <w:rPr>
                <w:rFonts w:hint="eastAsia" w:ascii="脣脦脤氓" w:hAnsi="脣脦脤氓" w:eastAsia="脣脦脤氓" w:cs="脣脦脤氓"/>
                <w:color w:val="auto"/>
                <w:kern w:val="0"/>
                <w:sz w:val="21"/>
                <w:szCs w:val="21"/>
                <w:lang w:val="en-US" w:eastAsia="zh-CN" w:bidi="ar"/>
              </w:rPr>
              <w:t>、</w:t>
            </w:r>
            <w:r>
              <w:rPr>
                <w:rFonts w:hint="default" w:ascii="脣脦脤氓" w:hAnsi="脣脦脤氓" w:eastAsia="脣脦脤氓" w:cs="脣脦脤氓"/>
                <w:color w:val="auto"/>
                <w:kern w:val="0"/>
                <w:sz w:val="21"/>
                <w:szCs w:val="21"/>
                <w:lang w:val="en-US" w:eastAsia="zh-CN" w:bidi="ar"/>
              </w:rPr>
              <w:t>塑粉及腻子废包装桶外售废旧物资收购站</w:t>
            </w:r>
            <w:r>
              <w:rPr>
                <w:rFonts w:hint="eastAsia"/>
                <w:color w:val="auto"/>
                <w:sz w:val="21"/>
                <w:szCs w:val="21"/>
                <w:lang w:val="en-US" w:eastAsia="zh-CN"/>
              </w:rPr>
              <w:t>。</w:t>
            </w:r>
          </w:p>
          <w:p w14:paraId="3D786E2B">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both"/>
              <w:textAlignment w:val="auto"/>
              <w:rPr>
                <w:rFonts w:hint="default" w:ascii="Times New Roman" w:hAnsi="Times New Roman" w:eastAsia="宋体" w:cs="Times New Roman"/>
                <w:color w:val="auto"/>
                <w:sz w:val="21"/>
                <w:szCs w:val="21"/>
                <w:shd w:val="clear" w:color="auto" w:fill="auto"/>
                <w:lang w:eastAsia="zh-CN"/>
              </w:rPr>
            </w:pPr>
            <w:r>
              <w:rPr>
                <w:rFonts w:hint="default" w:ascii="Times New Roman" w:hAnsi="Times New Roman" w:eastAsia="宋体" w:cs="Times New Roman"/>
                <w:color w:val="auto"/>
                <w:sz w:val="21"/>
                <w:szCs w:val="21"/>
                <w:shd w:val="clear" w:color="auto" w:fill="auto"/>
                <w:lang w:eastAsia="zh-CN"/>
              </w:rPr>
              <w:t>职工生活垃圾</w:t>
            </w:r>
            <w:r>
              <w:rPr>
                <w:rFonts w:hint="eastAsia" w:ascii="Times New Roman" w:hAnsi="Times New Roman" w:eastAsia="宋体" w:cs="Times New Roman"/>
                <w:color w:val="auto"/>
                <w:sz w:val="21"/>
                <w:szCs w:val="21"/>
                <w:shd w:val="clear" w:color="auto" w:fill="auto"/>
                <w:lang w:eastAsia="zh-CN"/>
              </w:rPr>
              <w:t>：</w:t>
            </w:r>
            <w:r>
              <w:rPr>
                <w:rFonts w:hint="eastAsia" w:ascii="Times New Roman" w:hAnsi="Times New Roman" w:eastAsia="宋体" w:cs="Times New Roman"/>
                <w:color w:val="auto"/>
                <w:sz w:val="21"/>
                <w:szCs w:val="21"/>
                <w:shd w:val="clear" w:color="auto" w:fill="auto"/>
                <w:lang w:val="en-US" w:eastAsia="zh-CN"/>
              </w:rPr>
              <w:t>袋装化，</w:t>
            </w:r>
            <w:r>
              <w:rPr>
                <w:rFonts w:hint="default" w:ascii="Times New Roman" w:hAnsi="Times New Roman" w:eastAsia="宋体" w:cs="Times New Roman"/>
                <w:color w:val="auto"/>
                <w:sz w:val="21"/>
                <w:szCs w:val="21"/>
                <w:shd w:val="clear" w:color="auto" w:fill="auto"/>
                <w:lang w:eastAsia="zh-CN"/>
              </w:rPr>
              <w:t>集中收集，送当地环卫部门指定地点</w:t>
            </w:r>
            <w:r>
              <w:rPr>
                <w:rFonts w:hint="eastAsia" w:cs="Times New Roman"/>
                <w:color w:val="auto"/>
                <w:sz w:val="21"/>
                <w:szCs w:val="21"/>
                <w:shd w:val="clear" w:color="auto" w:fill="auto"/>
                <w:lang w:val="en-US" w:eastAsia="zh-CN"/>
              </w:rPr>
              <w:t>统</w:t>
            </w:r>
            <w:r>
              <w:rPr>
                <w:rFonts w:hint="default" w:ascii="Times New Roman" w:hAnsi="Times New Roman" w:eastAsia="宋体" w:cs="Times New Roman"/>
                <w:color w:val="auto"/>
                <w:sz w:val="21"/>
                <w:szCs w:val="21"/>
                <w:shd w:val="clear" w:color="auto" w:fill="auto"/>
                <w:lang w:eastAsia="zh-CN"/>
              </w:rPr>
              <w:t>一处理</w:t>
            </w:r>
            <w:r>
              <w:rPr>
                <w:rFonts w:hint="eastAsia" w:ascii="Times New Roman" w:hAnsi="Times New Roman" w:cs="Times New Roman"/>
                <w:color w:val="auto"/>
                <w:sz w:val="21"/>
                <w:szCs w:val="21"/>
                <w:shd w:val="clear" w:color="auto" w:fill="auto"/>
                <w:lang w:eastAsia="zh-CN"/>
              </w:rPr>
              <w:t>。</w:t>
            </w:r>
          </w:p>
          <w:p w14:paraId="0049B0B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color w:val="auto"/>
                <w:sz w:val="21"/>
                <w:szCs w:val="21"/>
                <w:lang w:val="en-US" w:eastAsia="zh-CN"/>
              </w:rPr>
            </w:pPr>
            <w:r>
              <w:rPr>
                <w:rFonts w:hint="eastAsia"/>
                <w:color w:val="auto"/>
                <w:sz w:val="21"/>
                <w:szCs w:val="21"/>
                <w:highlight w:val="none"/>
                <w:lang w:val="en-US" w:eastAsia="zh-CN"/>
              </w:rPr>
              <w:t>危险废物：</w:t>
            </w:r>
            <w:r>
              <w:rPr>
                <w:rFonts w:hint="eastAsia"/>
                <w:color w:val="auto"/>
                <w:sz w:val="21"/>
                <w:szCs w:val="21"/>
                <w:lang w:val="en-US" w:eastAsia="zh-CN"/>
              </w:rPr>
              <w:t>生产过程产生的</w:t>
            </w:r>
            <w:r>
              <w:rPr>
                <w:rFonts w:hint="default" w:ascii="脣脦脤氓" w:hAnsi="脣脦脤氓" w:eastAsia="脣脦脤氓" w:cs="脣脦脤氓"/>
                <w:color w:val="auto"/>
                <w:kern w:val="0"/>
                <w:sz w:val="21"/>
                <w:szCs w:val="21"/>
                <w:lang w:val="en-US" w:eastAsia="zh-CN" w:bidi="ar"/>
              </w:rPr>
              <w:t>废润滑油、废液压油、废切削液</w:t>
            </w:r>
            <w:r>
              <w:rPr>
                <w:rFonts w:hint="default" w:ascii="Times New Roman" w:hAnsi="Times New Roman" w:eastAsia="宋体" w:cs="Times New Roman"/>
                <w:color w:val="auto"/>
                <w:kern w:val="0"/>
                <w:sz w:val="21"/>
                <w:szCs w:val="21"/>
                <w:lang w:val="en-US" w:eastAsia="zh-CN" w:bidi="ar"/>
              </w:rPr>
              <w:t>暂存于危废暂存间，定期送有资质的危险废物处置单位处置</w:t>
            </w:r>
            <w:r>
              <w:rPr>
                <w:rFonts w:hint="eastAsia" w:ascii="脣脦脤氓" w:hAnsi="脣脦脤氓" w:eastAsia="脣脦脤氓" w:cs="脣脦脤氓"/>
                <w:color w:val="auto"/>
                <w:kern w:val="0"/>
                <w:sz w:val="21"/>
                <w:szCs w:val="21"/>
                <w:lang w:val="en-US" w:eastAsia="zh-CN" w:bidi="ar"/>
              </w:rPr>
              <w:t>；</w:t>
            </w:r>
            <w:r>
              <w:rPr>
                <w:rFonts w:hint="default" w:ascii="脣脦脤氓" w:hAnsi="脣脦脤氓" w:eastAsia="脣脦脤氓" w:cs="脣脦脤氓"/>
                <w:color w:val="auto"/>
                <w:kern w:val="0"/>
                <w:sz w:val="21"/>
                <w:szCs w:val="21"/>
                <w:lang w:val="en-US" w:eastAsia="zh-CN" w:bidi="ar"/>
              </w:rPr>
              <w:t>含油铁屑</w:t>
            </w:r>
            <w:r>
              <w:rPr>
                <w:rFonts w:hint="default" w:ascii="Times New Roman" w:hAnsi="Times New Roman" w:eastAsia="宋体" w:cs="Times New Roman"/>
                <w:color w:val="auto"/>
                <w:kern w:val="0"/>
                <w:sz w:val="21"/>
                <w:szCs w:val="21"/>
                <w:lang w:val="en-US" w:eastAsia="zh-CN" w:bidi="ar"/>
              </w:rPr>
              <w:t>经甩干机甩干达到静置无滴漏后打包压块暂存于危废暂存间，定期外售钢铁企业作为冶炼原料，甩干过程产生的废液与废润滑油等一并处置</w:t>
            </w:r>
            <w:r>
              <w:rPr>
                <w:rFonts w:hint="eastAsia" w:ascii="脣脦脤氓" w:hAnsi="脣脦脤氓" w:eastAsia="脣脦脤氓" w:cs="脣脦脤氓"/>
                <w:color w:val="auto"/>
                <w:kern w:val="0"/>
                <w:sz w:val="21"/>
                <w:szCs w:val="21"/>
                <w:lang w:val="en-US" w:eastAsia="zh-CN" w:bidi="ar"/>
              </w:rPr>
              <w:t>；</w:t>
            </w:r>
            <w:r>
              <w:rPr>
                <w:rFonts w:hint="default" w:ascii="脣脦脤氓" w:hAnsi="脣脦脤氓" w:eastAsia="脣脦脤氓" w:cs="脣脦脤氓"/>
                <w:color w:val="auto"/>
                <w:kern w:val="0"/>
                <w:sz w:val="21"/>
                <w:szCs w:val="21"/>
                <w:lang w:val="en-US" w:eastAsia="zh-CN" w:bidi="ar"/>
              </w:rPr>
              <w:t>漆渣</w:t>
            </w:r>
            <w:r>
              <w:rPr>
                <w:rFonts w:hint="eastAsia" w:ascii="脣脦脤氓" w:hAnsi="脣脦脤氓" w:eastAsia="脣脦脤氓" w:cs="脣脦脤氓"/>
                <w:color w:val="auto"/>
                <w:kern w:val="0"/>
                <w:sz w:val="21"/>
                <w:szCs w:val="21"/>
                <w:lang w:val="en-US" w:eastAsia="zh-CN" w:bidi="ar"/>
              </w:rPr>
              <w:t>、油性漆及废包装桶</w:t>
            </w:r>
            <w:r>
              <w:rPr>
                <w:rFonts w:hint="default" w:ascii="脣脦脤氓" w:hAnsi="脣脦脤氓" w:eastAsia="脣脦脤氓" w:cs="脣脦脤氓"/>
                <w:color w:val="auto"/>
                <w:kern w:val="0"/>
                <w:sz w:val="21"/>
                <w:szCs w:val="21"/>
                <w:lang w:val="en-US" w:eastAsia="zh-CN" w:bidi="ar"/>
              </w:rPr>
              <w:t>、废油桶</w:t>
            </w:r>
            <w:r>
              <w:rPr>
                <w:rFonts w:hint="eastAsia" w:ascii="脣脦脤氓" w:hAnsi="脣脦脤氓" w:eastAsia="脣脦脤氓" w:cs="脣脦脤氓"/>
                <w:color w:val="auto"/>
                <w:kern w:val="0"/>
                <w:sz w:val="21"/>
                <w:szCs w:val="21"/>
                <w:lang w:val="en-US" w:eastAsia="zh-CN" w:bidi="ar"/>
              </w:rPr>
              <w:t>，</w:t>
            </w:r>
            <w:r>
              <w:rPr>
                <w:rFonts w:hint="eastAsia" w:cs="Times New Roman"/>
                <w:snapToGrid w:val="0"/>
                <w:color w:val="auto"/>
                <w:kern w:val="0"/>
                <w:sz w:val="21"/>
                <w:szCs w:val="21"/>
                <w:highlight w:val="none"/>
                <w:shd w:val="clear" w:color="auto" w:fill="auto"/>
                <w:lang w:val="en-US" w:eastAsia="zh-CN" w:bidi="ar-SA"/>
              </w:rPr>
              <w:t>废气治理设施更换的废过滤棉、废活性炭、废催化剂、废九宫格过滤材料</w:t>
            </w:r>
            <w:r>
              <w:rPr>
                <w:rFonts w:hint="eastAsia" w:ascii="脣脦脤氓" w:hAnsi="脣脦脤氓" w:eastAsia="脣脦脤氓" w:cs="脣脦脤氓"/>
                <w:color w:val="auto"/>
                <w:kern w:val="0"/>
                <w:sz w:val="21"/>
                <w:szCs w:val="21"/>
                <w:lang w:val="en-US" w:eastAsia="zh-CN" w:bidi="ar"/>
              </w:rPr>
              <w:t>，分类收集，密封保存</w:t>
            </w:r>
            <w:r>
              <w:rPr>
                <w:rFonts w:hint="eastAsia" w:cs="Times New Roman"/>
                <w:snapToGrid w:val="0"/>
                <w:color w:val="auto"/>
                <w:kern w:val="0"/>
                <w:sz w:val="21"/>
                <w:szCs w:val="21"/>
                <w:highlight w:val="none"/>
                <w:shd w:val="clear" w:color="auto" w:fill="auto"/>
                <w:lang w:val="en-US" w:eastAsia="zh-CN" w:bidi="ar-SA"/>
              </w:rPr>
              <w:t>，暂存于危废间，</w:t>
            </w:r>
            <w:r>
              <w:rPr>
                <w:rFonts w:hint="default"/>
                <w:color w:val="auto"/>
                <w:sz w:val="21"/>
                <w:szCs w:val="21"/>
              </w:rPr>
              <w:t>定期</w:t>
            </w:r>
            <w:r>
              <w:rPr>
                <w:rFonts w:hint="eastAsia"/>
                <w:color w:val="auto"/>
                <w:sz w:val="21"/>
                <w:szCs w:val="21"/>
                <w:lang w:val="en-US" w:eastAsia="zh-CN"/>
              </w:rPr>
              <w:t>委托有</w:t>
            </w:r>
            <w:r>
              <w:rPr>
                <w:rFonts w:hint="default"/>
                <w:color w:val="auto"/>
                <w:sz w:val="21"/>
                <w:szCs w:val="21"/>
              </w:rPr>
              <w:t>资质的</w:t>
            </w:r>
            <w:r>
              <w:rPr>
                <w:rFonts w:hint="eastAsia"/>
                <w:color w:val="auto"/>
                <w:sz w:val="21"/>
                <w:szCs w:val="21"/>
                <w:lang w:val="en-US" w:eastAsia="zh-CN"/>
              </w:rPr>
              <w:t>单位</w:t>
            </w:r>
            <w:r>
              <w:rPr>
                <w:rFonts w:hint="default"/>
                <w:color w:val="auto"/>
                <w:sz w:val="21"/>
                <w:szCs w:val="21"/>
              </w:rPr>
              <w:t>进行处置。</w:t>
            </w:r>
          </w:p>
        </w:tc>
      </w:tr>
      <w:tr w14:paraId="71328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13" w:type="dxa"/>
            <w:noWrap w:val="0"/>
            <w:vAlign w:val="center"/>
          </w:tcPr>
          <w:p w14:paraId="7FAE40EE">
            <w:pPr>
              <w:pStyle w:val="27"/>
              <w:bidi w:val="0"/>
              <w:rPr>
                <w:rFonts w:hint="eastAsia"/>
                <w:color w:val="auto"/>
                <w:sz w:val="21"/>
                <w:szCs w:val="21"/>
              </w:rPr>
            </w:pPr>
            <w:r>
              <w:rPr>
                <w:rFonts w:hint="eastAsia"/>
                <w:color w:val="auto"/>
                <w:sz w:val="21"/>
                <w:szCs w:val="21"/>
              </w:rPr>
              <w:t>土壤及地下水</w:t>
            </w:r>
          </w:p>
          <w:p w14:paraId="29A6BB87">
            <w:pPr>
              <w:pStyle w:val="27"/>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污染防治措施</w:t>
            </w:r>
          </w:p>
        </w:tc>
        <w:tc>
          <w:tcPr>
            <w:tcW w:w="8635" w:type="dxa"/>
            <w:gridSpan w:val="4"/>
            <w:noWrap w:val="0"/>
            <w:vAlign w:val="center"/>
          </w:tcPr>
          <w:p w14:paraId="578406F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color w:val="auto"/>
                <w:sz w:val="21"/>
                <w:szCs w:val="21"/>
              </w:rPr>
            </w:pPr>
            <w:r>
              <w:rPr>
                <w:rFonts w:hint="eastAsia"/>
                <w:color w:val="auto"/>
                <w:sz w:val="21"/>
                <w:szCs w:val="21"/>
                <w:lang w:eastAsia="zh-CN"/>
              </w:rPr>
              <w:t>本项目</w:t>
            </w:r>
            <w:r>
              <w:rPr>
                <w:rFonts w:hint="eastAsia"/>
                <w:color w:val="auto"/>
                <w:sz w:val="21"/>
                <w:szCs w:val="21"/>
                <w:lang w:val="en-US" w:eastAsia="zh-CN"/>
              </w:rPr>
              <w:t>建成后对地下水、土壤的污染源</w:t>
            </w:r>
            <w:r>
              <w:rPr>
                <w:rFonts w:hint="eastAsia"/>
                <w:color w:val="auto"/>
                <w:sz w:val="21"/>
                <w:szCs w:val="21"/>
                <w:lang w:eastAsia="zh-CN"/>
              </w:rPr>
              <w:t>主要</w:t>
            </w:r>
            <w:r>
              <w:rPr>
                <w:rFonts w:hint="eastAsia"/>
                <w:color w:val="auto"/>
                <w:sz w:val="21"/>
                <w:szCs w:val="21"/>
                <w:lang w:val="en-US" w:eastAsia="zh-CN"/>
              </w:rPr>
              <w:t>为危险品库房存储的液化石油气、油性漆、油类以及</w:t>
            </w:r>
            <w:r>
              <w:rPr>
                <w:rFonts w:hint="eastAsia"/>
                <w:color w:val="auto"/>
                <w:sz w:val="21"/>
                <w:szCs w:val="21"/>
                <w:lang w:eastAsia="zh-CN"/>
              </w:rPr>
              <w:t>危废间</w:t>
            </w:r>
            <w:r>
              <w:rPr>
                <w:rFonts w:hint="eastAsia"/>
                <w:color w:val="auto"/>
                <w:sz w:val="21"/>
                <w:szCs w:val="21"/>
                <w:lang w:val="en-US" w:eastAsia="zh-CN"/>
              </w:rPr>
              <w:t>储存的危险废物，液化石油气、油性漆、润滑油、液压油、切削液、</w:t>
            </w:r>
            <w:r>
              <w:rPr>
                <w:rFonts w:hint="default" w:ascii="脣脦脤氓" w:hAnsi="脣脦脤氓" w:eastAsia="脣脦脤氓" w:cs="脣脦脤氓"/>
                <w:color w:val="000000"/>
                <w:kern w:val="0"/>
                <w:sz w:val="21"/>
                <w:szCs w:val="21"/>
                <w:lang w:val="en-US" w:eastAsia="zh-CN" w:bidi="ar"/>
              </w:rPr>
              <w:t>废润滑油、废液压油、废切削液、含油铁屑</w:t>
            </w:r>
            <w:r>
              <w:rPr>
                <w:rFonts w:hint="eastAsia"/>
                <w:color w:val="auto"/>
                <w:sz w:val="21"/>
                <w:szCs w:val="21"/>
                <w:lang w:val="en-US" w:eastAsia="zh-CN"/>
              </w:rPr>
              <w:t>，</w:t>
            </w:r>
            <w:r>
              <w:rPr>
                <w:rFonts w:hint="eastAsia"/>
                <w:color w:val="auto"/>
                <w:sz w:val="21"/>
                <w:szCs w:val="21"/>
                <w:lang w:eastAsia="zh-CN"/>
              </w:rPr>
              <w:t>可能因泄漏导致垂直入渗污染地下水、土壤，本项目</w:t>
            </w:r>
            <w:r>
              <w:rPr>
                <w:rFonts w:hint="eastAsia"/>
                <w:color w:val="auto"/>
                <w:sz w:val="21"/>
                <w:szCs w:val="21"/>
              </w:rPr>
              <w:t>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w:t>
            </w:r>
            <w:r>
              <w:rPr>
                <w:rFonts w:hint="eastAsia"/>
                <w:color w:val="auto"/>
                <w:sz w:val="21"/>
                <w:szCs w:val="21"/>
                <w:lang w:eastAsia="zh-CN"/>
              </w:rPr>
              <w:t>，做好防渗措施</w:t>
            </w:r>
            <w:r>
              <w:rPr>
                <w:rFonts w:hint="eastAsia"/>
                <w:color w:val="auto"/>
                <w:sz w:val="21"/>
                <w:szCs w:val="21"/>
              </w:rPr>
              <w:t>，避免由于泄漏造成物料下渗污染地下水</w:t>
            </w:r>
            <w:r>
              <w:rPr>
                <w:rFonts w:hint="eastAsia"/>
                <w:color w:val="auto"/>
                <w:sz w:val="21"/>
                <w:szCs w:val="21"/>
                <w:lang w:val="en-US" w:eastAsia="zh-CN"/>
              </w:rPr>
              <w:t>和土壤</w:t>
            </w:r>
            <w:r>
              <w:rPr>
                <w:rFonts w:hint="eastAsia"/>
                <w:color w:val="auto"/>
                <w:sz w:val="21"/>
                <w:szCs w:val="21"/>
              </w:rPr>
              <w:t>。</w:t>
            </w:r>
          </w:p>
          <w:p w14:paraId="54411EB5">
            <w:pPr>
              <w:keepNext w:val="0"/>
              <w:keepLines w:val="0"/>
              <w:pageBreakBefore w:val="0"/>
              <w:widowControl w:val="0"/>
              <w:kinsoku/>
              <w:wordWrap/>
              <w:overflowPunct/>
              <w:topLinePunct w:val="0"/>
              <w:autoSpaceDE/>
              <w:autoSpaceDN/>
              <w:bidi w:val="0"/>
              <w:adjustRightInd/>
              <w:spacing w:line="440" w:lineRule="exact"/>
              <w:ind w:right="0" w:rightChars="0" w:firstLine="420" w:firstLineChars="200"/>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⑴</w:t>
            </w:r>
            <w:r>
              <w:rPr>
                <w:rFonts w:hint="eastAsia" w:cs="Times New Roman"/>
                <w:color w:val="auto"/>
                <w:sz w:val="21"/>
                <w:szCs w:val="21"/>
                <w:highlight w:val="none"/>
                <w:lang w:val="en-US" w:eastAsia="zh-CN"/>
              </w:rPr>
              <w:t>简单防渗区：</w:t>
            </w:r>
            <w:r>
              <w:rPr>
                <w:rFonts w:hint="eastAsia"/>
                <w:sz w:val="21"/>
                <w:szCs w:val="21"/>
                <w:lang w:val="en-US" w:eastAsia="zh-CN"/>
              </w:rPr>
              <w:t>厂区地面（除绿化用地）全部进行硬化处理。</w:t>
            </w:r>
          </w:p>
          <w:p w14:paraId="2DAB3EDA">
            <w:pPr>
              <w:keepNext w:val="0"/>
              <w:keepLines w:val="0"/>
              <w:pageBreakBefore w:val="0"/>
              <w:widowControl w:val="0"/>
              <w:kinsoku/>
              <w:wordWrap/>
              <w:overflowPunct/>
              <w:topLinePunct w:val="0"/>
              <w:autoSpaceDE/>
              <w:autoSpaceDN/>
              <w:bidi w:val="0"/>
              <w:adjustRightInd/>
              <w:spacing w:line="440" w:lineRule="exact"/>
              <w:ind w:right="0" w:rightChars="0" w:firstLine="420" w:firstLineChars="200"/>
              <w:textAlignment w:val="auto"/>
              <w:outlineLvl w:val="9"/>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snapToGrid w:val="0"/>
                <w:color w:val="auto"/>
                <w:kern w:val="0"/>
                <w:sz w:val="21"/>
                <w:szCs w:val="21"/>
                <w:highlight w:val="none"/>
              </w:rPr>
              <w:t>⑵</w:t>
            </w:r>
            <w:r>
              <w:rPr>
                <w:rFonts w:hint="eastAsia" w:cs="Times New Roman"/>
                <w:snapToGrid w:val="0"/>
                <w:color w:val="auto"/>
                <w:kern w:val="0"/>
                <w:sz w:val="21"/>
                <w:szCs w:val="21"/>
                <w:highlight w:val="none"/>
                <w:lang w:val="en-US" w:eastAsia="zh-CN"/>
              </w:rPr>
              <w:t>一般防渗区：</w:t>
            </w:r>
            <w:r>
              <w:rPr>
                <w:rFonts w:hint="eastAsia" w:ascii="Times New Roman" w:hAnsi="Times New Roman" w:eastAsia="宋体" w:cs="Times New Roman"/>
                <w:color w:val="auto"/>
                <w:sz w:val="21"/>
                <w:szCs w:val="21"/>
                <w:highlight w:val="none"/>
                <w:lang w:eastAsia="zh-CN"/>
              </w:rPr>
              <w:t>车间地面、</w:t>
            </w:r>
            <w:r>
              <w:rPr>
                <w:rFonts w:hint="eastAsia" w:ascii="Times New Roman" w:hAnsi="Times New Roman" w:eastAsia="宋体" w:cs="Times New Roman"/>
                <w:color w:val="auto"/>
                <w:sz w:val="21"/>
                <w:szCs w:val="21"/>
                <w:highlight w:val="none"/>
                <w:lang w:val="en-US" w:eastAsia="zh-CN"/>
              </w:rPr>
              <w:t>一般固废存储区</w:t>
            </w:r>
            <w:r>
              <w:rPr>
                <w:rFonts w:hint="default" w:ascii="Times New Roman" w:hAnsi="Times New Roman" w:eastAsia="宋体" w:cs="Times New Roman"/>
                <w:color w:val="auto"/>
                <w:sz w:val="21"/>
                <w:szCs w:val="21"/>
                <w:highlight w:val="none"/>
              </w:rPr>
              <w:t>进行硬化处理，采用C15混凝土，厚度150mm，渗透系数小于</w:t>
            </w:r>
            <w:r>
              <w:rPr>
                <w:rFonts w:hint="eastAsia" w:ascii="Times New Roman" w:hAnsi="Times New Roman" w:eastAsia="宋体" w:cs="Times New Roman"/>
                <w:snapToGrid w:val="0"/>
                <w:color w:val="auto"/>
                <w:kern w:val="0"/>
                <w:sz w:val="21"/>
                <w:szCs w:val="21"/>
                <w:highlight w:val="none"/>
                <w:lang w:val="en-US" w:eastAsia="zh-CN"/>
              </w:rPr>
              <w:t>1.0</w:t>
            </w:r>
            <w:r>
              <w:rPr>
                <w:rFonts w:ascii="Times New Roman" w:hAnsi="Times New Roman"/>
                <w:color w:val="auto"/>
                <w:sz w:val="21"/>
                <w:szCs w:val="21"/>
              </w:rPr>
              <w:t>×</w:t>
            </w:r>
            <w:r>
              <w:rPr>
                <w:rFonts w:hint="default" w:ascii="Times New Roman" w:hAnsi="Times New Roman" w:eastAsia="宋体" w:cs="Times New Roman"/>
                <w:color w:val="auto"/>
                <w:sz w:val="21"/>
                <w:szCs w:val="21"/>
                <w:highlight w:val="none"/>
              </w:rPr>
              <w:t>10</w:t>
            </w:r>
            <w:r>
              <w:rPr>
                <w:rFonts w:hint="default" w:ascii="Times New Roman" w:hAnsi="Times New Roman" w:eastAsia="宋体" w:cs="Times New Roman"/>
                <w:color w:val="auto"/>
                <w:sz w:val="21"/>
                <w:szCs w:val="21"/>
                <w:highlight w:val="none"/>
                <w:vertAlign w:val="superscript"/>
              </w:rPr>
              <w:t>-7</w:t>
            </w:r>
            <w:r>
              <w:rPr>
                <w:rFonts w:hint="default" w:ascii="Times New Roman" w:hAnsi="Times New Roman" w:eastAsia="宋体" w:cs="Times New Roman"/>
                <w:color w:val="auto"/>
                <w:sz w:val="21"/>
                <w:szCs w:val="21"/>
                <w:highlight w:val="none"/>
              </w:rPr>
              <w:t>cm/s</w:t>
            </w:r>
            <w:r>
              <w:rPr>
                <w:rFonts w:hint="eastAsia" w:ascii="Times New Roman" w:hAnsi="Times New Roman" w:eastAsia="宋体" w:cs="Times New Roman"/>
                <w:color w:val="auto"/>
                <w:sz w:val="21"/>
                <w:szCs w:val="21"/>
                <w:highlight w:val="none"/>
                <w:lang w:eastAsia="zh-CN"/>
              </w:rPr>
              <w:t>。</w:t>
            </w:r>
          </w:p>
          <w:p w14:paraId="064FF6D1">
            <w:pPr>
              <w:keepNext w:val="0"/>
              <w:keepLines w:val="0"/>
              <w:pageBreakBefore w:val="0"/>
              <w:widowControl w:val="0"/>
              <w:kinsoku/>
              <w:wordWrap/>
              <w:overflowPunct/>
              <w:topLinePunct w:val="0"/>
              <w:autoSpaceDE/>
              <w:autoSpaceDN/>
              <w:bidi w:val="0"/>
              <w:adjustRightInd/>
              <w:spacing w:line="440" w:lineRule="exact"/>
              <w:ind w:right="0" w:rightChars="0" w:firstLine="411" w:firstLineChars="196"/>
              <w:textAlignment w:val="auto"/>
              <w:outlineLvl w:val="9"/>
              <w:rPr>
                <w:rFonts w:hint="eastAsia"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rPr>
              <w:t>⑶</w:t>
            </w:r>
            <w:r>
              <w:rPr>
                <w:rFonts w:hint="eastAsia" w:cs="Times New Roman"/>
                <w:snapToGrid w:val="0"/>
                <w:color w:val="auto"/>
                <w:kern w:val="0"/>
                <w:sz w:val="21"/>
                <w:szCs w:val="21"/>
                <w:highlight w:val="none"/>
                <w:lang w:val="en-US" w:eastAsia="zh-CN"/>
              </w:rPr>
              <w:t>重点防渗区：</w:t>
            </w:r>
          </w:p>
          <w:p w14:paraId="5AE41698">
            <w:pPr>
              <w:keepNext w:val="0"/>
              <w:keepLines w:val="0"/>
              <w:pageBreakBefore w:val="0"/>
              <w:widowControl w:val="0"/>
              <w:kinsoku/>
              <w:wordWrap/>
              <w:overflowPunct/>
              <w:topLinePunct w:val="0"/>
              <w:autoSpaceDE/>
              <w:autoSpaceDN/>
              <w:bidi w:val="0"/>
              <w:adjustRightInd/>
              <w:spacing w:line="440" w:lineRule="exact"/>
              <w:ind w:right="0" w:rightChars="0" w:firstLine="411" w:firstLineChars="196"/>
              <w:textAlignment w:val="auto"/>
              <w:outlineLvl w:val="9"/>
              <w:rPr>
                <w:rFonts w:hint="default" w:ascii="Times New Roman" w:hAnsi="Times New Roman" w:eastAsia="宋体" w:cs="Times New Roman"/>
                <w:color w:val="auto"/>
                <w:kern w:val="0"/>
                <w:sz w:val="21"/>
                <w:szCs w:val="21"/>
                <w:highlight w:val="none"/>
              </w:rPr>
            </w:pPr>
            <w:r>
              <w:rPr>
                <w:rFonts w:hint="eastAsia"/>
                <w:color w:val="auto"/>
                <w:sz w:val="21"/>
                <w:szCs w:val="21"/>
                <w:lang w:val="en-US" w:eastAsia="zh-CN"/>
              </w:rPr>
              <w:t>危险品库房、喷漆房、烘干房</w:t>
            </w:r>
            <w:r>
              <w:rPr>
                <w:rFonts w:hint="eastAsia" w:ascii="Times New Roman" w:hAnsi="Times New Roman" w:eastAsia="宋体" w:cs="Times New Roman"/>
                <w:snapToGrid w:val="0"/>
                <w:color w:val="auto"/>
                <w:kern w:val="0"/>
                <w:sz w:val="21"/>
                <w:szCs w:val="21"/>
                <w:highlight w:val="none"/>
                <w:lang w:eastAsia="zh-CN"/>
              </w:rPr>
              <w:t>设置</w:t>
            </w:r>
            <w:r>
              <w:rPr>
                <w:rFonts w:hint="eastAsia" w:ascii="Times New Roman" w:hAnsi="Times New Roman" w:eastAsia="宋体" w:cs="Times New Roman"/>
                <w:snapToGrid w:val="0"/>
                <w:color w:val="auto"/>
                <w:kern w:val="0"/>
                <w:sz w:val="21"/>
                <w:szCs w:val="21"/>
                <w:highlight w:val="none"/>
                <w:lang w:val="en-US" w:eastAsia="zh-CN"/>
              </w:rPr>
              <w:t>20cm高围堰，地面均采用防渗混凝土进行防渗处理，渗透系数小于1.0</w:t>
            </w:r>
            <w:r>
              <w:rPr>
                <w:rFonts w:ascii="Times New Roman" w:hAnsi="Times New Roman"/>
                <w:color w:val="auto"/>
                <w:sz w:val="21"/>
                <w:szCs w:val="21"/>
              </w:rPr>
              <w:t>×</w:t>
            </w:r>
            <w:r>
              <w:rPr>
                <w:rFonts w:hint="default" w:ascii="Times New Roman" w:hAnsi="Times New Roman" w:eastAsia="宋体" w:cs="Times New Roman"/>
                <w:color w:val="auto"/>
                <w:sz w:val="21"/>
                <w:szCs w:val="21"/>
                <w:highlight w:val="none"/>
              </w:rPr>
              <w:t>10</w:t>
            </w:r>
            <w:r>
              <w:rPr>
                <w:rFonts w:hint="default" w:ascii="Times New Roman" w:hAnsi="Times New Roman" w:eastAsia="宋体" w:cs="Times New Roman"/>
                <w:color w:val="auto"/>
                <w:sz w:val="21"/>
                <w:szCs w:val="21"/>
                <w:highlight w:val="none"/>
                <w:vertAlign w:val="superscript"/>
              </w:rPr>
              <w:t>-</w:t>
            </w:r>
            <w:r>
              <w:rPr>
                <w:rFonts w:hint="eastAsia" w:cs="Times New Roman"/>
                <w:color w:val="auto"/>
                <w:sz w:val="21"/>
                <w:szCs w:val="21"/>
                <w:highlight w:val="none"/>
                <w:vertAlign w:val="superscript"/>
                <w:lang w:val="en-US" w:eastAsia="zh-CN"/>
              </w:rPr>
              <w:t>10</w:t>
            </w:r>
            <w:r>
              <w:rPr>
                <w:rFonts w:hint="default" w:ascii="Times New Roman" w:hAnsi="Times New Roman" w:eastAsia="宋体" w:cs="Times New Roman"/>
                <w:color w:val="auto"/>
                <w:sz w:val="21"/>
                <w:szCs w:val="21"/>
                <w:highlight w:val="none"/>
              </w:rPr>
              <w:t>cm/s。</w:t>
            </w:r>
          </w:p>
          <w:p w14:paraId="5E9C032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default"/>
                <w:color w:val="auto"/>
                <w:sz w:val="21"/>
                <w:szCs w:val="21"/>
                <w:lang w:val="en-US" w:eastAsia="zh-CN"/>
              </w:rPr>
            </w:pPr>
            <w:r>
              <w:rPr>
                <w:rFonts w:hint="default" w:ascii="Times New Roman" w:hAnsi="Times New Roman" w:cs="Times New Roman"/>
                <w:color w:val="auto"/>
                <w:kern w:val="24"/>
                <w:sz w:val="21"/>
                <w:szCs w:val="21"/>
              </w:rPr>
              <w:t>危废暂存间地面及裙角作防渗处理，内壁</w:t>
            </w:r>
            <w:r>
              <w:rPr>
                <w:rFonts w:hint="default" w:ascii="Times New Roman" w:hAnsi="Times New Roman" w:cs="Times New Roman"/>
                <w:color w:val="auto"/>
                <w:sz w:val="21"/>
                <w:szCs w:val="21"/>
              </w:rPr>
              <w:t>设2毫米厚高密度聚乙烯，或至少2毫米厚的其它人工材料，确保防渗系数≤</w:t>
            </w:r>
            <w:r>
              <w:rPr>
                <w:rFonts w:hint="eastAsia" w:ascii="Times New Roman" w:hAnsi="Times New Roman" w:eastAsia="宋体" w:cs="Times New Roman"/>
                <w:snapToGrid w:val="0"/>
                <w:color w:val="auto"/>
                <w:kern w:val="0"/>
                <w:sz w:val="21"/>
                <w:szCs w:val="21"/>
                <w:highlight w:val="none"/>
                <w:lang w:val="en-US" w:eastAsia="zh-CN"/>
              </w:rPr>
              <w:t>1.0</w:t>
            </w:r>
            <w:r>
              <w:rPr>
                <w:rFonts w:ascii="Times New Roman" w:hAnsi="Times New Roman"/>
                <w:color w:val="auto"/>
                <w:sz w:val="21"/>
                <w:szCs w:val="21"/>
              </w:rPr>
              <w:t>×</w:t>
            </w:r>
            <w:r>
              <w:rPr>
                <w:rFonts w:hint="default" w:ascii="Times New Roman" w:hAnsi="Times New Roman" w:cs="Times New Roman"/>
                <w:color w:val="auto"/>
                <w:sz w:val="21"/>
                <w:szCs w:val="21"/>
              </w:rPr>
              <w:t>10</w:t>
            </w:r>
            <w:r>
              <w:rPr>
                <w:rFonts w:hint="default" w:ascii="Times New Roman" w:hAnsi="Times New Roman" w:cs="Times New Roman"/>
                <w:color w:val="auto"/>
                <w:sz w:val="21"/>
                <w:szCs w:val="21"/>
                <w:vertAlign w:val="superscript"/>
              </w:rPr>
              <w:t>-10</w:t>
            </w:r>
            <w:r>
              <w:rPr>
                <w:rFonts w:hint="default" w:ascii="Times New Roman" w:hAnsi="Times New Roman" w:cs="Times New Roman"/>
                <w:color w:val="auto"/>
                <w:sz w:val="21"/>
                <w:szCs w:val="21"/>
              </w:rPr>
              <w:t>cm/s。</w:t>
            </w:r>
          </w:p>
          <w:p w14:paraId="50088D2D">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rPr>
                <w:rFonts w:hint="eastAsia" w:ascii="Times New Roman" w:hAnsi="Times New Roman" w:eastAsia="宋体" w:cs="Times New Roman"/>
                <w:color w:val="0070C0"/>
                <w:kern w:val="2"/>
                <w:sz w:val="21"/>
                <w:szCs w:val="21"/>
                <w:lang w:val="en-US" w:eastAsia="zh-CN" w:bidi="ar-SA"/>
              </w:rPr>
            </w:pPr>
            <w:r>
              <w:rPr>
                <w:rFonts w:hint="eastAsia"/>
                <w:color w:val="auto"/>
                <w:sz w:val="21"/>
                <w:szCs w:val="21"/>
                <w:lang w:eastAsia="zh-CN"/>
              </w:rPr>
              <w:t>综上，采取上述防控措施后，</w:t>
            </w:r>
            <w:r>
              <w:rPr>
                <w:rFonts w:hint="eastAsia"/>
                <w:color w:val="auto"/>
                <w:sz w:val="21"/>
                <w:szCs w:val="21"/>
                <w:lang w:val="en-US" w:eastAsia="zh-CN"/>
              </w:rPr>
              <w:t>本项目建成后</w:t>
            </w:r>
            <w:r>
              <w:rPr>
                <w:rFonts w:hint="eastAsia" w:ascii="Times New Roman" w:hAnsi="Times New Roman"/>
                <w:color w:val="auto"/>
                <w:sz w:val="21"/>
                <w:szCs w:val="21"/>
              </w:rPr>
              <w:t>对区域</w:t>
            </w:r>
            <w:r>
              <w:rPr>
                <w:rFonts w:hint="eastAsia"/>
                <w:color w:val="auto"/>
                <w:sz w:val="21"/>
                <w:szCs w:val="21"/>
                <w:lang w:eastAsia="zh-CN"/>
              </w:rPr>
              <w:t>地下水、土壤</w:t>
            </w:r>
            <w:r>
              <w:rPr>
                <w:rFonts w:hint="eastAsia" w:ascii="Times New Roman" w:hAnsi="Times New Roman"/>
                <w:color w:val="auto"/>
                <w:sz w:val="21"/>
                <w:szCs w:val="21"/>
              </w:rPr>
              <w:t>环境影响较小。</w:t>
            </w:r>
          </w:p>
        </w:tc>
      </w:tr>
      <w:tr w14:paraId="414DC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113" w:type="dxa"/>
            <w:noWrap w:val="0"/>
            <w:vAlign w:val="center"/>
          </w:tcPr>
          <w:p w14:paraId="62AA1714">
            <w:pPr>
              <w:pStyle w:val="27"/>
              <w:bidi w:val="0"/>
              <w:ind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生态保护措施</w:t>
            </w:r>
          </w:p>
        </w:tc>
        <w:tc>
          <w:tcPr>
            <w:tcW w:w="8635" w:type="dxa"/>
            <w:gridSpan w:val="4"/>
            <w:noWrap w:val="0"/>
            <w:vAlign w:val="center"/>
          </w:tcPr>
          <w:p w14:paraId="2D7ECD94">
            <w:pPr>
              <w:bidi w:val="0"/>
              <w:ind w:firstLine="420" w:firstLineChars="20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本项目用地范围内无生态环境保护目标。</w:t>
            </w:r>
            <w:r>
              <w:rPr>
                <w:rFonts w:hint="eastAsia"/>
                <w:sz w:val="21"/>
                <w:szCs w:val="21"/>
                <w:lang w:val="en-US" w:eastAsia="zh-CN"/>
              </w:rPr>
              <w:t>厂房已建成，施工期不涉及土建项目，</w:t>
            </w:r>
            <w:r>
              <w:rPr>
                <w:rFonts w:hint="eastAsia"/>
                <w:sz w:val="21"/>
                <w:szCs w:val="21"/>
                <w:lang w:eastAsia="zh-CN"/>
              </w:rPr>
              <w:t>对区域生态环境影响较小。</w:t>
            </w:r>
          </w:p>
        </w:tc>
      </w:tr>
      <w:tr w14:paraId="5DE5A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13" w:type="dxa"/>
            <w:noWrap w:val="0"/>
            <w:vAlign w:val="center"/>
          </w:tcPr>
          <w:p w14:paraId="7491F3A4">
            <w:pPr>
              <w:pStyle w:val="27"/>
              <w:bidi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
              </w:rPr>
              <w:t>环境风险防范措施</w:t>
            </w:r>
          </w:p>
        </w:tc>
        <w:tc>
          <w:tcPr>
            <w:tcW w:w="8635" w:type="dxa"/>
            <w:gridSpan w:val="4"/>
            <w:noWrap w:val="0"/>
            <w:vAlign w:val="center"/>
          </w:tcPr>
          <w:p w14:paraId="1CD0083F">
            <w:pPr>
              <w:pStyle w:val="41"/>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firstLine="480"/>
              <w:rPr>
                <w:rFonts w:hint="default" w:ascii="Times New Roman" w:hAnsi="Times New Roman" w:eastAsia="宋体"/>
                <w:color w:val="auto"/>
                <w:kern w:val="2"/>
                <w:sz w:val="21"/>
                <w:szCs w:val="21"/>
                <w:lang w:val="en-US" w:eastAsia="zh-CN" w:bidi="ar-SA"/>
              </w:rPr>
            </w:pPr>
            <w:r>
              <w:rPr>
                <w:rFonts w:hint="eastAsia" w:eastAsia="宋体"/>
                <w:color w:val="auto"/>
                <w:kern w:val="2"/>
                <w:sz w:val="21"/>
                <w:szCs w:val="21"/>
                <w:lang w:val="en-US" w:eastAsia="zh-CN" w:bidi="ar-SA"/>
              </w:rPr>
              <w:t>（1）风险防范措施</w:t>
            </w:r>
          </w:p>
          <w:p w14:paraId="11463DB8">
            <w:pPr>
              <w:pStyle w:val="41"/>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firstLine="480"/>
              <w:rPr>
                <w:rFonts w:hint="default" w:ascii="Times New Roman" w:hAnsi="Times New Roman" w:eastAsia="宋体"/>
                <w:color w:val="auto"/>
                <w:kern w:val="2"/>
                <w:sz w:val="21"/>
                <w:szCs w:val="21"/>
                <w:lang w:val="en-US" w:eastAsia="zh-CN" w:bidi="ar-SA"/>
              </w:rPr>
            </w:pPr>
            <w:r>
              <w:rPr>
                <w:rFonts w:hint="eastAsia" w:eastAsia="宋体"/>
                <w:color w:val="auto"/>
                <w:kern w:val="2"/>
                <w:sz w:val="21"/>
                <w:szCs w:val="21"/>
                <w:lang w:val="en-US" w:eastAsia="zh-CN" w:bidi="ar-SA"/>
              </w:rPr>
              <w:t>企业应</w:t>
            </w:r>
            <w:r>
              <w:rPr>
                <w:rFonts w:hint="default" w:ascii="Times New Roman" w:hAnsi="Times New Roman" w:eastAsia="宋体"/>
                <w:color w:val="auto"/>
                <w:kern w:val="2"/>
                <w:sz w:val="21"/>
                <w:szCs w:val="21"/>
                <w:lang w:val="en-US" w:eastAsia="zh-CN" w:bidi="ar-SA"/>
              </w:rPr>
              <w:t>配备较好的设备和相应的抢险设施、风险物质储存区有防扬散、防流失、防渗漏等防治措施并参照国家标准《危险废物贮存污染控制标准》</w:t>
            </w:r>
            <w:r>
              <w:rPr>
                <w:rFonts w:hint="eastAsia" w:ascii="Times New Roman" w:hAnsi="Times New Roman"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GB18597-2001</w:t>
            </w:r>
            <w:r>
              <w:rPr>
                <w:rFonts w:hint="eastAsia" w:ascii="Times New Roman" w:hAnsi="Times New Roman"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和《危险废物收集贮存运输技术规范》</w:t>
            </w:r>
            <w:r>
              <w:rPr>
                <w:rFonts w:hint="eastAsia" w:ascii="Times New Roman" w:hAnsi="Times New Roman"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HJ2025-2012</w:t>
            </w:r>
            <w:r>
              <w:rPr>
                <w:rFonts w:hint="eastAsia" w:ascii="Times New Roman" w:hAnsi="Times New Roman" w:eastAsia="宋体"/>
                <w:color w:val="auto"/>
                <w:kern w:val="2"/>
                <w:sz w:val="21"/>
                <w:szCs w:val="21"/>
                <w:lang w:val="en-US" w:eastAsia="zh-CN" w:bidi="ar-SA"/>
              </w:rPr>
              <w:t>）</w:t>
            </w:r>
            <w:r>
              <w:rPr>
                <w:rFonts w:hint="default" w:ascii="Times New Roman" w:hAnsi="Times New Roman" w:eastAsia="宋体"/>
                <w:color w:val="auto"/>
                <w:kern w:val="2"/>
                <w:sz w:val="21"/>
                <w:szCs w:val="21"/>
                <w:lang w:val="en-US" w:eastAsia="zh-CN" w:bidi="ar-SA"/>
              </w:rPr>
              <w:t>的要求进行设计</w:t>
            </w:r>
            <w:r>
              <w:rPr>
                <w:rFonts w:hint="eastAsia" w:ascii="Times New Roman" w:hAnsi="Times New Roman" w:eastAsia="宋体"/>
                <w:color w:val="auto"/>
                <w:kern w:val="2"/>
                <w:sz w:val="21"/>
                <w:szCs w:val="21"/>
                <w:lang w:val="en-US" w:eastAsia="zh-CN" w:bidi="ar-SA"/>
              </w:rPr>
              <w:t>，并编制</w:t>
            </w:r>
            <w:r>
              <w:rPr>
                <w:rFonts w:hint="eastAsia" w:eastAsia="宋体"/>
                <w:color w:val="auto"/>
                <w:kern w:val="2"/>
                <w:sz w:val="21"/>
                <w:szCs w:val="21"/>
                <w:lang w:val="en-US" w:eastAsia="zh-CN" w:bidi="ar-SA"/>
              </w:rPr>
              <w:t>突发环境</w:t>
            </w:r>
            <w:r>
              <w:rPr>
                <w:rFonts w:hint="eastAsia" w:ascii="Times New Roman" w:hAnsi="Times New Roman" w:eastAsia="宋体"/>
                <w:color w:val="auto"/>
                <w:kern w:val="2"/>
                <w:sz w:val="21"/>
                <w:szCs w:val="21"/>
                <w:lang w:val="en-US" w:eastAsia="zh-CN" w:bidi="ar-SA"/>
              </w:rPr>
              <w:t>应急预案</w:t>
            </w:r>
            <w:r>
              <w:rPr>
                <w:rFonts w:hint="default" w:ascii="Times New Roman" w:hAnsi="Times New Roman" w:eastAsia="宋体"/>
                <w:color w:val="auto"/>
                <w:kern w:val="2"/>
                <w:sz w:val="21"/>
                <w:szCs w:val="21"/>
                <w:lang w:val="en-US" w:eastAsia="zh-CN" w:bidi="ar-SA"/>
              </w:rPr>
              <w:t>。</w:t>
            </w:r>
            <w:r>
              <w:rPr>
                <w:rFonts w:hint="eastAsia" w:eastAsia="宋体"/>
                <w:color w:val="auto"/>
                <w:kern w:val="2"/>
                <w:sz w:val="21"/>
                <w:szCs w:val="21"/>
                <w:lang w:val="en-US" w:eastAsia="zh-CN" w:bidi="ar-SA"/>
              </w:rPr>
              <w:t>危废间</w:t>
            </w:r>
            <w:r>
              <w:rPr>
                <w:rFonts w:hint="default" w:ascii="Times New Roman" w:hAnsi="Times New Roman" w:eastAsia="宋体"/>
                <w:color w:val="auto"/>
                <w:kern w:val="2"/>
                <w:sz w:val="21"/>
                <w:szCs w:val="21"/>
                <w:lang w:val="en-US" w:eastAsia="zh-CN" w:bidi="ar-SA"/>
              </w:rPr>
              <w:t>还应保持地面平滑无开裂、采用刷环氧地坪漆等方式进行进一步的防渗处理，门口设置围挡或斜坡，如果发生泄漏事故，确保风险物质不会溢流出上述区域，避免对水环境、土壤和大气环境造成影响。在液化石油气</w:t>
            </w:r>
            <w:r>
              <w:rPr>
                <w:rFonts w:hint="eastAsia" w:eastAsia="宋体"/>
                <w:color w:val="auto"/>
                <w:kern w:val="2"/>
                <w:sz w:val="21"/>
                <w:szCs w:val="21"/>
                <w:lang w:val="en-US" w:eastAsia="zh-CN" w:bidi="ar-SA"/>
              </w:rPr>
              <w:t>气瓶区</w:t>
            </w:r>
            <w:r>
              <w:rPr>
                <w:rFonts w:hint="default" w:ascii="Times New Roman" w:hAnsi="Times New Roman" w:eastAsia="宋体"/>
                <w:color w:val="auto"/>
                <w:kern w:val="2"/>
                <w:sz w:val="21"/>
                <w:szCs w:val="21"/>
                <w:lang w:val="en-US" w:eastAsia="zh-CN" w:bidi="ar-SA"/>
              </w:rPr>
              <w:t>配备若干灭火器和防火材料，每天派专人检查液化石油气管路及其相关使用部件，严格执行巡检制度，确保设备正常运行。</w:t>
            </w:r>
          </w:p>
          <w:p w14:paraId="5A29419F">
            <w:pPr>
              <w:pStyle w:val="41"/>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firstLine="480"/>
              <w:rPr>
                <w:rFonts w:hint="default" w:ascii="Times New Roman" w:hAnsi="Times New Roman" w:eastAsia="宋体"/>
                <w:color w:val="auto"/>
                <w:kern w:val="2"/>
                <w:sz w:val="21"/>
                <w:szCs w:val="21"/>
                <w:lang w:val="en-US" w:eastAsia="zh-CN" w:bidi="ar-SA"/>
              </w:rPr>
            </w:pPr>
            <w:r>
              <w:rPr>
                <w:rFonts w:hint="default" w:ascii="Times New Roman" w:hAnsi="Times New Roman" w:eastAsia="宋体"/>
                <w:color w:val="auto"/>
                <w:kern w:val="2"/>
                <w:sz w:val="21"/>
                <w:szCs w:val="21"/>
                <w:lang w:val="en-US" w:eastAsia="zh-CN" w:bidi="ar-SA"/>
              </w:rPr>
              <w:t>当发生事故时，为不使事故扩大，防止二次灾害的发生，要求及时抢险抢修，必须对各种险情进行事故前预测，保证抢险队伍的素质，遇险时应及时与当地消防部门取得联系，以获得有力支持。</w:t>
            </w:r>
          </w:p>
          <w:p w14:paraId="707AB0B4">
            <w:pPr>
              <w:pStyle w:val="41"/>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firstLine="480"/>
              <w:rPr>
                <w:rFonts w:hint="default" w:ascii="Times New Roman" w:hAnsi="Times New Roman" w:eastAsia="宋体"/>
                <w:color w:val="auto"/>
                <w:kern w:val="2"/>
                <w:sz w:val="21"/>
                <w:szCs w:val="21"/>
                <w:lang w:val="en-US" w:eastAsia="zh-CN" w:bidi="ar-SA"/>
              </w:rPr>
            </w:pPr>
            <w:r>
              <w:rPr>
                <w:rFonts w:hint="default" w:ascii="Times New Roman" w:hAnsi="Times New Roman" w:eastAsia="宋体"/>
                <w:color w:val="auto"/>
                <w:kern w:val="2"/>
                <w:sz w:val="21"/>
                <w:szCs w:val="21"/>
                <w:lang w:val="en-US" w:eastAsia="zh-CN" w:bidi="ar-SA"/>
              </w:rPr>
              <w:t>项目在运营中应确保正确操作和正常运行，在操作运行方面要求工作人员必须进行岗前专业培训，严格执行安全生产操作规程，进行安全性专业维护和保养，对安全设备进行定期校验，确保安全生产。同时建立夜间值班巡查制度、安全奖惩制度等。</w:t>
            </w:r>
          </w:p>
          <w:p w14:paraId="3A9FB90B">
            <w:pPr>
              <w:keepNext w:val="0"/>
              <w:keepLines w:val="0"/>
              <w:pageBreakBefore w:val="0"/>
              <w:kinsoku/>
              <w:wordWrap/>
              <w:overflowPunct/>
              <w:topLinePunct w:val="0"/>
              <w:autoSpaceDE/>
              <w:autoSpaceDN/>
              <w:bidi w:val="0"/>
              <w:spacing w:line="440" w:lineRule="exact"/>
              <w:rPr>
                <w:rFonts w:hint="default" w:ascii="Times New Roman" w:hAnsi="Times New Roman" w:eastAsia="宋体"/>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本项目润滑油</w:t>
            </w:r>
            <w:r>
              <w:rPr>
                <w:rFonts w:hint="eastAsia" w:cs="Times New Roman"/>
                <w:color w:val="auto"/>
                <w:sz w:val="21"/>
                <w:szCs w:val="21"/>
                <w:lang w:val="en-US" w:eastAsia="zh-CN"/>
              </w:rPr>
              <w:t>、切削液、液压油、漆料等均</w:t>
            </w:r>
            <w:r>
              <w:rPr>
                <w:rFonts w:hint="eastAsia" w:ascii="Times New Roman" w:hAnsi="Times New Roman" w:eastAsia="宋体" w:cs="Times New Roman"/>
                <w:color w:val="auto"/>
                <w:sz w:val="21"/>
                <w:szCs w:val="21"/>
                <w:lang w:val="en-US" w:eastAsia="zh-CN"/>
              </w:rPr>
              <w:t>为桶装，年使用量</w:t>
            </w:r>
            <w:r>
              <w:rPr>
                <w:rFonts w:hint="eastAsia" w:cs="Times New Roman"/>
                <w:color w:val="auto"/>
                <w:sz w:val="21"/>
                <w:szCs w:val="21"/>
                <w:lang w:val="en-US" w:eastAsia="zh-CN"/>
              </w:rPr>
              <w:t>很少</w:t>
            </w:r>
            <w:r>
              <w:rPr>
                <w:rFonts w:hint="eastAsia" w:ascii="Times New Roman" w:hAnsi="Times New Roman" w:eastAsia="宋体" w:cs="Times New Roman"/>
                <w:color w:val="auto"/>
                <w:sz w:val="21"/>
                <w:szCs w:val="21"/>
                <w:lang w:val="en-US" w:eastAsia="zh-CN"/>
              </w:rPr>
              <w:t>，且储存时油桶下设铁质托盘，储存区地面进行硬化、防腐防渗处理</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废润滑油</w:t>
            </w:r>
            <w:r>
              <w:rPr>
                <w:rFonts w:hint="eastAsia" w:cs="Times New Roman"/>
                <w:color w:val="auto"/>
                <w:sz w:val="21"/>
                <w:szCs w:val="21"/>
                <w:lang w:val="en-US" w:eastAsia="zh-CN"/>
              </w:rPr>
              <w:t>等危险废物</w:t>
            </w:r>
            <w:r>
              <w:rPr>
                <w:rFonts w:hint="eastAsia" w:ascii="Times New Roman" w:hAnsi="Times New Roman" w:eastAsia="宋体" w:cs="Times New Roman"/>
                <w:color w:val="auto"/>
                <w:sz w:val="21"/>
                <w:szCs w:val="21"/>
                <w:lang w:val="en-US" w:eastAsia="zh-CN"/>
              </w:rPr>
              <w:t>储存在危废间内，</w:t>
            </w:r>
            <w:r>
              <w:rPr>
                <w:rFonts w:hint="eastAsia" w:cs="Times New Roman"/>
                <w:color w:val="auto"/>
                <w:sz w:val="21"/>
                <w:szCs w:val="21"/>
                <w:lang w:val="en-US" w:eastAsia="zh-CN"/>
              </w:rPr>
              <w:t>使用专用容器承装</w:t>
            </w:r>
            <w:r>
              <w:rPr>
                <w:rFonts w:hint="eastAsia" w:ascii="Times New Roman" w:hAnsi="Times New Roman" w:eastAsia="宋体" w:cs="Times New Roman"/>
                <w:color w:val="auto"/>
                <w:sz w:val="21"/>
                <w:szCs w:val="21"/>
                <w:lang w:val="en-US" w:eastAsia="zh-CN"/>
              </w:rPr>
              <w:t>，下设铁质托盘</w:t>
            </w:r>
            <w:r>
              <w:rPr>
                <w:rFonts w:hint="eastAsia" w:cs="Times New Roman"/>
                <w:color w:val="auto"/>
                <w:sz w:val="21"/>
                <w:szCs w:val="21"/>
                <w:lang w:val="en-US" w:eastAsia="zh-CN"/>
              </w:rPr>
              <w:t>；危废间</w:t>
            </w:r>
            <w:r>
              <w:rPr>
                <w:rFonts w:hint="eastAsia" w:ascii="Times New Roman" w:hAnsi="Times New Roman" w:eastAsia="宋体" w:cs="Times New Roman"/>
                <w:color w:val="auto"/>
                <w:sz w:val="21"/>
                <w:szCs w:val="21"/>
                <w:lang w:val="en-US" w:eastAsia="zh-CN"/>
              </w:rPr>
              <w:t>地面及裙角进行硬化、防腐防渗处理；使用润滑油等油类物质的设备，定期巡检，避免跑冒滴漏现场发生，油类使用区域下方设铁质托盘，车间地面进行硬化、防腐防渗处理。因此，本项目对</w:t>
            </w:r>
            <w:r>
              <w:rPr>
                <w:rFonts w:hint="eastAsia" w:cs="Times New Roman"/>
                <w:color w:val="auto"/>
                <w:sz w:val="21"/>
                <w:szCs w:val="21"/>
                <w:highlight w:val="none"/>
                <w:lang w:val="en-US" w:eastAsia="zh-CN"/>
              </w:rPr>
              <w:t>地下水</w:t>
            </w:r>
            <w:r>
              <w:rPr>
                <w:rFonts w:hint="eastAsia" w:ascii="Times New Roman" w:hAnsi="Times New Roman" w:eastAsia="宋体" w:cs="Times New Roman"/>
                <w:color w:val="auto"/>
                <w:sz w:val="21"/>
                <w:szCs w:val="21"/>
                <w:lang w:val="en-US" w:eastAsia="zh-CN"/>
              </w:rPr>
              <w:t>及土壤</w:t>
            </w:r>
            <w:r>
              <w:rPr>
                <w:rFonts w:hint="eastAsia" w:ascii="Times New Roman" w:hAnsi="Times New Roman" w:eastAsia="宋体" w:cs="Times New Roman"/>
                <w:color w:val="auto"/>
                <w:sz w:val="21"/>
                <w:szCs w:val="21"/>
                <w:highlight w:val="none"/>
                <w:lang w:val="en-US" w:eastAsia="zh-CN"/>
              </w:rPr>
              <w:t>环</w:t>
            </w:r>
            <w:r>
              <w:rPr>
                <w:rFonts w:hint="eastAsia" w:ascii="Times New Roman" w:hAnsi="Times New Roman" w:eastAsia="宋体" w:cs="Times New Roman"/>
                <w:color w:val="auto"/>
                <w:sz w:val="21"/>
                <w:szCs w:val="21"/>
                <w:lang w:val="en-US" w:eastAsia="zh-CN"/>
              </w:rPr>
              <w:t>境影响很小。</w:t>
            </w:r>
          </w:p>
          <w:p w14:paraId="2E1F5DBA">
            <w:pPr>
              <w:pStyle w:val="41"/>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firstLine="480"/>
              <w:rPr>
                <w:rFonts w:hint="default" w:ascii="Times New Roman" w:hAnsi="Times New Roman" w:eastAsia="宋体"/>
                <w:color w:val="auto"/>
                <w:kern w:val="2"/>
                <w:sz w:val="21"/>
                <w:szCs w:val="21"/>
                <w:lang w:val="en-US" w:eastAsia="zh-CN" w:bidi="ar-SA"/>
              </w:rPr>
            </w:pPr>
            <w:r>
              <w:rPr>
                <w:rFonts w:hint="default" w:ascii="Times New Roman" w:hAnsi="Times New Roman" w:eastAsia="宋体"/>
                <w:color w:val="auto"/>
                <w:kern w:val="2"/>
                <w:sz w:val="21"/>
                <w:szCs w:val="21"/>
                <w:lang w:val="en-US" w:eastAsia="zh-CN" w:bidi="ar-SA"/>
              </w:rPr>
              <w:t>企业应建立健全防范制度，加强监督管理，规范操作，这类事故发生的概率处于可接受范围内。</w:t>
            </w:r>
          </w:p>
          <w:p w14:paraId="5DC47C4A">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420" w:firstLineChars="200"/>
              <w:rPr>
                <w:rFonts w:hint="default" w:ascii="Times New Roman" w:hAnsi="Times New Roman" w:eastAsia="宋体"/>
                <w:color w:val="auto"/>
                <w:kern w:val="2"/>
                <w:sz w:val="21"/>
                <w:szCs w:val="21"/>
                <w:lang w:val="en-US" w:eastAsia="zh-CN" w:bidi="ar-SA"/>
              </w:rPr>
            </w:pPr>
            <w:r>
              <w:rPr>
                <w:rFonts w:hint="eastAsia"/>
                <w:color w:val="auto"/>
                <w:kern w:val="2"/>
                <w:sz w:val="21"/>
                <w:szCs w:val="21"/>
                <w:lang w:val="en-US" w:eastAsia="zh-CN" w:bidi="ar-SA"/>
              </w:rPr>
              <w:t>（2）</w:t>
            </w:r>
            <w:r>
              <w:rPr>
                <w:rFonts w:hint="default" w:ascii="Times New Roman" w:hAnsi="Times New Roman" w:eastAsia="宋体"/>
                <w:color w:val="auto"/>
                <w:kern w:val="2"/>
                <w:sz w:val="21"/>
                <w:szCs w:val="21"/>
                <w:lang w:val="en-US" w:eastAsia="zh-CN" w:bidi="ar-SA"/>
              </w:rPr>
              <w:t>应急措施</w:t>
            </w:r>
          </w:p>
          <w:p w14:paraId="49748E30">
            <w:pPr>
              <w:pStyle w:val="41"/>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rightChars="0" w:firstLine="420" w:firstLineChars="200"/>
              <w:textAlignment w:val="auto"/>
              <w:rPr>
                <w:rFonts w:hint="default" w:ascii="Times New Roman" w:hAnsi="Times New Roman" w:eastAsia="宋体"/>
                <w:color w:val="auto"/>
                <w:kern w:val="2"/>
                <w:sz w:val="21"/>
                <w:szCs w:val="21"/>
                <w:lang w:val="en-US" w:eastAsia="zh-CN" w:bidi="ar-SA"/>
              </w:rPr>
            </w:pPr>
            <w:r>
              <w:rPr>
                <w:rFonts w:hint="default" w:ascii="Times New Roman" w:hAnsi="Times New Roman" w:eastAsia="宋体"/>
                <w:kern w:val="2"/>
                <w:sz w:val="21"/>
                <w:szCs w:val="21"/>
                <w:lang w:val="en-US" w:eastAsia="zh-CN" w:bidi="ar-SA"/>
              </w:rPr>
              <w:t>风险物质发生</w:t>
            </w:r>
            <w:r>
              <w:rPr>
                <w:rFonts w:hint="eastAsia" w:ascii="Times New Roman" w:hAnsi="Times New Roman" w:eastAsia="宋体"/>
                <w:kern w:val="2"/>
                <w:sz w:val="21"/>
                <w:szCs w:val="21"/>
                <w:lang w:val="en-US" w:eastAsia="zh-CN" w:bidi="ar-SA"/>
              </w:rPr>
              <w:t>泄漏</w:t>
            </w:r>
            <w:r>
              <w:rPr>
                <w:rFonts w:hint="default" w:ascii="Times New Roman" w:hAnsi="Times New Roman" w:eastAsia="宋体"/>
                <w:kern w:val="2"/>
                <w:sz w:val="21"/>
                <w:szCs w:val="21"/>
                <w:lang w:val="en-US" w:eastAsia="zh-CN" w:bidi="ar-SA"/>
              </w:rPr>
              <w:t>，通过工作人员或视频监控人员预警，根据现场情况将沙土沙袋、吸油毡、储油桶等运至</w:t>
            </w:r>
            <w:r>
              <w:rPr>
                <w:rFonts w:hint="eastAsia" w:eastAsia="宋体"/>
                <w:kern w:val="2"/>
                <w:sz w:val="21"/>
                <w:szCs w:val="21"/>
                <w:lang w:val="en-US" w:eastAsia="zh-CN" w:bidi="ar-SA"/>
              </w:rPr>
              <w:t>事</w:t>
            </w:r>
            <w:r>
              <w:rPr>
                <w:rFonts w:hint="default" w:ascii="Times New Roman" w:hAnsi="Times New Roman" w:eastAsia="宋体"/>
                <w:kern w:val="2"/>
                <w:sz w:val="21"/>
                <w:szCs w:val="21"/>
                <w:lang w:val="en-US" w:eastAsia="zh-CN" w:bidi="ar-SA"/>
              </w:rPr>
              <w:t>发现场进行现场环境应急处置，利用沙土沙袋，先进行溢流的围堵，避免污染面积扩散，用吸附材料吸收泄漏液体，然后移至安全地区，能够有效防止事故扩大。液化石油气</w:t>
            </w:r>
            <w:r>
              <w:rPr>
                <w:rFonts w:hint="eastAsia" w:eastAsia="宋体"/>
                <w:kern w:val="2"/>
                <w:sz w:val="21"/>
                <w:szCs w:val="21"/>
                <w:lang w:val="en-US" w:eastAsia="zh-CN" w:bidi="ar-SA"/>
              </w:rPr>
              <w:t>气瓶</w:t>
            </w:r>
            <w:r>
              <w:rPr>
                <w:rFonts w:hint="default" w:ascii="Times New Roman" w:hAnsi="Times New Roman" w:eastAsia="宋体"/>
                <w:kern w:val="2"/>
                <w:sz w:val="21"/>
                <w:szCs w:val="21"/>
                <w:lang w:val="en-US" w:eastAsia="zh-CN" w:bidi="ar-SA"/>
              </w:rPr>
              <w:t>设置安全控制阀，一旦发生泄漏应立刻关闭阀门，</w:t>
            </w:r>
            <w:r>
              <w:rPr>
                <w:rFonts w:hint="eastAsia" w:ascii="Times New Roman" w:hAnsi="Times New Roman" w:eastAsia="宋体"/>
                <w:kern w:val="2"/>
                <w:sz w:val="21"/>
                <w:szCs w:val="21"/>
                <w:lang w:val="en-US" w:eastAsia="zh-CN" w:bidi="ar-SA"/>
              </w:rPr>
              <w:t>气瓶</w:t>
            </w:r>
            <w:r>
              <w:rPr>
                <w:rFonts w:hint="default" w:ascii="Times New Roman" w:hAnsi="Times New Roman" w:eastAsia="宋体"/>
                <w:kern w:val="2"/>
                <w:sz w:val="21"/>
                <w:szCs w:val="21"/>
                <w:lang w:val="en-US" w:eastAsia="zh-CN" w:bidi="ar-SA"/>
              </w:rPr>
              <w:t>区配备若干灭火器和防火材料，一旦发生泄漏火灾，应立即灭火。当风险物质泄漏至雨水管网时，应急组对厂区雨水排口进行封堵，防止泄漏物泄漏厂区外。一旦泄漏致厂区外，企业应告知当地政府、生态环境局、环境保护监测站等进行处理。</w:t>
            </w:r>
          </w:p>
          <w:p w14:paraId="7A402F93">
            <w:pPr>
              <w:pStyle w:val="41"/>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rightChars="0" w:firstLine="420" w:firstLineChars="200"/>
              <w:textAlignment w:val="auto"/>
              <w:rPr>
                <w:rFonts w:hint="eastAsia" w:ascii="Times New Roman" w:hAnsi="Times New Roman" w:eastAsia="宋体"/>
                <w:color w:val="auto"/>
                <w:kern w:val="2"/>
                <w:sz w:val="21"/>
                <w:szCs w:val="21"/>
                <w:lang w:val="en-US" w:eastAsia="zh-CN" w:bidi="ar-SA"/>
              </w:rPr>
            </w:pPr>
            <w:r>
              <w:rPr>
                <w:rFonts w:hint="eastAsia" w:eastAsia="宋体"/>
                <w:kern w:val="2"/>
                <w:sz w:val="21"/>
                <w:szCs w:val="24"/>
                <w:lang w:val="en-US" w:eastAsia="zh-CN" w:bidi="ar-SA"/>
              </w:rPr>
              <w:t>（3）制定环境风险应急预案。</w:t>
            </w:r>
          </w:p>
        </w:tc>
      </w:tr>
      <w:tr w14:paraId="03913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13" w:type="dxa"/>
            <w:noWrap w:val="0"/>
            <w:vAlign w:val="center"/>
          </w:tcPr>
          <w:p w14:paraId="0800CB51">
            <w:pPr>
              <w:pStyle w:val="27"/>
              <w:bidi w:val="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其他环境管理要求</w:t>
            </w:r>
          </w:p>
        </w:tc>
        <w:tc>
          <w:tcPr>
            <w:tcW w:w="8635" w:type="dxa"/>
            <w:gridSpan w:val="4"/>
            <w:noWrap w:val="0"/>
            <w:vAlign w:val="center"/>
          </w:tcPr>
          <w:p w14:paraId="5FEA039E">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lang w:val="en-US" w:eastAsia="zh-CN"/>
              </w:rPr>
            </w:pPr>
            <w:r>
              <w:rPr>
                <w:rFonts w:hint="eastAsia"/>
                <w:sz w:val="21"/>
                <w:szCs w:val="21"/>
                <w:lang w:val="en-US" w:eastAsia="zh-CN"/>
              </w:rPr>
              <w:t>1、环境管理及监测计划</w:t>
            </w:r>
          </w:p>
          <w:p w14:paraId="0822B503">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（1）</w:t>
            </w:r>
            <w:r>
              <w:rPr>
                <w:rFonts w:hint="default"/>
                <w:sz w:val="21"/>
                <w:szCs w:val="21"/>
              </w:rPr>
              <w:t>环境管理措施</w:t>
            </w:r>
          </w:p>
          <w:p w14:paraId="6C4E52BE">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本项目实行</w:t>
            </w:r>
            <w:r>
              <w:rPr>
                <w:rFonts w:hint="eastAsia"/>
                <w:sz w:val="21"/>
                <w:szCs w:val="21"/>
                <w:lang w:val="en-US" w:eastAsia="zh-CN"/>
              </w:rPr>
              <w:t>总经理</w:t>
            </w:r>
            <w:r>
              <w:rPr>
                <w:rFonts w:hint="default"/>
                <w:sz w:val="21"/>
                <w:szCs w:val="21"/>
              </w:rPr>
              <w:t>主管环保工作的领导体制，全面负责环保和安全工作。</w:t>
            </w:r>
          </w:p>
          <w:p w14:paraId="6178857E">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①机构组成</w:t>
            </w:r>
          </w:p>
          <w:p w14:paraId="4E489690">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该厂实行</w:t>
            </w:r>
            <w:r>
              <w:rPr>
                <w:rFonts w:hint="eastAsia"/>
                <w:sz w:val="21"/>
                <w:szCs w:val="21"/>
                <w:lang w:val="en-US" w:eastAsia="zh-CN"/>
              </w:rPr>
              <w:t>总经理</w:t>
            </w:r>
            <w:r>
              <w:rPr>
                <w:rFonts w:hint="default"/>
                <w:sz w:val="21"/>
                <w:szCs w:val="21"/>
              </w:rPr>
              <w:t>负责主管环保工作的领导体制。</w:t>
            </w:r>
          </w:p>
          <w:p w14:paraId="34B0C204">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②机构职责</w:t>
            </w:r>
          </w:p>
          <w:p w14:paraId="2F8A3879">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a.</w:t>
            </w:r>
            <w:r>
              <w:rPr>
                <w:rFonts w:hint="default"/>
                <w:sz w:val="21"/>
                <w:szCs w:val="21"/>
              </w:rPr>
              <w:t>贯彻执行环境保护法规及环境保护标准；</w:t>
            </w:r>
          </w:p>
          <w:p w14:paraId="0DDEF733">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b.</w:t>
            </w:r>
            <w:r>
              <w:rPr>
                <w:rFonts w:hint="default"/>
                <w:sz w:val="21"/>
                <w:szCs w:val="21"/>
              </w:rPr>
              <w:t>建立完善的本企业环境保护管理制度，经常监督检查车间执行环保法规情况；</w:t>
            </w:r>
          </w:p>
          <w:p w14:paraId="429415F7">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c.</w:t>
            </w:r>
            <w:r>
              <w:rPr>
                <w:rFonts w:hint="default"/>
                <w:sz w:val="21"/>
                <w:szCs w:val="21"/>
              </w:rPr>
              <w:t>搞好环境保护教育和宣传，提高职工的环境保护意识；</w:t>
            </w:r>
          </w:p>
          <w:p w14:paraId="7C3BEBA3">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d.</w:t>
            </w:r>
            <w:r>
              <w:rPr>
                <w:rFonts w:hint="default"/>
                <w:sz w:val="21"/>
                <w:szCs w:val="21"/>
              </w:rPr>
              <w:t>组织对基层环保员的培训，提高工作素质；</w:t>
            </w:r>
          </w:p>
          <w:p w14:paraId="16791A98">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e.</w:t>
            </w:r>
            <w:r>
              <w:rPr>
                <w:rFonts w:hint="default"/>
                <w:sz w:val="21"/>
                <w:szCs w:val="21"/>
              </w:rPr>
              <w:t>定时考核和统计，以保证各项环保设施常年处于良好运行状态，确保全厂污染物排放达到国家排放标准或总量控制指标。</w:t>
            </w:r>
          </w:p>
          <w:p w14:paraId="6E4FE39B">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default"/>
                <w:sz w:val="21"/>
                <w:szCs w:val="21"/>
              </w:rPr>
              <w:t>监测制度</w:t>
            </w:r>
          </w:p>
          <w:p w14:paraId="7D2E66A1">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环境监测是环境保护的基础，是进行污染源治理及环保设施运行管理的依据，因而企业应定期对废气、废水、噪声等环保设施运行情况进行监测。</w:t>
            </w:r>
          </w:p>
          <w:p w14:paraId="3A0BC489">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通过对项目运行中环保设施进行监控，掌握废气、</w:t>
            </w:r>
            <w:r>
              <w:rPr>
                <w:rFonts w:hint="eastAsia"/>
                <w:sz w:val="21"/>
                <w:szCs w:val="21"/>
                <w:lang w:val="en-US" w:eastAsia="zh-CN"/>
              </w:rPr>
              <w:t>废水、</w:t>
            </w:r>
            <w:r>
              <w:rPr>
                <w:rFonts w:hint="default"/>
                <w:sz w:val="21"/>
                <w:szCs w:val="21"/>
              </w:rPr>
              <w:t>噪声等污染源排放是否符合国家或地方排放标准的要求，做到达标排放，同时对废气、</w:t>
            </w:r>
            <w:r>
              <w:rPr>
                <w:rFonts w:hint="eastAsia"/>
                <w:sz w:val="21"/>
                <w:szCs w:val="21"/>
                <w:lang w:val="en-US" w:eastAsia="zh-CN"/>
              </w:rPr>
              <w:t>废水、</w:t>
            </w:r>
            <w:r>
              <w:rPr>
                <w:rFonts w:hint="default"/>
                <w:sz w:val="21"/>
                <w:szCs w:val="21"/>
              </w:rPr>
              <w:t>固体废物及噪声防治设施进行监督检查，保证正常运行。</w:t>
            </w:r>
          </w:p>
          <w:p w14:paraId="74B86AD6">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eastAsia"/>
                <w:sz w:val="21"/>
                <w:szCs w:val="21"/>
                <w:lang w:val="en-US" w:eastAsia="zh-CN"/>
              </w:rPr>
              <w:t>（3）</w:t>
            </w:r>
            <w:r>
              <w:rPr>
                <w:rFonts w:hint="default"/>
                <w:sz w:val="21"/>
                <w:szCs w:val="21"/>
              </w:rPr>
              <w:t>环境监测机构及设备配置</w:t>
            </w:r>
          </w:p>
          <w:p w14:paraId="62B58C38">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rPr>
            </w:pPr>
            <w:r>
              <w:rPr>
                <w:rFonts w:hint="default"/>
                <w:sz w:val="21"/>
                <w:szCs w:val="21"/>
              </w:rPr>
              <w:t>环境监测是环境保护的基础，是进行污染治理和监督管理的依据。根据《排污单位自行监测技术指南 总则》（HJ819-2017）要求，本评价建议企业环境监测工作委托当地有资质的环境监测机构承担。</w:t>
            </w:r>
          </w:p>
          <w:p w14:paraId="64CC9F5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rPr>
            </w:pPr>
            <w:r>
              <w:rPr>
                <w:rFonts w:hint="eastAsia"/>
                <w:sz w:val="21"/>
                <w:szCs w:val="21"/>
                <w:lang w:val="en-US" w:eastAsia="zh-CN"/>
              </w:rPr>
              <w:t>（4）</w:t>
            </w:r>
            <w:r>
              <w:rPr>
                <w:rFonts w:hint="default"/>
                <w:sz w:val="21"/>
                <w:szCs w:val="21"/>
              </w:rPr>
              <w:t>监测计划</w:t>
            </w:r>
          </w:p>
          <w:p w14:paraId="7DA65546">
            <w:pPr>
              <w:pStyle w:val="27"/>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sz w:val="21"/>
                <w:szCs w:val="21"/>
                <w:highlight w:val="none"/>
              </w:rPr>
            </w:pPr>
            <w:r>
              <w:rPr>
                <w:rFonts w:hint="default"/>
                <w:sz w:val="21"/>
                <w:szCs w:val="21"/>
              </w:rPr>
              <w:t>根据污染物排放特征，依据国家颁布的环境质量标准、污染物排放标准及地方环保部门的要求，制定项目的监测计划和工作方案，监测工作可委托有资质的环境监测部门承担。企业投入运行后，各污染源</w:t>
            </w:r>
            <w:r>
              <w:rPr>
                <w:rFonts w:hint="eastAsia"/>
                <w:sz w:val="21"/>
                <w:szCs w:val="21"/>
                <w:lang w:val="en-US" w:eastAsia="zh-CN"/>
              </w:rPr>
              <w:t>按</w:t>
            </w:r>
            <w:r>
              <w:rPr>
                <w:rFonts w:hint="default"/>
                <w:sz w:val="21"/>
                <w:szCs w:val="21"/>
              </w:rPr>
              <w:t>监测计划</w:t>
            </w:r>
            <w:r>
              <w:rPr>
                <w:rFonts w:hint="eastAsia"/>
                <w:sz w:val="21"/>
                <w:szCs w:val="21"/>
                <w:lang w:val="en-US" w:eastAsia="zh-CN"/>
              </w:rPr>
              <w:t>进行检测</w:t>
            </w:r>
            <w:r>
              <w:rPr>
                <w:rFonts w:hint="default"/>
                <w:sz w:val="21"/>
                <w:szCs w:val="21"/>
              </w:rPr>
              <w:t>。</w:t>
            </w:r>
          </w:p>
          <w:p w14:paraId="10403BB1">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default"/>
                <w:sz w:val="21"/>
                <w:szCs w:val="21"/>
                <w:lang w:val="en-US" w:eastAsia="zh-CN"/>
              </w:rPr>
            </w:pPr>
            <w:r>
              <w:rPr>
                <w:rFonts w:hint="eastAsia"/>
                <w:sz w:val="21"/>
                <w:szCs w:val="21"/>
                <w:lang w:val="en-US" w:eastAsia="zh-CN"/>
              </w:rPr>
              <w:t>2、企业环境信息公开要求</w:t>
            </w:r>
          </w:p>
          <w:p w14:paraId="26BD24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（1）企业环境信息公开</w:t>
            </w:r>
          </w:p>
          <w:p w14:paraId="4B39AB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根据《企业事业单位环境信息公开办法》（环保部令第31号）的规定，企业事业单位应当按照强制公开和自愿公开相结合的原则，及时、如实地公开其环境信息。如环境信息涉及国家秘密、商业秘密或者个人隐私的，依法可以不公开；法律、法规另有规定的，从其规定。</w:t>
            </w:r>
          </w:p>
          <w:p w14:paraId="464E8C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该企业应当建立健全本单位环境信息公开制度，指定机构负责本单位环境信息公开日常工作。</w:t>
            </w:r>
          </w:p>
          <w:p w14:paraId="61823D1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（2）建设单位应当公开下列信息内容</w:t>
            </w:r>
          </w:p>
          <w:p w14:paraId="57A1A3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该企业应当公开信息内容如下：</w:t>
            </w:r>
          </w:p>
          <w:p w14:paraId="20DC7F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①基础信息：包括单位名称、组织机构代码、法定代表人、生产地址、联系方式，以及生产经营和管理服务的主要内容、产品及规模；</w:t>
            </w:r>
          </w:p>
          <w:p w14:paraId="584C2D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②排污信息：包括主要污染物及特征污染物的名称、排放方式、排放口数量和分布情况、排放浓度和总量、超标情况，以及执行的污染物排放标准、核定的排放总量；</w:t>
            </w:r>
          </w:p>
          <w:p w14:paraId="5E4560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③防治污染设施的建设和运行情况；</w:t>
            </w:r>
          </w:p>
          <w:p w14:paraId="1988C3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④建设项目环境影响评价及其他环境保护行政许可情况；</w:t>
            </w:r>
          </w:p>
          <w:p w14:paraId="255B29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⑤其他应当公开的环境信息。</w:t>
            </w:r>
          </w:p>
          <w:p w14:paraId="1F7065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（3）信息公开方式</w:t>
            </w:r>
          </w:p>
          <w:p w14:paraId="3DC00F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该企业采取信息公开栏方式公开相关信息；</w:t>
            </w:r>
          </w:p>
          <w:p w14:paraId="0ADF63A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3、排污许可规范化管理要求</w:t>
            </w:r>
          </w:p>
          <w:p w14:paraId="4F3CE8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国家实行排污许可制度，环境保护部门通过对企事业单位发放排污许可证并依证监管实施排污许可制。实行排污许可管理的企业事业单位和其他生产经营者应当按照排污许可证的要求排放污染物；未取得排污许可证的，不得排放污染物。</w:t>
            </w:r>
          </w:p>
          <w:p w14:paraId="096F52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根据《国务院办公厅关于印发控制污染物排放许可制实施方案的通知》（国办发[2016]81号）、《关于做好环境影响评价制度与排污许可制衔接相关工作的通知》（环办环评［2017］84号）和《固定污染源排污许可分类管理名录（2019年版）》等相关文件要求，企业事业单位和其他生产经营者应该按照名录的规定，在实施时限内申请排污许可证。</w:t>
            </w:r>
          </w:p>
          <w:p w14:paraId="0587C531">
            <w:pPr>
              <w:keepNext w:val="0"/>
              <w:keepLines w:val="0"/>
              <w:widowControl/>
              <w:suppressLineNumbers w:val="0"/>
              <w:jc w:val="left"/>
              <w:rPr>
                <w:rFonts w:hint="eastAsia"/>
                <w:sz w:val="21"/>
                <w:szCs w:val="21"/>
                <w:lang w:val="en-US" w:eastAsia="zh-CN"/>
              </w:rPr>
            </w:pPr>
            <w:r>
              <w:rPr>
                <w:rFonts w:hint="eastAsia"/>
                <w:sz w:val="21"/>
                <w:szCs w:val="21"/>
                <w:lang w:val="en-US" w:eastAsia="zh-CN"/>
              </w:rPr>
              <w:t>本项目经对照《固定污染源排污许可分类管理名录（2019年版）》已纳入名录管理的行业，应及时办理排污许可申请。本项目属于“二十九、通用设备制造业34—83用零部件制造348，其他通用设备制造业349—其他”，本公司属于登记管理。应当在启动生产设施或者发生实际排污之前进行排污登记。并且在国家及地方环保监管部门有要求的情况下实施监测。</w:t>
            </w:r>
          </w:p>
          <w:p w14:paraId="57DE14E5">
            <w:pPr>
              <w:bidi w:val="0"/>
              <w:rPr>
                <w:rFonts w:hint="eastAsia"/>
                <w:sz w:val="21"/>
                <w:szCs w:val="21"/>
                <w:lang w:val="en-US" w:eastAsia="zh-CN"/>
              </w:rPr>
            </w:pPr>
            <w:r>
              <w:rPr>
                <w:rFonts w:hint="eastAsia"/>
                <w:sz w:val="21"/>
                <w:szCs w:val="21"/>
                <w:lang w:val="en-US" w:eastAsia="zh-CN"/>
              </w:rPr>
              <w:t>4、环保竣工验收管理</w:t>
            </w:r>
          </w:p>
          <w:p w14:paraId="4A56E1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1"/>
                <w:szCs w:val="21"/>
                <w:lang w:val="en-US" w:eastAsia="zh-CN"/>
              </w:rPr>
            </w:pPr>
            <w:r>
              <w:rPr>
                <w:rFonts w:hint="eastAsia"/>
                <w:sz w:val="21"/>
                <w:szCs w:val="21"/>
                <w:lang w:val="en-US" w:eastAsia="zh-CN"/>
              </w:rPr>
              <w:t>建设单位是建设项目竣工环境保护验收的责任主体，应当按照《建设项目竣工环境保护验收暂行办法》（国环规环评〔2017〕4号）、《建设项目竣工环境保护验收技术指南污染影响类》（生态环境部办公厅2018年5月16日印发）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中弄虚作假。</w:t>
            </w:r>
          </w:p>
          <w:p w14:paraId="69E6AD3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eastAsia"/>
                <w:sz w:val="21"/>
                <w:szCs w:val="21"/>
                <w:lang w:val="en-US" w:eastAsia="zh-CN"/>
              </w:rPr>
              <w:t>5、</w:t>
            </w:r>
            <w:r>
              <w:rPr>
                <w:rFonts w:hint="default"/>
                <w:sz w:val="21"/>
                <w:szCs w:val="21"/>
                <w:lang w:val="en-US"/>
              </w:rPr>
              <w:t>排污口规范化</w:t>
            </w:r>
          </w:p>
          <w:p w14:paraId="0296FAD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default"/>
                <w:sz w:val="21"/>
                <w:szCs w:val="21"/>
                <w:lang w:val="en-US"/>
              </w:rPr>
              <w:t>排污口是企业污染物进入受纳环境的通道，做好排污口管理是实施污染物总量控制和达标排放的基础工作之—，必须实行规范化管理。</w:t>
            </w:r>
          </w:p>
          <w:p w14:paraId="15A67A3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eastAsia"/>
                <w:sz w:val="21"/>
                <w:szCs w:val="21"/>
                <w:lang w:val="en-US" w:eastAsia="zh-CN"/>
              </w:rPr>
              <w:t>（1）</w:t>
            </w:r>
            <w:r>
              <w:rPr>
                <w:rFonts w:hint="default"/>
                <w:sz w:val="21"/>
                <w:szCs w:val="21"/>
                <w:lang w:val="en-US"/>
              </w:rPr>
              <w:t>废气排污口规范化：排气筒应设置便于采样、监测的采样口和采样平台。当采样平台设置在离地面高度≥5m的位置时，应有通往平台的Z字梯/旋梯/升降梯。在各排气筒近地面处，应设立醒目的环境保护图形标志牌。本项目</w:t>
            </w:r>
            <w:r>
              <w:rPr>
                <w:rFonts w:hint="eastAsia"/>
                <w:sz w:val="21"/>
                <w:szCs w:val="21"/>
                <w:lang w:val="en-US" w:eastAsia="zh-CN"/>
              </w:rPr>
              <w:t>设有2</w:t>
            </w:r>
            <w:r>
              <w:rPr>
                <w:rFonts w:hint="default"/>
                <w:sz w:val="21"/>
                <w:szCs w:val="21"/>
                <w:lang w:val="en-US"/>
              </w:rPr>
              <w:t>根排气筒，主要排放污染物为颗粒物、非甲烷总烃</w:t>
            </w:r>
            <w:r>
              <w:rPr>
                <w:rFonts w:hint="eastAsia"/>
                <w:sz w:val="21"/>
                <w:szCs w:val="21"/>
                <w:lang w:val="en-US" w:eastAsia="zh-CN"/>
              </w:rPr>
              <w:t>、苯、甲苯、二甲苯</w:t>
            </w:r>
            <w:r>
              <w:rPr>
                <w:rFonts w:hint="default"/>
                <w:sz w:val="21"/>
                <w:szCs w:val="21"/>
                <w:lang w:val="en-US"/>
              </w:rPr>
              <w:t>。</w:t>
            </w:r>
          </w:p>
          <w:p w14:paraId="682381E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eastAsia"/>
                <w:sz w:val="21"/>
                <w:szCs w:val="21"/>
                <w:lang w:val="en-US" w:eastAsia="zh-CN"/>
              </w:rPr>
              <w:t>（2）</w:t>
            </w:r>
            <w:r>
              <w:rPr>
                <w:rFonts w:hint="default"/>
                <w:sz w:val="21"/>
                <w:szCs w:val="21"/>
                <w:lang w:val="en-US"/>
              </w:rPr>
              <w:t>废水：污水排放口须进行规范化建设，设置环保图形标志牌，需达到《环境保护图形标志排放口（源）》相关要求。</w:t>
            </w:r>
          </w:p>
          <w:p w14:paraId="0EF65CF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eastAsia"/>
                <w:sz w:val="21"/>
                <w:szCs w:val="21"/>
                <w:lang w:val="en-US" w:eastAsia="zh-CN"/>
              </w:rPr>
              <w:t>（3）</w:t>
            </w:r>
            <w:r>
              <w:rPr>
                <w:rFonts w:hint="default"/>
                <w:sz w:val="21"/>
                <w:szCs w:val="21"/>
                <w:lang w:val="en-US"/>
              </w:rPr>
              <w:t>噪声排污口规范化：须按《工业企业厂界环境噪声排放标准》（GB12348-2008）的规定，设置环境噪声监测点，并在该处附近醒目处设置环境保护图形标志牌。</w:t>
            </w:r>
          </w:p>
          <w:p w14:paraId="07B4259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eastAsia"/>
                <w:sz w:val="21"/>
                <w:szCs w:val="21"/>
                <w:lang w:val="en-US" w:eastAsia="zh-CN"/>
              </w:rPr>
              <w:t>（4）</w:t>
            </w:r>
            <w:r>
              <w:rPr>
                <w:rFonts w:hint="default"/>
                <w:sz w:val="21"/>
                <w:szCs w:val="21"/>
                <w:lang w:val="en-US"/>
              </w:rPr>
              <w:t>固体废物：本项目固体废物堆放场所必须有防火、防扬散、防渗漏等防止污染环境的措施，标志牌达到《环境保护图形标志-固体废物贮存（处置）场》（GB15562.2-1995）的规定。</w:t>
            </w:r>
          </w:p>
          <w:p w14:paraId="2CB9D6A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default"/>
                <w:sz w:val="21"/>
                <w:szCs w:val="21"/>
                <w:lang w:val="en-US"/>
              </w:rPr>
              <w:t>管理要求：排放口规范化的相关设施（如：计量、监控装置、标志牌等）属污染治理设施的组成部分，环境保护部门应按照有关污染治理设施的监督管理规定，加强日常监督管理，排污单位应将规范化排放的相关设施纳入本单位设备管理范围。</w:t>
            </w:r>
          </w:p>
          <w:p w14:paraId="6831E73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1"/>
                <w:szCs w:val="21"/>
                <w:lang w:val="en-US"/>
              </w:rPr>
            </w:pPr>
            <w:r>
              <w:rPr>
                <w:rFonts w:hint="default"/>
                <w:sz w:val="21"/>
                <w:szCs w:val="21"/>
                <w:lang w:val="en-US"/>
              </w:rPr>
              <w:t>排放口立标要求：设立排污口标志牌，标志牌由国家环境保护总局统一定点监制，达到《环境保护图形标志》（GB15562.1～2-1995）的规定。</w:t>
            </w:r>
          </w:p>
          <w:p w14:paraId="6756CF26">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outlineLvl w:val="9"/>
              <w:rPr>
                <w:rFonts w:hint="default"/>
                <w:sz w:val="21"/>
                <w:szCs w:val="21"/>
                <w:highlight w:val="none"/>
                <w:lang w:val="en-US" w:eastAsia="zh-CN"/>
              </w:rPr>
            </w:pPr>
            <w:r>
              <w:rPr>
                <w:rFonts w:hint="eastAsia"/>
                <w:sz w:val="21"/>
                <w:szCs w:val="21"/>
                <w:highlight w:val="none"/>
                <w:lang w:val="en-US" w:eastAsia="zh-CN"/>
              </w:rPr>
              <w:t>6、本项目削减方案</w:t>
            </w:r>
          </w:p>
          <w:p w14:paraId="194CDAFD">
            <w:pPr>
              <w:keepNext w:val="0"/>
              <w:keepLines w:val="0"/>
              <w:pageBreakBefore w:val="0"/>
              <w:widowControl w:val="0"/>
              <w:kinsoku/>
              <w:wordWrap/>
              <w:overflowPunct/>
              <w:topLinePunct w:val="0"/>
              <w:autoSpaceDE/>
              <w:autoSpaceDN/>
              <w:bidi w:val="0"/>
              <w:spacing w:line="440" w:lineRule="exact"/>
              <w:textAlignment w:val="auto"/>
              <w:rPr>
                <w:rFonts w:hint="default"/>
                <w:color w:val="auto"/>
                <w:sz w:val="21"/>
                <w:szCs w:val="21"/>
                <w:highlight w:val="none"/>
                <w:lang w:val="en-US" w:eastAsia="zh-CN"/>
              </w:rPr>
            </w:pPr>
            <w:r>
              <w:rPr>
                <w:rFonts w:hint="default"/>
                <w:color w:val="auto"/>
                <w:sz w:val="21"/>
                <w:szCs w:val="21"/>
                <w:highlight w:val="none"/>
                <w:lang w:val="en-US" w:eastAsia="zh-CN"/>
              </w:rPr>
              <w:t>本项目</w:t>
            </w:r>
            <w:r>
              <w:rPr>
                <w:rFonts w:hint="eastAsia"/>
                <w:color w:val="auto"/>
                <w:sz w:val="21"/>
                <w:szCs w:val="21"/>
                <w:highlight w:val="none"/>
                <w:lang w:val="en-US" w:eastAsia="zh-CN"/>
              </w:rPr>
              <w:t>颗粒物</w:t>
            </w:r>
            <w:r>
              <w:rPr>
                <w:rFonts w:hint="default"/>
                <w:color w:val="auto"/>
                <w:sz w:val="21"/>
                <w:szCs w:val="21"/>
                <w:highlight w:val="none"/>
                <w:lang w:val="en-US" w:eastAsia="zh-CN"/>
              </w:rPr>
              <w:t>排放量为</w:t>
            </w:r>
            <w:r>
              <w:rPr>
                <w:rFonts w:hint="eastAsia" w:cs="Times New Roman"/>
                <w:snapToGrid w:val="0"/>
                <w:color w:val="auto"/>
                <w:kern w:val="21"/>
                <w:sz w:val="21"/>
                <w:szCs w:val="21"/>
                <w:highlight w:val="none"/>
                <w:lang w:val="en-US" w:eastAsia="zh-CN" w:bidi="ar-SA"/>
              </w:rPr>
              <w:t>0.617</w:t>
            </w:r>
            <w:r>
              <w:rPr>
                <w:rFonts w:hint="eastAsia" w:ascii="Times New Roman" w:hAnsi="Times New Roman" w:cs="Times New Roman"/>
                <w:snapToGrid w:val="0"/>
                <w:color w:val="auto"/>
                <w:kern w:val="21"/>
                <w:sz w:val="21"/>
                <w:szCs w:val="21"/>
                <w:highlight w:val="none"/>
                <w:lang w:val="en-US" w:eastAsia="zh-CN"/>
              </w:rPr>
              <w:t>t/a</w:t>
            </w:r>
            <w:r>
              <w:rPr>
                <w:rFonts w:hint="default"/>
                <w:color w:val="auto"/>
                <w:sz w:val="21"/>
                <w:szCs w:val="21"/>
                <w:highlight w:val="none"/>
                <w:lang w:val="en-US" w:eastAsia="zh-CN"/>
              </w:rPr>
              <w:t>，非甲烷总烃排放量为</w:t>
            </w:r>
            <w:r>
              <w:rPr>
                <w:rFonts w:hint="eastAsia" w:cs="Times New Roman"/>
                <w:snapToGrid w:val="0"/>
                <w:color w:val="auto"/>
                <w:kern w:val="21"/>
                <w:sz w:val="21"/>
                <w:szCs w:val="21"/>
                <w:highlight w:val="none"/>
                <w:lang w:val="en-US" w:eastAsia="zh-CN" w:bidi="ar-SA"/>
              </w:rPr>
              <w:t>0.257</w:t>
            </w:r>
            <w:r>
              <w:rPr>
                <w:rFonts w:hint="eastAsia" w:ascii="Times New Roman" w:hAnsi="Times New Roman" w:cs="Times New Roman"/>
                <w:snapToGrid w:val="0"/>
                <w:color w:val="auto"/>
                <w:kern w:val="21"/>
                <w:sz w:val="21"/>
                <w:szCs w:val="21"/>
                <w:highlight w:val="none"/>
                <w:lang w:val="en-US" w:eastAsia="zh-CN"/>
              </w:rPr>
              <w:t>t/a</w:t>
            </w:r>
            <w:r>
              <w:rPr>
                <w:rFonts w:hint="default"/>
                <w:color w:val="auto"/>
                <w:sz w:val="21"/>
                <w:szCs w:val="21"/>
                <w:highlight w:val="none"/>
                <w:lang w:val="en-US" w:eastAsia="zh-CN"/>
              </w:rPr>
              <w:t>，根据《关于加强重点行业建设项目区域削减措施监督管理的通知》（环办环评〔2020〕36号</w:t>
            </w:r>
            <w:r>
              <w:rPr>
                <w:rFonts w:hint="eastAsia" w:ascii="宋体" w:hAnsi="宋体" w:eastAsia="宋体" w:cs="宋体"/>
                <w:color w:val="auto"/>
                <w:sz w:val="21"/>
                <w:szCs w:val="21"/>
                <w:highlight w:val="none"/>
                <w:lang w:val="en-US" w:eastAsia="zh-CN"/>
              </w:rPr>
              <w:t>中“</w:t>
            </w:r>
            <w:r>
              <w:rPr>
                <w:rFonts w:hint="default"/>
                <w:color w:val="auto"/>
                <w:sz w:val="21"/>
                <w:szCs w:val="21"/>
                <w:highlight w:val="none"/>
                <w:lang w:val="en-US" w:eastAsia="zh-CN"/>
              </w:rPr>
              <w:t>（一）严格区域削减要求。建设项目应满足区域、流域控制单元环境质量改善目标管理要求。所在区域、流域控制单元环境质量未达到国家或者地方环境质量标准的，建设项目应提出有效的区域削减方案，主要污染物实行区域倍量削减，确保项目投产后区域环境质量有改</w:t>
            </w:r>
            <w:r>
              <w:rPr>
                <w:rFonts w:hint="eastAsia" w:ascii="宋体" w:hAnsi="宋体" w:eastAsia="宋体" w:cs="宋体"/>
                <w:color w:val="auto"/>
                <w:sz w:val="21"/>
                <w:szCs w:val="21"/>
                <w:highlight w:val="none"/>
                <w:lang w:val="en-US" w:eastAsia="zh-CN"/>
              </w:rPr>
              <w:t>善”</w:t>
            </w:r>
            <w:r>
              <w:rPr>
                <w:rFonts w:hint="default"/>
                <w:color w:val="auto"/>
                <w:sz w:val="21"/>
                <w:szCs w:val="21"/>
                <w:highlight w:val="none"/>
                <w:lang w:val="en-US" w:eastAsia="zh-CN"/>
              </w:rPr>
              <w:t>。本项目位于不达标区，应落实区域内现役污染源2倍削减替代，即应削减</w:t>
            </w:r>
            <w:r>
              <w:rPr>
                <w:rFonts w:hint="eastAsia"/>
                <w:color w:val="auto"/>
                <w:sz w:val="21"/>
                <w:szCs w:val="21"/>
                <w:highlight w:val="none"/>
                <w:lang w:val="en-US" w:eastAsia="zh-CN"/>
              </w:rPr>
              <w:t>颗粒物1.234</w:t>
            </w:r>
            <w:r>
              <w:rPr>
                <w:rFonts w:hint="default"/>
                <w:color w:val="auto"/>
                <w:sz w:val="21"/>
                <w:szCs w:val="21"/>
                <w:highlight w:val="none"/>
                <w:lang w:val="en-US" w:eastAsia="zh-CN"/>
              </w:rPr>
              <w:t>t/a，非甲烷总烃</w:t>
            </w:r>
            <w:r>
              <w:rPr>
                <w:rFonts w:hint="eastAsia"/>
                <w:color w:val="auto"/>
                <w:sz w:val="21"/>
                <w:szCs w:val="21"/>
                <w:highlight w:val="none"/>
                <w:lang w:val="en-US" w:eastAsia="zh-CN"/>
              </w:rPr>
              <w:t>0.514</w:t>
            </w:r>
            <w:r>
              <w:rPr>
                <w:rFonts w:hint="default"/>
                <w:color w:val="auto"/>
                <w:sz w:val="21"/>
                <w:szCs w:val="21"/>
                <w:highlight w:val="none"/>
                <w:lang w:val="en-US" w:eastAsia="zh-CN"/>
              </w:rPr>
              <w:t>t/a</w:t>
            </w:r>
            <w:r>
              <w:rPr>
                <w:rFonts w:hint="eastAsia"/>
                <w:color w:val="auto"/>
                <w:sz w:val="21"/>
                <w:szCs w:val="21"/>
                <w:highlight w:val="none"/>
                <w:lang w:val="en-US" w:eastAsia="zh-CN"/>
              </w:rPr>
              <w:t>。</w:t>
            </w:r>
          </w:p>
          <w:p w14:paraId="5E1C04E9">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none"/>
                <w:lang w:val="en-US" w:eastAsia="zh-CN"/>
              </w:rPr>
            </w:pPr>
          </w:p>
          <w:p w14:paraId="17EA4944">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none"/>
                <w:lang w:val="en-US" w:eastAsia="zh-CN"/>
              </w:rPr>
            </w:pPr>
          </w:p>
          <w:p w14:paraId="7FABF148">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none"/>
                <w:lang w:val="en-US" w:eastAsia="zh-CN"/>
              </w:rPr>
            </w:pPr>
          </w:p>
          <w:p w14:paraId="6319E593">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none"/>
                <w:lang w:val="en-US" w:eastAsia="zh-CN"/>
              </w:rPr>
            </w:pPr>
          </w:p>
          <w:p w14:paraId="696FF688">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none"/>
                <w:lang w:val="en-US" w:eastAsia="zh-CN"/>
              </w:rPr>
            </w:pPr>
          </w:p>
          <w:p w14:paraId="2277B450">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none"/>
                <w:lang w:val="en-US" w:eastAsia="zh-CN"/>
              </w:rPr>
            </w:pPr>
          </w:p>
          <w:p w14:paraId="2B885CFA">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14:paraId="24B768A7">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14:paraId="09478EFB">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14:paraId="1B7D38D0">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14:paraId="59F8E779">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14:paraId="28FE7359">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highlight w:val="yellow"/>
                <w:lang w:val="en-US" w:eastAsia="zh-CN"/>
              </w:rPr>
            </w:pPr>
          </w:p>
          <w:p w14:paraId="22C17AB5">
            <w:pPr>
              <w:keepNext w:val="0"/>
              <w:keepLines w:val="0"/>
              <w:pageBreakBefore w:val="0"/>
              <w:widowControl w:val="0"/>
              <w:kinsoku/>
              <w:wordWrap/>
              <w:overflowPunct/>
              <w:topLinePunct w:val="0"/>
              <w:autoSpaceDE/>
              <w:autoSpaceDN/>
              <w:bidi w:val="0"/>
              <w:spacing w:line="440" w:lineRule="exact"/>
              <w:textAlignment w:val="auto"/>
              <w:rPr>
                <w:rFonts w:hint="default"/>
                <w:sz w:val="21"/>
                <w:szCs w:val="21"/>
                <w:lang w:val="en-US" w:eastAsia="zh-CN"/>
              </w:rPr>
            </w:pPr>
          </w:p>
        </w:tc>
      </w:tr>
    </w:tbl>
    <w:p w14:paraId="1591D755">
      <w:r>
        <w:br w:type="page"/>
      </w:r>
    </w:p>
    <w:p w14:paraId="02AA344D">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黑体" w:hAnsi="黑体" w:eastAsia="黑体"/>
          <w:snapToGrid w:val="0"/>
          <w:color w:val="auto"/>
          <w:kern w:val="0"/>
          <w:sz w:val="30"/>
          <w:szCs w:val="30"/>
          <w:lang w:val="en-US" w:eastAsia="zh-CN" w:bidi="ar-SA"/>
        </w:rPr>
      </w:pPr>
      <w:r>
        <w:rPr>
          <w:rFonts w:hint="eastAsia" w:ascii="黑体" w:hAnsi="黑体" w:eastAsia="黑体"/>
          <w:snapToGrid w:val="0"/>
          <w:color w:val="auto"/>
          <w:kern w:val="0"/>
          <w:sz w:val="30"/>
          <w:szCs w:val="30"/>
          <w:lang w:val="en-US" w:eastAsia="zh-CN" w:bidi="ar-SA"/>
        </w:rPr>
        <w:t>六、结论</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1A111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jc w:val="center"/>
        </w:trPr>
        <w:tc>
          <w:tcPr>
            <w:tcW w:w="9400" w:type="dxa"/>
            <w:noWrap w:val="0"/>
            <w:vAlign w:val="top"/>
          </w:tcPr>
          <w:p w14:paraId="2A020E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Times New Roman"/>
                <w:color w:val="auto"/>
                <w:sz w:val="24"/>
                <w:szCs w:val="24"/>
                <w:lang w:val="en-US"/>
              </w:rPr>
            </w:pPr>
            <w:r>
              <w:rPr>
                <w:rFonts w:hint="eastAsia" w:cs="Times New Roman"/>
                <w:color w:val="auto"/>
                <w:sz w:val="24"/>
                <w:szCs w:val="24"/>
                <w:lang w:val="en-US" w:eastAsia="zh-CN"/>
              </w:rPr>
              <w:t>唐山市聚弛环保科技有限责任公司</w:t>
            </w:r>
            <w:r>
              <w:rPr>
                <w:rFonts w:hint="default" w:ascii="Times New Roman" w:hAnsi="Times New Roman" w:eastAsia="宋体" w:cs="Times New Roman"/>
                <w:color w:val="auto"/>
                <w:sz w:val="24"/>
                <w:szCs w:val="24"/>
                <w:lang w:val="en-US" w:eastAsia="zh-CN"/>
              </w:rPr>
              <w:t>在河北省唐山市</w:t>
            </w:r>
            <w:r>
              <w:rPr>
                <w:rFonts w:hint="default" w:ascii="Times New Roman" w:hAnsi="Times New Roman" w:eastAsia="宋体" w:cs="Times New Roman"/>
                <w:sz w:val="24"/>
                <w:szCs w:val="24"/>
                <w:lang w:val="en-US" w:eastAsia="zh-CN"/>
              </w:rPr>
              <w:t>高新区郑庄子乡</w:t>
            </w:r>
            <w:r>
              <w:rPr>
                <w:rFonts w:hint="eastAsia" w:cs="Times New Roman"/>
                <w:sz w:val="24"/>
                <w:szCs w:val="24"/>
                <w:lang w:val="en-US" w:eastAsia="zh-CN"/>
              </w:rPr>
              <w:t>梁各庄村</w:t>
            </w:r>
            <w:r>
              <w:rPr>
                <w:rFonts w:hint="default" w:ascii="Times New Roman" w:hAnsi="Times New Roman" w:eastAsia="宋体" w:cs="Times New Roman"/>
                <w:color w:val="auto"/>
                <w:sz w:val="24"/>
                <w:szCs w:val="24"/>
                <w:lang w:val="en-US" w:eastAsia="zh-CN"/>
              </w:rPr>
              <w:t>，投资</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00万元，建设</w:t>
            </w:r>
            <w:r>
              <w:rPr>
                <w:rFonts w:hint="eastAsia" w:cs="Times New Roman"/>
                <w:color w:val="auto"/>
                <w:sz w:val="24"/>
                <w:szCs w:val="24"/>
                <w:lang w:val="en-US" w:eastAsia="zh-CN"/>
              </w:rPr>
              <w:t>唐山市聚弛环保科技有限责任公司通用设备及零部件制造项目</w:t>
            </w:r>
            <w:r>
              <w:rPr>
                <w:rFonts w:hint="default" w:ascii="Times New Roman" w:hAnsi="Times New Roman" w:eastAsia="宋体" w:cs="Times New Roman"/>
                <w:color w:val="auto"/>
                <w:sz w:val="24"/>
                <w:szCs w:val="24"/>
                <w:lang w:val="en-US" w:eastAsia="zh-CN"/>
              </w:rPr>
              <w:t>，符合国家产业政策，选址合理，采取环评提出的污染防治措施后，污染物可达标排放，不会对周围环境质量造成明显的不利影响，从环保角度而言，该项目建设可行。</w:t>
            </w:r>
          </w:p>
          <w:p w14:paraId="2A3C1096">
            <w:pPr>
              <w:spacing w:line="360" w:lineRule="auto"/>
              <w:ind w:left="0" w:leftChars="0" w:firstLine="0" w:firstLineChars="0"/>
              <w:rPr>
                <w:color w:val="auto"/>
              </w:rPr>
            </w:pPr>
          </w:p>
          <w:p w14:paraId="07C68DCE">
            <w:pPr>
              <w:pStyle w:val="7"/>
              <w:ind w:left="0" w:leftChars="0" w:firstLine="0" w:firstLineChars="0"/>
              <w:rPr>
                <w:color w:val="auto"/>
              </w:rPr>
            </w:pPr>
          </w:p>
          <w:p w14:paraId="4617D38C">
            <w:pPr>
              <w:pStyle w:val="5"/>
              <w:ind w:left="0" w:leftChars="0" w:firstLine="0" w:firstLineChars="0"/>
              <w:rPr>
                <w:color w:val="auto"/>
              </w:rPr>
            </w:pPr>
          </w:p>
          <w:p w14:paraId="454A400A">
            <w:pPr>
              <w:ind w:left="0" w:leftChars="0" w:firstLine="0" w:firstLineChars="0"/>
              <w:rPr>
                <w:color w:val="auto"/>
              </w:rPr>
            </w:pPr>
          </w:p>
          <w:p w14:paraId="1689CF1B">
            <w:pPr>
              <w:pStyle w:val="7"/>
              <w:ind w:left="0" w:leftChars="0" w:firstLine="0" w:firstLineChars="0"/>
              <w:rPr>
                <w:color w:val="auto"/>
              </w:rPr>
            </w:pPr>
          </w:p>
          <w:p w14:paraId="4E7012DF">
            <w:pPr>
              <w:pStyle w:val="5"/>
              <w:ind w:left="0" w:leftChars="0" w:firstLine="0" w:firstLineChars="0"/>
              <w:rPr>
                <w:color w:val="auto"/>
              </w:rPr>
            </w:pPr>
          </w:p>
          <w:p w14:paraId="3E3E6EA8">
            <w:pPr>
              <w:ind w:left="0" w:leftChars="0" w:firstLine="0" w:firstLineChars="0"/>
              <w:rPr>
                <w:color w:val="auto"/>
              </w:rPr>
            </w:pPr>
          </w:p>
          <w:p w14:paraId="79DA31C5">
            <w:pPr>
              <w:pStyle w:val="7"/>
              <w:ind w:left="0" w:leftChars="0" w:firstLine="0" w:firstLineChars="0"/>
              <w:rPr>
                <w:color w:val="auto"/>
              </w:rPr>
            </w:pPr>
          </w:p>
          <w:p w14:paraId="35250B63">
            <w:pPr>
              <w:pStyle w:val="5"/>
              <w:ind w:left="0" w:leftChars="0" w:firstLine="0" w:firstLineChars="0"/>
              <w:rPr>
                <w:color w:val="auto"/>
              </w:rPr>
            </w:pPr>
          </w:p>
          <w:p w14:paraId="5F0D5544">
            <w:pPr>
              <w:ind w:left="0" w:leftChars="0" w:firstLine="0" w:firstLineChars="0"/>
              <w:rPr>
                <w:color w:val="auto"/>
              </w:rPr>
            </w:pPr>
          </w:p>
          <w:p w14:paraId="3F87DE63">
            <w:pPr>
              <w:pStyle w:val="7"/>
              <w:ind w:left="0" w:leftChars="0" w:firstLine="0" w:firstLineChars="0"/>
              <w:rPr>
                <w:color w:val="auto"/>
              </w:rPr>
            </w:pPr>
          </w:p>
          <w:p w14:paraId="1FBE2175">
            <w:pPr>
              <w:pStyle w:val="5"/>
              <w:ind w:left="0" w:leftChars="0" w:firstLine="0" w:firstLineChars="0"/>
              <w:rPr>
                <w:color w:val="auto"/>
              </w:rPr>
            </w:pPr>
          </w:p>
          <w:p w14:paraId="6E3E9655">
            <w:pPr>
              <w:ind w:left="0" w:leftChars="0" w:firstLine="0" w:firstLineChars="0"/>
              <w:rPr>
                <w:color w:val="auto"/>
              </w:rPr>
            </w:pPr>
          </w:p>
          <w:p w14:paraId="5BF58A2A">
            <w:pPr>
              <w:pStyle w:val="7"/>
              <w:ind w:left="0" w:leftChars="0" w:firstLine="0" w:firstLineChars="0"/>
              <w:rPr>
                <w:color w:val="auto"/>
              </w:rPr>
            </w:pPr>
          </w:p>
          <w:p w14:paraId="6CFD76D3">
            <w:pPr>
              <w:pStyle w:val="5"/>
              <w:ind w:left="0" w:leftChars="0" w:firstLine="0" w:firstLineChars="0"/>
              <w:rPr>
                <w:color w:val="auto"/>
              </w:rPr>
            </w:pPr>
          </w:p>
          <w:p w14:paraId="62BFD51F">
            <w:pPr>
              <w:ind w:left="0" w:leftChars="0" w:firstLine="0" w:firstLineChars="0"/>
              <w:rPr>
                <w:color w:val="auto"/>
              </w:rPr>
            </w:pPr>
          </w:p>
          <w:p w14:paraId="33494F69">
            <w:pPr>
              <w:pStyle w:val="7"/>
              <w:ind w:left="0" w:leftChars="0" w:firstLine="0" w:firstLineChars="0"/>
              <w:rPr>
                <w:color w:val="auto"/>
              </w:rPr>
            </w:pPr>
          </w:p>
          <w:p w14:paraId="71E623AB">
            <w:pPr>
              <w:pStyle w:val="5"/>
              <w:ind w:left="0" w:leftChars="0" w:firstLine="0" w:firstLineChars="0"/>
              <w:rPr>
                <w:color w:val="auto"/>
              </w:rPr>
            </w:pPr>
          </w:p>
          <w:p w14:paraId="2849ED64">
            <w:pPr>
              <w:ind w:left="0" w:leftChars="0" w:firstLine="0" w:firstLineChars="0"/>
              <w:rPr>
                <w:color w:val="auto"/>
              </w:rPr>
            </w:pPr>
          </w:p>
          <w:p w14:paraId="707C5EFD">
            <w:pPr>
              <w:pStyle w:val="7"/>
              <w:ind w:left="0" w:leftChars="0" w:firstLine="0" w:firstLineChars="0"/>
              <w:rPr>
                <w:color w:val="auto"/>
              </w:rPr>
            </w:pPr>
          </w:p>
          <w:p w14:paraId="752D633D">
            <w:pPr>
              <w:pStyle w:val="5"/>
              <w:ind w:left="0" w:leftChars="0" w:firstLine="0" w:firstLineChars="0"/>
              <w:rPr>
                <w:color w:val="auto"/>
              </w:rPr>
            </w:pPr>
          </w:p>
          <w:p w14:paraId="3DF7292D">
            <w:pPr>
              <w:ind w:left="0" w:leftChars="0" w:firstLine="0" w:firstLineChars="0"/>
            </w:pPr>
          </w:p>
          <w:p w14:paraId="7EA538C2">
            <w:pPr>
              <w:pStyle w:val="7"/>
              <w:ind w:left="0" w:leftChars="0" w:firstLine="0" w:firstLineChars="0"/>
              <w:rPr>
                <w:color w:val="auto"/>
              </w:rPr>
            </w:pPr>
          </w:p>
        </w:tc>
      </w:tr>
    </w:tbl>
    <w:p w14:paraId="725A11D7">
      <w:pPr>
        <w:pStyle w:val="2"/>
        <w:rPr>
          <w:color w:val="0070C0"/>
        </w:rPr>
        <w:sectPr>
          <w:footerReference r:id="rId7" w:type="default"/>
          <w:pgSz w:w="11906" w:h="16838"/>
          <w:pgMar w:top="1440" w:right="1247" w:bottom="1440"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39ECD0D">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0" w:firstLineChars="0"/>
        <w:textAlignment w:val="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14:paraId="5675845E">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方正小标宋_GBK" w:hAnsi="黑体" w:eastAsia="方正小标宋_GBK"/>
          <w:snapToGrid w:val="0"/>
          <w:color w:val="auto"/>
          <w:sz w:val="38"/>
          <w:szCs w:val="38"/>
          <w:highlight w:val="none"/>
        </w:rPr>
      </w:pPr>
      <w:r>
        <w:rPr>
          <w:rFonts w:hint="eastAsia" w:ascii="方正小标宋_GBK" w:hAnsi="黑体" w:eastAsia="方正小标宋_GBK"/>
          <w:snapToGrid w:val="0"/>
          <w:color w:val="auto"/>
          <w:sz w:val="38"/>
          <w:szCs w:val="38"/>
          <w:highlight w:val="none"/>
        </w:rPr>
        <w:t>建设项目污染物排放量汇总表</w:t>
      </w:r>
    </w:p>
    <w:tbl>
      <w:tblPr>
        <w:tblStyle w:val="20"/>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943"/>
        <w:gridCol w:w="1449"/>
        <w:gridCol w:w="1170"/>
        <w:gridCol w:w="1701"/>
        <w:gridCol w:w="1688"/>
        <w:gridCol w:w="1773"/>
        <w:gridCol w:w="1609"/>
        <w:gridCol w:w="1035"/>
      </w:tblGrid>
      <w:tr w14:paraId="08AA4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tcBorders>
              <w:tl2br w:val="single" w:color="auto" w:sz="4" w:space="0"/>
            </w:tcBorders>
            <w:noWrap w:val="0"/>
            <w:tcMar>
              <w:left w:w="28" w:type="dxa"/>
              <w:right w:w="28" w:type="dxa"/>
            </w:tcMar>
            <w:vAlign w:val="center"/>
          </w:tcPr>
          <w:p w14:paraId="22ED502C">
            <w:pPr>
              <w:pStyle w:val="27"/>
              <w:keepNext w:val="0"/>
              <w:keepLines w:val="0"/>
              <w:pageBreakBefore w:val="0"/>
              <w:kinsoku/>
              <w:wordWrap/>
              <w:overflowPunct/>
              <w:topLinePunct w:val="0"/>
              <w:autoSpaceDE/>
              <w:autoSpaceDN/>
              <w:bidi w:val="0"/>
              <w:adjustRightInd/>
              <w:snapToGrid/>
              <w:spacing w:beforeLines="0" w:afterLines="0" w:line="240" w:lineRule="auto"/>
              <w:jc w:val="right"/>
              <w:textAlignment w:val="auto"/>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项目</w:t>
            </w:r>
          </w:p>
          <w:p w14:paraId="7B7BC2B3">
            <w:pPr>
              <w:pStyle w:val="27"/>
              <w:keepNext w:val="0"/>
              <w:keepLines w:val="0"/>
              <w:pageBreakBefore w:val="0"/>
              <w:kinsoku/>
              <w:wordWrap/>
              <w:overflowPunct/>
              <w:topLinePunct w:val="0"/>
              <w:autoSpaceDE/>
              <w:autoSpaceDN/>
              <w:bidi w:val="0"/>
              <w:adjustRightInd/>
              <w:snapToGrid/>
              <w:spacing w:beforeLines="0" w:afterLines="0" w:line="240" w:lineRule="auto"/>
              <w:jc w:val="left"/>
              <w:textAlignment w:val="auto"/>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分类</w:t>
            </w:r>
          </w:p>
        </w:tc>
        <w:tc>
          <w:tcPr>
            <w:tcW w:w="1943" w:type="dxa"/>
            <w:noWrap w:val="0"/>
            <w:tcMar>
              <w:left w:w="28" w:type="dxa"/>
              <w:right w:w="28" w:type="dxa"/>
            </w:tcMar>
            <w:vAlign w:val="center"/>
          </w:tcPr>
          <w:p w14:paraId="10FAD87C">
            <w:pPr>
              <w:pStyle w:val="27"/>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污染物名称</w:t>
            </w:r>
          </w:p>
        </w:tc>
        <w:tc>
          <w:tcPr>
            <w:tcW w:w="1449" w:type="dxa"/>
            <w:noWrap w:val="0"/>
            <w:tcMar>
              <w:left w:w="28" w:type="dxa"/>
              <w:right w:w="28" w:type="dxa"/>
            </w:tcMar>
            <w:vAlign w:val="center"/>
          </w:tcPr>
          <w:p w14:paraId="4D7E5162">
            <w:pPr>
              <w:pStyle w:val="27"/>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现有工程</w:t>
            </w:r>
          </w:p>
          <w:p w14:paraId="52DB47AF">
            <w:pPr>
              <w:pStyle w:val="27"/>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1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①</w:t>
            </w:r>
            <w:r>
              <w:rPr>
                <w:rFonts w:ascii="黑体" w:hAnsi="黑体" w:eastAsia="黑体"/>
                <w:snapToGrid w:val="0"/>
                <w:color w:val="000000"/>
                <w:spacing w:val="-6"/>
                <w:kern w:val="21"/>
                <w:sz w:val="21"/>
                <w:szCs w:val="21"/>
              </w:rPr>
              <w:fldChar w:fldCharType="end"/>
            </w:r>
          </w:p>
        </w:tc>
        <w:tc>
          <w:tcPr>
            <w:tcW w:w="1170" w:type="dxa"/>
            <w:noWrap w:val="0"/>
            <w:tcMar>
              <w:left w:w="28" w:type="dxa"/>
              <w:right w:w="28" w:type="dxa"/>
            </w:tcMar>
            <w:vAlign w:val="center"/>
          </w:tcPr>
          <w:p w14:paraId="59DAAA51">
            <w:pPr>
              <w:pStyle w:val="27"/>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现有工程</w:t>
            </w:r>
          </w:p>
          <w:p w14:paraId="4E6E6877">
            <w:pPr>
              <w:pStyle w:val="27"/>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许可排放量</w:t>
            </w:r>
          </w:p>
          <w:p w14:paraId="3CA8AD0F">
            <w:pPr>
              <w:pStyle w:val="27"/>
              <w:keepNext w:val="0"/>
              <w:keepLines w:val="0"/>
              <w:pageBreakBefore w:val="0"/>
              <w:kinsoku/>
              <w:wordWrap/>
              <w:overflowPunct/>
              <w:topLinePunct w:val="0"/>
              <w:autoSpaceDE/>
              <w:autoSpaceDN/>
              <w:bidi w:val="0"/>
              <w:adjustRightInd/>
              <w:snapToGrid/>
              <w:spacing w:beforeLines="0" w:afterLines="0"/>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2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snapToGrid w:val="0"/>
                <w:color w:val="000000"/>
                <w:spacing w:val="-6"/>
                <w:kern w:val="21"/>
                <w:sz w:val="21"/>
                <w:szCs w:val="21"/>
              </w:rPr>
              <w:t>②</w:t>
            </w:r>
            <w:r>
              <w:rPr>
                <w:rFonts w:ascii="黑体" w:hAnsi="黑体" w:eastAsia="黑体"/>
                <w:snapToGrid w:val="0"/>
                <w:color w:val="000000"/>
                <w:spacing w:val="-6"/>
                <w:kern w:val="21"/>
                <w:sz w:val="21"/>
                <w:szCs w:val="21"/>
              </w:rPr>
              <w:fldChar w:fldCharType="end"/>
            </w:r>
          </w:p>
        </w:tc>
        <w:tc>
          <w:tcPr>
            <w:tcW w:w="1701" w:type="dxa"/>
            <w:noWrap w:val="0"/>
            <w:tcMar>
              <w:left w:w="28" w:type="dxa"/>
              <w:right w:w="28" w:type="dxa"/>
            </w:tcMar>
            <w:vAlign w:val="center"/>
          </w:tcPr>
          <w:p w14:paraId="6112FB99">
            <w:pPr>
              <w:pStyle w:val="27"/>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在建工程</w:t>
            </w:r>
          </w:p>
          <w:p w14:paraId="47B70F09">
            <w:pPr>
              <w:pStyle w:val="27"/>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3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③</w:t>
            </w:r>
            <w:r>
              <w:rPr>
                <w:rFonts w:ascii="黑体" w:hAnsi="黑体" w:eastAsia="黑体"/>
                <w:snapToGrid w:val="0"/>
                <w:color w:val="000000"/>
                <w:spacing w:val="-6"/>
                <w:kern w:val="21"/>
                <w:sz w:val="21"/>
                <w:szCs w:val="21"/>
              </w:rPr>
              <w:fldChar w:fldCharType="end"/>
            </w:r>
          </w:p>
        </w:tc>
        <w:tc>
          <w:tcPr>
            <w:tcW w:w="1688" w:type="dxa"/>
            <w:noWrap w:val="0"/>
            <w:tcMar>
              <w:left w:w="28" w:type="dxa"/>
              <w:right w:w="28" w:type="dxa"/>
            </w:tcMar>
            <w:vAlign w:val="center"/>
          </w:tcPr>
          <w:p w14:paraId="7B20AD0D">
            <w:pPr>
              <w:pStyle w:val="27"/>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本项目</w:t>
            </w:r>
          </w:p>
          <w:p w14:paraId="5A5E2A0A">
            <w:pPr>
              <w:pStyle w:val="27"/>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4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④</w:t>
            </w:r>
            <w:r>
              <w:rPr>
                <w:rFonts w:ascii="黑体" w:hAnsi="黑体" w:eastAsia="黑体"/>
                <w:snapToGrid w:val="0"/>
                <w:color w:val="000000"/>
                <w:spacing w:val="-6"/>
                <w:kern w:val="21"/>
                <w:sz w:val="21"/>
                <w:szCs w:val="21"/>
              </w:rPr>
              <w:fldChar w:fldCharType="end"/>
            </w:r>
          </w:p>
        </w:tc>
        <w:tc>
          <w:tcPr>
            <w:tcW w:w="1773" w:type="dxa"/>
            <w:noWrap w:val="0"/>
            <w:tcMar>
              <w:left w:w="28" w:type="dxa"/>
              <w:right w:w="28" w:type="dxa"/>
            </w:tcMar>
            <w:vAlign w:val="center"/>
          </w:tcPr>
          <w:p w14:paraId="440E9CB5">
            <w:pPr>
              <w:pStyle w:val="27"/>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以新带老削减量</w:t>
            </w:r>
          </w:p>
          <w:p w14:paraId="71627DE2">
            <w:pPr>
              <w:pStyle w:val="27"/>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（新建项目不填）</w:t>
            </w:r>
            <w:r>
              <w:rPr>
                <w:rFonts w:ascii="黑体" w:hAnsi="黑体" w:eastAsia="黑体"/>
                <w:snapToGrid w:val="0"/>
                <w:color w:val="000000"/>
                <w:spacing w:val="-16"/>
                <w:kern w:val="21"/>
                <w:sz w:val="21"/>
                <w:szCs w:val="21"/>
              </w:rPr>
              <w:fldChar w:fldCharType="begin"/>
            </w:r>
            <w:r>
              <w:rPr>
                <w:rFonts w:ascii="黑体" w:hAnsi="黑体" w:eastAsia="黑体"/>
                <w:snapToGrid w:val="0"/>
                <w:color w:val="000000"/>
                <w:spacing w:val="-16"/>
                <w:kern w:val="21"/>
                <w:sz w:val="21"/>
                <w:szCs w:val="21"/>
              </w:rPr>
              <w:instrText xml:space="preserve"> = 5 \* GB3 \* MERGEFORMAT </w:instrText>
            </w:r>
            <w:r>
              <w:rPr>
                <w:rFonts w:ascii="黑体" w:hAnsi="黑体" w:eastAsia="黑体"/>
                <w:snapToGrid w:val="0"/>
                <w:color w:val="000000"/>
                <w:spacing w:val="-16"/>
                <w:kern w:val="21"/>
                <w:sz w:val="21"/>
                <w:szCs w:val="21"/>
              </w:rPr>
              <w:fldChar w:fldCharType="separate"/>
            </w:r>
            <w:r>
              <w:rPr>
                <w:rFonts w:hint="eastAsia" w:ascii="黑体" w:hAnsi="黑体" w:eastAsia="黑体" w:cs="宋体"/>
                <w:kern w:val="2"/>
                <w:sz w:val="21"/>
                <w:szCs w:val="21"/>
              </w:rPr>
              <w:t>⑤</w:t>
            </w:r>
            <w:r>
              <w:rPr>
                <w:rFonts w:ascii="黑体" w:hAnsi="黑体" w:eastAsia="黑体"/>
                <w:snapToGrid w:val="0"/>
                <w:color w:val="000000"/>
                <w:spacing w:val="-16"/>
                <w:kern w:val="21"/>
                <w:sz w:val="21"/>
                <w:szCs w:val="21"/>
              </w:rPr>
              <w:fldChar w:fldCharType="end"/>
            </w:r>
          </w:p>
        </w:tc>
        <w:tc>
          <w:tcPr>
            <w:tcW w:w="1609" w:type="dxa"/>
            <w:noWrap w:val="0"/>
            <w:tcMar>
              <w:left w:w="28" w:type="dxa"/>
              <w:right w:w="28" w:type="dxa"/>
            </w:tcMar>
            <w:vAlign w:val="center"/>
          </w:tcPr>
          <w:p w14:paraId="7BA29C5F">
            <w:pPr>
              <w:pStyle w:val="27"/>
              <w:keepNext w:val="0"/>
              <w:keepLines w:val="0"/>
              <w:pageBreakBefore w:val="0"/>
              <w:kinsoku/>
              <w:wordWrap/>
              <w:overflowPunct/>
              <w:topLinePunct w:val="0"/>
              <w:autoSpaceDE/>
              <w:autoSpaceDN/>
              <w:bidi w:val="0"/>
              <w:adjustRightInd/>
              <w:snapToGrid/>
              <w:spacing w:beforeLines="0" w:afterLines="0" w:line="240" w:lineRule="auto"/>
              <w:textAlignment w:val="auto"/>
              <w:rPr>
                <w:rFonts w:hint="eastAsia"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本项目建成后</w:t>
            </w:r>
          </w:p>
          <w:p w14:paraId="50C7EB7D">
            <w:pPr>
              <w:pStyle w:val="27"/>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16"/>
                <w:kern w:val="21"/>
                <w:sz w:val="21"/>
                <w:szCs w:val="21"/>
              </w:rPr>
            </w:pPr>
            <w:r>
              <w:rPr>
                <w:rFonts w:hint="eastAsia" w:ascii="黑体" w:hAnsi="黑体" w:eastAsia="黑体"/>
                <w:snapToGrid w:val="0"/>
                <w:color w:val="000000"/>
                <w:spacing w:val="-16"/>
                <w:kern w:val="21"/>
                <w:sz w:val="21"/>
                <w:szCs w:val="21"/>
              </w:rPr>
              <w:t>全厂</w:t>
            </w:r>
            <w:r>
              <w:rPr>
                <w:rFonts w:ascii="黑体" w:hAnsi="黑体" w:eastAsia="黑体"/>
                <w:snapToGrid w:val="0"/>
                <w:color w:val="000000"/>
                <w:spacing w:val="-16"/>
                <w:kern w:val="21"/>
                <w:sz w:val="21"/>
                <w:szCs w:val="21"/>
              </w:rPr>
              <w:t>排放量（固</w:t>
            </w:r>
            <w:r>
              <w:rPr>
                <w:rFonts w:hint="eastAsia" w:ascii="黑体" w:hAnsi="黑体" w:eastAsia="黑体"/>
                <w:snapToGrid w:val="0"/>
                <w:color w:val="000000"/>
                <w:spacing w:val="-16"/>
                <w:kern w:val="21"/>
                <w:sz w:val="21"/>
                <w:szCs w:val="21"/>
              </w:rPr>
              <w:t>体</w:t>
            </w:r>
            <w:r>
              <w:rPr>
                <w:rFonts w:ascii="黑体" w:hAnsi="黑体" w:eastAsia="黑体"/>
                <w:snapToGrid w:val="0"/>
                <w:color w:val="000000"/>
                <w:spacing w:val="-16"/>
                <w:kern w:val="21"/>
                <w:sz w:val="21"/>
                <w:szCs w:val="21"/>
              </w:rPr>
              <w:t>废</w:t>
            </w:r>
            <w:r>
              <w:rPr>
                <w:rFonts w:hint="eastAsia" w:ascii="黑体" w:hAnsi="黑体" w:eastAsia="黑体"/>
                <w:snapToGrid w:val="0"/>
                <w:color w:val="000000"/>
                <w:spacing w:val="-16"/>
                <w:kern w:val="21"/>
                <w:sz w:val="21"/>
                <w:szCs w:val="21"/>
              </w:rPr>
              <w:t>物</w:t>
            </w:r>
            <w:r>
              <w:rPr>
                <w:rFonts w:ascii="黑体" w:hAnsi="黑体" w:eastAsia="黑体"/>
                <w:snapToGrid w:val="0"/>
                <w:color w:val="000000"/>
                <w:spacing w:val="-16"/>
                <w:kern w:val="21"/>
                <w:sz w:val="21"/>
                <w:szCs w:val="21"/>
              </w:rPr>
              <w:t>产生量）</w:t>
            </w:r>
            <w:r>
              <w:rPr>
                <w:rFonts w:ascii="黑体" w:hAnsi="黑体" w:eastAsia="黑体"/>
                <w:snapToGrid w:val="0"/>
                <w:color w:val="000000"/>
                <w:spacing w:val="-16"/>
                <w:kern w:val="21"/>
                <w:sz w:val="21"/>
                <w:szCs w:val="21"/>
              </w:rPr>
              <w:fldChar w:fldCharType="begin"/>
            </w:r>
            <w:r>
              <w:rPr>
                <w:rFonts w:ascii="黑体" w:hAnsi="黑体" w:eastAsia="黑体"/>
                <w:snapToGrid w:val="0"/>
                <w:color w:val="000000"/>
                <w:spacing w:val="-16"/>
                <w:kern w:val="21"/>
                <w:sz w:val="21"/>
                <w:szCs w:val="21"/>
              </w:rPr>
              <w:instrText xml:space="preserve"> = 6 \* GB3 \* MERGEFORMAT </w:instrText>
            </w:r>
            <w:r>
              <w:rPr>
                <w:rFonts w:ascii="黑体" w:hAnsi="黑体" w:eastAsia="黑体"/>
                <w:snapToGrid w:val="0"/>
                <w:color w:val="000000"/>
                <w:spacing w:val="-16"/>
                <w:kern w:val="21"/>
                <w:sz w:val="21"/>
                <w:szCs w:val="21"/>
              </w:rPr>
              <w:fldChar w:fldCharType="separate"/>
            </w:r>
            <w:r>
              <w:rPr>
                <w:rFonts w:hint="eastAsia" w:ascii="黑体" w:hAnsi="黑体" w:eastAsia="黑体" w:cs="宋体"/>
                <w:kern w:val="2"/>
                <w:sz w:val="21"/>
                <w:szCs w:val="21"/>
              </w:rPr>
              <w:t>⑥</w:t>
            </w:r>
            <w:r>
              <w:rPr>
                <w:rFonts w:ascii="黑体" w:hAnsi="黑体" w:eastAsia="黑体"/>
                <w:snapToGrid w:val="0"/>
                <w:color w:val="000000"/>
                <w:spacing w:val="-16"/>
                <w:kern w:val="21"/>
                <w:sz w:val="21"/>
                <w:szCs w:val="21"/>
              </w:rPr>
              <w:fldChar w:fldCharType="end"/>
            </w:r>
          </w:p>
        </w:tc>
        <w:tc>
          <w:tcPr>
            <w:tcW w:w="1035" w:type="dxa"/>
            <w:noWrap w:val="0"/>
            <w:tcMar>
              <w:left w:w="28" w:type="dxa"/>
              <w:right w:w="28" w:type="dxa"/>
            </w:tcMar>
            <w:vAlign w:val="center"/>
          </w:tcPr>
          <w:p w14:paraId="7E650B45">
            <w:pPr>
              <w:pStyle w:val="27"/>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变化量</w:t>
            </w:r>
          </w:p>
          <w:p w14:paraId="1A5C6E19">
            <w:pPr>
              <w:pStyle w:val="27"/>
              <w:keepNext w:val="0"/>
              <w:keepLines w:val="0"/>
              <w:pageBreakBefore w:val="0"/>
              <w:kinsoku/>
              <w:wordWrap/>
              <w:overflowPunct/>
              <w:topLinePunct w:val="0"/>
              <w:autoSpaceDE/>
              <w:autoSpaceDN/>
              <w:bidi w:val="0"/>
              <w:adjustRightInd/>
              <w:snapToGrid/>
              <w:spacing w:beforeLines="0" w:afterLines="0" w:line="240" w:lineRule="auto"/>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7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⑦</w:t>
            </w:r>
            <w:r>
              <w:rPr>
                <w:rFonts w:ascii="黑体" w:hAnsi="黑体" w:eastAsia="黑体"/>
                <w:snapToGrid w:val="0"/>
                <w:color w:val="000000"/>
                <w:spacing w:val="-6"/>
                <w:kern w:val="21"/>
                <w:sz w:val="21"/>
                <w:szCs w:val="21"/>
              </w:rPr>
              <w:fldChar w:fldCharType="end"/>
            </w:r>
          </w:p>
        </w:tc>
      </w:tr>
      <w:tr w14:paraId="6ACEE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restart"/>
            <w:noWrap w:val="0"/>
            <w:vAlign w:val="center"/>
          </w:tcPr>
          <w:p w14:paraId="706F6455">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r>
              <w:rPr>
                <w:rFonts w:hint="eastAsia" w:hAnsi="宋体" w:cs="宋体"/>
                <w:snapToGrid w:val="0"/>
                <w:color w:val="000000"/>
                <w:kern w:val="21"/>
                <w:sz w:val="21"/>
                <w:szCs w:val="21"/>
              </w:rPr>
              <w:t>废气</w:t>
            </w:r>
          </w:p>
        </w:tc>
        <w:tc>
          <w:tcPr>
            <w:tcW w:w="1943" w:type="dxa"/>
            <w:noWrap w:val="0"/>
            <w:vAlign w:val="center"/>
          </w:tcPr>
          <w:p w14:paraId="3C11239F">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颗粒物</w:t>
            </w:r>
          </w:p>
        </w:tc>
        <w:tc>
          <w:tcPr>
            <w:tcW w:w="1449" w:type="dxa"/>
            <w:noWrap w:val="0"/>
            <w:vAlign w:val="center"/>
          </w:tcPr>
          <w:p w14:paraId="2303F467">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14:paraId="23B9AEC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p>
        </w:tc>
        <w:tc>
          <w:tcPr>
            <w:tcW w:w="1701" w:type="dxa"/>
            <w:noWrap w:val="0"/>
            <w:vAlign w:val="center"/>
          </w:tcPr>
          <w:p w14:paraId="2A857A3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14:paraId="4A2F23B5">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0.617</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14:paraId="374FC3C1">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highlight w:val="yellow"/>
                <w:lang w:val="en-US" w:eastAsia="zh-CN"/>
              </w:rPr>
            </w:pPr>
          </w:p>
        </w:tc>
        <w:tc>
          <w:tcPr>
            <w:tcW w:w="1609" w:type="dxa"/>
            <w:noWrap w:val="0"/>
            <w:vAlign w:val="center"/>
          </w:tcPr>
          <w:p w14:paraId="4D3C7CF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yellow"/>
                <w:lang w:val="en-US" w:eastAsia="zh-CN" w:bidi="ar-SA"/>
              </w:rPr>
            </w:pPr>
            <w:r>
              <w:rPr>
                <w:rFonts w:hint="eastAsia" w:cs="Times New Roman"/>
                <w:snapToGrid w:val="0"/>
                <w:color w:val="000000"/>
                <w:kern w:val="21"/>
                <w:sz w:val="21"/>
                <w:szCs w:val="21"/>
                <w:highlight w:val="none"/>
                <w:lang w:val="en-US" w:eastAsia="zh-CN" w:bidi="ar-SA"/>
              </w:rPr>
              <w:t>0.617</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14:paraId="5288C7C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p>
        </w:tc>
      </w:tr>
      <w:tr w14:paraId="36CBC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722D5B68">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14:paraId="4E03FFDA">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非甲烷总烃</w:t>
            </w:r>
          </w:p>
        </w:tc>
        <w:tc>
          <w:tcPr>
            <w:tcW w:w="1449" w:type="dxa"/>
            <w:noWrap w:val="0"/>
            <w:vAlign w:val="center"/>
          </w:tcPr>
          <w:p w14:paraId="15A4139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14:paraId="683FBDC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p>
        </w:tc>
        <w:tc>
          <w:tcPr>
            <w:tcW w:w="1701" w:type="dxa"/>
            <w:noWrap w:val="0"/>
            <w:vAlign w:val="center"/>
          </w:tcPr>
          <w:p w14:paraId="229EF2E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14:paraId="74965A0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0.257</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14:paraId="2DBF0746">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highlight w:val="yellow"/>
                <w:lang w:val="en-US" w:eastAsia="zh-CN"/>
              </w:rPr>
            </w:pPr>
          </w:p>
        </w:tc>
        <w:tc>
          <w:tcPr>
            <w:tcW w:w="1609" w:type="dxa"/>
            <w:noWrap w:val="0"/>
            <w:vAlign w:val="center"/>
          </w:tcPr>
          <w:p w14:paraId="4B3471B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0.257</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14:paraId="1BED081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p>
        </w:tc>
      </w:tr>
      <w:tr w14:paraId="226C1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2FC03C7C">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14:paraId="758D5D6D">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苯</w:t>
            </w:r>
          </w:p>
        </w:tc>
        <w:tc>
          <w:tcPr>
            <w:tcW w:w="1449" w:type="dxa"/>
            <w:noWrap w:val="0"/>
            <w:vAlign w:val="center"/>
          </w:tcPr>
          <w:p w14:paraId="53E704FF">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14:paraId="71D966F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14:paraId="4E4E466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14:paraId="5434057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0.0054</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14:paraId="6ADB78FB">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14:paraId="23121C38">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0.0054</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14:paraId="2DE6A53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14:paraId="067AC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494AB446">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14:paraId="08782578">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甲苯与二甲苯合计</w:t>
            </w:r>
          </w:p>
        </w:tc>
        <w:tc>
          <w:tcPr>
            <w:tcW w:w="1449" w:type="dxa"/>
            <w:noWrap w:val="0"/>
            <w:vAlign w:val="center"/>
          </w:tcPr>
          <w:p w14:paraId="1B834F4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14:paraId="03E92A0F">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14:paraId="32CAE9F8">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14:paraId="6A931C0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0.05256</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14:paraId="34C1421D">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14:paraId="017760D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0.05256</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14:paraId="4D7E6F4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14:paraId="5810B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631AA4E0">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14:paraId="63BA174A">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SO</w:t>
            </w:r>
            <w:r>
              <w:rPr>
                <w:rFonts w:hint="eastAsia" w:hAnsi="宋体" w:cs="宋体"/>
                <w:snapToGrid w:val="0"/>
                <w:color w:val="000000"/>
                <w:kern w:val="21"/>
                <w:sz w:val="21"/>
                <w:szCs w:val="21"/>
                <w:vertAlign w:val="subscript"/>
                <w:lang w:val="en-US" w:eastAsia="zh-CN"/>
              </w:rPr>
              <w:t>2</w:t>
            </w:r>
          </w:p>
        </w:tc>
        <w:tc>
          <w:tcPr>
            <w:tcW w:w="1449" w:type="dxa"/>
            <w:noWrap w:val="0"/>
            <w:vAlign w:val="center"/>
          </w:tcPr>
          <w:p w14:paraId="0205237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14:paraId="33B7922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14:paraId="2B4F914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14:paraId="2DD91C0F">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cs="宋体"/>
                <w:snapToGrid w:val="0"/>
                <w:color w:val="000000"/>
                <w:kern w:val="21"/>
                <w:sz w:val="21"/>
                <w:szCs w:val="21"/>
                <w:highlight w:val="none"/>
                <w:lang w:val="en-US" w:eastAsia="zh-CN" w:bidi="ar-SA"/>
              </w:rPr>
            </w:pPr>
            <w:r>
              <w:rPr>
                <w:rFonts w:hint="eastAsia"/>
                <w:color w:val="000000"/>
                <w:sz w:val="21"/>
                <w:szCs w:val="21"/>
                <w:highlight w:val="none"/>
                <w:lang w:val="en-US" w:eastAsia="zh-CN"/>
              </w:rPr>
              <w:t>0.0000004</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14:paraId="2BB18DEC">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14:paraId="0DBAD25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highlight w:val="none"/>
                <w:lang w:val="en-US" w:eastAsia="zh-CN" w:bidi="ar-SA"/>
              </w:rPr>
            </w:pPr>
            <w:r>
              <w:rPr>
                <w:rFonts w:hint="eastAsia"/>
                <w:color w:val="000000"/>
                <w:sz w:val="21"/>
                <w:szCs w:val="21"/>
                <w:highlight w:val="none"/>
                <w:lang w:val="en-US" w:eastAsia="zh-CN"/>
              </w:rPr>
              <w:t>0.0000004</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14:paraId="291CB7A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14:paraId="037F1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504F323B">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14:paraId="33213115">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NO</w:t>
            </w:r>
            <w:r>
              <w:rPr>
                <w:rFonts w:hint="eastAsia" w:hAnsi="宋体" w:cs="宋体"/>
                <w:snapToGrid w:val="0"/>
                <w:color w:val="000000"/>
                <w:kern w:val="21"/>
                <w:sz w:val="21"/>
                <w:szCs w:val="21"/>
                <w:vertAlign w:val="subscript"/>
                <w:lang w:val="en-US" w:eastAsia="zh-CN"/>
              </w:rPr>
              <w:t>X</w:t>
            </w:r>
          </w:p>
        </w:tc>
        <w:tc>
          <w:tcPr>
            <w:tcW w:w="1449" w:type="dxa"/>
            <w:noWrap w:val="0"/>
            <w:vAlign w:val="center"/>
          </w:tcPr>
          <w:p w14:paraId="22106DA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14:paraId="694A4C38">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14:paraId="507E205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14:paraId="1D90C01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cs="宋体"/>
                <w:snapToGrid w:val="0"/>
                <w:color w:val="000000"/>
                <w:kern w:val="21"/>
                <w:sz w:val="21"/>
                <w:szCs w:val="21"/>
                <w:highlight w:val="none"/>
                <w:lang w:val="en-US" w:eastAsia="zh-CN" w:bidi="ar-SA"/>
              </w:rPr>
            </w:pPr>
            <w:r>
              <w:rPr>
                <w:rFonts w:hint="eastAsia"/>
                <w:color w:val="000000"/>
                <w:sz w:val="21"/>
                <w:szCs w:val="21"/>
                <w:highlight w:val="none"/>
                <w:lang w:val="en-US" w:eastAsia="zh-CN"/>
              </w:rPr>
              <w:t>0.001192</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14:paraId="51A65BC4">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14:paraId="5F601FC5">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highlight w:val="none"/>
                <w:lang w:val="en-US" w:eastAsia="zh-CN" w:bidi="ar-SA"/>
              </w:rPr>
            </w:pPr>
            <w:r>
              <w:rPr>
                <w:rFonts w:hint="eastAsia"/>
                <w:color w:val="000000"/>
                <w:sz w:val="21"/>
                <w:szCs w:val="21"/>
                <w:highlight w:val="none"/>
                <w:lang w:val="en-US" w:eastAsia="zh-CN"/>
              </w:rPr>
              <w:t>0.001192</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14:paraId="61CECE8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14:paraId="1DC59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restart"/>
            <w:noWrap w:val="0"/>
            <w:vAlign w:val="center"/>
          </w:tcPr>
          <w:p w14:paraId="15E01B1D">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highlight w:val="none"/>
              </w:rPr>
            </w:pPr>
            <w:r>
              <w:rPr>
                <w:rFonts w:hint="eastAsia" w:hAnsi="宋体" w:cs="宋体"/>
                <w:snapToGrid w:val="0"/>
                <w:color w:val="000000"/>
                <w:kern w:val="21"/>
                <w:sz w:val="21"/>
                <w:szCs w:val="21"/>
                <w:highlight w:val="none"/>
              </w:rPr>
              <w:t>一般工业</w:t>
            </w:r>
          </w:p>
          <w:p w14:paraId="6E76D729">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highlight w:val="none"/>
              </w:rPr>
            </w:pPr>
            <w:r>
              <w:rPr>
                <w:rFonts w:hint="eastAsia" w:hAnsi="宋体" w:cs="宋体"/>
                <w:snapToGrid w:val="0"/>
                <w:color w:val="000000"/>
                <w:kern w:val="21"/>
                <w:sz w:val="21"/>
                <w:szCs w:val="21"/>
                <w:highlight w:val="none"/>
              </w:rPr>
              <w:t>固体废物</w:t>
            </w:r>
          </w:p>
        </w:tc>
        <w:tc>
          <w:tcPr>
            <w:tcW w:w="1943" w:type="dxa"/>
            <w:noWrap w:val="0"/>
            <w:vAlign w:val="center"/>
          </w:tcPr>
          <w:p w14:paraId="75F6F3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废边角料</w:t>
            </w:r>
          </w:p>
        </w:tc>
        <w:tc>
          <w:tcPr>
            <w:tcW w:w="1449" w:type="dxa"/>
            <w:noWrap w:val="0"/>
            <w:vAlign w:val="center"/>
          </w:tcPr>
          <w:p w14:paraId="4D05E7A8">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14:paraId="58AA7FA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14:paraId="03A07208">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14:paraId="18A8AC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25</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14:paraId="2962F7DA">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14:paraId="24776D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25</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14:paraId="7D8645C5">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14:paraId="22C2D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37E29E03">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14:paraId="0A42ED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000000"/>
                <w:kern w:val="0"/>
                <w:sz w:val="21"/>
                <w:szCs w:val="21"/>
                <w:lang w:val="en-US" w:eastAsia="zh-CN" w:bidi="ar"/>
              </w:rPr>
              <w:t>废焊料</w:t>
            </w:r>
          </w:p>
        </w:tc>
        <w:tc>
          <w:tcPr>
            <w:tcW w:w="1449" w:type="dxa"/>
            <w:noWrap w:val="0"/>
            <w:vAlign w:val="center"/>
          </w:tcPr>
          <w:p w14:paraId="7D6F547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14:paraId="7F28522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701" w:type="dxa"/>
            <w:noWrap w:val="0"/>
            <w:vAlign w:val="center"/>
          </w:tcPr>
          <w:p w14:paraId="7480D29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14:paraId="74A5A8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0.0015</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14:paraId="42116CF4">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14:paraId="1847B7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0.0015</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14:paraId="22B06595">
            <w:pPr>
              <w:pStyle w:val="27"/>
              <w:keepNext w:val="0"/>
              <w:keepLines w:val="0"/>
              <w:pageBreakBefore w:val="0"/>
              <w:kinsoku/>
              <w:wordWrap/>
              <w:overflowPunct/>
              <w:topLinePunct w:val="0"/>
              <w:autoSpaceDE/>
              <w:autoSpaceDN/>
              <w:bidi w:val="0"/>
              <w:adjustRightInd/>
              <w:snapToGrid/>
              <w:textAlignment w:val="auto"/>
              <w:rPr>
                <w:rFonts w:hint="eastAsia"/>
                <w:sz w:val="21"/>
                <w:szCs w:val="21"/>
                <w:lang w:val="en-US" w:eastAsia="zh-CN"/>
              </w:rPr>
            </w:pPr>
          </w:p>
        </w:tc>
      </w:tr>
      <w:tr w14:paraId="55627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032F56A1">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14:paraId="3BB0C2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水性漆、塑粉及腻子废包装桶</w:t>
            </w:r>
          </w:p>
        </w:tc>
        <w:tc>
          <w:tcPr>
            <w:tcW w:w="1449" w:type="dxa"/>
            <w:noWrap w:val="0"/>
            <w:vAlign w:val="center"/>
          </w:tcPr>
          <w:p w14:paraId="5D98703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14:paraId="0A0EA3AB">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701" w:type="dxa"/>
            <w:noWrap w:val="0"/>
            <w:vAlign w:val="center"/>
          </w:tcPr>
          <w:p w14:paraId="1A1D2D4D">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14:paraId="287EB1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14:paraId="4FA6116B">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14:paraId="2912C0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14:paraId="743481D1">
            <w:pPr>
              <w:pStyle w:val="27"/>
              <w:keepNext w:val="0"/>
              <w:keepLines w:val="0"/>
              <w:pageBreakBefore w:val="0"/>
              <w:kinsoku/>
              <w:wordWrap/>
              <w:overflowPunct/>
              <w:topLinePunct w:val="0"/>
              <w:autoSpaceDE/>
              <w:autoSpaceDN/>
              <w:bidi w:val="0"/>
              <w:adjustRightInd/>
              <w:snapToGrid/>
              <w:textAlignment w:val="auto"/>
              <w:rPr>
                <w:rFonts w:hint="eastAsia"/>
                <w:sz w:val="21"/>
                <w:szCs w:val="21"/>
                <w:lang w:val="en-US" w:eastAsia="zh-CN"/>
              </w:rPr>
            </w:pPr>
          </w:p>
        </w:tc>
      </w:tr>
      <w:tr w14:paraId="3300A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7BF63270">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rPr>
            </w:pPr>
          </w:p>
        </w:tc>
        <w:tc>
          <w:tcPr>
            <w:tcW w:w="1943" w:type="dxa"/>
            <w:noWrap w:val="0"/>
            <w:vAlign w:val="center"/>
          </w:tcPr>
          <w:p w14:paraId="1BDC4A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废铁屑</w:t>
            </w:r>
          </w:p>
        </w:tc>
        <w:tc>
          <w:tcPr>
            <w:tcW w:w="1449" w:type="dxa"/>
            <w:noWrap w:val="0"/>
            <w:vAlign w:val="center"/>
          </w:tcPr>
          <w:p w14:paraId="7A607DDB">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14:paraId="6E426CCB">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701" w:type="dxa"/>
            <w:noWrap w:val="0"/>
            <w:vAlign w:val="center"/>
          </w:tcPr>
          <w:p w14:paraId="317E044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14:paraId="35DD53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7.65</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14:paraId="7224338D">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14:paraId="736E3E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7.65</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14:paraId="54EFE94C">
            <w:pPr>
              <w:pStyle w:val="27"/>
              <w:keepNext w:val="0"/>
              <w:keepLines w:val="0"/>
              <w:pageBreakBefore w:val="0"/>
              <w:kinsoku/>
              <w:wordWrap/>
              <w:overflowPunct/>
              <w:topLinePunct w:val="0"/>
              <w:autoSpaceDE/>
              <w:autoSpaceDN/>
              <w:bidi w:val="0"/>
              <w:adjustRightInd/>
              <w:snapToGrid/>
              <w:textAlignment w:val="auto"/>
              <w:rPr>
                <w:rFonts w:hint="eastAsia"/>
                <w:sz w:val="21"/>
                <w:szCs w:val="21"/>
                <w:lang w:val="en-US" w:eastAsia="zh-CN"/>
              </w:rPr>
            </w:pPr>
          </w:p>
        </w:tc>
      </w:tr>
      <w:tr w14:paraId="45B0F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002307C5">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1DDEA1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000000"/>
                <w:kern w:val="0"/>
                <w:sz w:val="21"/>
                <w:szCs w:val="21"/>
                <w:lang w:val="en-US" w:eastAsia="zh-CN" w:bidi="ar"/>
              </w:rPr>
              <w:t>废磨料</w:t>
            </w:r>
          </w:p>
        </w:tc>
        <w:tc>
          <w:tcPr>
            <w:tcW w:w="1449" w:type="dxa"/>
            <w:noWrap w:val="0"/>
            <w:vAlign w:val="center"/>
          </w:tcPr>
          <w:p w14:paraId="73B4260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14:paraId="563C51E5">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14:paraId="1DD98C7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14:paraId="2934C6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0.007</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14:paraId="76A0478A">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14:paraId="5F7B7E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0.007</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14:paraId="2B92B91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14:paraId="69D70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079BEDF2">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1BDF5D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废钢丸</w:t>
            </w:r>
          </w:p>
        </w:tc>
        <w:tc>
          <w:tcPr>
            <w:tcW w:w="1449" w:type="dxa"/>
            <w:noWrap w:val="0"/>
            <w:vAlign w:val="center"/>
          </w:tcPr>
          <w:p w14:paraId="100584E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FF"/>
                <w:kern w:val="21"/>
                <w:sz w:val="21"/>
                <w:szCs w:val="21"/>
                <w:lang w:val="en-US" w:eastAsia="zh-CN" w:bidi="ar-SA"/>
              </w:rPr>
            </w:pPr>
          </w:p>
        </w:tc>
        <w:tc>
          <w:tcPr>
            <w:tcW w:w="1170" w:type="dxa"/>
            <w:noWrap w:val="0"/>
            <w:vAlign w:val="center"/>
          </w:tcPr>
          <w:p w14:paraId="005B34B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FF"/>
                <w:kern w:val="21"/>
                <w:sz w:val="21"/>
                <w:szCs w:val="21"/>
                <w:lang w:val="en-US" w:eastAsia="zh-CN" w:bidi="ar-SA"/>
              </w:rPr>
            </w:pPr>
          </w:p>
        </w:tc>
        <w:tc>
          <w:tcPr>
            <w:tcW w:w="1701" w:type="dxa"/>
            <w:noWrap w:val="0"/>
            <w:vAlign w:val="center"/>
          </w:tcPr>
          <w:p w14:paraId="33C46F3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FF"/>
                <w:kern w:val="21"/>
                <w:sz w:val="21"/>
                <w:szCs w:val="21"/>
                <w:lang w:val="en-US" w:eastAsia="zh-CN" w:bidi="ar-SA"/>
              </w:rPr>
            </w:pPr>
          </w:p>
        </w:tc>
        <w:tc>
          <w:tcPr>
            <w:tcW w:w="1688" w:type="dxa"/>
            <w:noWrap w:val="0"/>
            <w:vAlign w:val="center"/>
          </w:tcPr>
          <w:p w14:paraId="2B2CCD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0.008</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14:paraId="59D316DB">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宋体" w:eastAsia="宋体" w:cs="宋体"/>
                <w:snapToGrid w:val="0"/>
                <w:color w:val="0000FF"/>
                <w:kern w:val="21"/>
                <w:sz w:val="21"/>
                <w:szCs w:val="21"/>
                <w:lang w:val="en-US" w:eastAsia="zh-CN" w:bidi="ar-SA"/>
              </w:rPr>
            </w:pPr>
          </w:p>
        </w:tc>
        <w:tc>
          <w:tcPr>
            <w:tcW w:w="1609" w:type="dxa"/>
            <w:noWrap w:val="0"/>
            <w:vAlign w:val="center"/>
          </w:tcPr>
          <w:p w14:paraId="344287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0.008</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14:paraId="2F8178E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FF"/>
                <w:kern w:val="21"/>
                <w:sz w:val="21"/>
                <w:szCs w:val="21"/>
                <w:lang w:val="en-US" w:eastAsia="zh-CN" w:bidi="ar-SA"/>
              </w:rPr>
            </w:pPr>
          </w:p>
        </w:tc>
      </w:tr>
      <w:tr w14:paraId="29225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7F434061">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67C8E3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除尘灰</w:t>
            </w:r>
          </w:p>
        </w:tc>
        <w:tc>
          <w:tcPr>
            <w:tcW w:w="1449" w:type="dxa"/>
            <w:noWrap w:val="0"/>
            <w:vAlign w:val="center"/>
          </w:tcPr>
          <w:p w14:paraId="7FEF787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14:paraId="640AAA8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14:paraId="4107136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14:paraId="1CEE2E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5.88</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14:paraId="2FAAB8BC">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14:paraId="4917C1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5.88</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14:paraId="115E3A8D">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14:paraId="472AA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3624A90D">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170E62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废布袋</w:t>
            </w:r>
          </w:p>
        </w:tc>
        <w:tc>
          <w:tcPr>
            <w:tcW w:w="1449" w:type="dxa"/>
            <w:noWrap w:val="0"/>
            <w:vAlign w:val="center"/>
          </w:tcPr>
          <w:p w14:paraId="52D1018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14:paraId="4400A7F8">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14:paraId="5C091468">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14:paraId="206831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0.006</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14:paraId="3CA4545D">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609" w:type="dxa"/>
            <w:noWrap w:val="0"/>
            <w:vAlign w:val="center"/>
          </w:tcPr>
          <w:p w14:paraId="6C9C30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0.006</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14:paraId="13AD5FDD">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14:paraId="19E4FD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18EA91A7">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39A402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焊烟净化器除尘灰</w:t>
            </w:r>
          </w:p>
        </w:tc>
        <w:tc>
          <w:tcPr>
            <w:tcW w:w="1449" w:type="dxa"/>
            <w:noWrap w:val="0"/>
            <w:vAlign w:val="center"/>
          </w:tcPr>
          <w:p w14:paraId="3CA0077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14:paraId="146AC01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14:paraId="4761819B">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auto"/>
                <w:kern w:val="21"/>
                <w:sz w:val="21"/>
                <w:szCs w:val="21"/>
                <w:lang w:val="en-US" w:eastAsia="zh-CN"/>
              </w:rPr>
            </w:pPr>
          </w:p>
        </w:tc>
        <w:tc>
          <w:tcPr>
            <w:tcW w:w="1688" w:type="dxa"/>
            <w:noWrap w:val="0"/>
            <w:vAlign w:val="center"/>
          </w:tcPr>
          <w:p w14:paraId="406DFE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0.000945</w:t>
            </w:r>
            <w:r>
              <w:rPr>
                <w:rFonts w:hint="eastAsia" w:hAnsi="宋体" w:cs="宋体"/>
                <w:snapToGrid w:val="0"/>
                <w:color w:val="auto"/>
                <w:kern w:val="21"/>
                <w:sz w:val="21"/>
                <w:szCs w:val="21"/>
                <w:highlight w:val="none"/>
                <w:lang w:val="en-US" w:eastAsia="zh-CN" w:bidi="ar-SA"/>
              </w:rPr>
              <w:t>t/a</w:t>
            </w:r>
          </w:p>
        </w:tc>
        <w:tc>
          <w:tcPr>
            <w:tcW w:w="1773" w:type="dxa"/>
            <w:noWrap w:val="0"/>
            <w:vAlign w:val="center"/>
          </w:tcPr>
          <w:p w14:paraId="5ACBA235">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auto"/>
                <w:kern w:val="21"/>
                <w:sz w:val="21"/>
                <w:szCs w:val="21"/>
              </w:rPr>
            </w:pPr>
          </w:p>
        </w:tc>
        <w:tc>
          <w:tcPr>
            <w:tcW w:w="1609" w:type="dxa"/>
            <w:noWrap w:val="0"/>
            <w:vAlign w:val="center"/>
          </w:tcPr>
          <w:p w14:paraId="292FDE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0.000945</w:t>
            </w:r>
            <w:r>
              <w:rPr>
                <w:rFonts w:hint="eastAsia" w:hAnsi="宋体" w:cs="宋体"/>
                <w:snapToGrid w:val="0"/>
                <w:color w:val="auto"/>
                <w:kern w:val="21"/>
                <w:sz w:val="21"/>
                <w:szCs w:val="21"/>
                <w:highlight w:val="none"/>
                <w:lang w:val="en-US" w:eastAsia="zh-CN" w:bidi="ar-SA"/>
              </w:rPr>
              <w:t>t/a</w:t>
            </w:r>
          </w:p>
        </w:tc>
        <w:tc>
          <w:tcPr>
            <w:tcW w:w="1035" w:type="dxa"/>
            <w:noWrap w:val="0"/>
            <w:vAlign w:val="center"/>
          </w:tcPr>
          <w:p w14:paraId="4077BB4B">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auto"/>
                <w:kern w:val="21"/>
                <w:sz w:val="21"/>
                <w:szCs w:val="21"/>
                <w:lang w:val="en-US" w:eastAsia="zh-CN" w:bidi="ar-SA"/>
              </w:rPr>
            </w:pPr>
          </w:p>
        </w:tc>
      </w:tr>
      <w:tr w14:paraId="6CD63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751362F9">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3464A4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highlight w:val="none"/>
                <w:shd w:val="clear" w:color="auto" w:fill="auto"/>
                <w:lang w:val="en-US" w:eastAsia="zh-CN"/>
              </w:rPr>
              <w:t>废过滤材料</w:t>
            </w:r>
          </w:p>
        </w:tc>
        <w:tc>
          <w:tcPr>
            <w:tcW w:w="1449" w:type="dxa"/>
            <w:noWrap w:val="0"/>
            <w:vAlign w:val="center"/>
          </w:tcPr>
          <w:p w14:paraId="6EBB290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14:paraId="52C6534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14:paraId="297D411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auto"/>
                <w:kern w:val="21"/>
                <w:sz w:val="21"/>
                <w:szCs w:val="21"/>
                <w:lang w:val="en-US" w:eastAsia="zh-CN"/>
              </w:rPr>
            </w:pPr>
          </w:p>
        </w:tc>
        <w:tc>
          <w:tcPr>
            <w:tcW w:w="1688" w:type="dxa"/>
            <w:noWrap w:val="0"/>
            <w:vAlign w:val="center"/>
          </w:tcPr>
          <w:p w14:paraId="512573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0.002</w:t>
            </w:r>
            <w:r>
              <w:rPr>
                <w:rFonts w:hint="eastAsia" w:hAnsi="宋体" w:cs="宋体"/>
                <w:snapToGrid w:val="0"/>
                <w:color w:val="auto"/>
                <w:kern w:val="21"/>
                <w:sz w:val="21"/>
                <w:szCs w:val="21"/>
                <w:highlight w:val="none"/>
                <w:lang w:val="en-US" w:eastAsia="zh-CN" w:bidi="ar-SA"/>
              </w:rPr>
              <w:t>t/a</w:t>
            </w:r>
          </w:p>
        </w:tc>
        <w:tc>
          <w:tcPr>
            <w:tcW w:w="1773" w:type="dxa"/>
            <w:noWrap w:val="0"/>
            <w:vAlign w:val="center"/>
          </w:tcPr>
          <w:p w14:paraId="70012A85">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auto"/>
                <w:kern w:val="21"/>
                <w:sz w:val="21"/>
                <w:szCs w:val="21"/>
              </w:rPr>
            </w:pPr>
          </w:p>
        </w:tc>
        <w:tc>
          <w:tcPr>
            <w:tcW w:w="1609" w:type="dxa"/>
            <w:noWrap w:val="0"/>
            <w:vAlign w:val="center"/>
          </w:tcPr>
          <w:p w14:paraId="447300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0.002</w:t>
            </w:r>
            <w:r>
              <w:rPr>
                <w:rFonts w:hint="eastAsia" w:hAnsi="宋体" w:cs="宋体"/>
                <w:snapToGrid w:val="0"/>
                <w:color w:val="auto"/>
                <w:kern w:val="21"/>
                <w:sz w:val="21"/>
                <w:szCs w:val="21"/>
                <w:highlight w:val="none"/>
                <w:lang w:val="en-US" w:eastAsia="zh-CN" w:bidi="ar-SA"/>
              </w:rPr>
              <w:t>t/a</w:t>
            </w:r>
          </w:p>
        </w:tc>
        <w:tc>
          <w:tcPr>
            <w:tcW w:w="1035" w:type="dxa"/>
            <w:noWrap w:val="0"/>
            <w:vAlign w:val="center"/>
          </w:tcPr>
          <w:p w14:paraId="4930952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auto"/>
                <w:kern w:val="21"/>
                <w:sz w:val="21"/>
                <w:szCs w:val="21"/>
                <w:lang w:val="en-US" w:eastAsia="zh-CN" w:bidi="ar-SA"/>
              </w:rPr>
            </w:pPr>
          </w:p>
        </w:tc>
      </w:tr>
      <w:tr w14:paraId="16569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7780AE6D">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649282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
              </w:rPr>
              <w:t>生活垃圾</w:t>
            </w:r>
          </w:p>
        </w:tc>
        <w:tc>
          <w:tcPr>
            <w:tcW w:w="1449" w:type="dxa"/>
            <w:noWrap w:val="0"/>
            <w:vAlign w:val="center"/>
          </w:tcPr>
          <w:p w14:paraId="66DC732D">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14:paraId="1C8AD79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14:paraId="2D49CB45">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hAnsi="宋体" w:eastAsia="宋体" w:cs="宋体"/>
                <w:snapToGrid w:val="0"/>
                <w:color w:val="auto"/>
                <w:kern w:val="21"/>
                <w:sz w:val="21"/>
                <w:szCs w:val="21"/>
                <w:lang w:val="en-US" w:eastAsia="zh-CN"/>
              </w:rPr>
            </w:pPr>
          </w:p>
        </w:tc>
        <w:tc>
          <w:tcPr>
            <w:tcW w:w="1688" w:type="dxa"/>
            <w:noWrap w:val="0"/>
            <w:vAlign w:val="center"/>
          </w:tcPr>
          <w:p w14:paraId="5F1272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0.75</w:t>
            </w:r>
            <w:r>
              <w:rPr>
                <w:rFonts w:hint="eastAsia" w:hAnsi="宋体" w:cs="宋体"/>
                <w:snapToGrid w:val="0"/>
                <w:color w:val="auto"/>
                <w:kern w:val="21"/>
                <w:sz w:val="21"/>
                <w:szCs w:val="21"/>
                <w:highlight w:val="none"/>
                <w:lang w:val="en-US" w:eastAsia="zh-CN" w:bidi="ar-SA"/>
              </w:rPr>
              <w:t>t/a</w:t>
            </w:r>
          </w:p>
        </w:tc>
        <w:tc>
          <w:tcPr>
            <w:tcW w:w="1773" w:type="dxa"/>
            <w:noWrap w:val="0"/>
            <w:vAlign w:val="center"/>
          </w:tcPr>
          <w:p w14:paraId="625EBBB4">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auto"/>
                <w:kern w:val="21"/>
                <w:sz w:val="21"/>
                <w:szCs w:val="21"/>
              </w:rPr>
            </w:pPr>
          </w:p>
        </w:tc>
        <w:tc>
          <w:tcPr>
            <w:tcW w:w="1609" w:type="dxa"/>
            <w:noWrap w:val="0"/>
            <w:vAlign w:val="center"/>
          </w:tcPr>
          <w:p w14:paraId="6D09F9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0.75</w:t>
            </w:r>
            <w:r>
              <w:rPr>
                <w:rFonts w:hint="eastAsia" w:hAnsi="宋体" w:cs="宋体"/>
                <w:snapToGrid w:val="0"/>
                <w:color w:val="auto"/>
                <w:kern w:val="21"/>
                <w:sz w:val="21"/>
                <w:szCs w:val="21"/>
                <w:highlight w:val="none"/>
                <w:lang w:val="en-US" w:eastAsia="zh-CN" w:bidi="ar-SA"/>
              </w:rPr>
              <w:t>t/a</w:t>
            </w:r>
          </w:p>
        </w:tc>
        <w:tc>
          <w:tcPr>
            <w:tcW w:w="1035" w:type="dxa"/>
            <w:noWrap w:val="0"/>
            <w:vAlign w:val="center"/>
          </w:tcPr>
          <w:p w14:paraId="234D7CED">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auto"/>
                <w:kern w:val="21"/>
                <w:sz w:val="21"/>
                <w:szCs w:val="21"/>
                <w:lang w:val="en-US" w:eastAsia="zh-CN" w:bidi="ar-SA"/>
              </w:rPr>
            </w:pPr>
          </w:p>
        </w:tc>
      </w:tr>
      <w:tr w14:paraId="70231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restart"/>
            <w:noWrap w:val="0"/>
            <w:vAlign w:val="center"/>
          </w:tcPr>
          <w:p w14:paraId="2B46AD08">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eastAsia" w:hAnsi="宋体" w:cs="宋体"/>
                <w:snapToGrid w:val="0"/>
                <w:color w:val="000000"/>
                <w:kern w:val="21"/>
                <w:sz w:val="21"/>
                <w:szCs w:val="21"/>
                <w:highlight w:val="none"/>
              </w:rPr>
            </w:pPr>
            <w:r>
              <w:rPr>
                <w:rFonts w:hint="eastAsia" w:hAnsi="宋体" w:cs="宋体"/>
                <w:snapToGrid w:val="0"/>
                <w:color w:val="000000"/>
                <w:kern w:val="21"/>
                <w:sz w:val="21"/>
                <w:szCs w:val="21"/>
                <w:highlight w:val="none"/>
              </w:rPr>
              <w:t>危险废物</w:t>
            </w:r>
          </w:p>
        </w:tc>
        <w:tc>
          <w:tcPr>
            <w:tcW w:w="1943" w:type="dxa"/>
            <w:noWrap w:val="0"/>
            <w:vAlign w:val="center"/>
          </w:tcPr>
          <w:p w14:paraId="20991F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废润滑油</w:t>
            </w:r>
          </w:p>
        </w:tc>
        <w:tc>
          <w:tcPr>
            <w:tcW w:w="1449" w:type="dxa"/>
            <w:noWrap w:val="0"/>
            <w:vAlign w:val="center"/>
          </w:tcPr>
          <w:p w14:paraId="0DB71F4F">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14:paraId="2BE676E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14:paraId="1060078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1688" w:type="dxa"/>
            <w:noWrap w:val="0"/>
            <w:vAlign w:val="center"/>
          </w:tcPr>
          <w:p w14:paraId="033AF9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0.002</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14:paraId="3A5346C1">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auto"/>
                <w:kern w:val="21"/>
                <w:sz w:val="21"/>
                <w:szCs w:val="21"/>
              </w:rPr>
            </w:pPr>
          </w:p>
        </w:tc>
        <w:tc>
          <w:tcPr>
            <w:tcW w:w="1609" w:type="dxa"/>
            <w:noWrap w:val="0"/>
            <w:vAlign w:val="center"/>
          </w:tcPr>
          <w:p w14:paraId="770953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0.002</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14:paraId="4452C618">
            <w:pPr>
              <w:pStyle w:val="27"/>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p>
        </w:tc>
      </w:tr>
      <w:tr w14:paraId="5DDA3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2E4C075D">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5156AE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废液压油</w:t>
            </w:r>
          </w:p>
        </w:tc>
        <w:tc>
          <w:tcPr>
            <w:tcW w:w="1449" w:type="dxa"/>
            <w:noWrap w:val="0"/>
            <w:vAlign w:val="center"/>
          </w:tcPr>
          <w:p w14:paraId="3B163B0B">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14:paraId="4202445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14:paraId="7F41033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14:paraId="152C15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14:paraId="055437F0">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auto"/>
                <w:kern w:val="21"/>
                <w:sz w:val="21"/>
                <w:szCs w:val="21"/>
              </w:rPr>
            </w:pPr>
          </w:p>
        </w:tc>
        <w:tc>
          <w:tcPr>
            <w:tcW w:w="1609" w:type="dxa"/>
            <w:noWrap w:val="0"/>
            <w:vAlign w:val="center"/>
          </w:tcPr>
          <w:p w14:paraId="64FA9B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14:paraId="5CFAB255">
            <w:pPr>
              <w:pStyle w:val="27"/>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p>
        </w:tc>
      </w:tr>
      <w:tr w14:paraId="337B0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2FFD0175">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1DF5FD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废切削液</w:t>
            </w:r>
          </w:p>
        </w:tc>
        <w:tc>
          <w:tcPr>
            <w:tcW w:w="1449" w:type="dxa"/>
            <w:noWrap w:val="0"/>
            <w:vAlign w:val="center"/>
          </w:tcPr>
          <w:p w14:paraId="05207C4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14:paraId="41810E4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14:paraId="3B214548">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1688" w:type="dxa"/>
            <w:noWrap w:val="0"/>
            <w:vAlign w:val="center"/>
          </w:tcPr>
          <w:p w14:paraId="0D7424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14:paraId="48C353F0">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auto"/>
                <w:kern w:val="21"/>
                <w:sz w:val="21"/>
                <w:szCs w:val="21"/>
              </w:rPr>
            </w:pPr>
          </w:p>
        </w:tc>
        <w:tc>
          <w:tcPr>
            <w:tcW w:w="1609" w:type="dxa"/>
            <w:noWrap w:val="0"/>
            <w:vAlign w:val="center"/>
          </w:tcPr>
          <w:p w14:paraId="50C838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14:paraId="5984F49C">
            <w:pPr>
              <w:pStyle w:val="27"/>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p>
        </w:tc>
      </w:tr>
      <w:tr w14:paraId="497F0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0C2A57F7">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2ACB0C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含油铁屑</w:t>
            </w:r>
          </w:p>
        </w:tc>
        <w:tc>
          <w:tcPr>
            <w:tcW w:w="1449" w:type="dxa"/>
            <w:noWrap w:val="0"/>
            <w:vAlign w:val="center"/>
          </w:tcPr>
          <w:p w14:paraId="24CF95A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napToGrid w:val="0"/>
                <w:color w:val="auto"/>
                <w:kern w:val="21"/>
                <w:sz w:val="21"/>
                <w:szCs w:val="21"/>
                <w:lang w:val="en-US" w:eastAsia="zh-CN" w:bidi="ar-SA"/>
              </w:rPr>
            </w:pPr>
          </w:p>
        </w:tc>
        <w:tc>
          <w:tcPr>
            <w:tcW w:w="1170" w:type="dxa"/>
            <w:noWrap w:val="0"/>
            <w:vAlign w:val="center"/>
          </w:tcPr>
          <w:p w14:paraId="43844E0D">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snapToGrid w:val="0"/>
                <w:color w:val="auto"/>
                <w:kern w:val="21"/>
                <w:sz w:val="21"/>
                <w:szCs w:val="21"/>
                <w:lang w:val="en-US" w:eastAsia="zh-CN" w:bidi="ar-SA"/>
              </w:rPr>
            </w:pPr>
          </w:p>
        </w:tc>
        <w:tc>
          <w:tcPr>
            <w:tcW w:w="1701" w:type="dxa"/>
            <w:noWrap w:val="0"/>
            <w:vAlign w:val="center"/>
          </w:tcPr>
          <w:p w14:paraId="5834401C">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14:paraId="3E09BE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14:paraId="75BBAA2D">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napToGrid w:val="0"/>
                <w:color w:val="auto"/>
                <w:kern w:val="21"/>
                <w:sz w:val="21"/>
                <w:szCs w:val="21"/>
                <w:lang w:val="en-US" w:eastAsia="zh-CN" w:bidi="ar-SA"/>
              </w:rPr>
            </w:pPr>
          </w:p>
        </w:tc>
        <w:tc>
          <w:tcPr>
            <w:tcW w:w="1609" w:type="dxa"/>
            <w:noWrap w:val="0"/>
            <w:vAlign w:val="center"/>
          </w:tcPr>
          <w:p w14:paraId="7479DB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14:paraId="1AD13A39">
            <w:pPr>
              <w:pStyle w:val="27"/>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p>
        </w:tc>
      </w:tr>
      <w:tr w14:paraId="1CCD77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7B9796CB">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043CEA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漆渣</w:t>
            </w:r>
          </w:p>
        </w:tc>
        <w:tc>
          <w:tcPr>
            <w:tcW w:w="1449" w:type="dxa"/>
            <w:noWrap w:val="0"/>
            <w:vAlign w:val="center"/>
          </w:tcPr>
          <w:p w14:paraId="029D1F1A">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14:paraId="524C80E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14:paraId="6ADBE79F">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14:paraId="2AC81A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0.64</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14:paraId="177723F7">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auto"/>
                <w:kern w:val="21"/>
                <w:sz w:val="21"/>
                <w:szCs w:val="21"/>
              </w:rPr>
            </w:pPr>
          </w:p>
        </w:tc>
        <w:tc>
          <w:tcPr>
            <w:tcW w:w="1609" w:type="dxa"/>
            <w:noWrap w:val="0"/>
            <w:vAlign w:val="center"/>
          </w:tcPr>
          <w:p w14:paraId="7298D5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0.64</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14:paraId="779A8EA8">
            <w:pPr>
              <w:pStyle w:val="27"/>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p>
        </w:tc>
      </w:tr>
      <w:tr w14:paraId="7E665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5574B539">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592F2A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油性漆及废包装桶</w:t>
            </w:r>
          </w:p>
        </w:tc>
        <w:tc>
          <w:tcPr>
            <w:tcW w:w="1449" w:type="dxa"/>
            <w:noWrap w:val="0"/>
            <w:vAlign w:val="center"/>
          </w:tcPr>
          <w:p w14:paraId="3C906CD7">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14:paraId="16DBC059">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14:paraId="7B9B1FC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14:paraId="0EAB99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14:paraId="5A414C69">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auto"/>
                <w:kern w:val="21"/>
                <w:sz w:val="21"/>
                <w:szCs w:val="21"/>
              </w:rPr>
            </w:pPr>
          </w:p>
        </w:tc>
        <w:tc>
          <w:tcPr>
            <w:tcW w:w="1609" w:type="dxa"/>
            <w:noWrap w:val="0"/>
            <w:vAlign w:val="center"/>
          </w:tcPr>
          <w:p w14:paraId="53449B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14:paraId="2ADAB957">
            <w:pPr>
              <w:pStyle w:val="27"/>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p>
        </w:tc>
      </w:tr>
      <w:tr w14:paraId="296AF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193EF30F">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12E37C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废油桶</w:t>
            </w:r>
          </w:p>
        </w:tc>
        <w:tc>
          <w:tcPr>
            <w:tcW w:w="1449" w:type="dxa"/>
            <w:noWrap w:val="0"/>
            <w:vAlign w:val="center"/>
          </w:tcPr>
          <w:p w14:paraId="6643773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14:paraId="539B496D">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14:paraId="5D7026E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14:paraId="40BB39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14:paraId="6EFAF357">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auto"/>
                <w:kern w:val="21"/>
                <w:sz w:val="21"/>
                <w:szCs w:val="21"/>
              </w:rPr>
            </w:pPr>
          </w:p>
        </w:tc>
        <w:tc>
          <w:tcPr>
            <w:tcW w:w="1609" w:type="dxa"/>
            <w:noWrap w:val="0"/>
            <w:vAlign w:val="center"/>
          </w:tcPr>
          <w:p w14:paraId="4161F2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14:paraId="21CB4020">
            <w:pPr>
              <w:pStyle w:val="27"/>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p>
        </w:tc>
      </w:tr>
      <w:tr w14:paraId="54247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32DA179F">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1CB100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废过滤棉</w:t>
            </w:r>
          </w:p>
        </w:tc>
        <w:tc>
          <w:tcPr>
            <w:tcW w:w="1449" w:type="dxa"/>
            <w:noWrap w:val="0"/>
            <w:vAlign w:val="center"/>
          </w:tcPr>
          <w:p w14:paraId="66A0013B">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napToGrid w:val="0"/>
                <w:color w:val="auto"/>
                <w:kern w:val="21"/>
                <w:sz w:val="21"/>
                <w:szCs w:val="21"/>
                <w:lang w:val="en-US" w:eastAsia="zh-CN"/>
              </w:rPr>
            </w:pPr>
          </w:p>
        </w:tc>
        <w:tc>
          <w:tcPr>
            <w:tcW w:w="1170" w:type="dxa"/>
            <w:noWrap w:val="0"/>
            <w:vAlign w:val="center"/>
          </w:tcPr>
          <w:p w14:paraId="3CC11D3D">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napToGrid w:val="0"/>
                <w:color w:val="auto"/>
                <w:kern w:val="21"/>
                <w:sz w:val="21"/>
                <w:szCs w:val="21"/>
                <w:lang w:val="en-US" w:eastAsia="zh-CN" w:bidi="ar-SA"/>
              </w:rPr>
            </w:pPr>
          </w:p>
        </w:tc>
        <w:tc>
          <w:tcPr>
            <w:tcW w:w="1701" w:type="dxa"/>
            <w:noWrap w:val="0"/>
            <w:vAlign w:val="center"/>
          </w:tcPr>
          <w:p w14:paraId="02C1177E">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14:paraId="35DDEC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14:paraId="1C4837A8">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auto"/>
                <w:kern w:val="21"/>
                <w:sz w:val="21"/>
                <w:szCs w:val="21"/>
              </w:rPr>
            </w:pPr>
          </w:p>
        </w:tc>
        <w:tc>
          <w:tcPr>
            <w:tcW w:w="1609" w:type="dxa"/>
            <w:noWrap w:val="0"/>
            <w:vAlign w:val="center"/>
          </w:tcPr>
          <w:p w14:paraId="328F5A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14:paraId="22D63224">
            <w:pPr>
              <w:pStyle w:val="27"/>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p>
        </w:tc>
      </w:tr>
      <w:tr w14:paraId="6BED1B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5945EE4A">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74D88E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废活性炭</w:t>
            </w:r>
          </w:p>
        </w:tc>
        <w:tc>
          <w:tcPr>
            <w:tcW w:w="1449" w:type="dxa"/>
            <w:noWrap w:val="0"/>
            <w:vAlign w:val="center"/>
          </w:tcPr>
          <w:p w14:paraId="5359818A">
            <w:pPr>
              <w:pStyle w:val="27"/>
              <w:keepNext w:val="0"/>
              <w:keepLines w:val="0"/>
              <w:pageBreakBefore w:val="0"/>
              <w:kinsoku/>
              <w:wordWrap/>
              <w:overflowPunct/>
              <w:topLinePunct w:val="0"/>
              <w:autoSpaceDE/>
              <w:autoSpaceDN/>
              <w:bidi w:val="0"/>
              <w:adjustRightInd/>
              <w:snapToGrid/>
              <w:textAlignment w:val="auto"/>
              <w:rPr>
                <w:rFonts w:hint="eastAsia"/>
                <w:color w:val="auto"/>
                <w:sz w:val="21"/>
                <w:szCs w:val="21"/>
                <w:lang w:val="en-US" w:eastAsia="zh-CN"/>
              </w:rPr>
            </w:pPr>
          </w:p>
        </w:tc>
        <w:tc>
          <w:tcPr>
            <w:tcW w:w="1170" w:type="dxa"/>
            <w:noWrap w:val="0"/>
            <w:vAlign w:val="center"/>
          </w:tcPr>
          <w:p w14:paraId="40D76101">
            <w:pPr>
              <w:pStyle w:val="27"/>
              <w:keepNext w:val="0"/>
              <w:keepLines w:val="0"/>
              <w:pageBreakBefore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lang w:val="en-US" w:eastAsia="zh-CN" w:bidi="ar-SA"/>
              </w:rPr>
            </w:pPr>
          </w:p>
        </w:tc>
        <w:tc>
          <w:tcPr>
            <w:tcW w:w="1701" w:type="dxa"/>
            <w:noWrap w:val="0"/>
            <w:vAlign w:val="center"/>
          </w:tcPr>
          <w:p w14:paraId="2F9B65C6">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14:paraId="1BB28C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14:paraId="451543FB">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auto"/>
                <w:kern w:val="21"/>
                <w:sz w:val="21"/>
                <w:szCs w:val="21"/>
              </w:rPr>
            </w:pPr>
          </w:p>
        </w:tc>
        <w:tc>
          <w:tcPr>
            <w:tcW w:w="1609" w:type="dxa"/>
            <w:noWrap w:val="0"/>
            <w:vAlign w:val="center"/>
          </w:tcPr>
          <w:p w14:paraId="087EEC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14:paraId="4A87A243">
            <w:pPr>
              <w:pStyle w:val="27"/>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p>
        </w:tc>
      </w:tr>
      <w:tr w14:paraId="74D88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21147EB3">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409564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废催化剂</w:t>
            </w:r>
          </w:p>
        </w:tc>
        <w:tc>
          <w:tcPr>
            <w:tcW w:w="1449" w:type="dxa"/>
            <w:noWrap w:val="0"/>
            <w:vAlign w:val="center"/>
          </w:tcPr>
          <w:p w14:paraId="732AE771">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170" w:type="dxa"/>
            <w:noWrap w:val="0"/>
            <w:vAlign w:val="center"/>
          </w:tcPr>
          <w:p w14:paraId="355EF33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14:paraId="0E51AAA2">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auto"/>
                <w:kern w:val="21"/>
                <w:sz w:val="21"/>
                <w:szCs w:val="21"/>
                <w:lang w:val="en-US" w:eastAsia="zh-CN" w:bidi="ar-SA"/>
              </w:rPr>
            </w:pPr>
          </w:p>
        </w:tc>
        <w:tc>
          <w:tcPr>
            <w:tcW w:w="1688" w:type="dxa"/>
            <w:noWrap w:val="0"/>
            <w:vAlign w:val="center"/>
          </w:tcPr>
          <w:p w14:paraId="23714E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14:paraId="51271A85">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宋体" w:eastAsia="宋体" w:cs="宋体"/>
                <w:snapToGrid w:val="0"/>
                <w:color w:val="auto"/>
                <w:kern w:val="21"/>
                <w:sz w:val="21"/>
                <w:szCs w:val="21"/>
                <w:lang w:val="en-US" w:eastAsia="zh-CN" w:bidi="ar-SA"/>
              </w:rPr>
            </w:pPr>
          </w:p>
        </w:tc>
        <w:tc>
          <w:tcPr>
            <w:tcW w:w="1609" w:type="dxa"/>
            <w:noWrap w:val="0"/>
            <w:vAlign w:val="center"/>
          </w:tcPr>
          <w:p w14:paraId="697AD7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14:paraId="14E3019B">
            <w:pPr>
              <w:pStyle w:val="27"/>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p>
        </w:tc>
      </w:tr>
      <w:tr w14:paraId="3BB71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0" w:type="dxa"/>
            <w:vMerge w:val="continue"/>
            <w:noWrap w:val="0"/>
            <w:vAlign w:val="center"/>
          </w:tcPr>
          <w:p w14:paraId="33E1D7A6">
            <w:pPr>
              <w:pStyle w:val="27"/>
              <w:keepNext w:val="0"/>
              <w:keepLines w:val="0"/>
              <w:pageBreakBefore w:val="0"/>
              <w:kinsoku/>
              <w:wordWrap/>
              <w:overflowPunct/>
              <w:topLinePunct w:val="0"/>
              <w:autoSpaceDE/>
              <w:autoSpaceDN/>
              <w:bidi w:val="0"/>
              <w:adjustRightInd/>
              <w:snapToGrid/>
              <w:spacing w:line="240" w:lineRule="auto"/>
              <w:jc w:val="center"/>
              <w:textAlignment w:val="auto"/>
              <w:rPr>
                <w:rFonts w:hAnsi="宋体" w:cs="宋体"/>
                <w:snapToGrid w:val="0"/>
                <w:color w:val="000000"/>
                <w:kern w:val="21"/>
                <w:sz w:val="21"/>
                <w:szCs w:val="21"/>
              </w:rPr>
            </w:pPr>
          </w:p>
        </w:tc>
        <w:tc>
          <w:tcPr>
            <w:tcW w:w="1943" w:type="dxa"/>
            <w:noWrap w:val="0"/>
            <w:vAlign w:val="center"/>
          </w:tcPr>
          <w:p w14:paraId="081685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废九宫格过滤材料</w:t>
            </w:r>
          </w:p>
        </w:tc>
        <w:tc>
          <w:tcPr>
            <w:tcW w:w="1449" w:type="dxa"/>
            <w:noWrap w:val="0"/>
            <w:vAlign w:val="center"/>
          </w:tcPr>
          <w:p w14:paraId="4FAF2273">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170" w:type="dxa"/>
            <w:noWrap w:val="0"/>
            <w:vAlign w:val="center"/>
          </w:tcPr>
          <w:p w14:paraId="6BB86C90">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14:paraId="65B21C3F">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宋体" w:eastAsia="宋体" w:cs="宋体"/>
                <w:snapToGrid w:val="0"/>
                <w:color w:val="auto"/>
                <w:kern w:val="21"/>
                <w:sz w:val="21"/>
                <w:szCs w:val="21"/>
                <w:lang w:val="en-US" w:eastAsia="zh-CN" w:bidi="ar-SA"/>
              </w:rPr>
            </w:pPr>
          </w:p>
        </w:tc>
        <w:tc>
          <w:tcPr>
            <w:tcW w:w="1688" w:type="dxa"/>
            <w:noWrap w:val="0"/>
            <w:vAlign w:val="center"/>
          </w:tcPr>
          <w:p w14:paraId="5AFD21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0.05t/a</w:t>
            </w:r>
          </w:p>
        </w:tc>
        <w:tc>
          <w:tcPr>
            <w:tcW w:w="1773" w:type="dxa"/>
            <w:noWrap w:val="0"/>
            <w:vAlign w:val="center"/>
          </w:tcPr>
          <w:p w14:paraId="66A18F14">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宋体" w:eastAsia="宋体" w:cs="宋体"/>
                <w:snapToGrid w:val="0"/>
                <w:color w:val="auto"/>
                <w:kern w:val="21"/>
                <w:sz w:val="21"/>
                <w:szCs w:val="21"/>
                <w:lang w:val="en-US" w:eastAsia="zh-CN" w:bidi="ar-SA"/>
              </w:rPr>
            </w:pPr>
          </w:p>
        </w:tc>
        <w:tc>
          <w:tcPr>
            <w:tcW w:w="1609" w:type="dxa"/>
            <w:noWrap w:val="0"/>
            <w:vAlign w:val="center"/>
          </w:tcPr>
          <w:p w14:paraId="2AD496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0.05t/a</w:t>
            </w:r>
          </w:p>
        </w:tc>
        <w:tc>
          <w:tcPr>
            <w:tcW w:w="1035" w:type="dxa"/>
            <w:noWrap w:val="0"/>
            <w:vAlign w:val="center"/>
          </w:tcPr>
          <w:p w14:paraId="60794588">
            <w:pPr>
              <w:pStyle w:val="27"/>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p>
        </w:tc>
      </w:tr>
    </w:tbl>
    <w:p w14:paraId="37357ED7">
      <w:pPr>
        <w:jc w:val="left"/>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p w14:paraId="5BDA30F6"/>
    <w:sectPr>
      <w:pgSz w:w="16838" w:h="11906" w:orient="landscape"/>
      <w:pgMar w:top="1417" w:right="1440" w:bottom="1247" w:left="1440" w:header="851" w:footer="992" w:gutter="0"/>
      <w:pgBorders>
        <w:top w:val="none" w:sz="0" w:space="0"/>
        <w:left w:val="none" w:sz="0" w:space="0"/>
        <w:bottom w:val="none" w:sz="0" w:space="0"/>
        <w:right w:val="none" w:sz="0" w:space="0"/>
      </w:pgBorders>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ngsanaUPC">
    <w:altName w:val="Times New Roman"/>
    <w:panose1 w:val="02020603050405020304"/>
    <w:charset w:val="00"/>
    <w:family w:val="roman"/>
    <w:pitch w:val="default"/>
    <w:sig w:usb0="00000000"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脣脦脤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40BBB">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47386">
    <w:pPr>
      <w:pStyle w:val="15"/>
      <w:framePr w:wrap="around" w:vAnchor="text" w:hAnchor="margin" w:xAlign="center" w:y="1"/>
      <w:rPr>
        <w:rStyle w:val="24"/>
      </w:rPr>
    </w:pPr>
    <w:r>
      <w:fldChar w:fldCharType="begin"/>
    </w:r>
    <w:r>
      <w:rPr>
        <w:rStyle w:val="24"/>
      </w:rPr>
      <w:instrText xml:space="preserve">PAGE  </w:instrText>
    </w:r>
    <w:r>
      <w:fldChar w:fldCharType="end"/>
    </w:r>
  </w:p>
  <w:p w14:paraId="0574FF82">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AE186">
    <w:pPr>
      <w:pStyle w:val="1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0AB15">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40AB15">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7221D"/>
    <w:multiLevelType w:val="singleLevel"/>
    <w:tmpl w:val="8027221D"/>
    <w:lvl w:ilvl="0" w:tentative="0">
      <w:start w:val="1"/>
      <w:numFmt w:val="decimal"/>
      <w:suff w:val="nothing"/>
      <w:lvlText w:val="%1"/>
      <w:lvlJc w:val="left"/>
      <w:pPr>
        <w:ind w:left="0" w:firstLine="0"/>
      </w:pPr>
      <w:rPr>
        <w:rFonts w:hint="default"/>
      </w:rPr>
    </w:lvl>
  </w:abstractNum>
  <w:abstractNum w:abstractNumId="1">
    <w:nsid w:val="A9354FC9"/>
    <w:multiLevelType w:val="singleLevel"/>
    <w:tmpl w:val="A9354FC9"/>
    <w:lvl w:ilvl="0" w:tentative="0">
      <w:start w:val="1"/>
      <w:numFmt w:val="chineseCounting"/>
      <w:suff w:val="nothing"/>
      <w:lvlText w:val="%1、"/>
      <w:lvlJc w:val="left"/>
      <w:rPr>
        <w:rFonts w:hint="eastAsia"/>
      </w:rPr>
    </w:lvl>
  </w:abstractNum>
  <w:abstractNum w:abstractNumId="2">
    <w:nsid w:val="BEEA04BF"/>
    <w:multiLevelType w:val="singleLevel"/>
    <w:tmpl w:val="BEEA04BF"/>
    <w:lvl w:ilvl="0" w:tentative="0">
      <w:start w:val="1"/>
      <w:numFmt w:val="decimal"/>
      <w:suff w:val="nothing"/>
      <w:lvlText w:val="%1"/>
      <w:lvlJc w:val="left"/>
      <w:pPr>
        <w:ind w:left="0" w:firstLine="0"/>
      </w:pPr>
      <w:rPr>
        <w:rFonts w:hint="default"/>
      </w:rPr>
    </w:lvl>
  </w:abstractNum>
  <w:abstractNum w:abstractNumId="3">
    <w:nsid w:val="06D90B38"/>
    <w:multiLevelType w:val="singleLevel"/>
    <w:tmpl w:val="06D90B38"/>
    <w:lvl w:ilvl="0" w:tentative="0">
      <w:start w:val="1"/>
      <w:numFmt w:val="decimal"/>
      <w:suff w:val="nothing"/>
      <w:lvlText w:val="%1"/>
      <w:lvlJc w:val="left"/>
      <w:pPr>
        <w:ind w:left="0" w:firstLine="0"/>
      </w:pPr>
      <w:rPr>
        <w:rFonts w:hint="default"/>
      </w:rPr>
    </w:lvl>
  </w:abstractNum>
  <w:abstractNum w:abstractNumId="4">
    <w:nsid w:val="37BD50A3"/>
    <w:multiLevelType w:val="singleLevel"/>
    <w:tmpl w:val="37BD50A3"/>
    <w:lvl w:ilvl="0" w:tentative="0">
      <w:start w:val="1"/>
      <w:numFmt w:val="decimal"/>
      <w:suff w:val="nothing"/>
      <w:lvlText w:val="%1"/>
      <w:lvlJc w:val="center"/>
      <w:pPr>
        <w:ind w:left="0" w:firstLine="0"/>
      </w:pPr>
      <w:rPr>
        <w:rFonts w:hint="default"/>
      </w:rPr>
    </w:lvl>
  </w:abstractNum>
  <w:abstractNum w:abstractNumId="5">
    <w:nsid w:val="783E6DD8"/>
    <w:multiLevelType w:val="singleLevel"/>
    <w:tmpl w:val="783E6DD8"/>
    <w:lvl w:ilvl="0" w:tentative="0">
      <w:start w:val="2"/>
      <w:numFmt w:val="decimal"/>
      <w:suff w:val="nothing"/>
      <w:lvlText w:val="%1、"/>
      <w:lvlJc w:val="left"/>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3C3B"/>
    <w:rsid w:val="00076791"/>
    <w:rsid w:val="001D5FB4"/>
    <w:rsid w:val="001F1D2C"/>
    <w:rsid w:val="002027AF"/>
    <w:rsid w:val="003A3FD8"/>
    <w:rsid w:val="003A4DB8"/>
    <w:rsid w:val="003A6B66"/>
    <w:rsid w:val="003D65F5"/>
    <w:rsid w:val="003E0DF7"/>
    <w:rsid w:val="003F3AC8"/>
    <w:rsid w:val="00494EC9"/>
    <w:rsid w:val="004E616D"/>
    <w:rsid w:val="00532088"/>
    <w:rsid w:val="0057550C"/>
    <w:rsid w:val="005E4A83"/>
    <w:rsid w:val="00641E35"/>
    <w:rsid w:val="006A3E31"/>
    <w:rsid w:val="006B2EFF"/>
    <w:rsid w:val="006E5082"/>
    <w:rsid w:val="006E6810"/>
    <w:rsid w:val="00722D8E"/>
    <w:rsid w:val="00766EF9"/>
    <w:rsid w:val="007A3406"/>
    <w:rsid w:val="007A51B4"/>
    <w:rsid w:val="007E2EF7"/>
    <w:rsid w:val="007F46D2"/>
    <w:rsid w:val="008B1170"/>
    <w:rsid w:val="0091073A"/>
    <w:rsid w:val="00983908"/>
    <w:rsid w:val="00A10198"/>
    <w:rsid w:val="00A136AC"/>
    <w:rsid w:val="00A30ED9"/>
    <w:rsid w:val="00A83561"/>
    <w:rsid w:val="00AA3CEC"/>
    <w:rsid w:val="00AB076B"/>
    <w:rsid w:val="00AE30B0"/>
    <w:rsid w:val="00B22BA0"/>
    <w:rsid w:val="00B353B9"/>
    <w:rsid w:val="00BC57CD"/>
    <w:rsid w:val="00C14B91"/>
    <w:rsid w:val="00C202A0"/>
    <w:rsid w:val="00C6664C"/>
    <w:rsid w:val="00C8777B"/>
    <w:rsid w:val="00D539E9"/>
    <w:rsid w:val="00D91EDB"/>
    <w:rsid w:val="00DA5C57"/>
    <w:rsid w:val="00DD75D2"/>
    <w:rsid w:val="00E14D3E"/>
    <w:rsid w:val="00E42E54"/>
    <w:rsid w:val="00EF4B12"/>
    <w:rsid w:val="00F4650F"/>
    <w:rsid w:val="00FC02BF"/>
    <w:rsid w:val="00FE742B"/>
    <w:rsid w:val="01094653"/>
    <w:rsid w:val="0116312F"/>
    <w:rsid w:val="01192C1F"/>
    <w:rsid w:val="011A2444"/>
    <w:rsid w:val="01211AD4"/>
    <w:rsid w:val="01222647"/>
    <w:rsid w:val="012B4701"/>
    <w:rsid w:val="012D3C7A"/>
    <w:rsid w:val="012F5F9F"/>
    <w:rsid w:val="01324434"/>
    <w:rsid w:val="013730A5"/>
    <w:rsid w:val="014D28C9"/>
    <w:rsid w:val="014E1E5B"/>
    <w:rsid w:val="01607DD4"/>
    <w:rsid w:val="01622708"/>
    <w:rsid w:val="01626374"/>
    <w:rsid w:val="016C2D4F"/>
    <w:rsid w:val="016F283F"/>
    <w:rsid w:val="01751F17"/>
    <w:rsid w:val="017B7436"/>
    <w:rsid w:val="01937C5A"/>
    <w:rsid w:val="019C0886"/>
    <w:rsid w:val="019D2070"/>
    <w:rsid w:val="01AE15BA"/>
    <w:rsid w:val="01AF4385"/>
    <w:rsid w:val="01B666C0"/>
    <w:rsid w:val="01CC0126"/>
    <w:rsid w:val="01D54D98"/>
    <w:rsid w:val="01DB6CBE"/>
    <w:rsid w:val="01EA5991"/>
    <w:rsid w:val="01EC0334"/>
    <w:rsid w:val="01EE68C5"/>
    <w:rsid w:val="01F36FCC"/>
    <w:rsid w:val="01F85F0C"/>
    <w:rsid w:val="01FA3CD0"/>
    <w:rsid w:val="0202673A"/>
    <w:rsid w:val="020C6BE0"/>
    <w:rsid w:val="021128DF"/>
    <w:rsid w:val="022C0730"/>
    <w:rsid w:val="02315D47"/>
    <w:rsid w:val="02335A2B"/>
    <w:rsid w:val="023B6BC5"/>
    <w:rsid w:val="023C4E17"/>
    <w:rsid w:val="02421D02"/>
    <w:rsid w:val="02440BE5"/>
    <w:rsid w:val="024617F2"/>
    <w:rsid w:val="02467A44"/>
    <w:rsid w:val="025603E4"/>
    <w:rsid w:val="025A6260"/>
    <w:rsid w:val="026377F9"/>
    <w:rsid w:val="02706ACE"/>
    <w:rsid w:val="0277551E"/>
    <w:rsid w:val="028477AC"/>
    <w:rsid w:val="02987B74"/>
    <w:rsid w:val="02994018"/>
    <w:rsid w:val="029D3176"/>
    <w:rsid w:val="02A12ECC"/>
    <w:rsid w:val="02A14EBF"/>
    <w:rsid w:val="02AB5AF9"/>
    <w:rsid w:val="02B524D4"/>
    <w:rsid w:val="02B874F2"/>
    <w:rsid w:val="02BF0642"/>
    <w:rsid w:val="02C8548C"/>
    <w:rsid w:val="02D21B2C"/>
    <w:rsid w:val="02D36DFE"/>
    <w:rsid w:val="02D50DC8"/>
    <w:rsid w:val="02E132C9"/>
    <w:rsid w:val="02E334E5"/>
    <w:rsid w:val="02E72FE3"/>
    <w:rsid w:val="02E828A9"/>
    <w:rsid w:val="02EB7596"/>
    <w:rsid w:val="02FD707B"/>
    <w:rsid w:val="03045209"/>
    <w:rsid w:val="030C28EB"/>
    <w:rsid w:val="03180BAF"/>
    <w:rsid w:val="031E276F"/>
    <w:rsid w:val="032010E5"/>
    <w:rsid w:val="03251029"/>
    <w:rsid w:val="03252CB5"/>
    <w:rsid w:val="032A783D"/>
    <w:rsid w:val="03373831"/>
    <w:rsid w:val="033A0C2B"/>
    <w:rsid w:val="0340173B"/>
    <w:rsid w:val="03412A4E"/>
    <w:rsid w:val="034A3564"/>
    <w:rsid w:val="034D1CC8"/>
    <w:rsid w:val="035E2B6B"/>
    <w:rsid w:val="036730F9"/>
    <w:rsid w:val="03681C3C"/>
    <w:rsid w:val="0371289F"/>
    <w:rsid w:val="03721FB1"/>
    <w:rsid w:val="0374413D"/>
    <w:rsid w:val="03795BF7"/>
    <w:rsid w:val="03835476"/>
    <w:rsid w:val="0388684F"/>
    <w:rsid w:val="03914CEF"/>
    <w:rsid w:val="03AF1619"/>
    <w:rsid w:val="03B77AAE"/>
    <w:rsid w:val="03BE360A"/>
    <w:rsid w:val="03C1581A"/>
    <w:rsid w:val="03CC2C40"/>
    <w:rsid w:val="03D60954"/>
    <w:rsid w:val="03DF411C"/>
    <w:rsid w:val="03E219EE"/>
    <w:rsid w:val="03E633CD"/>
    <w:rsid w:val="03EA08A3"/>
    <w:rsid w:val="03EF7C67"/>
    <w:rsid w:val="03F359AA"/>
    <w:rsid w:val="03F434D0"/>
    <w:rsid w:val="03F93111"/>
    <w:rsid w:val="03FD515B"/>
    <w:rsid w:val="04016274"/>
    <w:rsid w:val="040C25C7"/>
    <w:rsid w:val="04114082"/>
    <w:rsid w:val="0414147C"/>
    <w:rsid w:val="041736D9"/>
    <w:rsid w:val="0421070A"/>
    <w:rsid w:val="042C0EBC"/>
    <w:rsid w:val="042E253E"/>
    <w:rsid w:val="0431202E"/>
    <w:rsid w:val="043164D2"/>
    <w:rsid w:val="04330882"/>
    <w:rsid w:val="04357D70"/>
    <w:rsid w:val="04384B84"/>
    <w:rsid w:val="04390EE3"/>
    <w:rsid w:val="04467040"/>
    <w:rsid w:val="044E0E32"/>
    <w:rsid w:val="044F0706"/>
    <w:rsid w:val="04503042"/>
    <w:rsid w:val="0453126A"/>
    <w:rsid w:val="045A3333"/>
    <w:rsid w:val="0474581F"/>
    <w:rsid w:val="04831C6A"/>
    <w:rsid w:val="0486237A"/>
    <w:rsid w:val="048760F2"/>
    <w:rsid w:val="048C3708"/>
    <w:rsid w:val="048E56D2"/>
    <w:rsid w:val="04904514"/>
    <w:rsid w:val="049E25F8"/>
    <w:rsid w:val="04A3094D"/>
    <w:rsid w:val="04A47E0C"/>
    <w:rsid w:val="04BD1B14"/>
    <w:rsid w:val="04C609C8"/>
    <w:rsid w:val="04C66C1A"/>
    <w:rsid w:val="04CF76C6"/>
    <w:rsid w:val="04D72BD5"/>
    <w:rsid w:val="04DB4752"/>
    <w:rsid w:val="04E15802"/>
    <w:rsid w:val="04E25998"/>
    <w:rsid w:val="04E6106A"/>
    <w:rsid w:val="04E62E18"/>
    <w:rsid w:val="04F05A45"/>
    <w:rsid w:val="04F17C1F"/>
    <w:rsid w:val="04FB1C82"/>
    <w:rsid w:val="0506170D"/>
    <w:rsid w:val="05094D59"/>
    <w:rsid w:val="05096B07"/>
    <w:rsid w:val="050E2D44"/>
    <w:rsid w:val="05192DC8"/>
    <w:rsid w:val="05217375"/>
    <w:rsid w:val="052209BB"/>
    <w:rsid w:val="052B5FB7"/>
    <w:rsid w:val="05322F6E"/>
    <w:rsid w:val="053578FC"/>
    <w:rsid w:val="053A5E5E"/>
    <w:rsid w:val="055314AE"/>
    <w:rsid w:val="056637F7"/>
    <w:rsid w:val="05705C6F"/>
    <w:rsid w:val="05713F19"/>
    <w:rsid w:val="05726DA2"/>
    <w:rsid w:val="057E74F5"/>
    <w:rsid w:val="057F0844"/>
    <w:rsid w:val="0580326D"/>
    <w:rsid w:val="058663AA"/>
    <w:rsid w:val="058C7E64"/>
    <w:rsid w:val="05942874"/>
    <w:rsid w:val="059960DD"/>
    <w:rsid w:val="05A25F93"/>
    <w:rsid w:val="05A30134"/>
    <w:rsid w:val="05A827C4"/>
    <w:rsid w:val="05AE2707"/>
    <w:rsid w:val="05B60A3D"/>
    <w:rsid w:val="05BE6294"/>
    <w:rsid w:val="05CF75D0"/>
    <w:rsid w:val="05D215EF"/>
    <w:rsid w:val="05DB4947"/>
    <w:rsid w:val="05DC421B"/>
    <w:rsid w:val="05EC445F"/>
    <w:rsid w:val="05ED5D2D"/>
    <w:rsid w:val="05EE7D2D"/>
    <w:rsid w:val="05EF21A1"/>
    <w:rsid w:val="05F73436"/>
    <w:rsid w:val="05FD3CED"/>
    <w:rsid w:val="06007F0A"/>
    <w:rsid w:val="060E6095"/>
    <w:rsid w:val="0615624E"/>
    <w:rsid w:val="062260D2"/>
    <w:rsid w:val="0624009C"/>
    <w:rsid w:val="062D2AF2"/>
    <w:rsid w:val="063127B9"/>
    <w:rsid w:val="06352BEE"/>
    <w:rsid w:val="063858F6"/>
    <w:rsid w:val="063876A4"/>
    <w:rsid w:val="06394689"/>
    <w:rsid w:val="06395563"/>
    <w:rsid w:val="06404840"/>
    <w:rsid w:val="0642181B"/>
    <w:rsid w:val="064249C6"/>
    <w:rsid w:val="06494EFE"/>
    <w:rsid w:val="064976EC"/>
    <w:rsid w:val="064F49ED"/>
    <w:rsid w:val="06500E91"/>
    <w:rsid w:val="065A0DDD"/>
    <w:rsid w:val="065B5A88"/>
    <w:rsid w:val="066451B9"/>
    <w:rsid w:val="066B4AE9"/>
    <w:rsid w:val="066D691C"/>
    <w:rsid w:val="067A1DFC"/>
    <w:rsid w:val="068C7B4C"/>
    <w:rsid w:val="068E19BA"/>
    <w:rsid w:val="06935222"/>
    <w:rsid w:val="06A74095"/>
    <w:rsid w:val="06AA2E82"/>
    <w:rsid w:val="06AA3A47"/>
    <w:rsid w:val="06B4482C"/>
    <w:rsid w:val="06B62CBE"/>
    <w:rsid w:val="06CE625A"/>
    <w:rsid w:val="06D46FA2"/>
    <w:rsid w:val="06D80E87"/>
    <w:rsid w:val="06D86211"/>
    <w:rsid w:val="06DA1E26"/>
    <w:rsid w:val="06DB72FB"/>
    <w:rsid w:val="06DD024B"/>
    <w:rsid w:val="06EA1C5E"/>
    <w:rsid w:val="06F17E72"/>
    <w:rsid w:val="070E6657"/>
    <w:rsid w:val="071137D1"/>
    <w:rsid w:val="071C0D73"/>
    <w:rsid w:val="07241794"/>
    <w:rsid w:val="072D33B4"/>
    <w:rsid w:val="073244A9"/>
    <w:rsid w:val="074B71E9"/>
    <w:rsid w:val="075A7AEE"/>
    <w:rsid w:val="075E138C"/>
    <w:rsid w:val="07632E46"/>
    <w:rsid w:val="0768220B"/>
    <w:rsid w:val="077E1A2E"/>
    <w:rsid w:val="077E558A"/>
    <w:rsid w:val="07A07BF6"/>
    <w:rsid w:val="07A24C3E"/>
    <w:rsid w:val="07A3555D"/>
    <w:rsid w:val="07AD40C1"/>
    <w:rsid w:val="07AD5E6F"/>
    <w:rsid w:val="07B81BFB"/>
    <w:rsid w:val="07BB058C"/>
    <w:rsid w:val="07C027AA"/>
    <w:rsid w:val="07C05BA3"/>
    <w:rsid w:val="07C1191B"/>
    <w:rsid w:val="07C37441"/>
    <w:rsid w:val="07C62403"/>
    <w:rsid w:val="07E55609"/>
    <w:rsid w:val="07E6312F"/>
    <w:rsid w:val="07E65A40"/>
    <w:rsid w:val="07F10452"/>
    <w:rsid w:val="08096063"/>
    <w:rsid w:val="081128A2"/>
    <w:rsid w:val="08236132"/>
    <w:rsid w:val="0827362C"/>
    <w:rsid w:val="082C3238"/>
    <w:rsid w:val="082C6D12"/>
    <w:rsid w:val="083A4042"/>
    <w:rsid w:val="083D3697"/>
    <w:rsid w:val="083D71F3"/>
    <w:rsid w:val="084016FF"/>
    <w:rsid w:val="084A7B62"/>
    <w:rsid w:val="084E7652"/>
    <w:rsid w:val="08566507"/>
    <w:rsid w:val="085B58CB"/>
    <w:rsid w:val="085E53BC"/>
    <w:rsid w:val="0860626E"/>
    <w:rsid w:val="086A1FB2"/>
    <w:rsid w:val="086C1887"/>
    <w:rsid w:val="086E6400"/>
    <w:rsid w:val="087008F5"/>
    <w:rsid w:val="087B117B"/>
    <w:rsid w:val="087D106A"/>
    <w:rsid w:val="088272FC"/>
    <w:rsid w:val="08871D2A"/>
    <w:rsid w:val="08895CB8"/>
    <w:rsid w:val="088F5575"/>
    <w:rsid w:val="08936E21"/>
    <w:rsid w:val="0895702F"/>
    <w:rsid w:val="089E0E96"/>
    <w:rsid w:val="089E3A0A"/>
    <w:rsid w:val="08A0256B"/>
    <w:rsid w:val="08A41020"/>
    <w:rsid w:val="08AD3FC6"/>
    <w:rsid w:val="08AF5C17"/>
    <w:rsid w:val="08B5322E"/>
    <w:rsid w:val="08BB283F"/>
    <w:rsid w:val="08BF1B87"/>
    <w:rsid w:val="08C16076"/>
    <w:rsid w:val="08C73242"/>
    <w:rsid w:val="08C7704F"/>
    <w:rsid w:val="08CC4A1B"/>
    <w:rsid w:val="08CC67C9"/>
    <w:rsid w:val="08CD6ED4"/>
    <w:rsid w:val="08CF1E16"/>
    <w:rsid w:val="08D50FE1"/>
    <w:rsid w:val="08D833C0"/>
    <w:rsid w:val="08DA0EE6"/>
    <w:rsid w:val="08DF1698"/>
    <w:rsid w:val="08E7205F"/>
    <w:rsid w:val="08E7715F"/>
    <w:rsid w:val="08FA1588"/>
    <w:rsid w:val="08FC70AE"/>
    <w:rsid w:val="08FF26FB"/>
    <w:rsid w:val="090441B5"/>
    <w:rsid w:val="090B10A0"/>
    <w:rsid w:val="09107159"/>
    <w:rsid w:val="091C14FF"/>
    <w:rsid w:val="091F6B2B"/>
    <w:rsid w:val="09273A00"/>
    <w:rsid w:val="09296AD3"/>
    <w:rsid w:val="092B4563"/>
    <w:rsid w:val="092D294D"/>
    <w:rsid w:val="092F5828"/>
    <w:rsid w:val="093C56FD"/>
    <w:rsid w:val="093F2FEA"/>
    <w:rsid w:val="09410F65"/>
    <w:rsid w:val="09473E23"/>
    <w:rsid w:val="094B3B92"/>
    <w:rsid w:val="094E7387"/>
    <w:rsid w:val="09510952"/>
    <w:rsid w:val="09532A47"/>
    <w:rsid w:val="0958489F"/>
    <w:rsid w:val="095F57C8"/>
    <w:rsid w:val="095F763D"/>
    <w:rsid w:val="096133B5"/>
    <w:rsid w:val="09722ECD"/>
    <w:rsid w:val="097E5D15"/>
    <w:rsid w:val="09842C00"/>
    <w:rsid w:val="09853C1B"/>
    <w:rsid w:val="09867169"/>
    <w:rsid w:val="09B1128E"/>
    <w:rsid w:val="09B2748D"/>
    <w:rsid w:val="09BA2AC6"/>
    <w:rsid w:val="09CD27F9"/>
    <w:rsid w:val="09CF031F"/>
    <w:rsid w:val="09D25D4A"/>
    <w:rsid w:val="09D45935"/>
    <w:rsid w:val="09D67036"/>
    <w:rsid w:val="09D678FF"/>
    <w:rsid w:val="09D75426"/>
    <w:rsid w:val="09E11DB2"/>
    <w:rsid w:val="09E244F6"/>
    <w:rsid w:val="09F31EAA"/>
    <w:rsid w:val="09F47D86"/>
    <w:rsid w:val="09F636DA"/>
    <w:rsid w:val="09F85FFA"/>
    <w:rsid w:val="09FE5D48"/>
    <w:rsid w:val="0A001E16"/>
    <w:rsid w:val="0A07477F"/>
    <w:rsid w:val="0A0970E2"/>
    <w:rsid w:val="0A12645E"/>
    <w:rsid w:val="0A1421D6"/>
    <w:rsid w:val="0A165F4E"/>
    <w:rsid w:val="0A1B3564"/>
    <w:rsid w:val="0A1C4044"/>
    <w:rsid w:val="0A1E4E03"/>
    <w:rsid w:val="0A2460B7"/>
    <w:rsid w:val="0A250B6A"/>
    <w:rsid w:val="0A4467A9"/>
    <w:rsid w:val="0A4674CA"/>
    <w:rsid w:val="0A5922DF"/>
    <w:rsid w:val="0A5D1DCF"/>
    <w:rsid w:val="0A5E4C67"/>
    <w:rsid w:val="0A615801"/>
    <w:rsid w:val="0A617C84"/>
    <w:rsid w:val="0A762A5A"/>
    <w:rsid w:val="0A766D81"/>
    <w:rsid w:val="0A7E3AF3"/>
    <w:rsid w:val="0A85304B"/>
    <w:rsid w:val="0A8F51BE"/>
    <w:rsid w:val="0A905DA4"/>
    <w:rsid w:val="0A9B3E0D"/>
    <w:rsid w:val="0AAC29D5"/>
    <w:rsid w:val="0AAC38DF"/>
    <w:rsid w:val="0AB1211B"/>
    <w:rsid w:val="0AB707AA"/>
    <w:rsid w:val="0AC0235E"/>
    <w:rsid w:val="0AC51722"/>
    <w:rsid w:val="0AC83F9C"/>
    <w:rsid w:val="0ACA6D38"/>
    <w:rsid w:val="0ACB31DC"/>
    <w:rsid w:val="0AD01848"/>
    <w:rsid w:val="0AD57BB7"/>
    <w:rsid w:val="0AED4AF2"/>
    <w:rsid w:val="0AF0679F"/>
    <w:rsid w:val="0AFD6D15"/>
    <w:rsid w:val="0B0E4E77"/>
    <w:rsid w:val="0B101FC7"/>
    <w:rsid w:val="0B185CF6"/>
    <w:rsid w:val="0B251306"/>
    <w:rsid w:val="0B260413"/>
    <w:rsid w:val="0B275F39"/>
    <w:rsid w:val="0B34459F"/>
    <w:rsid w:val="0B357674"/>
    <w:rsid w:val="0B372620"/>
    <w:rsid w:val="0B382F16"/>
    <w:rsid w:val="0B3F3282"/>
    <w:rsid w:val="0B466943"/>
    <w:rsid w:val="0B534F80"/>
    <w:rsid w:val="0B61144B"/>
    <w:rsid w:val="0B6C7DF0"/>
    <w:rsid w:val="0B6E5916"/>
    <w:rsid w:val="0B73117E"/>
    <w:rsid w:val="0B756CA4"/>
    <w:rsid w:val="0B873FE0"/>
    <w:rsid w:val="0B8F5F4C"/>
    <w:rsid w:val="0B927856"/>
    <w:rsid w:val="0B952F4D"/>
    <w:rsid w:val="0B990497"/>
    <w:rsid w:val="0B9D425E"/>
    <w:rsid w:val="0BA04D77"/>
    <w:rsid w:val="0BAA79B2"/>
    <w:rsid w:val="0BB35A1E"/>
    <w:rsid w:val="0BB84DE3"/>
    <w:rsid w:val="0BBA23A8"/>
    <w:rsid w:val="0BBB4D19"/>
    <w:rsid w:val="0BCA5242"/>
    <w:rsid w:val="0BCF2858"/>
    <w:rsid w:val="0BD31C1D"/>
    <w:rsid w:val="0BDB744F"/>
    <w:rsid w:val="0BE00FAB"/>
    <w:rsid w:val="0BE1258C"/>
    <w:rsid w:val="0BE51572"/>
    <w:rsid w:val="0BE65DF4"/>
    <w:rsid w:val="0BE75257"/>
    <w:rsid w:val="0BE8391A"/>
    <w:rsid w:val="0BEC4CD3"/>
    <w:rsid w:val="0BED2CDE"/>
    <w:rsid w:val="0BF1500A"/>
    <w:rsid w:val="0BF44343"/>
    <w:rsid w:val="0C04421F"/>
    <w:rsid w:val="0C193AD3"/>
    <w:rsid w:val="0C1977CA"/>
    <w:rsid w:val="0C1E10EA"/>
    <w:rsid w:val="0C236700"/>
    <w:rsid w:val="0C2801BA"/>
    <w:rsid w:val="0C2B1794"/>
    <w:rsid w:val="0C2C7CAB"/>
    <w:rsid w:val="0C3703FE"/>
    <w:rsid w:val="0C476893"/>
    <w:rsid w:val="0C4871A5"/>
    <w:rsid w:val="0C4D6C28"/>
    <w:rsid w:val="0C4F6BC8"/>
    <w:rsid w:val="0C542D5E"/>
    <w:rsid w:val="0C5965C6"/>
    <w:rsid w:val="0C637445"/>
    <w:rsid w:val="0C6805B7"/>
    <w:rsid w:val="0C6831D4"/>
    <w:rsid w:val="0C6A432F"/>
    <w:rsid w:val="0C6B2CB2"/>
    <w:rsid w:val="0C6B7072"/>
    <w:rsid w:val="0C6C5402"/>
    <w:rsid w:val="0C6F7B97"/>
    <w:rsid w:val="0C71390F"/>
    <w:rsid w:val="0C743400"/>
    <w:rsid w:val="0C767178"/>
    <w:rsid w:val="0C811679"/>
    <w:rsid w:val="0C882A07"/>
    <w:rsid w:val="0C8C24F7"/>
    <w:rsid w:val="0C8E2713"/>
    <w:rsid w:val="0C923886"/>
    <w:rsid w:val="0C970E9C"/>
    <w:rsid w:val="0C9920F0"/>
    <w:rsid w:val="0CA10882"/>
    <w:rsid w:val="0CA30EC7"/>
    <w:rsid w:val="0CA456C4"/>
    <w:rsid w:val="0CA50183"/>
    <w:rsid w:val="0CAE5DED"/>
    <w:rsid w:val="0CB101B0"/>
    <w:rsid w:val="0CB22F09"/>
    <w:rsid w:val="0CB90E13"/>
    <w:rsid w:val="0CD67C16"/>
    <w:rsid w:val="0CD93263"/>
    <w:rsid w:val="0CDF2F6F"/>
    <w:rsid w:val="0CE0144C"/>
    <w:rsid w:val="0CE40585"/>
    <w:rsid w:val="0CF94FFE"/>
    <w:rsid w:val="0CFA6793"/>
    <w:rsid w:val="0CFB142B"/>
    <w:rsid w:val="0D10137A"/>
    <w:rsid w:val="0D1E5D15"/>
    <w:rsid w:val="0D1F336B"/>
    <w:rsid w:val="0D224C0A"/>
    <w:rsid w:val="0D2E1801"/>
    <w:rsid w:val="0D315D4F"/>
    <w:rsid w:val="0D35752C"/>
    <w:rsid w:val="0D363846"/>
    <w:rsid w:val="0D39126B"/>
    <w:rsid w:val="0D3B203A"/>
    <w:rsid w:val="0D4903E8"/>
    <w:rsid w:val="0D490850"/>
    <w:rsid w:val="0D51729D"/>
    <w:rsid w:val="0D5374B9"/>
    <w:rsid w:val="0D581EBE"/>
    <w:rsid w:val="0D5B25B4"/>
    <w:rsid w:val="0D5B79A3"/>
    <w:rsid w:val="0D5F7C0C"/>
    <w:rsid w:val="0D684274"/>
    <w:rsid w:val="0D696CDD"/>
    <w:rsid w:val="0D6B4803"/>
    <w:rsid w:val="0D703BC7"/>
    <w:rsid w:val="0D88416D"/>
    <w:rsid w:val="0D8A23D1"/>
    <w:rsid w:val="0D8A245E"/>
    <w:rsid w:val="0D8D045B"/>
    <w:rsid w:val="0D904269"/>
    <w:rsid w:val="0D9C63F9"/>
    <w:rsid w:val="0DA151AB"/>
    <w:rsid w:val="0DAB21AA"/>
    <w:rsid w:val="0DB461AA"/>
    <w:rsid w:val="0DBE5FD1"/>
    <w:rsid w:val="0DC004F7"/>
    <w:rsid w:val="0DC5681D"/>
    <w:rsid w:val="0DC7755F"/>
    <w:rsid w:val="0DD00B0A"/>
    <w:rsid w:val="0DD24882"/>
    <w:rsid w:val="0DD423A8"/>
    <w:rsid w:val="0DD505BA"/>
    <w:rsid w:val="0DD81602"/>
    <w:rsid w:val="0DDA54E4"/>
    <w:rsid w:val="0DDE5207"/>
    <w:rsid w:val="0DDF0D4D"/>
    <w:rsid w:val="0DE46D10"/>
    <w:rsid w:val="0DEA5345"/>
    <w:rsid w:val="0DF013C7"/>
    <w:rsid w:val="0DF10124"/>
    <w:rsid w:val="0E010CC3"/>
    <w:rsid w:val="0E034A3B"/>
    <w:rsid w:val="0E0407B3"/>
    <w:rsid w:val="0E0662D9"/>
    <w:rsid w:val="0E082052"/>
    <w:rsid w:val="0E097B78"/>
    <w:rsid w:val="0E0D1416"/>
    <w:rsid w:val="0E0D58BA"/>
    <w:rsid w:val="0E0D7668"/>
    <w:rsid w:val="0E21200C"/>
    <w:rsid w:val="0E230C39"/>
    <w:rsid w:val="0E236E8B"/>
    <w:rsid w:val="0E26072A"/>
    <w:rsid w:val="0E26697C"/>
    <w:rsid w:val="0E2A1FC8"/>
    <w:rsid w:val="0E2D1817"/>
    <w:rsid w:val="0E323572"/>
    <w:rsid w:val="0E341099"/>
    <w:rsid w:val="0E3A1221"/>
    <w:rsid w:val="0E3C1CFB"/>
    <w:rsid w:val="0E3E3CC5"/>
    <w:rsid w:val="0E462B7A"/>
    <w:rsid w:val="0E4C07DD"/>
    <w:rsid w:val="0E501D2F"/>
    <w:rsid w:val="0E527771"/>
    <w:rsid w:val="0E590AFF"/>
    <w:rsid w:val="0E5C4EAC"/>
    <w:rsid w:val="0E6C0832"/>
    <w:rsid w:val="0E72571D"/>
    <w:rsid w:val="0E772366"/>
    <w:rsid w:val="0E786441"/>
    <w:rsid w:val="0E807E3A"/>
    <w:rsid w:val="0E835B7C"/>
    <w:rsid w:val="0E8360C2"/>
    <w:rsid w:val="0E8753EB"/>
    <w:rsid w:val="0E8A0CB9"/>
    <w:rsid w:val="0E96765D"/>
    <w:rsid w:val="0E9D2542"/>
    <w:rsid w:val="0EAA79D6"/>
    <w:rsid w:val="0EAD49A7"/>
    <w:rsid w:val="0EC51304"/>
    <w:rsid w:val="0ECE1026"/>
    <w:rsid w:val="0ED55BB5"/>
    <w:rsid w:val="0ED91C40"/>
    <w:rsid w:val="0EDF7256"/>
    <w:rsid w:val="0EE52393"/>
    <w:rsid w:val="0EE83C31"/>
    <w:rsid w:val="0EE945DD"/>
    <w:rsid w:val="0EEE56EB"/>
    <w:rsid w:val="0EF26D17"/>
    <w:rsid w:val="0EF80318"/>
    <w:rsid w:val="0EF97BEC"/>
    <w:rsid w:val="0EFB5712"/>
    <w:rsid w:val="0F0C0AA6"/>
    <w:rsid w:val="0F0C5B71"/>
    <w:rsid w:val="0F0F7410"/>
    <w:rsid w:val="0F114D4E"/>
    <w:rsid w:val="0F140720"/>
    <w:rsid w:val="0F1467D4"/>
    <w:rsid w:val="0F182768"/>
    <w:rsid w:val="0F227143"/>
    <w:rsid w:val="0F2729AB"/>
    <w:rsid w:val="0F275A2B"/>
    <w:rsid w:val="0F276507"/>
    <w:rsid w:val="0F2A424A"/>
    <w:rsid w:val="0F306AF8"/>
    <w:rsid w:val="0F320D99"/>
    <w:rsid w:val="0F3D6690"/>
    <w:rsid w:val="0F44355D"/>
    <w:rsid w:val="0F492922"/>
    <w:rsid w:val="0F4E618A"/>
    <w:rsid w:val="0F5372FC"/>
    <w:rsid w:val="0F5A6FEA"/>
    <w:rsid w:val="0F5D0B31"/>
    <w:rsid w:val="0F5E2257"/>
    <w:rsid w:val="0F704352"/>
    <w:rsid w:val="0F916077"/>
    <w:rsid w:val="0F957C55"/>
    <w:rsid w:val="0F9B0D24"/>
    <w:rsid w:val="0FA27567"/>
    <w:rsid w:val="0FA318B0"/>
    <w:rsid w:val="0FA939EF"/>
    <w:rsid w:val="0FAC2EB1"/>
    <w:rsid w:val="0FAD1102"/>
    <w:rsid w:val="0FAE6C29"/>
    <w:rsid w:val="0FC70456"/>
    <w:rsid w:val="0FC91CB4"/>
    <w:rsid w:val="0FD20B69"/>
    <w:rsid w:val="0FD541B5"/>
    <w:rsid w:val="0FD7617F"/>
    <w:rsid w:val="0FDD12BC"/>
    <w:rsid w:val="0FE40F4D"/>
    <w:rsid w:val="0FFE1A91"/>
    <w:rsid w:val="1001144E"/>
    <w:rsid w:val="10014FAA"/>
    <w:rsid w:val="100F3B6B"/>
    <w:rsid w:val="101056DE"/>
    <w:rsid w:val="10190546"/>
    <w:rsid w:val="1021564D"/>
    <w:rsid w:val="10305890"/>
    <w:rsid w:val="103A670E"/>
    <w:rsid w:val="10520783"/>
    <w:rsid w:val="105477D0"/>
    <w:rsid w:val="105C2408"/>
    <w:rsid w:val="106C5F22"/>
    <w:rsid w:val="106F0166"/>
    <w:rsid w:val="10702130"/>
    <w:rsid w:val="10804E89"/>
    <w:rsid w:val="108160EB"/>
    <w:rsid w:val="10822944"/>
    <w:rsid w:val="10853E2D"/>
    <w:rsid w:val="10863702"/>
    <w:rsid w:val="109439A6"/>
    <w:rsid w:val="10AA2923"/>
    <w:rsid w:val="10AD6EE0"/>
    <w:rsid w:val="10AE6EF5"/>
    <w:rsid w:val="10B72097"/>
    <w:rsid w:val="10BB2BFE"/>
    <w:rsid w:val="10C20BDE"/>
    <w:rsid w:val="10CA27EF"/>
    <w:rsid w:val="10CE24FF"/>
    <w:rsid w:val="10CF50A9"/>
    <w:rsid w:val="10D839F8"/>
    <w:rsid w:val="10E072B6"/>
    <w:rsid w:val="10E32311"/>
    <w:rsid w:val="10E74DB7"/>
    <w:rsid w:val="10EA3C90"/>
    <w:rsid w:val="10F36FC1"/>
    <w:rsid w:val="10F44B0F"/>
    <w:rsid w:val="11036B00"/>
    <w:rsid w:val="110F36F7"/>
    <w:rsid w:val="111B309C"/>
    <w:rsid w:val="1130722E"/>
    <w:rsid w:val="113F59E7"/>
    <w:rsid w:val="11441C25"/>
    <w:rsid w:val="11472E91"/>
    <w:rsid w:val="11597FC3"/>
    <w:rsid w:val="115D3896"/>
    <w:rsid w:val="1165301C"/>
    <w:rsid w:val="11731ED8"/>
    <w:rsid w:val="118C4D48"/>
    <w:rsid w:val="1191235E"/>
    <w:rsid w:val="11A9086D"/>
    <w:rsid w:val="11AC5E46"/>
    <w:rsid w:val="11B20C52"/>
    <w:rsid w:val="11BA18B5"/>
    <w:rsid w:val="11BC2742"/>
    <w:rsid w:val="11C049F1"/>
    <w:rsid w:val="11C12C43"/>
    <w:rsid w:val="11D02E86"/>
    <w:rsid w:val="11DD1A47"/>
    <w:rsid w:val="11E46830"/>
    <w:rsid w:val="120174E4"/>
    <w:rsid w:val="121A05A5"/>
    <w:rsid w:val="122431D2"/>
    <w:rsid w:val="122924D4"/>
    <w:rsid w:val="123115A4"/>
    <w:rsid w:val="123258EF"/>
    <w:rsid w:val="123F1DBA"/>
    <w:rsid w:val="12405285"/>
    <w:rsid w:val="124311D7"/>
    <w:rsid w:val="12436606"/>
    <w:rsid w:val="126006AE"/>
    <w:rsid w:val="12704477"/>
    <w:rsid w:val="12753A2E"/>
    <w:rsid w:val="12763842"/>
    <w:rsid w:val="127740B9"/>
    <w:rsid w:val="12832C5F"/>
    <w:rsid w:val="128B1E91"/>
    <w:rsid w:val="1291752C"/>
    <w:rsid w:val="129F1B30"/>
    <w:rsid w:val="12BB55BA"/>
    <w:rsid w:val="12C31B2A"/>
    <w:rsid w:val="12D40754"/>
    <w:rsid w:val="12DA1AE3"/>
    <w:rsid w:val="12DD7F5E"/>
    <w:rsid w:val="12E7492B"/>
    <w:rsid w:val="12EC6FD6"/>
    <w:rsid w:val="12EF1A32"/>
    <w:rsid w:val="130433D4"/>
    <w:rsid w:val="13082AF4"/>
    <w:rsid w:val="13103E92"/>
    <w:rsid w:val="13255454"/>
    <w:rsid w:val="132C17E0"/>
    <w:rsid w:val="133036BD"/>
    <w:rsid w:val="13367661"/>
    <w:rsid w:val="13400D63"/>
    <w:rsid w:val="13423F88"/>
    <w:rsid w:val="13426D68"/>
    <w:rsid w:val="134F427F"/>
    <w:rsid w:val="13517FF7"/>
    <w:rsid w:val="135233E2"/>
    <w:rsid w:val="13531FC1"/>
    <w:rsid w:val="135E173B"/>
    <w:rsid w:val="13675A6C"/>
    <w:rsid w:val="136A2E67"/>
    <w:rsid w:val="13734411"/>
    <w:rsid w:val="13752B47"/>
    <w:rsid w:val="1378577E"/>
    <w:rsid w:val="13851B38"/>
    <w:rsid w:val="13867665"/>
    <w:rsid w:val="138A175B"/>
    <w:rsid w:val="138C102F"/>
    <w:rsid w:val="13906D71"/>
    <w:rsid w:val="13916645"/>
    <w:rsid w:val="13936861"/>
    <w:rsid w:val="13983E78"/>
    <w:rsid w:val="13A445CA"/>
    <w:rsid w:val="13B011C1"/>
    <w:rsid w:val="13B60545"/>
    <w:rsid w:val="13B660AC"/>
    <w:rsid w:val="13B81E24"/>
    <w:rsid w:val="13BD743A"/>
    <w:rsid w:val="13C62747"/>
    <w:rsid w:val="13D70794"/>
    <w:rsid w:val="13D749A0"/>
    <w:rsid w:val="13DE7363"/>
    <w:rsid w:val="13E22B90"/>
    <w:rsid w:val="13E62E35"/>
    <w:rsid w:val="13E72301"/>
    <w:rsid w:val="13FC2BEC"/>
    <w:rsid w:val="14055F2A"/>
    <w:rsid w:val="14074B59"/>
    <w:rsid w:val="141554C8"/>
    <w:rsid w:val="14165A1E"/>
    <w:rsid w:val="14171240"/>
    <w:rsid w:val="142541A5"/>
    <w:rsid w:val="14294892"/>
    <w:rsid w:val="142B5783"/>
    <w:rsid w:val="142E0338"/>
    <w:rsid w:val="14397409"/>
    <w:rsid w:val="143C0CA7"/>
    <w:rsid w:val="143C596D"/>
    <w:rsid w:val="144C311D"/>
    <w:rsid w:val="144E09DA"/>
    <w:rsid w:val="14652E18"/>
    <w:rsid w:val="14676EC5"/>
    <w:rsid w:val="14686FDA"/>
    <w:rsid w:val="14701B4E"/>
    <w:rsid w:val="147605C5"/>
    <w:rsid w:val="147647AC"/>
    <w:rsid w:val="14777F31"/>
    <w:rsid w:val="148166BA"/>
    <w:rsid w:val="148368D6"/>
    <w:rsid w:val="14867892"/>
    <w:rsid w:val="148B4185"/>
    <w:rsid w:val="148B7538"/>
    <w:rsid w:val="148D505F"/>
    <w:rsid w:val="149D101A"/>
    <w:rsid w:val="149E54BE"/>
    <w:rsid w:val="14B35DBC"/>
    <w:rsid w:val="14B715F1"/>
    <w:rsid w:val="14B9631C"/>
    <w:rsid w:val="14C33176"/>
    <w:rsid w:val="14C34F24"/>
    <w:rsid w:val="14C871EF"/>
    <w:rsid w:val="14CB3DD9"/>
    <w:rsid w:val="14E064CE"/>
    <w:rsid w:val="14EF5D19"/>
    <w:rsid w:val="15023C9F"/>
    <w:rsid w:val="15082F00"/>
    <w:rsid w:val="15165D18"/>
    <w:rsid w:val="15170DCC"/>
    <w:rsid w:val="15202B71"/>
    <w:rsid w:val="152A4FA3"/>
    <w:rsid w:val="15350567"/>
    <w:rsid w:val="153656F6"/>
    <w:rsid w:val="153B2D0D"/>
    <w:rsid w:val="154047C7"/>
    <w:rsid w:val="15442E6B"/>
    <w:rsid w:val="15475B55"/>
    <w:rsid w:val="154807CD"/>
    <w:rsid w:val="154F0566"/>
    <w:rsid w:val="155B515D"/>
    <w:rsid w:val="155E2FF4"/>
    <w:rsid w:val="155F086C"/>
    <w:rsid w:val="15695ACC"/>
    <w:rsid w:val="156F6CC4"/>
    <w:rsid w:val="15714A54"/>
    <w:rsid w:val="15724254"/>
    <w:rsid w:val="157601E9"/>
    <w:rsid w:val="157A5FD9"/>
    <w:rsid w:val="157D50D3"/>
    <w:rsid w:val="15862695"/>
    <w:rsid w:val="159468C1"/>
    <w:rsid w:val="15A5100A"/>
    <w:rsid w:val="15B8610B"/>
    <w:rsid w:val="15B861AE"/>
    <w:rsid w:val="15BD5E17"/>
    <w:rsid w:val="15C251DC"/>
    <w:rsid w:val="15C52CDE"/>
    <w:rsid w:val="15C54CCC"/>
    <w:rsid w:val="15CE39AC"/>
    <w:rsid w:val="15D114D0"/>
    <w:rsid w:val="15D171CD"/>
    <w:rsid w:val="15D60F77"/>
    <w:rsid w:val="15D62A35"/>
    <w:rsid w:val="15D741B8"/>
    <w:rsid w:val="15EB4733"/>
    <w:rsid w:val="15F64B4A"/>
    <w:rsid w:val="16013F56"/>
    <w:rsid w:val="16051507"/>
    <w:rsid w:val="16057099"/>
    <w:rsid w:val="160B0931"/>
    <w:rsid w:val="1616403B"/>
    <w:rsid w:val="161A0033"/>
    <w:rsid w:val="162543A3"/>
    <w:rsid w:val="162F7C51"/>
    <w:rsid w:val="16337F6C"/>
    <w:rsid w:val="16381F85"/>
    <w:rsid w:val="163D2AB4"/>
    <w:rsid w:val="165162F8"/>
    <w:rsid w:val="16522AF7"/>
    <w:rsid w:val="165711E4"/>
    <w:rsid w:val="16587911"/>
    <w:rsid w:val="166636FC"/>
    <w:rsid w:val="166B0855"/>
    <w:rsid w:val="166E7112"/>
    <w:rsid w:val="167209B0"/>
    <w:rsid w:val="16726C02"/>
    <w:rsid w:val="16777D74"/>
    <w:rsid w:val="16831F71"/>
    <w:rsid w:val="168E04E0"/>
    <w:rsid w:val="169326D4"/>
    <w:rsid w:val="16932F85"/>
    <w:rsid w:val="16B630D0"/>
    <w:rsid w:val="16BC2DB5"/>
    <w:rsid w:val="16BE71CB"/>
    <w:rsid w:val="16DE4297"/>
    <w:rsid w:val="16DF02FA"/>
    <w:rsid w:val="16E447C0"/>
    <w:rsid w:val="16EB386F"/>
    <w:rsid w:val="16ED44DA"/>
    <w:rsid w:val="16ED67D2"/>
    <w:rsid w:val="16F05D79"/>
    <w:rsid w:val="16F07B27"/>
    <w:rsid w:val="16F3778F"/>
    <w:rsid w:val="16F659BB"/>
    <w:rsid w:val="16F70EB5"/>
    <w:rsid w:val="16FE0496"/>
    <w:rsid w:val="170B5A5C"/>
    <w:rsid w:val="1711641B"/>
    <w:rsid w:val="17137D16"/>
    <w:rsid w:val="17157C6B"/>
    <w:rsid w:val="171D08BB"/>
    <w:rsid w:val="171E4694"/>
    <w:rsid w:val="171F21BA"/>
    <w:rsid w:val="17215F32"/>
    <w:rsid w:val="172D7A89"/>
    <w:rsid w:val="1738702E"/>
    <w:rsid w:val="173B428E"/>
    <w:rsid w:val="173E4D36"/>
    <w:rsid w:val="17481711"/>
    <w:rsid w:val="174A7237"/>
    <w:rsid w:val="17571954"/>
    <w:rsid w:val="1763479D"/>
    <w:rsid w:val="17634C5C"/>
    <w:rsid w:val="17654071"/>
    <w:rsid w:val="176C53FF"/>
    <w:rsid w:val="17790278"/>
    <w:rsid w:val="1787048B"/>
    <w:rsid w:val="17884203"/>
    <w:rsid w:val="179130B8"/>
    <w:rsid w:val="17914E66"/>
    <w:rsid w:val="179A43C1"/>
    <w:rsid w:val="17A4103D"/>
    <w:rsid w:val="17A735AE"/>
    <w:rsid w:val="17AD5E36"/>
    <w:rsid w:val="17B413C1"/>
    <w:rsid w:val="17B44FF8"/>
    <w:rsid w:val="17C0399D"/>
    <w:rsid w:val="17DB75F6"/>
    <w:rsid w:val="17DD4930"/>
    <w:rsid w:val="17E23913"/>
    <w:rsid w:val="17F04282"/>
    <w:rsid w:val="17F32945"/>
    <w:rsid w:val="17F65611"/>
    <w:rsid w:val="1808100F"/>
    <w:rsid w:val="180945F0"/>
    <w:rsid w:val="180C6BE2"/>
    <w:rsid w:val="181742B4"/>
    <w:rsid w:val="18300B23"/>
    <w:rsid w:val="18441ED8"/>
    <w:rsid w:val="18490A5D"/>
    <w:rsid w:val="186442E1"/>
    <w:rsid w:val="18644328"/>
    <w:rsid w:val="18646451"/>
    <w:rsid w:val="186E33F9"/>
    <w:rsid w:val="18700F1F"/>
    <w:rsid w:val="18714C97"/>
    <w:rsid w:val="18760CCE"/>
    <w:rsid w:val="187D188E"/>
    <w:rsid w:val="188108F2"/>
    <w:rsid w:val="1881339E"/>
    <w:rsid w:val="188339A6"/>
    <w:rsid w:val="18893D8F"/>
    <w:rsid w:val="189A41EE"/>
    <w:rsid w:val="189F5584"/>
    <w:rsid w:val="18AB63FB"/>
    <w:rsid w:val="18B97EF2"/>
    <w:rsid w:val="18C64FE3"/>
    <w:rsid w:val="18CC51C3"/>
    <w:rsid w:val="18CD60F3"/>
    <w:rsid w:val="18CD6371"/>
    <w:rsid w:val="18D640D2"/>
    <w:rsid w:val="18DE13E4"/>
    <w:rsid w:val="18DF5EF3"/>
    <w:rsid w:val="18E32AAE"/>
    <w:rsid w:val="18E87428"/>
    <w:rsid w:val="18EE62E8"/>
    <w:rsid w:val="18F37C60"/>
    <w:rsid w:val="18FD6092"/>
    <w:rsid w:val="190246D6"/>
    <w:rsid w:val="190F698A"/>
    <w:rsid w:val="191A70DD"/>
    <w:rsid w:val="191E6BCD"/>
    <w:rsid w:val="191F5D7A"/>
    <w:rsid w:val="19232435"/>
    <w:rsid w:val="192F2B88"/>
    <w:rsid w:val="19371A3D"/>
    <w:rsid w:val="19383E95"/>
    <w:rsid w:val="195919B3"/>
    <w:rsid w:val="19595A19"/>
    <w:rsid w:val="195E6FCA"/>
    <w:rsid w:val="19602C5A"/>
    <w:rsid w:val="19632832"/>
    <w:rsid w:val="19721E2E"/>
    <w:rsid w:val="197762DD"/>
    <w:rsid w:val="197B5DCD"/>
    <w:rsid w:val="19874772"/>
    <w:rsid w:val="198A5F9A"/>
    <w:rsid w:val="1990174F"/>
    <w:rsid w:val="19911FBE"/>
    <w:rsid w:val="199B021E"/>
    <w:rsid w:val="19A03D9B"/>
    <w:rsid w:val="19A05834"/>
    <w:rsid w:val="19A370D2"/>
    <w:rsid w:val="19A5102F"/>
    <w:rsid w:val="19A736E7"/>
    <w:rsid w:val="19A91B37"/>
    <w:rsid w:val="19B94B48"/>
    <w:rsid w:val="19C7220C"/>
    <w:rsid w:val="19CA6D12"/>
    <w:rsid w:val="19D11DF4"/>
    <w:rsid w:val="19D259B7"/>
    <w:rsid w:val="19EF056A"/>
    <w:rsid w:val="1A021B47"/>
    <w:rsid w:val="1A0F6516"/>
    <w:rsid w:val="1A12583D"/>
    <w:rsid w:val="1A160A06"/>
    <w:rsid w:val="1A21025F"/>
    <w:rsid w:val="1A2E1092"/>
    <w:rsid w:val="1A2F0966"/>
    <w:rsid w:val="1A352420"/>
    <w:rsid w:val="1A436932"/>
    <w:rsid w:val="1A442663"/>
    <w:rsid w:val="1A472154"/>
    <w:rsid w:val="1A4C30F8"/>
    <w:rsid w:val="1A4D1A2F"/>
    <w:rsid w:val="1A584361"/>
    <w:rsid w:val="1A5E0E32"/>
    <w:rsid w:val="1A61559A"/>
    <w:rsid w:val="1A8213DE"/>
    <w:rsid w:val="1A873CF9"/>
    <w:rsid w:val="1AA2738A"/>
    <w:rsid w:val="1AA90718"/>
    <w:rsid w:val="1AA97869"/>
    <w:rsid w:val="1AB0155F"/>
    <w:rsid w:val="1ABA0B77"/>
    <w:rsid w:val="1AC527C1"/>
    <w:rsid w:val="1AC75042"/>
    <w:rsid w:val="1ACB068F"/>
    <w:rsid w:val="1ACE017F"/>
    <w:rsid w:val="1AD31C39"/>
    <w:rsid w:val="1ADA6B24"/>
    <w:rsid w:val="1ADC19CF"/>
    <w:rsid w:val="1AE37CBC"/>
    <w:rsid w:val="1AF35E37"/>
    <w:rsid w:val="1AF37BE5"/>
    <w:rsid w:val="1AF51BB0"/>
    <w:rsid w:val="1AF5570C"/>
    <w:rsid w:val="1AFA71C6"/>
    <w:rsid w:val="1B097409"/>
    <w:rsid w:val="1B20049C"/>
    <w:rsid w:val="1B2C1329"/>
    <w:rsid w:val="1B2E153D"/>
    <w:rsid w:val="1B397CEE"/>
    <w:rsid w:val="1B4A0C0E"/>
    <w:rsid w:val="1B4B5C73"/>
    <w:rsid w:val="1B5835EF"/>
    <w:rsid w:val="1B5E1503"/>
    <w:rsid w:val="1B612DA1"/>
    <w:rsid w:val="1B617245"/>
    <w:rsid w:val="1B6C24C9"/>
    <w:rsid w:val="1B7927E1"/>
    <w:rsid w:val="1B7C5E2D"/>
    <w:rsid w:val="1B7E146E"/>
    <w:rsid w:val="1B803038"/>
    <w:rsid w:val="1B860A5A"/>
    <w:rsid w:val="1B9118D8"/>
    <w:rsid w:val="1B925650"/>
    <w:rsid w:val="1B927AE6"/>
    <w:rsid w:val="1B961952"/>
    <w:rsid w:val="1B962A9E"/>
    <w:rsid w:val="1BA07D6D"/>
    <w:rsid w:val="1BAA4748"/>
    <w:rsid w:val="1BAD248A"/>
    <w:rsid w:val="1BB750B7"/>
    <w:rsid w:val="1BC021BE"/>
    <w:rsid w:val="1BC27540"/>
    <w:rsid w:val="1BC3580A"/>
    <w:rsid w:val="1BC51582"/>
    <w:rsid w:val="1BC81072"/>
    <w:rsid w:val="1BC9022A"/>
    <w:rsid w:val="1BCA4DEA"/>
    <w:rsid w:val="1BCC1C10"/>
    <w:rsid w:val="1BCD5BF3"/>
    <w:rsid w:val="1BCF2401"/>
    <w:rsid w:val="1BD73063"/>
    <w:rsid w:val="1BDB0DA5"/>
    <w:rsid w:val="1BDF1B77"/>
    <w:rsid w:val="1BEC4D0D"/>
    <w:rsid w:val="1C026332"/>
    <w:rsid w:val="1C055E22"/>
    <w:rsid w:val="1C0C0F5F"/>
    <w:rsid w:val="1C0D0BCA"/>
    <w:rsid w:val="1C183DA8"/>
    <w:rsid w:val="1C1A1F34"/>
    <w:rsid w:val="1C2362A8"/>
    <w:rsid w:val="1C2A5889"/>
    <w:rsid w:val="1C2F2E9F"/>
    <w:rsid w:val="1C36422E"/>
    <w:rsid w:val="1C406E5A"/>
    <w:rsid w:val="1C45315A"/>
    <w:rsid w:val="1C4701E9"/>
    <w:rsid w:val="1C475483"/>
    <w:rsid w:val="1C47643B"/>
    <w:rsid w:val="1C58029F"/>
    <w:rsid w:val="1C580BF0"/>
    <w:rsid w:val="1C613BDE"/>
    <w:rsid w:val="1C6568C1"/>
    <w:rsid w:val="1C6B037B"/>
    <w:rsid w:val="1C746B04"/>
    <w:rsid w:val="1C7D4C51"/>
    <w:rsid w:val="1C8D78D8"/>
    <w:rsid w:val="1C915908"/>
    <w:rsid w:val="1C925E42"/>
    <w:rsid w:val="1C9A47BD"/>
    <w:rsid w:val="1C9E0F30"/>
    <w:rsid w:val="1CA53E48"/>
    <w:rsid w:val="1CAE64BA"/>
    <w:rsid w:val="1CB078CC"/>
    <w:rsid w:val="1CB11B06"/>
    <w:rsid w:val="1CB96CE1"/>
    <w:rsid w:val="1CBC3856"/>
    <w:rsid w:val="1CC41839"/>
    <w:rsid w:val="1CC61A56"/>
    <w:rsid w:val="1CC63804"/>
    <w:rsid w:val="1CC655B2"/>
    <w:rsid w:val="1CCB2BC8"/>
    <w:rsid w:val="1CD001DE"/>
    <w:rsid w:val="1CD51C99"/>
    <w:rsid w:val="1CE746C7"/>
    <w:rsid w:val="1CF30371"/>
    <w:rsid w:val="1CF33ECD"/>
    <w:rsid w:val="1CFC5477"/>
    <w:rsid w:val="1D063C00"/>
    <w:rsid w:val="1D13396B"/>
    <w:rsid w:val="1D13631D"/>
    <w:rsid w:val="1D1E53EE"/>
    <w:rsid w:val="1D295B40"/>
    <w:rsid w:val="1D2D33B5"/>
    <w:rsid w:val="1D2D54A2"/>
    <w:rsid w:val="1D3201F7"/>
    <w:rsid w:val="1D33076D"/>
    <w:rsid w:val="1D3A1AFC"/>
    <w:rsid w:val="1D3C3AC6"/>
    <w:rsid w:val="1D506AAD"/>
    <w:rsid w:val="1D5F5A06"/>
    <w:rsid w:val="1D6628F1"/>
    <w:rsid w:val="1D772D50"/>
    <w:rsid w:val="1D832A5E"/>
    <w:rsid w:val="1D864D41"/>
    <w:rsid w:val="1D880AB9"/>
    <w:rsid w:val="1D8F101C"/>
    <w:rsid w:val="1D916268"/>
    <w:rsid w:val="1D957585"/>
    <w:rsid w:val="1D9B4C90"/>
    <w:rsid w:val="1D9E2BD6"/>
    <w:rsid w:val="1D9F4F15"/>
    <w:rsid w:val="1DA33B45"/>
    <w:rsid w:val="1DA84CB7"/>
    <w:rsid w:val="1DAA4A70"/>
    <w:rsid w:val="1DAA6C81"/>
    <w:rsid w:val="1DAD0520"/>
    <w:rsid w:val="1DAF4298"/>
    <w:rsid w:val="1DBA49EB"/>
    <w:rsid w:val="1DBC4C07"/>
    <w:rsid w:val="1DC6338F"/>
    <w:rsid w:val="1DD65CC8"/>
    <w:rsid w:val="1DD77CEC"/>
    <w:rsid w:val="1DD97567"/>
    <w:rsid w:val="1DE32193"/>
    <w:rsid w:val="1DE559AC"/>
    <w:rsid w:val="1DE57EAE"/>
    <w:rsid w:val="1DE859FC"/>
    <w:rsid w:val="1DED7F2B"/>
    <w:rsid w:val="1DEF0B38"/>
    <w:rsid w:val="1DEF6843"/>
    <w:rsid w:val="1DF64A63"/>
    <w:rsid w:val="1DF71875"/>
    <w:rsid w:val="1DFB4E66"/>
    <w:rsid w:val="1DFE0D7B"/>
    <w:rsid w:val="1E0A7720"/>
    <w:rsid w:val="1E0C3728"/>
    <w:rsid w:val="1E0F11DA"/>
    <w:rsid w:val="1E18008F"/>
    <w:rsid w:val="1E187D93"/>
    <w:rsid w:val="1E197963"/>
    <w:rsid w:val="1E1C3FC2"/>
    <w:rsid w:val="1E20682C"/>
    <w:rsid w:val="1E236DDE"/>
    <w:rsid w:val="1E2C7696"/>
    <w:rsid w:val="1E316E84"/>
    <w:rsid w:val="1E3173A3"/>
    <w:rsid w:val="1E34479D"/>
    <w:rsid w:val="1E426EBA"/>
    <w:rsid w:val="1E444560"/>
    <w:rsid w:val="1E4569AA"/>
    <w:rsid w:val="1E4636FD"/>
    <w:rsid w:val="1E490F92"/>
    <w:rsid w:val="1E4A4DAB"/>
    <w:rsid w:val="1E4B0F80"/>
    <w:rsid w:val="1E4C2703"/>
    <w:rsid w:val="1E4D54DA"/>
    <w:rsid w:val="1E4D585F"/>
    <w:rsid w:val="1E5B3533"/>
    <w:rsid w:val="1E65704C"/>
    <w:rsid w:val="1E7B23CC"/>
    <w:rsid w:val="1E7C2114"/>
    <w:rsid w:val="1E805C34"/>
    <w:rsid w:val="1E892D7F"/>
    <w:rsid w:val="1E931DB8"/>
    <w:rsid w:val="1E9566CC"/>
    <w:rsid w:val="1EA77665"/>
    <w:rsid w:val="1EAA4A5F"/>
    <w:rsid w:val="1EBB6C6C"/>
    <w:rsid w:val="1ED1086A"/>
    <w:rsid w:val="1ED57D2E"/>
    <w:rsid w:val="1EDF295B"/>
    <w:rsid w:val="1EE118D6"/>
    <w:rsid w:val="1EE86BE2"/>
    <w:rsid w:val="1EEB7551"/>
    <w:rsid w:val="1EF43504"/>
    <w:rsid w:val="1EF803FD"/>
    <w:rsid w:val="1F156C28"/>
    <w:rsid w:val="1F2F3D0D"/>
    <w:rsid w:val="1F3653A7"/>
    <w:rsid w:val="1F3F2696"/>
    <w:rsid w:val="1F412356"/>
    <w:rsid w:val="1F473C44"/>
    <w:rsid w:val="1F4849A4"/>
    <w:rsid w:val="1F4B316C"/>
    <w:rsid w:val="1F4B6242"/>
    <w:rsid w:val="1F4D7577"/>
    <w:rsid w:val="1F5A6485"/>
    <w:rsid w:val="1F645442"/>
    <w:rsid w:val="1F69084C"/>
    <w:rsid w:val="1F6D440A"/>
    <w:rsid w:val="1F6F0182"/>
    <w:rsid w:val="1F7318CE"/>
    <w:rsid w:val="1F847583"/>
    <w:rsid w:val="1F8B4890"/>
    <w:rsid w:val="1F8E3417"/>
    <w:rsid w:val="1F98137F"/>
    <w:rsid w:val="1F9A4AD4"/>
    <w:rsid w:val="1F9C084C"/>
    <w:rsid w:val="1F9E159B"/>
    <w:rsid w:val="1F9F6FC8"/>
    <w:rsid w:val="1FA15E62"/>
    <w:rsid w:val="1FA47700"/>
    <w:rsid w:val="1FAB4F33"/>
    <w:rsid w:val="1FAC799E"/>
    <w:rsid w:val="1FB2006F"/>
    <w:rsid w:val="1FB950A5"/>
    <w:rsid w:val="1FBC7140"/>
    <w:rsid w:val="1FBE6A14"/>
    <w:rsid w:val="1FC009DE"/>
    <w:rsid w:val="1FC41B50"/>
    <w:rsid w:val="1FD004F5"/>
    <w:rsid w:val="1FD51BC5"/>
    <w:rsid w:val="1FD62CEC"/>
    <w:rsid w:val="1FD75D28"/>
    <w:rsid w:val="1FE81CE3"/>
    <w:rsid w:val="1FE85338"/>
    <w:rsid w:val="1FF22B62"/>
    <w:rsid w:val="1FF93737"/>
    <w:rsid w:val="1FFB1A16"/>
    <w:rsid w:val="20036B1D"/>
    <w:rsid w:val="201C7BDE"/>
    <w:rsid w:val="201F4132"/>
    <w:rsid w:val="202820DF"/>
    <w:rsid w:val="202C6073"/>
    <w:rsid w:val="202F7912"/>
    <w:rsid w:val="2031368A"/>
    <w:rsid w:val="20362A4E"/>
    <w:rsid w:val="204206D7"/>
    <w:rsid w:val="204213F3"/>
    <w:rsid w:val="204C0A72"/>
    <w:rsid w:val="20580C17"/>
    <w:rsid w:val="2059673D"/>
    <w:rsid w:val="205D447F"/>
    <w:rsid w:val="20621A95"/>
    <w:rsid w:val="206D40FA"/>
    <w:rsid w:val="2079136A"/>
    <w:rsid w:val="207D68CF"/>
    <w:rsid w:val="2080016D"/>
    <w:rsid w:val="208337BA"/>
    <w:rsid w:val="20853119"/>
    <w:rsid w:val="208A5AB4"/>
    <w:rsid w:val="208F6602"/>
    <w:rsid w:val="209A2298"/>
    <w:rsid w:val="209D2ACD"/>
    <w:rsid w:val="20A66929"/>
    <w:rsid w:val="20AA343C"/>
    <w:rsid w:val="20B10A9D"/>
    <w:rsid w:val="20B63B8F"/>
    <w:rsid w:val="20C31E08"/>
    <w:rsid w:val="20C52024"/>
    <w:rsid w:val="20C721E4"/>
    <w:rsid w:val="20CB2ECE"/>
    <w:rsid w:val="20D574D8"/>
    <w:rsid w:val="20D81D57"/>
    <w:rsid w:val="20DA0DBE"/>
    <w:rsid w:val="20DD2ECA"/>
    <w:rsid w:val="20F27D63"/>
    <w:rsid w:val="21156B08"/>
    <w:rsid w:val="211803A6"/>
    <w:rsid w:val="2118056E"/>
    <w:rsid w:val="211D3C0E"/>
    <w:rsid w:val="211E2EAF"/>
    <w:rsid w:val="2122788E"/>
    <w:rsid w:val="213E718B"/>
    <w:rsid w:val="214353CB"/>
    <w:rsid w:val="21442F49"/>
    <w:rsid w:val="21507B40"/>
    <w:rsid w:val="21577120"/>
    <w:rsid w:val="216435EB"/>
    <w:rsid w:val="21690C01"/>
    <w:rsid w:val="216B02BD"/>
    <w:rsid w:val="216B6E8F"/>
    <w:rsid w:val="217414BE"/>
    <w:rsid w:val="217D02D5"/>
    <w:rsid w:val="218477E9"/>
    <w:rsid w:val="218E2416"/>
    <w:rsid w:val="219A525F"/>
    <w:rsid w:val="21A12B65"/>
    <w:rsid w:val="21A34113"/>
    <w:rsid w:val="21B300CF"/>
    <w:rsid w:val="21B55BF5"/>
    <w:rsid w:val="21B7196D"/>
    <w:rsid w:val="21B856E5"/>
    <w:rsid w:val="21BF6A73"/>
    <w:rsid w:val="21CD1190"/>
    <w:rsid w:val="21CF315A"/>
    <w:rsid w:val="21D52C5B"/>
    <w:rsid w:val="21ED1832"/>
    <w:rsid w:val="21EF55AB"/>
    <w:rsid w:val="220F17A9"/>
    <w:rsid w:val="2217065D"/>
    <w:rsid w:val="221943D6"/>
    <w:rsid w:val="221B2723"/>
    <w:rsid w:val="221C74D1"/>
    <w:rsid w:val="22230605"/>
    <w:rsid w:val="222A0391"/>
    <w:rsid w:val="222A65E3"/>
    <w:rsid w:val="222F59A7"/>
    <w:rsid w:val="223121E2"/>
    <w:rsid w:val="22356D36"/>
    <w:rsid w:val="22370247"/>
    <w:rsid w:val="22371BAB"/>
    <w:rsid w:val="22396826"/>
    <w:rsid w:val="2247576F"/>
    <w:rsid w:val="225C0A7C"/>
    <w:rsid w:val="225F4F3B"/>
    <w:rsid w:val="225F57E5"/>
    <w:rsid w:val="22635FDA"/>
    <w:rsid w:val="226A4C31"/>
    <w:rsid w:val="227635D6"/>
    <w:rsid w:val="22784204"/>
    <w:rsid w:val="227930C6"/>
    <w:rsid w:val="22835CF3"/>
    <w:rsid w:val="229D0A56"/>
    <w:rsid w:val="22BB419B"/>
    <w:rsid w:val="22BB548D"/>
    <w:rsid w:val="22C25045"/>
    <w:rsid w:val="22C34341"/>
    <w:rsid w:val="22C75536"/>
    <w:rsid w:val="22D26284"/>
    <w:rsid w:val="22D402FC"/>
    <w:rsid w:val="22D93B65"/>
    <w:rsid w:val="22DD35F3"/>
    <w:rsid w:val="22DE4819"/>
    <w:rsid w:val="22E70030"/>
    <w:rsid w:val="22E82F78"/>
    <w:rsid w:val="22EC08AD"/>
    <w:rsid w:val="22EF18E6"/>
    <w:rsid w:val="23005595"/>
    <w:rsid w:val="23005752"/>
    <w:rsid w:val="23007343"/>
    <w:rsid w:val="23040BE2"/>
    <w:rsid w:val="2315214C"/>
    <w:rsid w:val="231E77CA"/>
    <w:rsid w:val="23257170"/>
    <w:rsid w:val="232C4886"/>
    <w:rsid w:val="233A4603"/>
    <w:rsid w:val="233D0F56"/>
    <w:rsid w:val="233D3D5B"/>
    <w:rsid w:val="233F60BE"/>
    <w:rsid w:val="234611FA"/>
    <w:rsid w:val="2351742B"/>
    <w:rsid w:val="23531B69"/>
    <w:rsid w:val="23585F42"/>
    <w:rsid w:val="235D02F2"/>
    <w:rsid w:val="23645B24"/>
    <w:rsid w:val="236B2926"/>
    <w:rsid w:val="23706277"/>
    <w:rsid w:val="23737B15"/>
    <w:rsid w:val="23757D31"/>
    <w:rsid w:val="23772EA2"/>
    <w:rsid w:val="237C2E6E"/>
    <w:rsid w:val="23843AD1"/>
    <w:rsid w:val="238565B2"/>
    <w:rsid w:val="23922691"/>
    <w:rsid w:val="23923C23"/>
    <w:rsid w:val="23955CDE"/>
    <w:rsid w:val="23983A20"/>
    <w:rsid w:val="239D2DE4"/>
    <w:rsid w:val="23A267BA"/>
    <w:rsid w:val="23A61C99"/>
    <w:rsid w:val="23A75A11"/>
    <w:rsid w:val="23BF2EB9"/>
    <w:rsid w:val="23C14D25"/>
    <w:rsid w:val="23E514B6"/>
    <w:rsid w:val="23E822B1"/>
    <w:rsid w:val="23E919F6"/>
    <w:rsid w:val="23FC3FAF"/>
    <w:rsid w:val="23FE7D27"/>
    <w:rsid w:val="24015121"/>
    <w:rsid w:val="24161882"/>
    <w:rsid w:val="242E15E0"/>
    <w:rsid w:val="243C55A8"/>
    <w:rsid w:val="2443573A"/>
    <w:rsid w:val="24521ABD"/>
    <w:rsid w:val="24693151"/>
    <w:rsid w:val="246A716A"/>
    <w:rsid w:val="247331E8"/>
    <w:rsid w:val="247F0674"/>
    <w:rsid w:val="24974092"/>
    <w:rsid w:val="24A415E4"/>
    <w:rsid w:val="24A64188"/>
    <w:rsid w:val="24A94101"/>
    <w:rsid w:val="24AD5661"/>
    <w:rsid w:val="24B00B9B"/>
    <w:rsid w:val="24B30B11"/>
    <w:rsid w:val="24B77ED6"/>
    <w:rsid w:val="24BD7C99"/>
    <w:rsid w:val="24CA19B7"/>
    <w:rsid w:val="24CA5E5B"/>
    <w:rsid w:val="24D12D46"/>
    <w:rsid w:val="24D533DF"/>
    <w:rsid w:val="24E16D01"/>
    <w:rsid w:val="24E959A5"/>
    <w:rsid w:val="24F3242A"/>
    <w:rsid w:val="24F66C50"/>
    <w:rsid w:val="24F829C8"/>
    <w:rsid w:val="24FA5B0E"/>
    <w:rsid w:val="2500187D"/>
    <w:rsid w:val="250C0222"/>
    <w:rsid w:val="25116F24"/>
    <w:rsid w:val="25161CA7"/>
    <w:rsid w:val="251C7A5B"/>
    <w:rsid w:val="252A23ED"/>
    <w:rsid w:val="252C2672"/>
    <w:rsid w:val="25331C52"/>
    <w:rsid w:val="253908EB"/>
    <w:rsid w:val="253B4663"/>
    <w:rsid w:val="253C63EB"/>
    <w:rsid w:val="253D487F"/>
    <w:rsid w:val="254479BB"/>
    <w:rsid w:val="254774AC"/>
    <w:rsid w:val="254E25E8"/>
    <w:rsid w:val="25585215"/>
    <w:rsid w:val="256058FA"/>
    <w:rsid w:val="25641E0C"/>
    <w:rsid w:val="25781413"/>
    <w:rsid w:val="25781FC8"/>
    <w:rsid w:val="258129BE"/>
    <w:rsid w:val="258204E4"/>
    <w:rsid w:val="258E7ABB"/>
    <w:rsid w:val="2593624D"/>
    <w:rsid w:val="25983863"/>
    <w:rsid w:val="259A582D"/>
    <w:rsid w:val="259B0BA6"/>
    <w:rsid w:val="259C17E6"/>
    <w:rsid w:val="259F4BF2"/>
    <w:rsid w:val="25A93A08"/>
    <w:rsid w:val="25AB5B2B"/>
    <w:rsid w:val="25B20DC9"/>
    <w:rsid w:val="25B368EF"/>
    <w:rsid w:val="25B54415"/>
    <w:rsid w:val="25B6018D"/>
    <w:rsid w:val="25B85CB3"/>
    <w:rsid w:val="25C74149"/>
    <w:rsid w:val="25D67F91"/>
    <w:rsid w:val="25D80104"/>
    <w:rsid w:val="25DC53BA"/>
    <w:rsid w:val="25E21873"/>
    <w:rsid w:val="25E371D4"/>
    <w:rsid w:val="25E62821"/>
    <w:rsid w:val="25F25BC4"/>
    <w:rsid w:val="25FF7D86"/>
    <w:rsid w:val="260462BE"/>
    <w:rsid w:val="260E7FC9"/>
    <w:rsid w:val="26105AEF"/>
    <w:rsid w:val="261612BD"/>
    <w:rsid w:val="261E020C"/>
    <w:rsid w:val="26235823"/>
    <w:rsid w:val="26244944"/>
    <w:rsid w:val="262A032E"/>
    <w:rsid w:val="26357304"/>
    <w:rsid w:val="264F74C8"/>
    <w:rsid w:val="265A320F"/>
    <w:rsid w:val="26607686"/>
    <w:rsid w:val="26667E05"/>
    <w:rsid w:val="26695200"/>
    <w:rsid w:val="266C3B1C"/>
    <w:rsid w:val="267047E0"/>
    <w:rsid w:val="267151A0"/>
    <w:rsid w:val="26727F5C"/>
    <w:rsid w:val="2676499B"/>
    <w:rsid w:val="26791952"/>
    <w:rsid w:val="267E76A7"/>
    <w:rsid w:val="26802C3B"/>
    <w:rsid w:val="26804A23"/>
    <w:rsid w:val="26810DF2"/>
    <w:rsid w:val="2685203A"/>
    <w:rsid w:val="26971D6D"/>
    <w:rsid w:val="26977FBF"/>
    <w:rsid w:val="269A360B"/>
    <w:rsid w:val="269C7383"/>
    <w:rsid w:val="269F48CD"/>
    <w:rsid w:val="26A850EA"/>
    <w:rsid w:val="26AC2148"/>
    <w:rsid w:val="26B27D46"/>
    <w:rsid w:val="26B34C86"/>
    <w:rsid w:val="26B741BD"/>
    <w:rsid w:val="26B75BDF"/>
    <w:rsid w:val="26C02F51"/>
    <w:rsid w:val="26C50688"/>
    <w:rsid w:val="26C54B2C"/>
    <w:rsid w:val="26C708A4"/>
    <w:rsid w:val="26CB54E5"/>
    <w:rsid w:val="26D07EC7"/>
    <w:rsid w:val="26D905D7"/>
    <w:rsid w:val="26DF4174"/>
    <w:rsid w:val="26E256DE"/>
    <w:rsid w:val="26F02733"/>
    <w:rsid w:val="26F7104F"/>
    <w:rsid w:val="27054F28"/>
    <w:rsid w:val="270C3A0E"/>
    <w:rsid w:val="27160EE4"/>
    <w:rsid w:val="27271343"/>
    <w:rsid w:val="272F01F7"/>
    <w:rsid w:val="273B094A"/>
    <w:rsid w:val="273F1913"/>
    <w:rsid w:val="273F6164"/>
    <w:rsid w:val="27471A22"/>
    <w:rsid w:val="274B3C92"/>
    <w:rsid w:val="2751016E"/>
    <w:rsid w:val="27547C5E"/>
    <w:rsid w:val="275B571C"/>
    <w:rsid w:val="27610BA0"/>
    <w:rsid w:val="276D20FF"/>
    <w:rsid w:val="27726E95"/>
    <w:rsid w:val="277E1D29"/>
    <w:rsid w:val="277F2C81"/>
    <w:rsid w:val="278542BB"/>
    <w:rsid w:val="279035CB"/>
    <w:rsid w:val="27912FAE"/>
    <w:rsid w:val="27A02EA3"/>
    <w:rsid w:val="27B4466B"/>
    <w:rsid w:val="27B54A63"/>
    <w:rsid w:val="27BA6956"/>
    <w:rsid w:val="27BB1A8B"/>
    <w:rsid w:val="27C57777"/>
    <w:rsid w:val="27CE19F0"/>
    <w:rsid w:val="27D33279"/>
    <w:rsid w:val="27D50D9F"/>
    <w:rsid w:val="27DC21EE"/>
    <w:rsid w:val="27F91082"/>
    <w:rsid w:val="28100029"/>
    <w:rsid w:val="28123DA1"/>
    <w:rsid w:val="28125B4F"/>
    <w:rsid w:val="28180C8B"/>
    <w:rsid w:val="281A3356"/>
    <w:rsid w:val="281B7F9E"/>
    <w:rsid w:val="281E2746"/>
    <w:rsid w:val="2829235B"/>
    <w:rsid w:val="2829733C"/>
    <w:rsid w:val="283000C3"/>
    <w:rsid w:val="283006CB"/>
    <w:rsid w:val="28304227"/>
    <w:rsid w:val="28327F9F"/>
    <w:rsid w:val="283B3145"/>
    <w:rsid w:val="283D06F2"/>
    <w:rsid w:val="283D76E4"/>
    <w:rsid w:val="284502B1"/>
    <w:rsid w:val="28456220"/>
    <w:rsid w:val="28546167"/>
    <w:rsid w:val="28596AAC"/>
    <w:rsid w:val="285C501C"/>
    <w:rsid w:val="28744262"/>
    <w:rsid w:val="287560BB"/>
    <w:rsid w:val="287B5AA5"/>
    <w:rsid w:val="287C56BE"/>
    <w:rsid w:val="2887498C"/>
    <w:rsid w:val="2888386E"/>
    <w:rsid w:val="28990746"/>
    <w:rsid w:val="289A78BF"/>
    <w:rsid w:val="28AA3FD9"/>
    <w:rsid w:val="28B50951"/>
    <w:rsid w:val="28B906C0"/>
    <w:rsid w:val="28B97682"/>
    <w:rsid w:val="28C13F36"/>
    <w:rsid w:val="28CF1C92"/>
    <w:rsid w:val="28D728F5"/>
    <w:rsid w:val="28E15521"/>
    <w:rsid w:val="28EC6E96"/>
    <w:rsid w:val="28F11C08"/>
    <w:rsid w:val="28F67C0F"/>
    <w:rsid w:val="290343AE"/>
    <w:rsid w:val="290D2324"/>
    <w:rsid w:val="29171565"/>
    <w:rsid w:val="29177195"/>
    <w:rsid w:val="292A7E1A"/>
    <w:rsid w:val="292C0E92"/>
    <w:rsid w:val="29301D18"/>
    <w:rsid w:val="293D309F"/>
    <w:rsid w:val="29457716"/>
    <w:rsid w:val="294B7761"/>
    <w:rsid w:val="294C5FAE"/>
    <w:rsid w:val="294E3480"/>
    <w:rsid w:val="294F4B81"/>
    <w:rsid w:val="295A3D33"/>
    <w:rsid w:val="295D729E"/>
    <w:rsid w:val="29673C78"/>
    <w:rsid w:val="29683311"/>
    <w:rsid w:val="296A5517"/>
    <w:rsid w:val="296B11D4"/>
    <w:rsid w:val="2973261D"/>
    <w:rsid w:val="297E051F"/>
    <w:rsid w:val="29835806"/>
    <w:rsid w:val="299D58EC"/>
    <w:rsid w:val="29A314A8"/>
    <w:rsid w:val="29A9603F"/>
    <w:rsid w:val="29AA1DB7"/>
    <w:rsid w:val="29B669AE"/>
    <w:rsid w:val="29C70BBB"/>
    <w:rsid w:val="29CB06AB"/>
    <w:rsid w:val="29CE0185"/>
    <w:rsid w:val="29D3130E"/>
    <w:rsid w:val="29D509CE"/>
    <w:rsid w:val="29DF4157"/>
    <w:rsid w:val="29E744CE"/>
    <w:rsid w:val="29F40BC6"/>
    <w:rsid w:val="29F714A0"/>
    <w:rsid w:val="2A04188F"/>
    <w:rsid w:val="2A0461B3"/>
    <w:rsid w:val="2A077209"/>
    <w:rsid w:val="2A0E0598"/>
    <w:rsid w:val="2A155AF6"/>
    <w:rsid w:val="2A16744D"/>
    <w:rsid w:val="2A1A0A1C"/>
    <w:rsid w:val="2A1F4553"/>
    <w:rsid w:val="2A30050E"/>
    <w:rsid w:val="2A426494"/>
    <w:rsid w:val="2A461480"/>
    <w:rsid w:val="2A5423BC"/>
    <w:rsid w:val="2A5561C7"/>
    <w:rsid w:val="2A5A1A2F"/>
    <w:rsid w:val="2A61579B"/>
    <w:rsid w:val="2A6603D4"/>
    <w:rsid w:val="2A6C3C54"/>
    <w:rsid w:val="2A73664D"/>
    <w:rsid w:val="2A7445E5"/>
    <w:rsid w:val="2A7F1496"/>
    <w:rsid w:val="2A9414C6"/>
    <w:rsid w:val="2A97058D"/>
    <w:rsid w:val="2A977389"/>
    <w:rsid w:val="2A9B6946"/>
    <w:rsid w:val="2AA17E19"/>
    <w:rsid w:val="2AA9276A"/>
    <w:rsid w:val="2AAA4765"/>
    <w:rsid w:val="2AAD1B5F"/>
    <w:rsid w:val="2AB92391"/>
    <w:rsid w:val="2ABE2768"/>
    <w:rsid w:val="2ACB5AD9"/>
    <w:rsid w:val="2AD06D3A"/>
    <w:rsid w:val="2AD1369D"/>
    <w:rsid w:val="2ADB67C7"/>
    <w:rsid w:val="2AEF232A"/>
    <w:rsid w:val="2AF31C78"/>
    <w:rsid w:val="2AF722D4"/>
    <w:rsid w:val="2AF94DA4"/>
    <w:rsid w:val="2AFC4894"/>
    <w:rsid w:val="2AFE02A1"/>
    <w:rsid w:val="2B0A1CF0"/>
    <w:rsid w:val="2B0E6E75"/>
    <w:rsid w:val="2B211D12"/>
    <w:rsid w:val="2B2838DB"/>
    <w:rsid w:val="2B3B53BD"/>
    <w:rsid w:val="2B40292B"/>
    <w:rsid w:val="2B465B0F"/>
    <w:rsid w:val="2B4D3342"/>
    <w:rsid w:val="2B4D4235"/>
    <w:rsid w:val="2B500E98"/>
    <w:rsid w:val="2B520428"/>
    <w:rsid w:val="2B597F39"/>
    <w:rsid w:val="2B724B56"/>
    <w:rsid w:val="2B856638"/>
    <w:rsid w:val="2B8B0FBF"/>
    <w:rsid w:val="2B915817"/>
    <w:rsid w:val="2B940F71"/>
    <w:rsid w:val="2B964CE9"/>
    <w:rsid w:val="2B9D1BD3"/>
    <w:rsid w:val="2B9E1A25"/>
    <w:rsid w:val="2BA13460"/>
    <w:rsid w:val="2BA51DE4"/>
    <w:rsid w:val="2BAC1E16"/>
    <w:rsid w:val="2BB533C1"/>
    <w:rsid w:val="2BB633D6"/>
    <w:rsid w:val="2BBB7BE2"/>
    <w:rsid w:val="2BCC4267"/>
    <w:rsid w:val="2BCF3D57"/>
    <w:rsid w:val="2BD67F16"/>
    <w:rsid w:val="2BE05F64"/>
    <w:rsid w:val="2BE710A1"/>
    <w:rsid w:val="2BEE242F"/>
    <w:rsid w:val="2BEF61A7"/>
    <w:rsid w:val="2BF612E4"/>
    <w:rsid w:val="2C10437B"/>
    <w:rsid w:val="2C1C34C1"/>
    <w:rsid w:val="2C1D4AC2"/>
    <w:rsid w:val="2C1F6A8C"/>
    <w:rsid w:val="2C2F6ED5"/>
    <w:rsid w:val="2C324A12"/>
    <w:rsid w:val="2C35091E"/>
    <w:rsid w:val="2C3818FC"/>
    <w:rsid w:val="2C385DA0"/>
    <w:rsid w:val="2C4031E8"/>
    <w:rsid w:val="2C414C55"/>
    <w:rsid w:val="2C463A83"/>
    <w:rsid w:val="2C506C46"/>
    <w:rsid w:val="2C5C1A8E"/>
    <w:rsid w:val="2C5D1D8D"/>
    <w:rsid w:val="2C5F50DB"/>
    <w:rsid w:val="2C626979"/>
    <w:rsid w:val="2C6705FA"/>
    <w:rsid w:val="2C692ABE"/>
    <w:rsid w:val="2C6B3A80"/>
    <w:rsid w:val="2C772424"/>
    <w:rsid w:val="2C7A0167"/>
    <w:rsid w:val="2C7D1A05"/>
    <w:rsid w:val="2C7F73BF"/>
    <w:rsid w:val="2C8B4122"/>
    <w:rsid w:val="2C8E3D6F"/>
    <w:rsid w:val="2C9034E6"/>
    <w:rsid w:val="2C9114FE"/>
    <w:rsid w:val="2CA003F1"/>
    <w:rsid w:val="2CA3146B"/>
    <w:rsid w:val="2CA46F92"/>
    <w:rsid w:val="2CA90A4C"/>
    <w:rsid w:val="2CAD1E3D"/>
    <w:rsid w:val="2CBF5B79"/>
    <w:rsid w:val="2CC87124"/>
    <w:rsid w:val="2CD23AFF"/>
    <w:rsid w:val="2CDE06F5"/>
    <w:rsid w:val="2CE43D16"/>
    <w:rsid w:val="2CE43E46"/>
    <w:rsid w:val="2CE47EAB"/>
    <w:rsid w:val="2D0D2D89"/>
    <w:rsid w:val="2D0F6B01"/>
    <w:rsid w:val="2D1C2FCC"/>
    <w:rsid w:val="2D260928"/>
    <w:rsid w:val="2D2D6F87"/>
    <w:rsid w:val="2D2F6099"/>
    <w:rsid w:val="2D3A16A4"/>
    <w:rsid w:val="2D460049"/>
    <w:rsid w:val="2D4F6EFD"/>
    <w:rsid w:val="2D512161"/>
    <w:rsid w:val="2D5C5ABE"/>
    <w:rsid w:val="2D661D22"/>
    <w:rsid w:val="2D6B52C3"/>
    <w:rsid w:val="2D6C3F53"/>
    <w:rsid w:val="2D7117E4"/>
    <w:rsid w:val="2D725385"/>
    <w:rsid w:val="2D7E77E3"/>
    <w:rsid w:val="2D825525"/>
    <w:rsid w:val="2D8D5C78"/>
    <w:rsid w:val="2D8E17DF"/>
    <w:rsid w:val="2D8F19F0"/>
    <w:rsid w:val="2D931A9F"/>
    <w:rsid w:val="2D940DB4"/>
    <w:rsid w:val="2D964B2C"/>
    <w:rsid w:val="2DA96368"/>
    <w:rsid w:val="2DAC25A2"/>
    <w:rsid w:val="2DC25690"/>
    <w:rsid w:val="2DC25921"/>
    <w:rsid w:val="2DC82F69"/>
    <w:rsid w:val="2DD12008"/>
    <w:rsid w:val="2DD617CA"/>
    <w:rsid w:val="2DD83397"/>
    <w:rsid w:val="2DDC4641"/>
    <w:rsid w:val="2DE97352"/>
    <w:rsid w:val="2DEE1567"/>
    <w:rsid w:val="2DF02643"/>
    <w:rsid w:val="2DF33D2D"/>
    <w:rsid w:val="2E00185E"/>
    <w:rsid w:val="2E0028ED"/>
    <w:rsid w:val="2E193E0B"/>
    <w:rsid w:val="2E232138"/>
    <w:rsid w:val="2E2348D1"/>
    <w:rsid w:val="2E241189"/>
    <w:rsid w:val="2E2C35B1"/>
    <w:rsid w:val="2E383E35"/>
    <w:rsid w:val="2E3D76E0"/>
    <w:rsid w:val="2E3F6F72"/>
    <w:rsid w:val="2E4270DC"/>
    <w:rsid w:val="2E4A213E"/>
    <w:rsid w:val="2E532A1D"/>
    <w:rsid w:val="2E5549E7"/>
    <w:rsid w:val="2E6A7D67"/>
    <w:rsid w:val="2E6B5FB9"/>
    <w:rsid w:val="2E6E3CFB"/>
    <w:rsid w:val="2E7D7A9A"/>
    <w:rsid w:val="2E8244E2"/>
    <w:rsid w:val="2E8B5096"/>
    <w:rsid w:val="2E963BAC"/>
    <w:rsid w:val="2E9D013C"/>
    <w:rsid w:val="2E9D47C7"/>
    <w:rsid w:val="2E9F5C62"/>
    <w:rsid w:val="2EA81CB8"/>
    <w:rsid w:val="2EA96AE1"/>
    <w:rsid w:val="2EAC5DCE"/>
    <w:rsid w:val="2EBC6814"/>
    <w:rsid w:val="2EBE07DF"/>
    <w:rsid w:val="2ED26038"/>
    <w:rsid w:val="2ED926F0"/>
    <w:rsid w:val="2ED973C6"/>
    <w:rsid w:val="2EDA313F"/>
    <w:rsid w:val="2EF35A23"/>
    <w:rsid w:val="2EFB1605"/>
    <w:rsid w:val="2EFC14AA"/>
    <w:rsid w:val="2F087CAC"/>
    <w:rsid w:val="2F0A1F67"/>
    <w:rsid w:val="2F0E4B96"/>
    <w:rsid w:val="2F1A16BD"/>
    <w:rsid w:val="2F1E6861"/>
    <w:rsid w:val="2F2148C9"/>
    <w:rsid w:val="2F266384"/>
    <w:rsid w:val="2F2E6FE6"/>
    <w:rsid w:val="2F316221"/>
    <w:rsid w:val="2F323111"/>
    <w:rsid w:val="2F397E65"/>
    <w:rsid w:val="2F3E191F"/>
    <w:rsid w:val="2F4800A8"/>
    <w:rsid w:val="2F561AF3"/>
    <w:rsid w:val="2F570620"/>
    <w:rsid w:val="2F57653D"/>
    <w:rsid w:val="2F5A4E26"/>
    <w:rsid w:val="2F5C1DA5"/>
    <w:rsid w:val="2F626CDA"/>
    <w:rsid w:val="2F652D29"/>
    <w:rsid w:val="2F687E17"/>
    <w:rsid w:val="2F704A48"/>
    <w:rsid w:val="2F7623E8"/>
    <w:rsid w:val="2F7B047E"/>
    <w:rsid w:val="2F8135BA"/>
    <w:rsid w:val="2F880DEC"/>
    <w:rsid w:val="2F8F11B7"/>
    <w:rsid w:val="2F924F51"/>
    <w:rsid w:val="2F9257C7"/>
    <w:rsid w:val="2F967065"/>
    <w:rsid w:val="2F992C7E"/>
    <w:rsid w:val="2FA15A0A"/>
    <w:rsid w:val="2FA242CD"/>
    <w:rsid w:val="2FAC6889"/>
    <w:rsid w:val="2FB92D54"/>
    <w:rsid w:val="2FBB4D1E"/>
    <w:rsid w:val="2FBB6ACC"/>
    <w:rsid w:val="2FC53444"/>
    <w:rsid w:val="2FC82F97"/>
    <w:rsid w:val="2FCA31B3"/>
    <w:rsid w:val="2FCE5C87"/>
    <w:rsid w:val="2FDD4C94"/>
    <w:rsid w:val="2FF124EE"/>
    <w:rsid w:val="2FFD5337"/>
    <w:rsid w:val="302208F9"/>
    <w:rsid w:val="302307FD"/>
    <w:rsid w:val="30265422"/>
    <w:rsid w:val="30322DED"/>
    <w:rsid w:val="30360848"/>
    <w:rsid w:val="3038011D"/>
    <w:rsid w:val="303A2E5F"/>
    <w:rsid w:val="303D6193"/>
    <w:rsid w:val="304042CD"/>
    <w:rsid w:val="30440464"/>
    <w:rsid w:val="30443C89"/>
    <w:rsid w:val="304C3BC8"/>
    <w:rsid w:val="304E0633"/>
    <w:rsid w:val="30526F2D"/>
    <w:rsid w:val="305B7FDF"/>
    <w:rsid w:val="305D5DD5"/>
    <w:rsid w:val="30607673"/>
    <w:rsid w:val="30623475"/>
    <w:rsid w:val="306C426A"/>
    <w:rsid w:val="3075311F"/>
    <w:rsid w:val="3076147E"/>
    <w:rsid w:val="3078240A"/>
    <w:rsid w:val="307B4F0A"/>
    <w:rsid w:val="307F7AFA"/>
    <w:rsid w:val="308014D3"/>
    <w:rsid w:val="308570DA"/>
    <w:rsid w:val="308B2942"/>
    <w:rsid w:val="308E41E1"/>
    <w:rsid w:val="309126CA"/>
    <w:rsid w:val="30923EBF"/>
    <w:rsid w:val="30927062"/>
    <w:rsid w:val="30937A49"/>
    <w:rsid w:val="309F019C"/>
    <w:rsid w:val="309F63EE"/>
    <w:rsid w:val="30A868F8"/>
    <w:rsid w:val="30AC28B9"/>
    <w:rsid w:val="30B11C7D"/>
    <w:rsid w:val="30B17ED7"/>
    <w:rsid w:val="30B53C36"/>
    <w:rsid w:val="30B63D18"/>
    <w:rsid w:val="30B73737"/>
    <w:rsid w:val="30C24997"/>
    <w:rsid w:val="30CD07CF"/>
    <w:rsid w:val="30CD2F5B"/>
    <w:rsid w:val="30D17F89"/>
    <w:rsid w:val="30D31D17"/>
    <w:rsid w:val="30D35F72"/>
    <w:rsid w:val="30E42053"/>
    <w:rsid w:val="30E91417"/>
    <w:rsid w:val="30F437F5"/>
    <w:rsid w:val="30FA3624"/>
    <w:rsid w:val="30FC55EE"/>
    <w:rsid w:val="30FE1366"/>
    <w:rsid w:val="30FF0C3A"/>
    <w:rsid w:val="30FF39FF"/>
    <w:rsid w:val="3102072B"/>
    <w:rsid w:val="31061FC9"/>
    <w:rsid w:val="31083F93"/>
    <w:rsid w:val="310C5ADB"/>
    <w:rsid w:val="310D77FB"/>
    <w:rsid w:val="311604ED"/>
    <w:rsid w:val="311741D6"/>
    <w:rsid w:val="31175F84"/>
    <w:rsid w:val="312A5E46"/>
    <w:rsid w:val="312E2CFC"/>
    <w:rsid w:val="313308E4"/>
    <w:rsid w:val="31390F8B"/>
    <w:rsid w:val="313A7EC4"/>
    <w:rsid w:val="313D2F16"/>
    <w:rsid w:val="31435B14"/>
    <w:rsid w:val="31501496"/>
    <w:rsid w:val="31603DCF"/>
    <w:rsid w:val="31633586"/>
    <w:rsid w:val="316A07AA"/>
    <w:rsid w:val="316B2774"/>
    <w:rsid w:val="31704961"/>
    <w:rsid w:val="31772D94"/>
    <w:rsid w:val="317822FC"/>
    <w:rsid w:val="317D14C2"/>
    <w:rsid w:val="317D6DF8"/>
    <w:rsid w:val="318B7B2F"/>
    <w:rsid w:val="31921AAF"/>
    <w:rsid w:val="3196159F"/>
    <w:rsid w:val="319B6BB5"/>
    <w:rsid w:val="319C0B7F"/>
    <w:rsid w:val="31A832AB"/>
    <w:rsid w:val="31BC6B2B"/>
    <w:rsid w:val="31CA425E"/>
    <w:rsid w:val="31CA56EC"/>
    <w:rsid w:val="31CC2FDA"/>
    <w:rsid w:val="31CD6A39"/>
    <w:rsid w:val="31D16A7B"/>
    <w:rsid w:val="31EA7539"/>
    <w:rsid w:val="31F10520"/>
    <w:rsid w:val="31F370ED"/>
    <w:rsid w:val="31F9560C"/>
    <w:rsid w:val="32067740"/>
    <w:rsid w:val="322029C3"/>
    <w:rsid w:val="32313075"/>
    <w:rsid w:val="32342B95"/>
    <w:rsid w:val="323D5EBE"/>
    <w:rsid w:val="3240775C"/>
    <w:rsid w:val="32452FC5"/>
    <w:rsid w:val="32453A29"/>
    <w:rsid w:val="325167F3"/>
    <w:rsid w:val="3253071D"/>
    <w:rsid w:val="32544FB6"/>
    <w:rsid w:val="32562ADC"/>
    <w:rsid w:val="32584AA6"/>
    <w:rsid w:val="32586854"/>
    <w:rsid w:val="325F6CD4"/>
    <w:rsid w:val="32625925"/>
    <w:rsid w:val="326351F9"/>
    <w:rsid w:val="326F1DF0"/>
    <w:rsid w:val="327A3AA0"/>
    <w:rsid w:val="327E4D48"/>
    <w:rsid w:val="32807B59"/>
    <w:rsid w:val="32892923"/>
    <w:rsid w:val="328E2276"/>
    <w:rsid w:val="328F6C32"/>
    <w:rsid w:val="32981347"/>
    <w:rsid w:val="32B115D7"/>
    <w:rsid w:val="32B37F2E"/>
    <w:rsid w:val="32B97394"/>
    <w:rsid w:val="32BC237B"/>
    <w:rsid w:val="32BE2CD7"/>
    <w:rsid w:val="32CC02D8"/>
    <w:rsid w:val="32CE6B16"/>
    <w:rsid w:val="32CF0A8C"/>
    <w:rsid w:val="32D560F7"/>
    <w:rsid w:val="32DB706C"/>
    <w:rsid w:val="32DF0D23"/>
    <w:rsid w:val="32E56B2B"/>
    <w:rsid w:val="32EB6EB8"/>
    <w:rsid w:val="32ED0B6C"/>
    <w:rsid w:val="32F151B0"/>
    <w:rsid w:val="32F6606D"/>
    <w:rsid w:val="32FA142D"/>
    <w:rsid w:val="32FF09E4"/>
    <w:rsid w:val="3302419E"/>
    <w:rsid w:val="33087A5B"/>
    <w:rsid w:val="330D3AE3"/>
    <w:rsid w:val="331001A2"/>
    <w:rsid w:val="33107BE2"/>
    <w:rsid w:val="3312251A"/>
    <w:rsid w:val="331C0B77"/>
    <w:rsid w:val="331D1B33"/>
    <w:rsid w:val="332130EA"/>
    <w:rsid w:val="33285E7F"/>
    <w:rsid w:val="332A4425"/>
    <w:rsid w:val="332D1A72"/>
    <w:rsid w:val="333077D1"/>
    <w:rsid w:val="333357F5"/>
    <w:rsid w:val="33397B29"/>
    <w:rsid w:val="333D3C9C"/>
    <w:rsid w:val="33437504"/>
    <w:rsid w:val="33466FF4"/>
    <w:rsid w:val="33496BA2"/>
    <w:rsid w:val="334A7763"/>
    <w:rsid w:val="334D0383"/>
    <w:rsid w:val="334D38BC"/>
    <w:rsid w:val="334E5EA9"/>
    <w:rsid w:val="335922EC"/>
    <w:rsid w:val="335A484E"/>
    <w:rsid w:val="335F23E7"/>
    <w:rsid w:val="33627AA0"/>
    <w:rsid w:val="336456CD"/>
    <w:rsid w:val="337F1B71"/>
    <w:rsid w:val="338A642D"/>
    <w:rsid w:val="339064C2"/>
    <w:rsid w:val="33A51F6D"/>
    <w:rsid w:val="33A802BE"/>
    <w:rsid w:val="33A930DF"/>
    <w:rsid w:val="33AB6E58"/>
    <w:rsid w:val="33B2468A"/>
    <w:rsid w:val="33B27751"/>
    <w:rsid w:val="33BE79A5"/>
    <w:rsid w:val="33C543BD"/>
    <w:rsid w:val="33CB12A8"/>
    <w:rsid w:val="33D978D8"/>
    <w:rsid w:val="33DB773D"/>
    <w:rsid w:val="33DC7FB8"/>
    <w:rsid w:val="33DE6617"/>
    <w:rsid w:val="33DF683E"/>
    <w:rsid w:val="33E0173B"/>
    <w:rsid w:val="33E650AE"/>
    <w:rsid w:val="33F24A86"/>
    <w:rsid w:val="33F70F2E"/>
    <w:rsid w:val="34012F1B"/>
    <w:rsid w:val="34044EE1"/>
    <w:rsid w:val="34222A8F"/>
    <w:rsid w:val="3429678E"/>
    <w:rsid w:val="34327BD1"/>
    <w:rsid w:val="343914B9"/>
    <w:rsid w:val="343A5BB7"/>
    <w:rsid w:val="343E348D"/>
    <w:rsid w:val="34401C96"/>
    <w:rsid w:val="344057F2"/>
    <w:rsid w:val="344828F8"/>
    <w:rsid w:val="344A2B14"/>
    <w:rsid w:val="345272CC"/>
    <w:rsid w:val="346C157F"/>
    <w:rsid w:val="346C65E7"/>
    <w:rsid w:val="347118D6"/>
    <w:rsid w:val="34745154"/>
    <w:rsid w:val="34790D04"/>
    <w:rsid w:val="347F27BE"/>
    <w:rsid w:val="348659E8"/>
    <w:rsid w:val="34873421"/>
    <w:rsid w:val="348F22D5"/>
    <w:rsid w:val="34945B3E"/>
    <w:rsid w:val="349C7268"/>
    <w:rsid w:val="34A90091"/>
    <w:rsid w:val="34B14942"/>
    <w:rsid w:val="34B54432"/>
    <w:rsid w:val="34B561E0"/>
    <w:rsid w:val="34C44675"/>
    <w:rsid w:val="34CD152A"/>
    <w:rsid w:val="34D32B0A"/>
    <w:rsid w:val="34D348B8"/>
    <w:rsid w:val="34DB376C"/>
    <w:rsid w:val="34E00D83"/>
    <w:rsid w:val="35045A0E"/>
    <w:rsid w:val="3509078D"/>
    <w:rsid w:val="351B5A9A"/>
    <w:rsid w:val="351C000D"/>
    <w:rsid w:val="35226B97"/>
    <w:rsid w:val="3529272A"/>
    <w:rsid w:val="352929B7"/>
    <w:rsid w:val="35316D9D"/>
    <w:rsid w:val="353E4427"/>
    <w:rsid w:val="3542559A"/>
    <w:rsid w:val="35463B02"/>
    <w:rsid w:val="354F53E6"/>
    <w:rsid w:val="35536DF7"/>
    <w:rsid w:val="355B06F6"/>
    <w:rsid w:val="355F547E"/>
    <w:rsid w:val="355F614C"/>
    <w:rsid w:val="356244AB"/>
    <w:rsid w:val="35661288"/>
    <w:rsid w:val="35683252"/>
    <w:rsid w:val="356D0868"/>
    <w:rsid w:val="356D7BD8"/>
    <w:rsid w:val="3574290A"/>
    <w:rsid w:val="3576787D"/>
    <w:rsid w:val="35777890"/>
    <w:rsid w:val="357C4F4F"/>
    <w:rsid w:val="357E2A76"/>
    <w:rsid w:val="35822A7B"/>
    <w:rsid w:val="35831E3A"/>
    <w:rsid w:val="35860AB3"/>
    <w:rsid w:val="358F2172"/>
    <w:rsid w:val="35926521"/>
    <w:rsid w:val="359C1600"/>
    <w:rsid w:val="359F29EC"/>
    <w:rsid w:val="35A26038"/>
    <w:rsid w:val="35B00755"/>
    <w:rsid w:val="35B77D36"/>
    <w:rsid w:val="35BC17F0"/>
    <w:rsid w:val="35D00DF7"/>
    <w:rsid w:val="35DE51FE"/>
    <w:rsid w:val="35E825E5"/>
    <w:rsid w:val="35E84393"/>
    <w:rsid w:val="35F03248"/>
    <w:rsid w:val="35FE5964"/>
    <w:rsid w:val="36080F78"/>
    <w:rsid w:val="360F3492"/>
    <w:rsid w:val="361D67BA"/>
    <w:rsid w:val="36237179"/>
    <w:rsid w:val="362B4280"/>
    <w:rsid w:val="36305ADF"/>
    <w:rsid w:val="363650FE"/>
    <w:rsid w:val="36455341"/>
    <w:rsid w:val="36482DCF"/>
    <w:rsid w:val="36484E32"/>
    <w:rsid w:val="3655578F"/>
    <w:rsid w:val="365D2637"/>
    <w:rsid w:val="366A3037"/>
    <w:rsid w:val="366A4DA8"/>
    <w:rsid w:val="366C6D72"/>
    <w:rsid w:val="3679148F"/>
    <w:rsid w:val="367A601A"/>
    <w:rsid w:val="36831922"/>
    <w:rsid w:val="36857E34"/>
    <w:rsid w:val="36910D79"/>
    <w:rsid w:val="3693059A"/>
    <w:rsid w:val="3699743B"/>
    <w:rsid w:val="369B1405"/>
    <w:rsid w:val="36A77DAA"/>
    <w:rsid w:val="36B14987"/>
    <w:rsid w:val="36B32DAA"/>
    <w:rsid w:val="36B82DCF"/>
    <w:rsid w:val="36C26992"/>
    <w:rsid w:val="36C721FA"/>
    <w:rsid w:val="36DE6436"/>
    <w:rsid w:val="36DF7544"/>
    <w:rsid w:val="36EC1C61"/>
    <w:rsid w:val="36F62AE0"/>
    <w:rsid w:val="3700570C"/>
    <w:rsid w:val="37041678"/>
    <w:rsid w:val="371B152F"/>
    <w:rsid w:val="371D0453"/>
    <w:rsid w:val="372F6B56"/>
    <w:rsid w:val="37330D1A"/>
    <w:rsid w:val="373D426B"/>
    <w:rsid w:val="374D518B"/>
    <w:rsid w:val="374E4340"/>
    <w:rsid w:val="374F192F"/>
    <w:rsid w:val="375948E2"/>
    <w:rsid w:val="37643EED"/>
    <w:rsid w:val="376637C1"/>
    <w:rsid w:val="3769307D"/>
    <w:rsid w:val="37696758"/>
    <w:rsid w:val="376D2DA2"/>
    <w:rsid w:val="37704640"/>
    <w:rsid w:val="377213AD"/>
    <w:rsid w:val="37740064"/>
    <w:rsid w:val="3776178F"/>
    <w:rsid w:val="377B62C7"/>
    <w:rsid w:val="378B18CB"/>
    <w:rsid w:val="379245B6"/>
    <w:rsid w:val="37B2016F"/>
    <w:rsid w:val="37B54749"/>
    <w:rsid w:val="37B704C1"/>
    <w:rsid w:val="37C91FA2"/>
    <w:rsid w:val="37CD1741"/>
    <w:rsid w:val="37EC6068"/>
    <w:rsid w:val="37ED542F"/>
    <w:rsid w:val="37F039D3"/>
    <w:rsid w:val="37F25D7B"/>
    <w:rsid w:val="37F73D84"/>
    <w:rsid w:val="37FB656A"/>
    <w:rsid w:val="38004C92"/>
    <w:rsid w:val="38052457"/>
    <w:rsid w:val="380F5C07"/>
    <w:rsid w:val="38163439"/>
    <w:rsid w:val="381652B1"/>
    <w:rsid w:val="381E22EE"/>
    <w:rsid w:val="38284F1B"/>
    <w:rsid w:val="383733B0"/>
    <w:rsid w:val="38390ED6"/>
    <w:rsid w:val="38413418"/>
    <w:rsid w:val="38494CA3"/>
    <w:rsid w:val="384B29B7"/>
    <w:rsid w:val="38577518"/>
    <w:rsid w:val="38607EF6"/>
    <w:rsid w:val="387A39BB"/>
    <w:rsid w:val="3880357D"/>
    <w:rsid w:val="38885410"/>
    <w:rsid w:val="3889649E"/>
    <w:rsid w:val="388C7258"/>
    <w:rsid w:val="389E6F8B"/>
    <w:rsid w:val="38A87E0A"/>
    <w:rsid w:val="38AC5B60"/>
    <w:rsid w:val="38B247E4"/>
    <w:rsid w:val="38BB5C9B"/>
    <w:rsid w:val="38C509BB"/>
    <w:rsid w:val="38C83D60"/>
    <w:rsid w:val="38CF5A84"/>
    <w:rsid w:val="38D1110E"/>
    <w:rsid w:val="38DF2E09"/>
    <w:rsid w:val="38E56968"/>
    <w:rsid w:val="38E8461F"/>
    <w:rsid w:val="38E946AA"/>
    <w:rsid w:val="38EA0422"/>
    <w:rsid w:val="38ED180F"/>
    <w:rsid w:val="38F1355F"/>
    <w:rsid w:val="38F848ED"/>
    <w:rsid w:val="38FB618B"/>
    <w:rsid w:val="38FC2ADD"/>
    <w:rsid w:val="38FE3030"/>
    <w:rsid w:val="38FF4281"/>
    <w:rsid w:val="39111E53"/>
    <w:rsid w:val="391D07F7"/>
    <w:rsid w:val="39243934"/>
    <w:rsid w:val="392751D2"/>
    <w:rsid w:val="392A6025"/>
    <w:rsid w:val="392F39E2"/>
    <w:rsid w:val="39477F91"/>
    <w:rsid w:val="394A138B"/>
    <w:rsid w:val="39553AED"/>
    <w:rsid w:val="395A7356"/>
    <w:rsid w:val="395E45F3"/>
    <w:rsid w:val="395F496C"/>
    <w:rsid w:val="39614F75"/>
    <w:rsid w:val="396B55E6"/>
    <w:rsid w:val="396E792A"/>
    <w:rsid w:val="39706B79"/>
    <w:rsid w:val="39726FB1"/>
    <w:rsid w:val="397321C6"/>
    <w:rsid w:val="39751F90"/>
    <w:rsid w:val="39755342"/>
    <w:rsid w:val="397848C0"/>
    <w:rsid w:val="3984443A"/>
    <w:rsid w:val="398B39B3"/>
    <w:rsid w:val="399A59A4"/>
    <w:rsid w:val="39A113AE"/>
    <w:rsid w:val="39A71E6F"/>
    <w:rsid w:val="39A8381C"/>
    <w:rsid w:val="39AB195F"/>
    <w:rsid w:val="39B0341A"/>
    <w:rsid w:val="39B369AA"/>
    <w:rsid w:val="39BF18AF"/>
    <w:rsid w:val="39C243C8"/>
    <w:rsid w:val="39C24EFB"/>
    <w:rsid w:val="39D07618"/>
    <w:rsid w:val="39D30EB6"/>
    <w:rsid w:val="39D367DE"/>
    <w:rsid w:val="39D569DC"/>
    <w:rsid w:val="39D864CC"/>
    <w:rsid w:val="39E41315"/>
    <w:rsid w:val="39F27F9B"/>
    <w:rsid w:val="39F72DF7"/>
    <w:rsid w:val="39F834EC"/>
    <w:rsid w:val="39FA7573"/>
    <w:rsid w:val="39FC040D"/>
    <w:rsid w:val="39FE4185"/>
    <w:rsid w:val="3A03179B"/>
    <w:rsid w:val="3A085004"/>
    <w:rsid w:val="3A0B0650"/>
    <w:rsid w:val="3A10210A"/>
    <w:rsid w:val="3A1439A9"/>
    <w:rsid w:val="3A1514CF"/>
    <w:rsid w:val="3A18721C"/>
    <w:rsid w:val="3A1A0AD2"/>
    <w:rsid w:val="3A1E4827"/>
    <w:rsid w:val="3A2145B2"/>
    <w:rsid w:val="3A2160C5"/>
    <w:rsid w:val="3A224472"/>
    <w:rsid w:val="3A2636DC"/>
    <w:rsid w:val="3A296D8E"/>
    <w:rsid w:val="3A3419FD"/>
    <w:rsid w:val="3A345DF9"/>
    <w:rsid w:val="3A3F110D"/>
    <w:rsid w:val="3A4E133A"/>
    <w:rsid w:val="3A4F7911"/>
    <w:rsid w:val="3A782ECA"/>
    <w:rsid w:val="3A7B57D6"/>
    <w:rsid w:val="3A856654"/>
    <w:rsid w:val="3A86417A"/>
    <w:rsid w:val="3A9547EB"/>
    <w:rsid w:val="3AA0523C"/>
    <w:rsid w:val="3AA30888"/>
    <w:rsid w:val="3AA71638"/>
    <w:rsid w:val="3AA82343"/>
    <w:rsid w:val="3AAC3670"/>
    <w:rsid w:val="3AB01662"/>
    <w:rsid w:val="3AB7306C"/>
    <w:rsid w:val="3AC352C7"/>
    <w:rsid w:val="3ACA4067"/>
    <w:rsid w:val="3ACE7439"/>
    <w:rsid w:val="3AD153F6"/>
    <w:rsid w:val="3AD46C94"/>
    <w:rsid w:val="3ADE7F3E"/>
    <w:rsid w:val="3AE74C19"/>
    <w:rsid w:val="3AEC222F"/>
    <w:rsid w:val="3AEF1D20"/>
    <w:rsid w:val="3AF42518"/>
    <w:rsid w:val="3AF80793"/>
    <w:rsid w:val="3B077069"/>
    <w:rsid w:val="3B082DE1"/>
    <w:rsid w:val="3B0A4DAB"/>
    <w:rsid w:val="3B0C646F"/>
    <w:rsid w:val="3B135AA1"/>
    <w:rsid w:val="3B183085"/>
    <w:rsid w:val="3B190B4B"/>
    <w:rsid w:val="3B1A4621"/>
    <w:rsid w:val="3B20012B"/>
    <w:rsid w:val="3B247C1B"/>
    <w:rsid w:val="3B27770B"/>
    <w:rsid w:val="3B2A2D58"/>
    <w:rsid w:val="3B351E28"/>
    <w:rsid w:val="3B40257B"/>
    <w:rsid w:val="3B4C6A77"/>
    <w:rsid w:val="3B5132D1"/>
    <w:rsid w:val="3B5A363D"/>
    <w:rsid w:val="3B5D1512"/>
    <w:rsid w:val="3B5F239B"/>
    <w:rsid w:val="3B60677A"/>
    <w:rsid w:val="3B653D90"/>
    <w:rsid w:val="3B660234"/>
    <w:rsid w:val="3B846620"/>
    <w:rsid w:val="3B8A37F6"/>
    <w:rsid w:val="3B8C62F6"/>
    <w:rsid w:val="3B8D2B96"/>
    <w:rsid w:val="3B986459"/>
    <w:rsid w:val="3B9B1A0D"/>
    <w:rsid w:val="3BA07C42"/>
    <w:rsid w:val="3BA411D2"/>
    <w:rsid w:val="3BB371F1"/>
    <w:rsid w:val="3BB92813"/>
    <w:rsid w:val="3BC96A15"/>
    <w:rsid w:val="3BD3519D"/>
    <w:rsid w:val="3BD82D4E"/>
    <w:rsid w:val="3BDC4A2D"/>
    <w:rsid w:val="3BDD426E"/>
    <w:rsid w:val="3BE42ACC"/>
    <w:rsid w:val="3BE63123"/>
    <w:rsid w:val="3BEE1FD7"/>
    <w:rsid w:val="3C06037B"/>
    <w:rsid w:val="3C074E47"/>
    <w:rsid w:val="3C0B77AA"/>
    <w:rsid w:val="3C131A3E"/>
    <w:rsid w:val="3C1713BA"/>
    <w:rsid w:val="3C1C7C06"/>
    <w:rsid w:val="3C225E7B"/>
    <w:rsid w:val="3C260672"/>
    <w:rsid w:val="3C2B6D87"/>
    <w:rsid w:val="3C311064"/>
    <w:rsid w:val="3C341610"/>
    <w:rsid w:val="3C483F09"/>
    <w:rsid w:val="3C485B8B"/>
    <w:rsid w:val="3C5F4C83"/>
    <w:rsid w:val="3C6B3628"/>
    <w:rsid w:val="3C6D0F47"/>
    <w:rsid w:val="3C743EF6"/>
    <w:rsid w:val="3C7544A7"/>
    <w:rsid w:val="3C7E3727"/>
    <w:rsid w:val="3C8666B4"/>
    <w:rsid w:val="3C9613C2"/>
    <w:rsid w:val="3C9708C1"/>
    <w:rsid w:val="3C9C5ED7"/>
    <w:rsid w:val="3C9F160C"/>
    <w:rsid w:val="3CA1529C"/>
    <w:rsid w:val="3CA52FDE"/>
    <w:rsid w:val="3CAA02A2"/>
    <w:rsid w:val="3CAD3C40"/>
    <w:rsid w:val="3CB23005"/>
    <w:rsid w:val="3CBA010B"/>
    <w:rsid w:val="3CBC3E83"/>
    <w:rsid w:val="3CC176EC"/>
    <w:rsid w:val="3CC823F0"/>
    <w:rsid w:val="3CCF4006"/>
    <w:rsid w:val="3CD236A7"/>
    <w:rsid w:val="3CD76F0F"/>
    <w:rsid w:val="3CD967E3"/>
    <w:rsid w:val="3CDE029E"/>
    <w:rsid w:val="3CDF790F"/>
    <w:rsid w:val="3CE46A9A"/>
    <w:rsid w:val="3CE8111C"/>
    <w:rsid w:val="3CEF7AE9"/>
    <w:rsid w:val="3D087A07"/>
    <w:rsid w:val="3D0A1093"/>
    <w:rsid w:val="3D0D04B9"/>
    <w:rsid w:val="3D131155"/>
    <w:rsid w:val="3D1D2B74"/>
    <w:rsid w:val="3D264B73"/>
    <w:rsid w:val="3D2832C7"/>
    <w:rsid w:val="3D29776B"/>
    <w:rsid w:val="3D3C3A4D"/>
    <w:rsid w:val="3D406863"/>
    <w:rsid w:val="3D411665"/>
    <w:rsid w:val="3D475E43"/>
    <w:rsid w:val="3D477BF1"/>
    <w:rsid w:val="3D4A3C1A"/>
    <w:rsid w:val="3D5347E8"/>
    <w:rsid w:val="3D594F2A"/>
    <w:rsid w:val="3D6764E5"/>
    <w:rsid w:val="3D6C13BD"/>
    <w:rsid w:val="3D6D517E"/>
    <w:rsid w:val="3D7309E6"/>
    <w:rsid w:val="3D837DB9"/>
    <w:rsid w:val="3D845617"/>
    <w:rsid w:val="3D8B14FA"/>
    <w:rsid w:val="3D8B73CB"/>
    <w:rsid w:val="3D8B7F98"/>
    <w:rsid w:val="3DBA6615"/>
    <w:rsid w:val="3DBA6A6E"/>
    <w:rsid w:val="3DBB3367"/>
    <w:rsid w:val="3DC254CA"/>
    <w:rsid w:val="3DCE0312"/>
    <w:rsid w:val="3DD029BD"/>
    <w:rsid w:val="3DD27E02"/>
    <w:rsid w:val="3DD516A1"/>
    <w:rsid w:val="3DDF7E2A"/>
    <w:rsid w:val="3DE02363"/>
    <w:rsid w:val="3DE659D4"/>
    <w:rsid w:val="3DE713D4"/>
    <w:rsid w:val="3DEC6C89"/>
    <w:rsid w:val="3DED69EA"/>
    <w:rsid w:val="3DF24001"/>
    <w:rsid w:val="3DF3207A"/>
    <w:rsid w:val="3DFD520C"/>
    <w:rsid w:val="3E016C29"/>
    <w:rsid w:val="3E0910AD"/>
    <w:rsid w:val="3E106F2A"/>
    <w:rsid w:val="3E261EFC"/>
    <w:rsid w:val="3E2B3311"/>
    <w:rsid w:val="3E2E0DB1"/>
    <w:rsid w:val="3E32264F"/>
    <w:rsid w:val="3E3839DE"/>
    <w:rsid w:val="3E442382"/>
    <w:rsid w:val="3E4F6028"/>
    <w:rsid w:val="3E562276"/>
    <w:rsid w:val="3E590167"/>
    <w:rsid w:val="3E5A3954"/>
    <w:rsid w:val="3E6D6F57"/>
    <w:rsid w:val="3E6E73FF"/>
    <w:rsid w:val="3E7013C9"/>
    <w:rsid w:val="3E703177"/>
    <w:rsid w:val="3E741759"/>
    <w:rsid w:val="3E7A3FF6"/>
    <w:rsid w:val="3E870DB8"/>
    <w:rsid w:val="3E9407C1"/>
    <w:rsid w:val="3E9C1E20"/>
    <w:rsid w:val="3EA00392"/>
    <w:rsid w:val="3EA03AD6"/>
    <w:rsid w:val="3EAF1EF2"/>
    <w:rsid w:val="3EB219E2"/>
    <w:rsid w:val="3EB87B00"/>
    <w:rsid w:val="3EBB0897"/>
    <w:rsid w:val="3EC51715"/>
    <w:rsid w:val="3EC6723B"/>
    <w:rsid w:val="3ECE64A6"/>
    <w:rsid w:val="3ED03C16"/>
    <w:rsid w:val="3ED100BA"/>
    <w:rsid w:val="3ED453F1"/>
    <w:rsid w:val="3EDE4585"/>
    <w:rsid w:val="3EE33949"/>
    <w:rsid w:val="3EE651E8"/>
    <w:rsid w:val="3EF45B57"/>
    <w:rsid w:val="3EF54881"/>
    <w:rsid w:val="3EFC1464"/>
    <w:rsid w:val="3EFC5C91"/>
    <w:rsid w:val="3F003435"/>
    <w:rsid w:val="3F18409A"/>
    <w:rsid w:val="3F1B1335"/>
    <w:rsid w:val="3F20694C"/>
    <w:rsid w:val="3F220916"/>
    <w:rsid w:val="3F2521B4"/>
    <w:rsid w:val="3F2546D7"/>
    <w:rsid w:val="3F3A5823"/>
    <w:rsid w:val="3F3B4E99"/>
    <w:rsid w:val="3F3B5E18"/>
    <w:rsid w:val="3F47037C"/>
    <w:rsid w:val="3F487C50"/>
    <w:rsid w:val="3F4C5993"/>
    <w:rsid w:val="3F542A99"/>
    <w:rsid w:val="3F544847"/>
    <w:rsid w:val="3F5471F2"/>
    <w:rsid w:val="3F67457A"/>
    <w:rsid w:val="3F676329"/>
    <w:rsid w:val="3F731171"/>
    <w:rsid w:val="3F8844F1"/>
    <w:rsid w:val="3F9663F7"/>
    <w:rsid w:val="3FA27361"/>
    <w:rsid w:val="3FAC4683"/>
    <w:rsid w:val="3FB13A48"/>
    <w:rsid w:val="3FB2485B"/>
    <w:rsid w:val="3FBE7F13"/>
    <w:rsid w:val="3FC00805"/>
    <w:rsid w:val="3FC53189"/>
    <w:rsid w:val="3FC8246F"/>
    <w:rsid w:val="3FCF7560"/>
    <w:rsid w:val="3FD80FD4"/>
    <w:rsid w:val="3FDC055E"/>
    <w:rsid w:val="3FEC0896"/>
    <w:rsid w:val="3FF51B86"/>
    <w:rsid w:val="3FF90202"/>
    <w:rsid w:val="40026051"/>
    <w:rsid w:val="40132A12"/>
    <w:rsid w:val="40153FD6"/>
    <w:rsid w:val="40161AFD"/>
    <w:rsid w:val="40175FA1"/>
    <w:rsid w:val="4024421A"/>
    <w:rsid w:val="40277D6E"/>
    <w:rsid w:val="40321FEF"/>
    <w:rsid w:val="403527CB"/>
    <w:rsid w:val="40384169"/>
    <w:rsid w:val="403A27FA"/>
    <w:rsid w:val="404423CD"/>
    <w:rsid w:val="404B17A6"/>
    <w:rsid w:val="404D4928"/>
    <w:rsid w:val="4050500F"/>
    <w:rsid w:val="40520D87"/>
    <w:rsid w:val="4057639D"/>
    <w:rsid w:val="40624D42"/>
    <w:rsid w:val="406805AA"/>
    <w:rsid w:val="40694322"/>
    <w:rsid w:val="406960D0"/>
    <w:rsid w:val="406D3E12"/>
    <w:rsid w:val="407634E7"/>
    <w:rsid w:val="408178BE"/>
    <w:rsid w:val="40890521"/>
    <w:rsid w:val="408B146A"/>
    <w:rsid w:val="40904C84"/>
    <w:rsid w:val="40956EC5"/>
    <w:rsid w:val="409F7D44"/>
    <w:rsid w:val="40AA6712"/>
    <w:rsid w:val="40AF01C1"/>
    <w:rsid w:val="40B25A67"/>
    <w:rsid w:val="40B42BB0"/>
    <w:rsid w:val="40BD2F41"/>
    <w:rsid w:val="40C253FA"/>
    <w:rsid w:val="40CA6103"/>
    <w:rsid w:val="40CD2B03"/>
    <w:rsid w:val="40D20119"/>
    <w:rsid w:val="40D479EE"/>
    <w:rsid w:val="40DE093D"/>
    <w:rsid w:val="40E439A9"/>
    <w:rsid w:val="40ED6D01"/>
    <w:rsid w:val="40EF2A79"/>
    <w:rsid w:val="40EF38BE"/>
    <w:rsid w:val="40EF5018"/>
    <w:rsid w:val="40F40FF2"/>
    <w:rsid w:val="40F50077"/>
    <w:rsid w:val="40F54AB3"/>
    <w:rsid w:val="40F6130A"/>
    <w:rsid w:val="41054F8D"/>
    <w:rsid w:val="410F6C78"/>
    <w:rsid w:val="41166258"/>
    <w:rsid w:val="411B085E"/>
    <w:rsid w:val="411E510D"/>
    <w:rsid w:val="411E6EBB"/>
    <w:rsid w:val="41201FA8"/>
    <w:rsid w:val="41216F01"/>
    <w:rsid w:val="41246325"/>
    <w:rsid w:val="412F731A"/>
    <w:rsid w:val="41326729"/>
    <w:rsid w:val="413C5593"/>
    <w:rsid w:val="413D1A37"/>
    <w:rsid w:val="4140047A"/>
    <w:rsid w:val="414F3518"/>
    <w:rsid w:val="415C62D2"/>
    <w:rsid w:val="41656898"/>
    <w:rsid w:val="417279ED"/>
    <w:rsid w:val="41760AA5"/>
    <w:rsid w:val="417778C7"/>
    <w:rsid w:val="41870F04"/>
    <w:rsid w:val="418D5DEE"/>
    <w:rsid w:val="418F0497"/>
    <w:rsid w:val="41972ED8"/>
    <w:rsid w:val="419D0727"/>
    <w:rsid w:val="41A03D74"/>
    <w:rsid w:val="41A0747D"/>
    <w:rsid w:val="41A82C28"/>
    <w:rsid w:val="41A86E3C"/>
    <w:rsid w:val="41BC13A3"/>
    <w:rsid w:val="41BD2B78"/>
    <w:rsid w:val="41D91034"/>
    <w:rsid w:val="41DE70F8"/>
    <w:rsid w:val="41F1637D"/>
    <w:rsid w:val="41FE719C"/>
    <w:rsid w:val="42057202"/>
    <w:rsid w:val="42091919"/>
    <w:rsid w:val="421107CE"/>
    <w:rsid w:val="421B33FA"/>
    <w:rsid w:val="421C6050"/>
    <w:rsid w:val="421C7C97"/>
    <w:rsid w:val="421F2635"/>
    <w:rsid w:val="422624CB"/>
    <w:rsid w:val="42280A27"/>
    <w:rsid w:val="422D312C"/>
    <w:rsid w:val="42404D69"/>
    <w:rsid w:val="42441DE5"/>
    <w:rsid w:val="424741EF"/>
    <w:rsid w:val="42521512"/>
    <w:rsid w:val="42563BDC"/>
    <w:rsid w:val="42644DA1"/>
    <w:rsid w:val="42731488"/>
    <w:rsid w:val="42927B60"/>
    <w:rsid w:val="42982C9D"/>
    <w:rsid w:val="42A67168"/>
    <w:rsid w:val="42AF1A05"/>
    <w:rsid w:val="42B1553B"/>
    <w:rsid w:val="42BC4BDD"/>
    <w:rsid w:val="42CC5680"/>
    <w:rsid w:val="42D00689"/>
    <w:rsid w:val="42D515CF"/>
    <w:rsid w:val="42DC4BDC"/>
    <w:rsid w:val="42DC702D"/>
    <w:rsid w:val="42E63A08"/>
    <w:rsid w:val="42F03D14"/>
    <w:rsid w:val="42FE51F6"/>
    <w:rsid w:val="42FF1DAA"/>
    <w:rsid w:val="430976F7"/>
    <w:rsid w:val="43122A4F"/>
    <w:rsid w:val="431A1904"/>
    <w:rsid w:val="431E7646"/>
    <w:rsid w:val="43217923"/>
    <w:rsid w:val="432F03B5"/>
    <w:rsid w:val="43364990"/>
    <w:rsid w:val="433F56DD"/>
    <w:rsid w:val="436D5ED7"/>
    <w:rsid w:val="436E31AC"/>
    <w:rsid w:val="436F1C50"/>
    <w:rsid w:val="43721740"/>
    <w:rsid w:val="437A6D15"/>
    <w:rsid w:val="437B6C72"/>
    <w:rsid w:val="437D05D2"/>
    <w:rsid w:val="43827BD5"/>
    <w:rsid w:val="43853B38"/>
    <w:rsid w:val="43A01E09"/>
    <w:rsid w:val="43A5256D"/>
    <w:rsid w:val="43AE4585"/>
    <w:rsid w:val="43B35FE0"/>
    <w:rsid w:val="43B64109"/>
    <w:rsid w:val="43B6787E"/>
    <w:rsid w:val="43CD7F80"/>
    <w:rsid w:val="43D31ACB"/>
    <w:rsid w:val="43D63A7D"/>
    <w:rsid w:val="43DB5537"/>
    <w:rsid w:val="43E53CC0"/>
    <w:rsid w:val="43F4581C"/>
    <w:rsid w:val="440004EA"/>
    <w:rsid w:val="44056110"/>
    <w:rsid w:val="440E2C9F"/>
    <w:rsid w:val="441A6054"/>
    <w:rsid w:val="441A7E0D"/>
    <w:rsid w:val="441E71D2"/>
    <w:rsid w:val="44240C8C"/>
    <w:rsid w:val="4436276D"/>
    <w:rsid w:val="44407D6F"/>
    <w:rsid w:val="44453DDE"/>
    <w:rsid w:val="44472BCC"/>
    <w:rsid w:val="44510F47"/>
    <w:rsid w:val="44562E10"/>
    <w:rsid w:val="44641089"/>
    <w:rsid w:val="446A4964"/>
    <w:rsid w:val="44732A44"/>
    <w:rsid w:val="447D214A"/>
    <w:rsid w:val="447D3666"/>
    <w:rsid w:val="44906321"/>
    <w:rsid w:val="4493196E"/>
    <w:rsid w:val="449364C6"/>
    <w:rsid w:val="44976953"/>
    <w:rsid w:val="449D0A3E"/>
    <w:rsid w:val="44AB3F1B"/>
    <w:rsid w:val="44AD6ED3"/>
    <w:rsid w:val="44B147E4"/>
    <w:rsid w:val="44B519FC"/>
    <w:rsid w:val="44BD69EB"/>
    <w:rsid w:val="44C06C97"/>
    <w:rsid w:val="44C23FED"/>
    <w:rsid w:val="44C7685F"/>
    <w:rsid w:val="44C86BBC"/>
    <w:rsid w:val="44CC6C2E"/>
    <w:rsid w:val="44CD30D2"/>
    <w:rsid w:val="44CF1EC3"/>
    <w:rsid w:val="44E124C2"/>
    <w:rsid w:val="44E4666D"/>
    <w:rsid w:val="44EA0053"/>
    <w:rsid w:val="44FD328B"/>
    <w:rsid w:val="45086862"/>
    <w:rsid w:val="451148C3"/>
    <w:rsid w:val="451F3201"/>
    <w:rsid w:val="451F76A5"/>
    <w:rsid w:val="45264590"/>
    <w:rsid w:val="45321187"/>
    <w:rsid w:val="453A628D"/>
    <w:rsid w:val="453B44DF"/>
    <w:rsid w:val="45432264"/>
    <w:rsid w:val="454F69A8"/>
    <w:rsid w:val="45513D03"/>
    <w:rsid w:val="455859C7"/>
    <w:rsid w:val="455B692F"/>
    <w:rsid w:val="455E18E0"/>
    <w:rsid w:val="456D4831"/>
    <w:rsid w:val="457076DD"/>
    <w:rsid w:val="45771178"/>
    <w:rsid w:val="457C7FE5"/>
    <w:rsid w:val="4584279D"/>
    <w:rsid w:val="4585533A"/>
    <w:rsid w:val="45857508"/>
    <w:rsid w:val="458C4D3B"/>
    <w:rsid w:val="4597364A"/>
    <w:rsid w:val="45992FB4"/>
    <w:rsid w:val="459F05AA"/>
    <w:rsid w:val="45A100BA"/>
    <w:rsid w:val="45A303DF"/>
    <w:rsid w:val="45A61C08"/>
    <w:rsid w:val="45A650BB"/>
    <w:rsid w:val="45A656D1"/>
    <w:rsid w:val="45B002FD"/>
    <w:rsid w:val="45B51AE2"/>
    <w:rsid w:val="45C142B9"/>
    <w:rsid w:val="45F60406"/>
    <w:rsid w:val="460348D1"/>
    <w:rsid w:val="460D4731"/>
    <w:rsid w:val="46144D30"/>
    <w:rsid w:val="461B0239"/>
    <w:rsid w:val="46274F88"/>
    <w:rsid w:val="463D1F4F"/>
    <w:rsid w:val="464C3684"/>
    <w:rsid w:val="464D7AD2"/>
    <w:rsid w:val="464F7B16"/>
    <w:rsid w:val="465A7938"/>
    <w:rsid w:val="46626AE8"/>
    <w:rsid w:val="466B0DF4"/>
    <w:rsid w:val="466C2476"/>
    <w:rsid w:val="46700145"/>
    <w:rsid w:val="46773743"/>
    <w:rsid w:val="467C0783"/>
    <w:rsid w:val="4685435B"/>
    <w:rsid w:val="468A6DA0"/>
    <w:rsid w:val="46916381"/>
    <w:rsid w:val="469A5235"/>
    <w:rsid w:val="46A41F6E"/>
    <w:rsid w:val="46A8558F"/>
    <w:rsid w:val="46AE2A8F"/>
    <w:rsid w:val="46B4262B"/>
    <w:rsid w:val="46B95009"/>
    <w:rsid w:val="46BA7113"/>
    <w:rsid w:val="46BB51AC"/>
    <w:rsid w:val="46BD0F24"/>
    <w:rsid w:val="46C202E8"/>
    <w:rsid w:val="46D02A05"/>
    <w:rsid w:val="46D53001"/>
    <w:rsid w:val="46D70238"/>
    <w:rsid w:val="46EC6103"/>
    <w:rsid w:val="46EF5C1B"/>
    <w:rsid w:val="46F522DA"/>
    <w:rsid w:val="46F813BD"/>
    <w:rsid w:val="46F92CE9"/>
    <w:rsid w:val="46FB1176"/>
    <w:rsid w:val="46FD7F43"/>
    <w:rsid w:val="47095F17"/>
    <w:rsid w:val="471548BC"/>
    <w:rsid w:val="47161613"/>
    <w:rsid w:val="47184149"/>
    <w:rsid w:val="471B4C11"/>
    <w:rsid w:val="471B7078"/>
    <w:rsid w:val="472236B7"/>
    <w:rsid w:val="47242D51"/>
    <w:rsid w:val="47307948"/>
    <w:rsid w:val="473445D6"/>
    <w:rsid w:val="473A3A0F"/>
    <w:rsid w:val="473F484F"/>
    <w:rsid w:val="473F5DDD"/>
    <w:rsid w:val="474D4056"/>
    <w:rsid w:val="475806E6"/>
    <w:rsid w:val="475A2C17"/>
    <w:rsid w:val="475B5617"/>
    <w:rsid w:val="475F022D"/>
    <w:rsid w:val="47606452"/>
    <w:rsid w:val="47730B93"/>
    <w:rsid w:val="477D3A8F"/>
    <w:rsid w:val="477F2E6D"/>
    <w:rsid w:val="478264F4"/>
    <w:rsid w:val="478D6B48"/>
    <w:rsid w:val="478F54C6"/>
    <w:rsid w:val="479E39FE"/>
    <w:rsid w:val="47C02A7A"/>
    <w:rsid w:val="47CB7671"/>
    <w:rsid w:val="47D76015"/>
    <w:rsid w:val="47D858BC"/>
    <w:rsid w:val="47E02ECA"/>
    <w:rsid w:val="47E32C0C"/>
    <w:rsid w:val="47EA7AF7"/>
    <w:rsid w:val="47F15329"/>
    <w:rsid w:val="47FD3CCE"/>
    <w:rsid w:val="480756B2"/>
    <w:rsid w:val="480C3F11"/>
    <w:rsid w:val="48345216"/>
    <w:rsid w:val="483B0352"/>
    <w:rsid w:val="483D2650"/>
    <w:rsid w:val="48403718"/>
    <w:rsid w:val="48482550"/>
    <w:rsid w:val="484F02A2"/>
    <w:rsid w:val="4856518C"/>
    <w:rsid w:val="48572264"/>
    <w:rsid w:val="485D651B"/>
    <w:rsid w:val="48610E04"/>
    <w:rsid w:val="48692167"/>
    <w:rsid w:val="486E6698"/>
    <w:rsid w:val="487B2E45"/>
    <w:rsid w:val="487D6BBD"/>
    <w:rsid w:val="488066AD"/>
    <w:rsid w:val="4882590A"/>
    <w:rsid w:val="488908B7"/>
    <w:rsid w:val="488F2D2F"/>
    <w:rsid w:val="489436E2"/>
    <w:rsid w:val="489F4D85"/>
    <w:rsid w:val="48AB62AA"/>
    <w:rsid w:val="48AE6D76"/>
    <w:rsid w:val="48B60321"/>
    <w:rsid w:val="48BF5427"/>
    <w:rsid w:val="48BF71D5"/>
    <w:rsid w:val="48C33945"/>
    <w:rsid w:val="48C742DC"/>
    <w:rsid w:val="48C77E38"/>
    <w:rsid w:val="48E72E7B"/>
    <w:rsid w:val="48E74AE4"/>
    <w:rsid w:val="48FC3F85"/>
    <w:rsid w:val="490007D6"/>
    <w:rsid w:val="49042E3A"/>
    <w:rsid w:val="4916491B"/>
    <w:rsid w:val="49170DBF"/>
    <w:rsid w:val="49172B6D"/>
    <w:rsid w:val="49177011"/>
    <w:rsid w:val="492E7EB7"/>
    <w:rsid w:val="493B1719"/>
    <w:rsid w:val="493C06FE"/>
    <w:rsid w:val="493F0316"/>
    <w:rsid w:val="49471745"/>
    <w:rsid w:val="494B7C12"/>
    <w:rsid w:val="495D035A"/>
    <w:rsid w:val="495E69EE"/>
    <w:rsid w:val="4966356E"/>
    <w:rsid w:val="4968786D"/>
    <w:rsid w:val="49777AB0"/>
    <w:rsid w:val="497A75A0"/>
    <w:rsid w:val="498B7EF7"/>
    <w:rsid w:val="499E010A"/>
    <w:rsid w:val="49A40179"/>
    <w:rsid w:val="49A72B99"/>
    <w:rsid w:val="49A73042"/>
    <w:rsid w:val="49AC7673"/>
    <w:rsid w:val="49B91E77"/>
    <w:rsid w:val="49BF1C34"/>
    <w:rsid w:val="49C425C9"/>
    <w:rsid w:val="49C820BA"/>
    <w:rsid w:val="49D40A5E"/>
    <w:rsid w:val="49DC5B65"/>
    <w:rsid w:val="49DF11B1"/>
    <w:rsid w:val="49E14F29"/>
    <w:rsid w:val="49E42354"/>
    <w:rsid w:val="49E62EDD"/>
    <w:rsid w:val="49EA0282"/>
    <w:rsid w:val="49EF60DA"/>
    <w:rsid w:val="49EF6290"/>
    <w:rsid w:val="49F92273"/>
    <w:rsid w:val="49FA4236"/>
    <w:rsid w:val="49FC7B4B"/>
    <w:rsid w:val="4A070E34"/>
    <w:rsid w:val="4A080708"/>
    <w:rsid w:val="4A0A21AD"/>
    <w:rsid w:val="4A127E8F"/>
    <w:rsid w:val="4A1464CD"/>
    <w:rsid w:val="4A1A0A2A"/>
    <w:rsid w:val="4A253068"/>
    <w:rsid w:val="4A282B58"/>
    <w:rsid w:val="4A2B23F8"/>
    <w:rsid w:val="4A2B43F6"/>
    <w:rsid w:val="4A301A0D"/>
    <w:rsid w:val="4A396B13"/>
    <w:rsid w:val="4A443E36"/>
    <w:rsid w:val="4A482B92"/>
    <w:rsid w:val="4A4852DA"/>
    <w:rsid w:val="4A5036A9"/>
    <w:rsid w:val="4A58168F"/>
    <w:rsid w:val="4A590F64"/>
    <w:rsid w:val="4A677E6C"/>
    <w:rsid w:val="4A745D9D"/>
    <w:rsid w:val="4A790390"/>
    <w:rsid w:val="4A804742"/>
    <w:rsid w:val="4A8C2646"/>
    <w:rsid w:val="4A8C758B"/>
    <w:rsid w:val="4A971507"/>
    <w:rsid w:val="4A981A8C"/>
    <w:rsid w:val="4A9D0AE1"/>
    <w:rsid w:val="4AB4050D"/>
    <w:rsid w:val="4ABA2289"/>
    <w:rsid w:val="4AC26B09"/>
    <w:rsid w:val="4AC65044"/>
    <w:rsid w:val="4AC72371"/>
    <w:rsid w:val="4ACB00B3"/>
    <w:rsid w:val="4AD134FA"/>
    <w:rsid w:val="4AD66A58"/>
    <w:rsid w:val="4AD827D0"/>
    <w:rsid w:val="4AD93E52"/>
    <w:rsid w:val="4ADB406F"/>
    <w:rsid w:val="4ADB5E1D"/>
    <w:rsid w:val="4ADB6DED"/>
    <w:rsid w:val="4ADF76BB"/>
    <w:rsid w:val="4AEB42B2"/>
    <w:rsid w:val="4AEE089B"/>
    <w:rsid w:val="4AF62C56"/>
    <w:rsid w:val="4AF64A04"/>
    <w:rsid w:val="4AFC26D1"/>
    <w:rsid w:val="4AFF1B0B"/>
    <w:rsid w:val="4B012BCC"/>
    <w:rsid w:val="4B090BDC"/>
    <w:rsid w:val="4B0A6E5A"/>
    <w:rsid w:val="4B0A7E05"/>
    <w:rsid w:val="4B0E61F2"/>
    <w:rsid w:val="4B173C3F"/>
    <w:rsid w:val="4B191858"/>
    <w:rsid w:val="4B2772B4"/>
    <w:rsid w:val="4B277BE5"/>
    <w:rsid w:val="4B2B0B52"/>
    <w:rsid w:val="4B2C0426"/>
    <w:rsid w:val="4B3612A5"/>
    <w:rsid w:val="4B3814C1"/>
    <w:rsid w:val="4B427C4A"/>
    <w:rsid w:val="4B553E21"/>
    <w:rsid w:val="4B5C0D0B"/>
    <w:rsid w:val="4B653787"/>
    <w:rsid w:val="4B6A4622"/>
    <w:rsid w:val="4B6C6A23"/>
    <w:rsid w:val="4B6E0650"/>
    <w:rsid w:val="4B8875F9"/>
    <w:rsid w:val="4B923BDF"/>
    <w:rsid w:val="4B944949"/>
    <w:rsid w:val="4B9506C1"/>
    <w:rsid w:val="4B9B0CDC"/>
    <w:rsid w:val="4BAD77B9"/>
    <w:rsid w:val="4BBC17AA"/>
    <w:rsid w:val="4BC95350"/>
    <w:rsid w:val="4BCA036B"/>
    <w:rsid w:val="4BCD1C09"/>
    <w:rsid w:val="4BCE772F"/>
    <w:rsid w:val="4BD42F98"/>
    <w:rsid w:val="4BD96800"/>
    <w:rsid w:val="4BDC3BFA"/>
    <w:rsid w:val="4BE5595B"/>
    <w:rsid w:val="4BE64B3B"/>
    <w:rsid w:val="4BE807F1"/>
    <w:rsid w:val="4BE81513"/>
    <w:rsid w:val="4BEB02E1"/>
    <w:rsid w:val="4BFA29E5"/>
    <w:rsid w:val="4C0D0258"/>
    <w:rsid w:val="4C0D2006"/>
    <w:rsid w:val="4C196BFC"/>
    <w:rsid w:val="4C1A4723"/>
    <w:rsid w:val="4C254AB6"/>
    <w:rsid w:val="4C2555A1"/>
    <w:rsid w:val="4C284FED"/>
    <w:rsid w:val="4C2A705C"/>
    <w:rsid w:val="4C3677AE"/>
    <w:rsid w:val="4C3B4DC5"/>
    <w:rsid w:val="4C3D5259"/>
    <w:rsid w:val="4C560F29"/>
    <w:rsid w:val="4C5B5467"/>
    <w:rsid w:val="4C642CA9"/>
    <w:rsid w:val="4C664389"/>
    <w:rsid w:val="4C667968"/>
    <w:rsid w:val="4C6B4F7E"/>
    <w:rsid w:val="4C6F335A"/>
    <w:rsid w:val="4C6F4A6E"/>
    <w:rsid w:val="4C765DFD"/>
    <w:rsid w:val="4C7B1665"/>
    <w:rsid w:val="4C7D6D69"/>
    <w:rsid w:val="4C8A2925"/>
    <w:rsid w:val="4C8E4612"/>
    <w:rsid w:val="4C955D00"/>
    <w:rsid w:val="4C96791F"/>
    <w:rsid w:val="4C972C2F"/>
    <w:rsid w:val="4C995F8F"/>
    <w:rsid w:val="4C9A58C3"/>
    <w:rsid w:val="4C9B3AB5"/>
    <w:rsid w:val="4C9F200D"/>
    <w:rsid w:val="4CA37CC7"/>
    <w:rsid w:val="4CA773BE"/>
    <w:rsid w:val="4CAC7B51"/>
    <w:rsid w:val="4CB03E0E"/>
    <w:rsid w:val="4CB614C5"/>
    <w:rsid w:val="4CCB5F50"/>
    <w:rsid w:val="4CDA2830"/>
    <w:rsid w:val="4CDF7E46"/>
    <w:rsid w:val="4CE17BD9"/>
    <w:rsid w:val="4CE30FB8"/>
    <w:rsid w:val="4CE52F83"/>
    <w:rsid w:val="4CED35DF"/>
    <w:rsid w:val="4CEE1E37"/>
    <w:rsid w:val="4CEE52BC"/>
    <w:rsid w:val="4CF60CEC"/>
    <w:rsid w:val="4CFF2296"/>
    <w:rsid w:val="4D027691"/>
    <w:rsid w:val="4D04165B"/>
    <w:rsid w:val="4D096E53"/>
    <w:rsid w:val="4D0D18D2"/>
    <w:rsid w:val="4D106B64"/>
    <w:rsid w:val="4D155616"/>
    <w:rsid w:val="4D16155D"/>
    <w:rsid w:val="4D2A27F5"/>
    <w:rsid w:val="4D2C6E03"/>
    <w:rsid w:val="4D3637DE"/>
    <w:rsid w:val="4D3A6515"/>
    <w:rsid w:val="4D3D31CD"/>
    <w:rsid w:val="4D44414D"/>
    <w:rsid w:val="4D453A21"/>
    <w:rsid w:val="4D491763"/>
    <w:rsid w:val="4D492110"/>
    <w:rsid w:val="4D533C72"/>
    <w:rsid w:val="4D5A461B"/>
    <w:rsid w:val="4D602F24"/>
    <w:rsid w:val="4D677E3B"/>
    <w:rsid w:val="4D6A061E"/>
    <w:rsid w:val="4D6B11F6"/>
    <w:rsid w:val="4D6B792C"/>
    <w:rsid w:val="4D7009BD"/>
    <w:rsid w:val="4D706CF0"/>
    <w:rsid w:val="4D7367E0"/>
    <w:rsid w:val="4D7D31BB"/>
    <w:rsid w:val="4D865E6A"/>
    <w:rsid w:val="4D8D7FEE"/>
    <w:rsid w:val="4D93478D"/>
    <w:rsid w:val="4D984BDB"/>
    <w:rsid w:val="4D9A1FBF"/>
    <w:rsid w:val="4D9C7C8B"/>
    <w:rsid w:val="4D9F1383"/>
    <w:rsid w:val="4DA362FC"/>
    <w:rsid w:val="4DA67EC1"/>
    <w:rsid w:val="4DAA1FD9"/>
    <w:rsid w:val="4DAC0452"/>
    <w:rsid w:val="4DB32F52"/>
    <w:rsid w:val="4DB841F3"/>
    <w:rsid w:val="4DCB5741"/>
    <w:rsid w:val="4DCD5378"/>
    <w:rsid w:val="4DCD5EF0"/>
    <w:rsid w:val="4DE24180"/>
    <w:rsid w:val="4DE61465"/>
    <w:rsid w:val="4DEA6AA2"/>
    <w:rsid w:val="4DF27705"/>
    <w:rsid w:val="4DF53699"/>
    <w:rsid w:val="4DF55447"/>
    <w:rsid w:val="4E092CA1"/>
    <w:rsid w:val="4E105DDD"/>
    <w:rsid w:val="4E127DA7"/>
    <w:rsid w:val="4E172861"/>
    <w:rsid w:val="4E235A13"/>
    <w:rsid w:val="4E272381"/>
    <w:rsid w:val="4E296E9F"/>
    <w:rsid w:val="4E2E7089"/>
    <w:rsid w:val="4E33595F"/>
    <w:rsid w:val="4E3917D8"/>
    <w:rsid w:val="4E395334"/>
    <w:rsid w:val="4E3E6DEE"/>
    <w:rsid w:val="4E4A5793"/>
    <w:rsid w:val="4E4F6905"/>
    <w:rsid w:val="4E593C28"/>
    <w:rsid w:val="4E5A52AA"/>
    <w:rsid w:val="4E770D22"/>
    <w:rsid w:val="4E7B5B0A"/>
    <w:rsid w:val="4E7F7E3F"/>
    <w:rsid w:val="4E810A89"/>
    <w:rsid w:val="4E870795"/>
    <w:rsid w:val="4E8B1908"/>
    <w:rsid w:val="4E8D5680"/>
    <w:rsid w:val="4E907FC7"/>
    <w:rsid w:val="4E915170"/>
    <w:rsid w:val="4E946A0E"/>
    <w:rsid w:val="4E967145"/>
    <w:rsid w:val="4EAD187E"/>
    <w:rsid w:val="4EB1136E"/>
    <w:rsid w:val="4EB7039E"/>
    <w:rsid w:val="4EC74EB6"/>
    <w:rsid w:val="4ECF344E"/>
    <w:rsid w:val="4ED67027"/>
    <w:rsid w:val="4EDE7C89"/>
    <w:rsid w:val="4EE01C53"/>
    <w:rsid w:val="4EE85008"/>
    <w:rsid w:val="4EE96D5A"/>
    <w:rsid w:val="4EF07BE5"/>
    <w:rsid w:val="4EF63225"/>
    <w:rsid w:val="4EFD0A57"/>
    <w:rsid w:val="4F037736"/>
    <w:rsid w:val="4F0C7F6C"/>
    <w:rsid w:val="4F121BEE"/>
    <w:rsid w:val="4F133DD7"/>
    <w:rsid w:val="4F234952"/>
    <w:rsid w:val="4F2461C9"/>
    <w:rsid w:val="4F313634"/>
    <w:rsid w:val="4F3A75B6"/>
    <w:rsid w:val="4F3D0E54"/>
    <w:rsid w:val="4F401DA8"/>
    <w:rsid w:val="4F4F0B87"/>
    <w:rsid w:val="4F4F25BA"/>
    <w:rsid w:val="4F552641"/>
    <w:rsid w:val="4F6512F6"/>
    <w:rsid w:val="4F665BF0"/>
    <w:rsid w:val="4F697E9B"/>
    <w:rsid w:val="4F6F608E"/>
    <w:rsid w:val="4F750067"/>
    <w:rsid w:val="4F8A493D"/>
    <w:rsid w:val="4F9C3D7E"/>
    <w:rsid w:val="4F9D72A0"/>
    <w:rsid w:val="4F9E4C55"/>
    <w:rsid w:val="4FAB4BF0"/>
    <w:rsid w:val="4FAE2440"/>
    <w:rsid w:val="4FB235F0"/>
    <w:rsid w:val="4FBE01E7"/>
    <w:rsid w:val="4FC31402"/>
    <w:rsid w:val="4FC357FD"/>
    <w:rsid w:val="4FC43323"/>
    <w:rsid w:val="4FC82E13"/>
    <w:rsid w:val="4FC96202"/>
    <w:rsid w:val="4FCB5BE5"/>
    <w:rsid w:val="4FCD492D"/>
    <w:rsid w:val="4FCE41A2"/>
    <w:rsid w:val="4FD277EE"/>
    <w:rsid w:val="4FD5606A"/>
    <w:rsid w:val="4FD85DEF"/>
    <w:rsid w:val="4FDC066D"/>
    <w:rsid w:val="4FDD43E5"/>
    <w:rsid w:val="4FE048D2"/>
    <w:rsid w:val="4FE47521"/>
    <w:rsid w:val="4FE73C69"/>
    <w:rsid w:val="4FE80A55"/>
    <w:rsid w:val="4FE87012"/>
    <w:rsid w:val="4FF21C3E"/>
    <w:rsid w:val="4FF9539C"/>
    <w:rsid w:val="5010292C"/>
    <w:rsid w:val="50144323"/>
    <w:rsid w:val="501514CE"/>
    <w:rsid w:val="50194378"/>
    <w:rsid w:val="502913D8"/>
    <w:rsid w:val="5035213F"/>
    <w:rsid w:val="503A3963"/>
    <w:rsid w:val="503E4E84"/>
    <w:rsid w:val="503E6C32"/>
    <w:rsid w:val="50485D02"/>
    <w:rsid w:val="504D156B"/>
    <w:rsid w:val="504F52E3"/>
    <w:rsid w:val="50574C0D"/>
    <w:rsid w:val="505B3C87"/>
    <w:rsid w:val="508F5D29"/>
    <w:rsid w:val="50947349"/>
    <w:rsid w:val="509D2B77"/>
    <w:rsid w:val="50AA4283"/>
    <w:rsid w:val="50C3182D"/>
    <w:rsid w:val="50CF3045"/>
    <w:rsid w:val="50D15C5F"/>
    <w:rsid w:val="50D82D34"/>
    <w:rsid w:val="50D94BAC"/>
    <w:rsid w:val="50F064D2"/>
    <w:rsid w:val="51032DDC"/>
    <w:rsid w:val="510559A1"/>
    <w:rsid w:val="51340035"/>
    <w:rsid w:val="513B6BB9"/>
    <w:rsid w:val="514069D9"/>
    <w:rsid w:val="51422751"/>
    <w:rsid w:val="51475FBA"/>
    <w:rsid w:val="51481DCD"/>
    <w:rsid w:val="5156444F"/>
    <w:rsid w:val="515A4EB2"/>
    <w:rsid w:val="515D758B"/>
    <w:rsid w:val="516E1798"/>
    <w:rsid w:val="51713037"/>
    <w:rsid w:val="519109B0"/>
    <w:rsid w:val="51932EE3"/>
    <w:rsid w:val="519D207E"/>
    <w:rsid w:val="519D3E2C"/>
    <w:rsid w:val="51A056CA"/>
    <w:rsid w:val="51A46C90"/>
    <w:rsid w:val="51A7401D"/>
    <w:rsid w:val="51A76A58"/>
    <w:rsid w:val="51B51175"/>
    <w:rsid w:val="51D035A3"/>
    <w:rsid w:val="51D12B04"/>
    <w:rsid w:val="51DD247A"/>
    <w:rsid w:val="51E25CE3"/>
    <w:rsid w:val="51E47CAD"/>
    <w:rsid w:val="51E657D3"/>
    <w:rsid w:val="51E67581"/>
    <w:rsid w:val="51FF0643"/>
    <w:rsid w:val="52036086"/>
    <w:rsid w:val="520577A6"/>
    <w:rsid w:val="52067C23"/>
    <w:rsid w:val="520B6FE7"/>
    <w:rsid w:val="521B56D7"/>
    <w:rsid w:val="52287B99"/>
    <w:rsid w:val="52291B63"/>
    <w:rsid w:val="522B768A"/>
    <w:rsid w:val="522E15CC"/>
    <w:rsid w:val="52304CA0"/>
    <w:rsid w:val="5233653E"/>
    <w:rsid w:val="52383B54"/>
    <w:rsid w:val="52384C20"/>
    <w:rsid w:val="523C1897"/>
    <w:rsid w:val="52412A09"/>
    <w:rsid w:val="524E3378"/>
    <w:rsid w:val="524F15CA"/>
    <w:rsid w:val="52552958"/>
    <w:rsid w:val="525941F7"/>
    <w:rsid w:val="525A3ACB"/>
    <w:rsid w:val="525C548E"/>
    <w:rsid w:val="525F5585"/>
    <w:rsid w:val="52650DED"/>
    <w:rsid w:val="526742B4"/>
    <w:rsid w:val="526F39AE"/>
    <w:rsid w:val="527821A3"/>
    <w:rsid w:val="52796647"/>
    <w:rsid w:val="527E5A0B"/>
    <w:rsid w:val="52846D9A"/>
    <w:rsid w:val="52891FF6"/>
    <w:rsid w:val="52903990"/>
    <w:rsid w:val="52976F97"/>
    <w:rsid w:val="52996F24"/>
    <w:rsid w:val="52A15B9E"/>
    <w:rsid w:val="52B23907"/>
    <w:rsid w:val="52B629C1"/>
    <w:rsid w:val="52BF782B"/>
    <w:rsid w:val="52D13958"/>
    <w:rsid w:val="52D95337"/>
    <w:rsid w:val="52DC1E0B"/>
    <w:rsid w:val="52DC6BD6"/>
    <w:rsid w:val="52DD4E28"/>
    <w:rsid w:val="52EA0FEF"/>
    <w:rsid w:val="52F7756C"/>
    <w:rsid w:val="52FC2DD4"/>
    <w:rsid w:val="53057EDB"/>
    <w:rsid w:val="53260982"/>
    <w:rsid w:val="533267F6"/>
    <w:rsid w:val="53364538"/>
    <w:rsid w:val="533814CB"/>
    <w:rsid w:val="533A4B08"/>
    <w:rsid w:val="53407165"/>
    <w:rsid w:val="53424C8B"/>
    <w:rsid w:val="53446C55"/>
    <w:rsid w:val="53486019"/>
    <w:rsid w:val="534A3F6A"/>
    <w:rsid w:val="534F7AD0"/>
    <w:rsid w:val="535569D5"/>
    <w:rsid w:val="53566988"/>
    <w:rsid w:val="53620E89"/>
    <w:rsid w:val="536313F8"/>
    <w:rsid w:val="536527F1"/>
    <w:rsid w:val="536714D0"/>
    <w:rsid w:val="536C7F5A"/>
    <w:rsid w:val="536F17F8"/>
    <w:rsid w:val="53715FBC"/>
    <w:rsid w:val="53754029"/>
    <w:rsid w:val="53760DD8"/>
    <w:rsid w:val="537806AC"/>
    <w:rsid w:val="53786570"/>
    <w:rsid w:val="537B3D79"/>
    <w:rsid w:val="537F7C8D"/>
    <w:rsid w:val="53857E53"/>
    <w:rsid w:val="5391176E"/>
    <w:rsid w:val="53966D85"/>
    <w:rsid w:val="539E5E24"/>
    <w:rsid w:val="53B3402E"/>
    <w:rsid w:val="53B607E4"/>
    <w:rsid w:val="53BF452D"/>
    <w:rsid w:val="53C65EAE"/>
    <w:rsid w:val="53EC2E48"/>
    <w:rsid w:val="54043ADF"/>
    <w:rsid w:val="54060FA4"/>
    <w:rsid w:val="5406215C"/>
    <w:rsid w:val="54124051"/>
    <w:rsid w:val="541505F1"/>
    <w:rsid w:val="54192DFC"/>
    <w:rsid w:val="541C54DC"/>
    <w:rsid w:val="541D1254"/>
    <w:rsid w:val="541F6242"/>
    <w:rsid w:val="5420652F"/>
    <w:rsid w:val="54260108"/>
    <w:rsid w:val="54295E4B"/>
    <w:rsid w:val="543A1E06"/>
    <w:rsid w:val="544669FD"/>
    <w:rsid w:val="54474BD9"/>
    <w:rsid w:val="54481549"/>
    <w:rsid w:val="545A6004"/>
    <w:rsid w:val="5462725E"/>
    <w:rsid w:val="546450D5"/>
    <w:rsid w:val="5466115C"/>
    <w:rsid w:val="54694499"/>
    <w:rsid w:val="54724CDC"/>
    <w:rsid w:val="548B08B3"/>
    <w:rsid w:val="548B2661"/>
    <w:rsid w:val="548F2152"/>
    <w:rsid w:val="54901A26"/>
    <w:rsid w:val="54907C78"/>
    <w:rsid w:val="54986165"/>
    <w:rsid w:val="549A4653"/>
    <w:rsid w:val="54A10BF5"/>
    <w:rsid w:val="54A43723"/>
    <w:rsid w:val="54A53794"/>
    <w:rsid w:val="54A82FD9"/>
    <w:rsid w:val="54A92AE8"/>
    <w:rsid w:val="54AD25D8"/>
    <w:rsid w:val="54B03E76"/>
    <w:rsid w:val="54B2579F"/>
    <w:rsid w:val="54B459C3"/>
    <w:rsid w:val="54B971CF"/>
    <w:rsid w:val="54BA4CF5"/>
    <w:rsid w:val="54BC6CBF"/>
    <w:rsid w:val="54C052D0"/>
    <w:rsid w:val="54C85664"/>
    <w:rsid w:val="54CB2B8A"/>
    <w:rsid w:val="54CF254E"/>
    <w:rsid w:val="54CF69F2"/>
    <w:rsid w:val="54D266C7"/>
    <w:rsid w:val="54D74270"/>
    <w:rsid w:val="54DD0155"/>
    <w:rsid w:val="54E43AFF"/>
    <w:rsid w:val="54E81862"/>
    <w:rsid w:val="54EC780F"/>
    <w:rsid w:val="54F63F7F"/>
    <w:rsid w:val="54F70BA6"/>
    <w:rsid w:val="54F94081"/>
    <w:rsid w:val="54FB4F3E"/>
    <w:rsid w:val="55090D9F"/>
    <w:rsid w:val="55116D6D"/>
    <w:rsid w:val="55124B31"/>
    <w:rsid w:val="55193C63"/>
    <w:rsid w:val="552D3719"/>
    <w:rsid w:val="55326F81"/>
    <w:rsid w:val="553E035A"/>
    <w:rsid w:val="55437CB7"/>
    <w:rsid w:val="55501EF0"/>
    <w:rsid w:val="555962BC"/>
    <w:rsid w:val="555D5DAC"/>
    <w:rsid w:val="55611377"/>
    <w:rsid w:val="55627D6A"/>
    <w:rsid w:val="556F5290"/>
    <w:rsid w:val="557B09D1"/>
    <w:rsid w:val="557E3F74"/>
    <w:rsid w:val="557F4285"/>
    <w:rsid w:val="558275C0"/>
    <w:rsid w:val="55877A65"/>
    <w:rsid w:val="558A2919"/>
    <w:rsid w:val="55915A56"/>
    <w:rsid w:val="55A21A11"/>
    <w:rsid w:val="55A57813"/>
    <w:rsid w:val="55B33C1E"/>
    <w:rsid w:val="55B6642E"/>
    <w:rsid w:val="55B9456A"/>
    <w:rsid w:val="55BC3556"/>
    <w:rsid w:val="55C1776B"/>
    <w:rsid w:val="55CC4AE2"/>
    <w:rsid w:val="55CE14B2"/>
    <w:rsid w:val="55D14930"/>
    <w:rsid w:val="55D16071"/>
    <w:rsid w:val="55E2469D"/>
    <w:rsid w:val="55E276DA"/>
    <w:rsid w:val="55E97640"/>
    <w:rsid w:val="55F12998"/>
    <w:rsid w:val="55F411E3"/>
    <w:rsid w:val="55F43787"/>
    <w:rsid w:val="55FF6E63"/>
    <w:rsid w:val="56073F6A"/>
    <w:rsid w:val="560B1CAC"/>
    <w:rsid w:val="560C1580"/>
    <w:rsid w:val="560D69C9"/>
    <w:rsid w:val="560D7FB2"/>
    <w:rsid w:val="561737BB"/>
    <w:rsid w:val="561E4E53"/>
    <w:rsid w:val="563261A5"/>
    <w:rsid w:val="56350AD7"/>
    <w:rsid w:val="563665FD"/>
    <w:rsid w:val="5645506B"/>
    <w:rsid w:val="56513437"/>
    <w:rsid w:val="56542F11"/>
    <w:rsid w:val="56600F7A"/>
    <w:rsid w:val="566E223B"/>
    <w:rsid w:val="56766E57"/>
    <w:rsid w:val="567C6182"/>
    <w:rsid w:val="568850AA"/>
    <w:rsid w:val="56892BD1"/>
    <w:rsid w:val="568B6949"/>
    <w:rsid w:val="568F6DAF"/>
    <w:rsid w:val="56921A85"/>
    <w:rsid w:val="569D042A"/>
    <w:rsid w:val="56A45C5C"/>
    <w:rsid w:val="56B23207"/>
    <w:rsid w:val="56B23ED5"/>
    <w:rsid w:val="56B440F1"/>
    <w:rsid w:val="56CB2EF7"/>
    <w:rsid w:val="56D77DE0"/>
    <w:rsid w:val="56D93B58"/>
    <w:rsid w:val="56E46059"/>
    <w:rsid w:val="56EB73E7"/>
    <w:rsid w:val="56EF6ED8"/>
    <w:rsid w:val="56F07805"/>
    <w:rsid w:val="5706139C"/>
    <w:rsid w:val="570B0B99"/>
    <w:rsid w:val="57190ECC"/>
    <w:rsid w:val="571B5F1F"/>
    <w:rsid w:val="571E3436"/>
    <w:rsid w:val="571E7796"/>
    <w:rsid w:val="57260FF8"/>
    <w:rsid w:val="57350AB8"/>
    <w:rsid w:val="573E7E5F"/>
    <w:rsid w:val="57430C6B"/>
    <w:rsid w:val="57512E94"/>
    <w:rsid w:val="575B3FCB"/>
    <w:rsid w:val="575E5E0B"/>
    <w:rsid w:val="57621579"/>
    <w:rsid w:val="5767297D"/>
    <w:rsid w:val="57672B61"/>
    <w:rsid w:val="576B5D5C"/>
    <w:rsid w:val="57776B47"/>
    <w:rsid w:val="577B076B"/>
    <w:rsid w:val="57853398"/>
    <w:rsid w:val="578669AD"/>
    <w:rsid w:val="57917F8F"/>
    <w:rsid w:val="5798756F"/>
    <w:rsid w:val="579A56AE"/>
    <w:rsid w:val="57A059D2"/>
    <w:rsid w:val="57B222DA"/>
    <w:rsid w:val="57B76348"/>
    <w:rsid w:val="57BB14B0"/>
    <w:rsid w:val="57BC2D85"/>
    <w:rsid w:val="57BF2D4E"/>
    <w:rsid w:val="57C55FDF"/>
    <w:rsid w:val="57CA34A1"/>
    <w:rsid w:val="57D04F5B"/>
    <w:rsid w:val="57D11306"/>
    <w:rsid w:val="57D52571"/>
    <w:rsid w:val="57DC465A"/>
    <w:rsid w:val="57DD1426"/>
    <w:rsid w:val="57E722A5"/>
    <w:rsid w:val="57E85603"/>
    <w:rsid w:val="57F14ED1"/>
    <w:rsid w:val="57F56069"/>
    <w:rsid w:val="57FD3876"/>
    <w:rsid w:val="580031DB"/>
    <w:rsid w:val="58154105"/>
    <w:rsid w:val="581B0D4D"/>
    <w:rsid w:val="581D2D0D"/>
    <w:rsid w:val="581F1EB4"/>
    <w:rsid w:val="582232DD"/>
    <w:rsid w:val="582E3A30"/>
    <w:rsid w:val="58306DCA"/>
    <w:rsid w:val="583F4939"/>
    <w:rsid w:val="583F7E1B"/>
    <w:rsid w:val="584119B5"/>
    <w:rsid w:val="584A6390"/>
    <w:rsid w:val="585A2A77"/>
    <w:rsid w:val="585A65D3"/>
    <w:rsid w:val="585E3377"/>
    <w:rsid w:val="58690F0C"/>
    <w:rsid w:val="586A366C"/>
    <w:rsid w:val="586B6A32"/>
    <w:rsid w:val="586C4558"/>
    <w:rsid w:val="5870079B"/>
    <w:rsid w:val="587262AF"/>
    <w:rsid w:val="58877E09"/>
    <w:rsid w:val="588C0756"/>
    <w:rsid w:val="588C1B71"/>
    <w:rsid w:val="58935F89"/>
    <w:rsid w:val="589A7317"/>
    <w:rsid w:val="589C2A32"/>
    <w:rsid w:val="589E5122"/>
    <w:rsid w:val="589F66DB"/>
    <w:rsid w:val="58A973A7"/>
    <w:rsid w:val="58B02697"/>
    <w:rsid w:val="58BF6D7E"/>
    <w:rsid w:val="58C619D3"/>
    <w:rsid w:val="58CD3B3B"/>
    <w:rsid w:val="58D56530"/>
    <w:rsid w:val="58D6793B"/>
    <w:rsid w:val="58D72319"/>
    <w:rsid w:val="58DC348C"/>
    <w:rsid w:val="58E10AA2"/>
    <w:rsid w:val="58E60DF1"/>
    <w:rsid w:val="58E80BC1"/>
    <w:rsid w:val="58E971D3"/>
    <w:rsid w:val="59097FF9"/>
    <w:rsid w:val="590E560F"/>
    <w:rsid w:val="591164A1"/>
    <w:rsid w:val="59123351"/>
    <w:rsid w:val="591B286D"/>
    <w:rsid w:val="591F167D"/>
    <w:rsid w:val="591F4A55"/>
    <w:rsid w:val="59222D0A"/>
    <w:rsid w:val="592D3CE7"/>
    <w:rsid w:val="592E180D"/>
    <w:rsid w:val="593730A6"/>
    <w:rsid w:val="59382505"/>
    <w:rsid w:val="59484FC5"/>
    <w:rsid w:val="594A4899"/>
    <w:rsid w:val="594F1EAF"/>
    <w:rsid w:val="59505C28"/>
    <w:rsid w:val="595067C4"/>
    <w:rsid w:val="59613991"/>
    <w:rsid w:val="596811C3"/>
    <w:rsid w:val="59682F71"/>
    <w:rsid w:val="596F2552"/>
    <w:rsid w:val="597D2E80"/>
    <w:rsid w:val="597E40F8"/>
    <w:rsid w:val="597F44FB"/>
    <w:rsid w:val="5980475F"/>
    <w:rsid w:val="598558D1"/>
    <w:rsid w:val="59AA358A"/>
    <w:rsid w:val="59AD307A"/>
    <w:rsid w:val="59B148B3"/>
    <w:rsid w:val="59BF08B9"/>
    <w:rsid w:val="59C52172"/>
    <w:rsid w:val="59D2350D"/>
    <w:rsid w:val="59D66F3F"/>
    <w:rsid w:val="59DE1485"/>
    <w:rsid w:val="59DF76D7"/>
    <w:rsid w:val="59EC3BA2"/>
    <w:rsid w:val="59F62CB8"/>
    <w:rsid w:val="59F75710"/>
    <w:rsid w:val="59F82FC0"/>
    <w:rsid w:val="59F92801"/>
    <w:rsid w:val="5A0F0785"/>
    <w:rsid w:val="5A2E72E3"/>
    <w:rsid w:val="5A470DD9"/>
    <w:rsid w:val="5A473C38"/>
    <w:rsid w:val="5A47702B"/>
    <w:rsid w:val="5A514F94"/>
    <w:rsid w:val="5A57029D"/>
    <w:rsid w:val="5A623E64"/>
    <w:rsid w:val="5A6C7C45"/>
    <w:rsid w:val="5A753B98"/>
    <w:rsid w:val="5A7871E4"/>
    <w:rsid w:val="5A787F6B"/>
    <w:rsid w:val="5A8913F1"/>
    <w:rsid w:val="5A8B5169"/>
    <w:rsid w:val="5A9A0292"/>
    <w:rsid w:val="5A9B1124"/>
    <w:rsid w:val="5AA96839"/>
    <w:rsid w:val="5AAE0E58"/>
    <w:rsid w:val="5AB83A84"/>
    <w:rsid w:val="5ABA15AB"/>
    <w:rsid w:val="5ABE6E70"/>
    <w:rsid w:val="5ACC12DE"/>
    <w:rsid w:val="5ACC6B6C"/>
    <w:rsid w:val="5AD45C28"/>
    <w:rsid w:val="5AD56E4F"/>
    <w:rsid w:val="5AD84127"/>
    <w:rsid w:val="5ADC7773"/>
    <w:rsid w:val="5ADE3F7A"/>
    <w:rsid w:val="5AE033A2"/>
    <w:rsid w:val="5AE8174F"/>
    <w:rsid w:val="5B0D3DD0"/>
    <w:rsid w:val="5B123195"/>
    <w:rsid w:val="5B1C2265"/>
    <w:rsid w:val="5B20232C"/>
    <w:rsid w:val="5B24111A"/>
    <w:rsid w:val="5B2F1F99"/>
    <w:rsid w:val="5B3402E5"/>
    <w:rsid w:val="5B340F77"/>
    <w:rsid w:val="5B357761"/>
    <w:rsid w:val="5B451FE2"/>
    <w:rsid w:val="5B4A50DF"/>
    <w:rsid w:val="5B5A4B3C"/>
    <w:rsid w:val="5B6559BA"/>
    <w:rsid w:val="5B6E21AB"/>
    <w:rsid w:val="5B6E3309"/>
    <w:rsid w:val="5B7B51DE"/>
    <w:rsid w:val="5B7F45A2"/>
    <w:rsid w:val="5B8043ED"/>
    <w:rsid w:val="5B810107"/>
    <w:rsid w:val="5B8A5421"/>
    <w:rsid w:val="5B9C6F02"/>
    <w:rsid w:val="5BC07095"/>
    <w:rsid w:val="5BC21E58"/>
    <w:rsid w:val="5BC22E0D"/>
    <w:rsid w:val="5BD103D7"/>
    <w:rsid w:val="5BE508A9"/>
    <w:rsid w:val="5BED3C02"/>
    <w:rsid w:val="5C001B87"/>
    <w:rsid w:val="5C0C4088"/>
    <w:rsid w:val="5C0D0432"/>
    <w:rsid w:val="5C155267"/>
    <w:rsid w:val="5C224AC1"/>
    <w:rsid w:val="5C292E8C"/>
    <w:rsid w:val="5C2F7D76"/>
    <w:rsid w:val="5C307C63"/>
    <w:rsid w:val="5C331A50"/>
    <w:rsid w:val="5C362D96"/>
    <w:rsid w:val="5C3E52F0"/>
    <w:rsid w:val="5C425001"/>
    <w:rsid w:val="5C4750C0"/>
    <w:rsid w:val="5C4A2E02"/>
    <w:rsid w:val="5C51043A"/>
    <w:rsid w:val="5C584438"/>
    <w:rsid w:val="5C5F065B"/>
    <w:rsid w:val="5C6043D4"/>
    <w:rsid w:val="5C692089"/>
    <w:rsid w:val="5C6A5252"/>
    <w:rsid w:val="5C6C4B26"/>
    <w:rsid w:val="5C6E67D0"/>
    <w:rsid w:val="5C72451B"/>
    <w:rsid w:val="5C7261E1"/>
    <w:rsid w:val="5C8527F8"/>
    <w:rsid w:val="5C9522CF"/>
    <w:rsid w:val="5C95428E"/>
    <w:rsid w:val="5C9F314E"/>
    <w:rsid w:val="5C9F6CAA"/>
    <w:rsid w:val="5CAF2C65"/>
    <w:rsid w:val="5CB3152B"/>
    <w:rsid w:val="5CB52971"/>
    <w:rsid w:val="5CB60EF7"/>
    <w:rsid w:val="5CB87D6C"/>
    <w:rsid w:val="5CBD5382"/>
    <w:rsid w:val="5CC93D27"/>
    <w:rsid w:val="5CCE57E1"/>
    <w:rsid w:val="5CD03307"/>
    <w:rsid w:val="5CE70B91"/>
    <w:rsid w:val="5CED16B8"/>
    <w:rsid w:val="5CED5D03"/>
    <w:rsid w:val="5CF54B1C"/>
    <w:rsid w:val="5CF632F6"/>
    <w:rsid w:val="5CF70BA6"/>
    <w:rsid w:val="5CFF1E3E"/>
    <w:rsid w:val="5D0B2591"/>
    <w:rsid w:val="5D184CAE"/>
    <w:rsid w:val="5D1B1E27"/>
    <w:rsid w:val="5D1C479E"/>
    <w:rsid w:val="5D245401"/>
    <w:rsid w:val="5D283143"/>
    <w:rsid w:val="5D2B3C3E"/>
    <w:rsid w:val="5D335644"/>
    <w:rsid w:val="5D360994"/>
    <w:rsid w:val="5D417D61"/>
    <w:rsid w:val="5D504448"/>
    <w:rsid w:val="5D5E07CD"/>
    <w:rsid w:val="5D5E0913"/>
    <w:rsid w:val="5D5E6B65"/>
    <w:rsid w:val="5D602572"/>
    <w:rsid w:val="5D6677C8"/>
    <w:rsid w:val="5D6F6A3F"/>
    <w:rsid w:val="5D753EAF"/>
    <w:rsid w:val="5D7719D5"/>
    <w:rsid w:val="5D7874FB"/>
    <w:rsid w:val="5D78775B"/>
    <w:rsid w:val="5D8004A4"/>
    <w:rsid w:val="5D826842"/>
    <w:rsid w:val="5D82776F"/>
    <w:rsid w:val="5D83481E"/>
    <w:rsid w:val="5D8C77A0"/>
    <w:rsid w:val="5D95186C"/>
    <w:rsid w:val="5D973E25"/>
    <w:rsid w:val="5D9F15A6"/>
    <w:rsid w:val="5DA0644E"/>
    <w:rsid w:val="5DA402F0"/>
    <w:rsid w:val="5DB234E3"/>
    <w:rsid w:val="5DB444A2"/>
    <w:rsid w:val="5DB949BF"/>
    <w:rsid w:val="5DBB5D65"/>
    <w:rsid w:val="5DBE7604"/>
    <w:rsid w:val="5DC47BF6"/>
    <w:rsid w:val="5DCA30B0"/>
    <w:rsid w:val="5DCA4203"/>
    <w:rsid w:val="5DD40BD5"/>
    <w:rsid w:val="5DE0757A"/>
    <w:rsid w:val="5DEF7756"/>
    <w:rsid w:val="5E007C1C"/>
    <w:rsid w:val="5E074424"/>
    <w:rsid w:val="5E0C795A"/>
    <w:rsid w:val="5E0E57E3"/>
    <w:rsid w:val="5E0F60B1"/>
    <w:rsid w:val="5E12549E"/>
    <w:rsid w:val="5E1D005A"/>
    <w:rsid w:val="5E1D6CB6"/>
    <w:rsid w:val="5E2A6A47"/>
    <w:rsid w:val="5E2B286C"/>
    <w:rsid w:val="5E376D5C"/>
    <w:rsid w:val="5E48511F"/>
    <w:rsid w:val="5E543AC4"/>
    <w:rsid w:val="5E547F68"/>
    <w:rsid w:val="5E622736"/>
    <w:rsid w:val="5E732A2D"/>
    <w:rsid w:val="5E8425FB"/>
    <w:rsid w:val="5E897C12"/>
    <w:rsid w:val="5E8E5228"/>
    <w:rsid w:val="5E9F11E3"/>
    <w:rsid w:val="5EAB2102"/>
    <w:rsid w:val="5EAE1426"/>
    <w:rsid w:val="5EAF519E"/>
    <w:rsid w:val="5EAF63F1"/>
    <w:rsid w:val="5EB575C6"/>
    <w:rsid w:val="5EB804F7"/>
    <w:rsid w:val="5EBA0137"/>
    <w:rsid w:val="5EC002E9"/>
    <w:rsid w:val="5ED6097D"/>
    <w:rsid w:val="5ED9312D"/>
    <w:rsid w:val="5EDA2F92"/>
    <w:rsid w:val="5EEC7603"/>
    <w:rsid w:val="5EF62DCD"/>
    <w:rsid w:val="5EF67D08"/>
    <w:rsid w:val="5F136AB0"/>
    <w:rsid w:val="5F166FCB"/>
    <w:rsid w:val="5F2E07B9"/>
    <w:rsid w:val="5F2E2567"/>
    <w:rsid w:val="5F30008D"/>
    <w:rsid w:val="5F3B138F"/>
    <w:rsid w:val="5F42390E"/>
    <w:rsid w:val="5F471B8D"/>
    <w:rsid w:val="5F473629"/>
    <w:rsid w:val="5F4A339A"/>
    <w:rsid w:val="5F4D300E"/>
    <w:rsid w:val="5F4E6765"/>
    <w:rsid w:val="5F5D2E4C"/>
    <w:rsid w:val="5F6525BE"/>
    <w:rsid w:val="5F67322F"/>
    <w:rsid w:val="5F7056A6"/>
    <w:rsid w:val="5F814D8D"/>
    <w:rsid w:val="5F8403D9"/>
    <w:rsid w:val="5F89026D"/>
    <w:rsid w:val="5F893C41"/>
    <w:rsid w:val="5F8D2C16"/>
    <w:rsid w:val="5F8F4CE5"/>
    <w:rsid w:val="5F903222"/>
    <w:rsid w:val="5F9B4A44"/>
    <w:rsid w:val="5FAB1E0A"/>
    <w:rsid w:val="5FAB3BB8"/>
    <w:rsid w:val="5FAD7E07"/>
    <w:rsid w:val="5FB011CE"/>
    <w:rsid w:val="5FB07420"/>
    <w:rsid w:val="5FBD7C61"/>
    <w:rsid w:val="5FC30F01"/>
    <w:rsid w:val="5FC55F6C"/>
    <w:rsid w:val="5FC56E7F"/>
    <w:rsid w:val="5FCD3B2E"/>
    <w:rsid w:val="5FD54B3D"/>
    <w:rsid w:val="5FD749AD"/>
    <w:rsid w:val="5FDF3861"/>
    <w:rsid w:val="5FE07D05"/>
    <w:rsid w:val="5FE315A4"/>
    <w:rsid w:val="5FE84E0C"/>
    <w:rsid w:val="5FEA2EC3"/>
    <w:rsid w:val="5FEB66AA"/>
    <w:rsid w:val="5FED41D0"/>
    <w:rsid w:val="5FF31246"/>
    <w:rsid w:val="5FF336A2"/>
    <w:rsid w:val="5FF96EEF"/>
    <w:rsid w:val="5FFE7AC8"/>
    <w:rsid w:val="600734E4"/>
    <w:rsid w:val="602970B6"/>
    <w:rsid w:val="602A14B1"/>
    <w:rsid w:val="603C0CB4"/>
    <w:rsid w:val="603E01B7"/>
    <w:rsid w:val="604A7E95"/>
    <w:rsid w:val="604C539B"/>
    <w:rsid w:val="605424A1"/>
    <w:rsid w:val="60556630"/>
    <w:rsid w:val="60602BF4"/>
    <w:rsid w:val="60625F3E"/>
    <w:rsid w:val="60646B56"/>
    <w:rsid w:val="606F1089"/>
    <w:rsid w:val="60765F74"/>
    <w:rsid w:val="60795A64"/>
    <w:rsid w:val="607B29E4"/>
    <w:rsid w:val="60822B6A"/>
    <w:rsid w:val="60835C70"/>
    <w:rsid w:val="608A1A1F"/>
    <w:rsid w:val="60912DAE"/>
    <w:rsid w:val="60917251"/>
    <w:rsid w:val="60932FCA"/>
    <w:rsid w:val="60956D42"/>
    <w:rsid w:val="60A01243"/>
    <w:rsid w:val="60A97045"/>
    <w:rsid w:val="60B15681"/>
    <w:rsid w:val="60B861AE"/>
    <w:rsid w:val="60C211B9"/>
    <w:rsid w:val="60C74A21"/>
    <w:rsid w:val="60D35710"/>
    <w:rsid w:val="60D8301C"/>
    <w:rsid w:val="60E2116F"/>
    <w:rsid w:val="60E3323C"/>
    <w:rsid w:val="60F60453"/>
    <w:rsid w:val="60FD6695"/>
    <w:rsid w:val="60FF1179"/>
    <w:rsid w:val="61007F33"/>
    <w:rsid w:val="61025A59"/>
    <w:rsid w:val="610B0DB2"/>
    <w:rsid w:val="611411DF"/>
    <w:rsid w:val="61167757"/>
    <w:rsid w:val="611D461D"/>
    <w:rsid w:val="61204131"/>
    <w:rsid w:val="613025C6"/>
    <w:rsid w:val="613149BD"/>
    <w:rsid w:val="613155F1"/>
    <w:rsid w:val="613A51F3"/>
    <w:rsid w:val="6155202D"/>
    <w:rsid w:val="61605A78"/>
    <w:rsid w:val="61671D60"/>
    <w:rsid w:val="6170330B"/>
    <w:rsid w:val="61731240"/>
    <w:rsid w:val="6175447D"/>
    <w:rsid w:val="617821BF"/>
    <w:rsid w:val="617A5099"/>
    <w:rsid w:val="6183303E"/>
    <w:rsid w:val="61905EB4"/>
    <w:rsid w:val="61BF22B1"/>
    <w:rsid w:val="61C4086B"/>
    <w:rsid w:val="61C6117D"/>
    <w:rsid w:val="61D2367E"/>
    <w:rsid w:val="61D500E5"/>
    <w:rsid w:val="61D77BCC"/>
    <w:rsid w:val="61DE7715"/>
    <w:rsid w:val="61FA506D"/>
    <w:rsid w:val="61FE025C"/>
    <w:rsid w:val="62045801"/>
    <w:rsid w:val="62087D51"/>
    <w:rsid w:val="620C5D12"/>
    <w:rsid w:val="62110531"/>
    <w:rsid w:val="6220088D"/>
    <w:rsid w:val="62214605"/>
    <w:rsid w:val="6223212B"/>
    <w:rsid w:val="62314848"/>
    <w:rsid w:val="623213C3"/>
    <w:rsid w:val="62373E29"/>
    <w:rsid w:val="623B56C7"/>
    <w:rsid w:val="6243457B"/>
    <w:rsid w:val="624502F4"/>
    <w:rsid w:val="62455D2B"/>
    <w:rsid w:val="62481B92"/>
    <w:rsid w:val="624E25AF"/>
    <w:rsid w:val="624F64AB"/>
    <w:rsid w:val="625F62E9"/>
    <w:rsid w:val="62600BF4"/>
    <w:rsid w:val="62647CEB"/>
    <w:rsid w:val="626E60DF"/>
    <w:rsid w:val="62774225"/>
    <w:rsid w:val="627E1973"/>
    <w:rsid w:val="62822D87"/>
    <w:rsid w:val="62856942"/>
    <w:rsid w:val="62864D95"/>
    <w:rsid w:val="62921C14"/>
    <w:rsid w:val="6299063F"/>
    <w:rsid w:val="62A212A2"/>
    <w:rsid w:val="62A36DC8"/>
    <w:rsid w:val="62AE0E01"/>
    <w:rsid w:val="62B07A33"/>
    <w:rsid w:val="62B40FD5"/>
    <w:rsid w:val="62B44C73"/>
    <w:rsid w:val="62BB6808"/>
    <w:rsid w:val="62C31218"/>
    <w:rsid w:val="62C76F5B"/>
    <w:rsid w:val="62E573E1"/>
    <w:rsid w:val="62E713AB"/>
    <w:rsid w:val="62E73159"/>
    <w:rsid w:val="62EB1EBF"/>
    <w:rsid w:val="62EF025F"/>
    <w:rsid w:val="62F44B0E"/>
    <w:rsid w:val="63035AB9"/>
    <w:rsid w:val="630E06E5"/>
    <w:rsid w:val="630E2DDB"/>
    <w:rsid w:val="63147CC6"/>
    <w:rsid w:val="631657EC"/>
    <w:rsid w:val="63181564"/>
    <w:rsid w:val="632717A7"/>
    <w:rsid w:val="6329551F"/>
    <w:rsid w:val="63312B66"/>
    <w:rsid w:val="634A36E8"/>
    <w:rsid w:val="634E142A"/>
    <w:rsid w:val="635A392B"/>
    <w:rsid w:val="6362074D"/>
    <w:rsid w:val="636B3D8A"/>
    <w:rsid w:val="636B5B38"/>
    <w:rsid w:val="63732C3E"/>
    <w:rsid w:val="63770981"/>
    <w:rsid w:val="637864A7"/>
    <w:rsid w:val="637E5597"/>
    <w:rsid w:val="637F7835"/>
    <w:rsid w:val="63821863"/>
    <w:rsid w:val="63844E4C"/>
    <w:rsid w:val="638C36A0"/>
    <w:rsid w:val="638C7B70"/>
    <w:rsid w:val="638E5CCA"/>
    <w:rsid w:val="639100C0"/>
    <w:rsid w:val="639130C5"/>
    <w:rsid w:val="63A4104A"/>
    <w:rsid w:val="63A841F3"/>
    <w:rsid w:val="63AE68F0"/>
    <w:rsid w:val="63B0175C"/>
    <w:rsid w:val="63B53257"/>
    <w:rsid w:val="63B82D47"/>
    <w:rsid w:val="63C05146"/>
    <w:rsid w:val="63C422ED"/>
    <w:rsid w:val="63C67212"/>
    <w:rsid w:val="63C81B5F"/>
    <w:rsid w:val="63CE4319"/>
    <w:rsid w:val="63D23967"/>
    <w:rsid w:val="63D556A7"/>
    <w:rsid w:val="63D77671"/>
    <w:rsid w:val="63E853DA"/>
    <w:rsid w:val="63F20007"/>
    <w:rsid w:val="63F41FD1"/>
    <w:rsid w:val="63F529BB"/>
    <w:rsid w:val="63FC0037"/>
    <w:rsid w:val="63FC0E86"/>
    <w:rsid w:val="64002C56"/>
    <w:rsid w:val="640468D0"/>
    <w:rsid w:val="6415356C"/>
    <w:rsid w:val="641937E6"/>
    <w:rsid w:val="642318FD"/>
    <w:rsid w:val="64254E5B"/>
    <w:rsid w:val="642C3481"/>
    <w:rsid w:val="64300B2F"/>
    <w:rsid w:val="64383165"/>
    <w:rsid w:val="643A00E2"/>
    <w:rsid w:val="643B36EE"/>
    <w:rsid w:val="64440C3B"/>
    <w:rsid w:val="644D348F"/>
    <w:rsid w:val="644D5587"/>
    <w:rsid w:val="64564E9C"/>
    <w:rsid w:val="645A2702"/>
    <w:rsid w:val="645D033A"/>
    <w:rsid w:val="64607667"/>
    <w:rsid w:val="64682077"/>
    <w:rsid w:val="647427C4"/>
    <w:rsid w:val="64784442"/>
    <w:rsid w:val="647A1DAB"/>
    <w:rsid w:val="64875ED4"/>
    <w:rsid w:val="648A6492"/>
    <w:rsid w:val="648C013F"/>
    <w:rsid w:val="648F3AA8"/>
    <w:rsid w:val="64915A72"/>
    <w:rsid w:val="64974E1F"/>
    <w:rsid w:val="64980E76"/>
    <w:rsid w:val="649E3E18"/>
    <w:rsid w:val="64AD324C"/>
    <w:rsid w:val="64AD3F2E"/>
    <w:rsid w:val="64AF5EF8"/>
    <w:rsid w:val="64B442D5"/>
    <w:rsid w:val="64B4480A"/>
    <w:rsid w:val="64B654D9"/>
    <w:rsid w:val="64BD18A6"/>
    <w:rsid w:val="64C5070B"/>
    <w:rsid w:val="64E21E2A"/>
    <w:rsid w:val="64EA33D4"/>
    <w:rsid w:val="64EB66A0"/>
    <w:rsid w:val="64EC5F19"/>
    <w:rsid w:val="64FB3F63"/>
    <w:rsid w:val="65071890"/>
    <w:rsid w:val="650C334B"/>
    <w:rsid w:val="650C6EA7"/>
    <w:rsid w:val="650E764E"/>
    <w:rsid w:val="650F6997"/>
    <w:rsid w:val="65161901"/>
    <w:rsid w:val="65246EEB"/>
    <w:rsid w:val="65293EFC"/>
    <w:rsid w:val="653463FD"/>
    <w:rsid w:val="6549634D"/>
    <w:rsid w:val="654A1BF2"/>
    <w:rsid w:val="654E74BF"/>
    <w:rsid w:val="65566374"/>
    <w:rsid w:val="655B47F6"/>
    <w:rsid w:val="655D64BD"/>
    <w:rsid w:val="657264E0"/>
    <w:rsid w:val="65750EF0"/>
    <w:rsid w:val="657D5FF6"/>
    <w:rsid w:val="657E3510"/>
    <w:rsid w:val="65841133"/>
    <w:rsid w:val="65845BF0"/>
    <w:rsid w:val="6586557A"/>
    <w:rsid w:val="658B24C1"/>
    <w:rsid w:val="658B6DC7"/>
    <w:rsid w:val="65901886"/>
    <w:rsid w:val="65930D0A"/>
    <w:rsid w:val="659550EE"/>
    <w:rsid w:val="659B3DD0"/>
    <w:rsid w:val="65A5045A"/>
    <w:rsid w:val="65AA1D66"/>
    <w:rsid w:val="65B35574"/>
    <w:rsid w:val="65B52F05"/>
    <w:rsid w:val="65C05FB4"/>
    <w:rsid w:val="65C51F4F"/>
    <w:rsid w:val="65C854C3"/>
    <w:rsid w:val="65CD15AA"/>
    <w:rsid w:val="65D15F28"/>
    <w:rsid w:val="65D31C24"/>
    <w:rsid w:val="65E44ABB"/>
    <w:rsid w:val="65E45E63"/>
    <w:rsid w:val="65E63B9C"/>
    <w:rsid w:val="65E9368C"/>
    <w:rsid w:val="65ED4F2A"/>
    <w:rsid w:val="65F00576"/>
    <w:rsid w:val="65F64672"/>
    <w:rsid w:val="65FC792C"/>
    <w:rsid w:val="65FD77DA"/>
    <w:rsid w:val="66067D9A"/>
    <w:rsid w:val="660E6C4E"/>
    <w:rsid w:val="661E407A"/>
    <w:rsid w:val="661F3314"/>
    <w:rsid w:val="66263F98"/>
    <w:rsid w:val="66342B59"/>
    <w:rsid w:val="66344907"/>
    <w:rsid w:val="6638402D"/>
    <w:rsid w:val="66387FE4"/>
    <w:rsid w:val="6640400A"/>
    <w:rsid w:val="6650370B"/>
    <w:rsid w:val="66524D8D"/>
    <w:rsid w:val="66552656"/>
    <w:rsid w:val="665B2D46"/>
    <w:rsid w:val="665E2E10"/>
    <w:rsid w:val="6660394E"/>
    <w:rsid w:val="667967BE"/>
    <w:rsid w:val="667F4902"/>
    <w:rsid w:val="66812FCE"/>
    <w:rsid w:val="668A04D8"/>
    <w:rsid w:val="668B63F2"/>
    <w:rsid w:val="668B6989"/>
    <w:rsid w:val="66937F9E"/>
    <w:rsid w:val="66A355E9"/>
    <w:rsid w:val="66A643B6"/>
    <w:rsid w:val="66B5531C"/>
    <w:rsid w:val="66B94E0C"/>
    <w:rsid w:val="66B955E9"/>
    <w:rsid w:val="66C726B2"/>
    <w:rsid w:val="66C72D13"/>
    <w:rsid w:val="66CC0618"/>
    <w:rsid w:val="66CD6B09"/>
    <w:rsid w:val="66CE47F2"/>
    <w:rsid w:val="66E71979"/>
    <w:rsid w:val="66ED432C"/>
    <w:rsid w:val="66EF082E"/>
    <w:rsid w:val="66F03C03"/>
    <w:rsid w:val="66F67E0E"/>
    <w:rsid w:val="66FF65EC"/>
    <w:rsid w:val="67004B3C"/>
    <w:rsid w:val="67082C0B"/>
    <w:rsid w:val="670D2F25"/>
    <w:rsid w:val="671039B9"/>
    <w:rsid w:val="67113D80"/>
    <w:rsid w:val="671309C0"/>
    <w:rsid w:val="67185FD7"/>
    <w:rsid w:val="6723289D"/>
    <w:rsid w:val="672758C1"/>
    <w:rsid w:val="672C1A82"/>
    <w:rsid w:val="67327623"/>
    <w:rsid w:val="67334BBF"/>
    <w:rsid w:val="67397CFB"/>
    <w:rsid w:val="673F740E"/>
    <w:rsid w:val="674221B8"/>
    <w:rsid w:val="6749628D"/>
    <w:rsid w:val="67535261"/>
    <w:rsid w:val="67582877"/>
    <w:rsid w:val="676E5BF7"/>
    <w:rsid w:val="67752F32"/>
    <w:rsid w:val="67762CFD"/>
    <w:rsid w:val="677E7693"/>
    <w:rsid w:val="67837B66"/>
    <w:rsid w:val="67892A30"/>
    <w:rsid w:val="678B58B0"/>
    <w:rsid w:val="678D7E47"/>
    <w:rsid w:val="67900263"/>
    <w:rsid w:val="679118E5"/>
    <w:rsid w:val="679C6C08"/>
    <w:rsid w:val="67A07D7A"/>
    <w:rsid w:val="67B04461"/>
    <w:rsid w:val="67B32A81"/>
    <w:rsid w:val="67B556CF"/>
    <w:rsid w:val="67BD6B7E"/>
    <w:rsid w:val="67CF2843"/>
    <w:rsid w:val="67D20AFE"/>
    <w:rsid w:val="67D429D4"/>
    <w:rsid w:val="67E705A4"/>
    <w:rsid w:val="67EA640D"/>
    <w:rsid w:val="67ED19DC"/>
    <w:rsid w:val="67F53B1D"/>
    <w:rsid w:val="6804655B"/>
    <w:rsid w:val="68064081"/>
    <w:rsid w:val="680971E3"/>
    <w:rsid w:val="682027E0"/>
    <w:rsid w:val="68212C69"/>
    <w:rsid w:val="68264723"/>
    <w:rsid w:val="682A65AB"/>
    <w:rsid w:val="682E4ACA"/>
    <w:rsid w:val="68324E76"/>
    <w:rsid w:val="6833299C"/>
    <w:rsid w:val="683A1F7D"/>
    <w:rsid w:val="684F3F6D"/>
    <w:rsid w:val="685017A0"/>
    <w:rsid w:val="68535FEC"/>
    <w:rsid w:val="685A261F"/>
    <w:rsid w:val="685C6397"/>
    <w:rsid w:val="68617B37"/>
    <w:rsid w:val="686B7D72"/>
    <w:rsid w:val="686C33FF"/>
    <w:rsid w:val="687D2657"/>
    <w:rsid w:val="68864A1A"/>
    <w:rsid w:val="68882CE8"/>
    <w:rsid w:val="688B27D8"/>
    <w:rsid w:val="688B3B0D"/>
    <w:rsid w:val="688E11B4"/>
    <w:rsid w:val="68A25FEB"/>
    <w:rsid w:val="68B56D21"/>
    <w:rsid w:val="68BF2482"/>
    <w:rsid w:val="68D643E7"/>
    <w:rsid w:val="68E5013A"/>
    <w:rsid w:val="68EF0FB9"/>
    <w:rsid w:val="68EF2D67"/>
    <w:rsid w:val="68F0088D"/>
    <w:rsid w:val="68F22857"/>
    <w:rsid w:val="68FB4663"/>
    <w:rsid w:val="690765F0"/>
    <w:rsid w:val="690835F9"/>
    <w:rsid w:val="69096BB1"/>
    <w:rsid w:val="690A5D3A"/>
    <w:rsid w:val="690C3919"/>
    <w:rsid w:val="690D143F"/>
    <w:rsid w:val="690F3409"/>
    <w:rsid w:val="6911150F"/>
    <w:rsid w:val="6917406C"/>
    <w:rsid w:val="691B590A"/>
    <w:rsid w:val="691D1966"/>
    <w:rsid w:val="691D5B26"/>
    <w:rsid w:val="69224EEB"/>
    <w:rsid w:val="69295C1B"/>
    <w:rsid w:val="692A3D9F"/>
    <w:rsid w:val="692D4963"/>
    <w:rsid w:val="69313380"/>
    <w:rsid w:val="693D7F76"/>
    <w:rsid w:val="69464EE8"/>
    <w:rsid w:val="694B0B8C"/>
    <w:rsid w:val="694B54CC"/>
    <w:rsid w:val="694D7A8E"/>
    <w:rsid w:val="694E5A46"/>
    <w:rsid w:val="6952649C"/>
    <w:rsid w:val="695B1C3F"/>
    <w:rsid w:val="696279DD"/>
    <w:rsid w:val="696D1EDE"/>
    <w:rsid w:val="69717C20"/>
    <w:rsid w:val="69747710"/>
    <w:rsid w:val="697B284D"/>
    <w:rsid w:val="698D4C52"/>
    <w:rsid w:val="698E2580"/>
    <w:rsid w:val="699432D8"/>
    <w:rsid w:val="699D6BFF"/>
    <w:rsid w:val="69B63885"/>
    <w:rsid w:val="69B951A0"/>
    <w:rsid w:val="69BC2D2D"/>
    <w:rsid w:val="69CE5072"/>
    <w:rsid w:val="69D32890"/>
    <w:rsid w:val="69E00902"/>
    <w:rsid w:val="69FA40CD"/>
    <w:rsid w:val="6A026528"/>
    <w:rsid w:val="6A184412"/>
    <w:rsid w:val="6A254BD0"/>
    <w:rsid w:val="6A3D5D54"/>
    <w:rsid w:val="6A3F1E8C"/>
    <w:rsid w:val="6A401926"/>
    <w:rsid w:val="6A4C51B4"/>
    <w:rsid w:val="6A5D1F52"/>
    <w:rsid w:val="6A6257BB"/>
    <w:rsid w:val="6A654F9E"/>
    <w:rsid w:val="6A6A6920"/>
    <w:rsid w:val="6A6C04ED"/>
    <w:rsid w:val="6A7554EE"/>
    <w:rsid w:val="6A820D49"/>
    <w:rsid w:val="6A890F99"/>
    <w:rsid w:val="6A9562C0"/>
    <w:rsid w:val="6A9C2A7B"/>
    <w:rsid w:val="6AA55DB5"/>
    <w:rsid w:val="6AA656A7"/>
    <w:rsid w:val="6AB04609"/>
    <w:rsid w:val="6AB46016"/>
    <w:rsid w:val="6AB733D0"/>
    <w:rsid w:val="6AC00E5F"/>
    <w:rsid w:val="6AC23F08"/>
    <w:rsid w:val="6AC36259"/>
    <w:rsid w:val="6AC81AC2"/>
    <w:rsid w:val="6ACC3392"/>
    <w:rsid w:val="6AD14EB6"/>
    <w:rsid w:val="6ADA17F5"/>
    <w:rsid w:val="6ADC37BF"/>
    <w:rsid w:val="6AE67325"/>
    <w:rsid w:val="6AE67C30"/>
    <w:rsid w:val="6AE76B91"/>
    <w:rsid w:val="6AEA37B4"/>
    <w:rsid w:val="6AF64881"/>
    <w:rsid w:val="6AFD2058"/>
    <w:rsid w:val="6B036F9E"/>
    <w:rsid w:val="6B0A032C"/>
    <w:rsid w:val="6B0F612A"/>
    <w:rsid w:val="6B114789"/>
    <w:rsid w:val="6B1343BA"/>
    <w:rsid w:val="6B20545A"/>
    <w:rsid w:val="6B226630"/>
    <w:rsid w:val="6B2B3DFF"/>
    <w:rsid w:val="6B2C02A3"/>
    <w:rsid w:val="6B2D401B"/>
    <w:rsid w:val="6B364C7D"/>
    <w:rsid w:val="6B413622"/>
    <w:rsid w:val="6B426AD4"/>
    <w:rsid w:val="6B493498"/>
    <w:rsid w:val="6B4A0729"/>
    <w:rsid w:val="6B4B624F"/>
    <w:rsid w:val="6B647ABE"/>
    <w:rsid w:val="6B657311"/>
    <w:rsid w:val="6B783F4A"/>
    <w:rsid w:val="6B7B4D86"/>
    <w:rsid w:val="6B961BC0"/>
    <w:rsid w:val="6BAB69D0"/>
    <w:rsid w:val="6BB04B7E"/>
    <w:rsid w:val="6BB65DBE"/>
    <w:rsid w:val="6BCF0C2E"/>
    <w:rsid w:val="6BE50451"/>
    <w:rsid w:val="6BE87152"/>
    <w:rsid w:val="6BF012D0"/>
    <w:rsid w:val="6BF40694"/>
    <w:rsid w:val="6BF568E6"/>
    <w:rsid w:val="6BF6440D"/>
    <w:rsid w:val="6BFB1C2F"/>
    <w:rsid w:val="6C0C59DE"/>
    <w:rsid w:val="6C216CC1"/>
    <w:rsid w:val="6C397663"/>
    <w:rsid w:val="6C397AD4"/>
    <w:rsid w:val="6C40795D"/>
    <w:rsid w:val="6C4231A7"/>
    <w:rsid w:val="6C4909E0"/>
    <w:rsid w:val="6C4F322F"/>
    <w:rsid w:val="6C505805"/>
    <w:rsid w:val="6C545C48"/>
    <w:rsid w:val="6C553829"/>
    <w:rsid w:val="6C5E0930"/>
    <w:rsid w:val="6C5F1A82"/>
    <w:rsid w:val="6C6475C8"/>
    <w:rsid w:val="6C6F0630"/>
    <w:rsid w:val="6C7041BF"/>
    <w:rsid w:val="6C7F08A6"/>
    <w:rsid w:val="6C826EF9"/>
    <w:rsid w:val="6C8275CD"/>
    <w:rsid w:val="6C835840"/>
    <w:rsid w:val="6C844A88"/>
    <w:rsid w:val="6C8639E2"/>
    <w:rsid w:val="6C88775B"/>
    <w:rsid w:val="6C916E5A"/>
    <w:rsid w:val="6C936F9C"/>
    <w:rsid w:val="6C97799E"/>
    <w:rsid w:val="6C9C22F6"/>
    <w:rsid w:val="6CA125CA"/>
    <w:rsid w:val="6CA4030D"/>
    <w:rsid w:val="6CA669D4"/>
    <w:rsid w:val="6CA92E76"/>
    <w:rsid w:val="6CAD0F6F"/>
    <w:rsid w:val="6CB00A5F"/>
    <w:rsid w:val="6CB247D7"/>
    <w:rsid w:val="6CB53262"/>
    <w:rsid w:val="6CBE4128"/>
    <w:rsid w:val="6CCA7D73"/>
    <w:rsid w:val="6CD209D6"/>
    <w:rsid w:val="6CDE381E"/>
    <w:rsid w:val="6CEB1A97"/>
    <w:rsid w:val="6CEC4026"/>
    <w:rsid w:val="6CF04659"/>
    <w:rsid w:val="6CF3094C"/>
    <w:rsid w:val="6CF50B68"/>
    <w:rsid w:val="6CF7043C"/>
    <w:rsid w:val="6CF951CB"/>
    <w:rsid w:val="6CFD2097"/>
    <w:rsid w:val="6D033070"/>
    <w:rsid w:val="6D046695"/>
    <w:rsid w:val="6D0F5486"/>
    <w:rsid w:val="6D147240"/>
    <w:rsid w:val="6D1546D1"/>
    <w:rsid w:val="6D1A3FF7"/>
    <w:rsid w:val="6D21370B"/>
    <w:rsid w:val="6D254FA9"/>
    <w:rsid w:val="6D2704F1"/>
    <w:rsid w:val="6D2901A8"/>
    <w:rsid w:val="6D321474"/>
    <w:rsid w:val="6D351F33"/>
    <w:rsid w:val="6D396CA7"/>
    <w:rsid w:val="6D4C0A26"/>
    <w:rsid w:val="6D561364"/>
    <w:rsid w:val="6D580A51"/>
    <w:rsid w:val="6D5B6399"/>
    <w:rsid w:val="6D5D7E7A"/>
    <w:rsid w:val="6D5E032E"/>
    <w:rsid w:val="6D657A47"/>
    <w:rsid w:val="6D68758C"/>
    <w:rsid w:val="6D7C6B93"/>
    <w:rsid w:val="6D885538"/>
    <w:rsid w:val="6D89643E"/>
    <w:rsid w:val="6D951258"/>
    <w:rsid w:val="6D960663"/>
    <w:rsid w:val="6D967F0B"/>
    <w:rsid w:val="6D9C5A9B"/>
    <w:rsid w:val="6DA00AD4"/>
    <w:rsid w:val="6DA27A12"/>
    <w:rsid w:val="6DA32D1D"/>
    <w:rsid w:val="6DA560EA"/>
    <w:rsid w:val="6DAA0B15"/>
    <w:rsid w:val="6DAA1953"/>
    <w:rsid w:val="6DAC1227"/>
    <w:rsid w:val="6DAD31F1"/>
    <w:rsid w:val="6DB4042E"/>
    <w:rsid w:val="6DB74CDB"/>
    <w:rsid w:val="6DB97DE8"/>
    <w:rsid w:val="6DE4711E"/>
    <w:rsid w:val="6DE5298B"/>
    <w:rsid w:val="6DE81023"/>
    <w:rsid w:val="6DE82DA9"/>
    <w:rsid w:val="6DFC2E29"/>
    <w:rsid w:val="6DFD721E"/>
    <w:rsid w:val="6E005A16"/>
    <w:rsid w:val="6E02353D"/>
    <w:rsid w:val="6E09760F"/>
    <w:rsid w:val="6E0C7F17"/>
    <w:rsid w:val="6E0E33A7"/>
    <w:rsid w:val="6E0F3FD9"/>
    <w:rsid w:val="6E1312A6"/>
    <w:rsid w:val="6E157FEC"/>
    <w:rsid w:val="6E1D0376"/>
    <w:rsid w:val="6E2D4AAE"/>
    <w:rsid w:val="6E2E60E0"/>
    <w:rsid w:val="6E3851B0"/>
    <w:rsid w:val="6E3B07FD"/>
    <w:rsid w:val="6E4D6016"/>
    <w:rsid w:val="6E5747E6"/>
    <w:rsid w:val="6E591E68"/>
    <w:rsid w:val="6E5A56E4"/>
    <w:rsid w:val="6E5A6ED5"/>
    <w:rsid w:val="6E751F61"/>
    <w:rsid w:val="6E7B75BF"/>
    <w:rsid w:val="6E895A0C"/>
    <w:rsid w:val="6E9E14B7"/>
    <w:rsid w:val="6EA24120"/>
    <w:rsid w:val="6EA84C4D"/>
    <w:rsid w:val="6EAB14DE"/>
    <w:rsid w:val="6EAB5982"/>
    <w:rsid w:val="6EAE554D"/>
    <w:rsid w:val="6EB04D47"/>
    <w:rsid w:val="6EB25067"/>
    <w:rsid w:val="6EB5235D"/>
    <w:rsid w:val="6EB81E4D"/>
    <w:rsid w:val="6EBC7B8F"/>
    <w:rsid w:val="6ECB657E"/>
    <w:rsid w:val="6EDA1DC4"/>
    <w:rsid w:val="6EDE2C6C"/>
    <w:rsid w:val="6EDF562C"/>
    <w:rsid w:val="6EE13152"/>
    <w:rsid w:val="6EE92957"/>
    <w:rsid w:val="6EEA6F06"/>
    <w:rsid w:val="6EED03F4"/>
    <w:rsid w:val="6EEE586F"/>
    <w:rsid w:val="6EF44A81"/>
    <w:rsid w:val="6EF70BC7"/>
    <w:rsid w:val="6EFC4430"/>
    <w:rsid w:val="6EFC7F8C"/>
    <w:rsid w:val="6F0411DF"/>
    <w:rsid w:val="6F0D2199"/>
    <w:rsid w:val="6F0E1CF7"/>
    <w:rsid w:val="6F151679"/>
    <w:rsid w:val="6F1654F2"/>
    <w:rsid w:val="6F1860EB"/>
    <w:rsid w:val="6F2D6397"/>
    <w:rsid w:val="6F35524C"/>
    <w:rsid w:val="6F3911E0"/>
    <w:rsid w:val="6F3C65DA"/>
    <w:rsid w:val="6F40256E"/>
    <w:rsid w:val="6F502BDB"/>
    <w:rsid w:val="6F5222A2"/>
    <w:rsid w:val="6F631DB9"/>
    <w:rsid w:val="6F690D5D"/>
    <w:rsid w:val="6F701C0C"/>
    <w:rsid w:val="6F765F90"/>
    <w:rsid w:val="6F7A7103"/>
    <w:rsid w:val="6F805710"/>
    <w:rsid w:val="6F86120D"/>
    <w:rsid w:val="6F8A7E10"/>
    <w:rsid w:val="6F914B78"/>
    <w:rsid w:val="6F957859"/>
    <w:rsid w:val="6FA10B33"/>
    <w:rsid w:val="6FA26D85"/>
    <w:rsid w:val="6FA903C5"/>
    <w:rsid w:val="6FAC0A12"/>
    <w:rsid w:val="6FAC5D4C"/>
    <w:rsid w:val="6FAD74D8"/>
    <w:rsid w:val="6FAF3250"/>
    <w:rsid w:val="6FB66984"/>
    <w:rsid w:val="6FBD0B20"/>
    <w:rsid w:val="6FBD3BBF"/>
    <w:rsid w:val="6FCC6840"/>
    <w:rsid w:val="6FD3509E"/>
    <w:rsid w:val="6FDD7DBD"/>
    <w:rsid w:val="6FDE58E3"/>
    <w:rsid w:val="6FEB48D4"/>
    <w:rsid w:val="6FF9096F"/>
    <w:rsid w:val="6FF92209"/>
    <w:rsid w:val="6FFB6495"/>
    <w:rsid w:val="6FFD3FBC"/>
    <w:rsid w:val="6FFE1AE2"/>
    <w:rsid w:val="7003705E"/>
    <w:rsid w:val="70050830"/>
    <w:rsid w:val="70057314"/>
    <w:rsid w:val="70096E04"/>
    <w:rsid w:val="700F1F41"/>
    <w:rsid w:val="70223A22"/>
    <w:rsid w:val="7028754C"/>
    <w:rsid w:val="702C664F"/>
    <w:rsid w:val="70333E81"/>
    <w:rsid w:val="70334C37"/>
    <w:rsid w:val="70342A56"/>
    <w:rsid w:val="703577AD"/>
    <w:rsid w:val="7041394D"/>
    <w:rsid w:val="7047792D"/>
    <w:rsid w:val="70480890"/>
    <w:rsid w:val="70482395"/>
    <w:rsid w:val="7048670A"/>
    <w:rsid w:val="704C20A6"/>
    <w:rsid w:val="704F058F"/>
    <w:rsid w:val="70523676"/>
    <w:rsid w:val="70531E2E"/>
    <w:rsid w:val="70574D6F"/>
    <w:rsid w:val="705D38EA"/>
    <w:rsid w:val="70624F46"/>
    <w:rsid w:val="7064228D"/>
    <w:rsid w:val="70691651"/>
    <w:rsid w:val="70711915"/>
    <w:rsid w:val="70721902"/>
    <w:rsid w:val="70730722"/>
    <w:rsid w:val="707B1384"/>
    <w:rsid w:val="7080699B"/>
    <w:rsid w:val="70822713"/>
    <w:rsid w:val="708A2460"/>
    <w:rsid w:val="708C533F"/>
    <w:rsid w:val="70960F47"/>
    <w:rsid w:val="709A41CE"/>
    <w:rsid w:val="709D5D2D"/>
    <w:rsid w:val="709E3A43"/>
    <w:rsid w:val="70A21EE6"/>
    <w:rsid w:val="70AF366D"/>
    <w:rsid w:val="70B57A97"/>
    <w:rsid w:val="70C1148D"/>
    <w:rsid w:val="70C9668F"/>
    <w:rsid w:val="70CA1555"/>
    <w:rsid w:val="70D225BE"/>
    <w:rsid w:val="70D26425"/>
    <w:rsid w:val="70D66C87"/>
    <w:rsid w:val="70E9087D"/>
    <w:rsid w:val="70EE5FFA"/>
    <w:rsid w:val="70F64EEA"/>
    <w:rsid w:val="70FC1741"/>
    <w:rsid w:val="71017ADB"/>
    <w:rsid w:val="710347DF"/>
    <w:rsid w:val="710C1B97"/>
    <w:rsid w:val="71145A61"/>
    <w:rsid w:val="7116404F"/>
    <w:rsid w:val="71202A40"/>
    <w:rsid w:val="71327C95"/>
    <w:rsid w:val="71341C5F"/>
    <w:rsid w:val="71353C29"/>
    <w:rsid w:val="714B6FA9"/>
    <w:rsid w:val="71502AB1"/>
    <w:rsid w:val="71614A1E"/>
    <w:rsid w:val="71663DE2"/>
    <w:rsid w:val="716D5171"/>
    <w:rsid w:val="71701106"/>
    <w:rsid w:val="71704C61"/>
    <w:rsid w:val="717107C9"/>
    <w:rsid w:val="71744751"/>
    <w:rsid w:val="71771B4C"/>
    <w:rsid w:val="717A4770"/>
    <w:rsid w:val="71802EA9"/>
    <w:rsid w:val="71810C1C"/>
    <w:rsid w:val="71881FAB"/>
    <w:rsid w:val="71892882"/>
    <w:rsid w:val="718A39A6"/>
    <w:rsid w:val="718B01DD"/>
    <w:rsid w:val="718E0FA7"/>
    <w:rsid w:val="718F3339"/>
    <w:rsid w:val="71900E5F"/>
    <w:rsid w:val="71951611"/>
    <w:rsid w:val="71A50ADE"/>
    <w:rsid w:val="71B20DD6"/>
    <w:rsid w:val="71B52674"/>
    <w:rsid w:val="71B72890"/>
    <w:rsid w:val="71B92164"/>
    <w:rsid w:val="71BC5C79"/>
    <w:rsid w:val="71BF551A"/>
    <w:rsid w:val="71C32FE3"/>
    <w:rsid w:val="71C81856"/>
    <w:rsid w:val="71C867F5"/>
    <w:rsid w:val="71E01DE7"/>
    <w:rsid w:val="71EC253A"/>
    <w:rsid w:val="71ED62B2"/>
    <w:rsid w:val="71F31B1A"/>
    <w:rsid w:val="71F45EB5"/>
    <w:rsid w:val="71F80EC2"/>
    <w:rsid w:val="720158B9"/>
    <w:rsid w:val="720C2776"/>
    <w:rsid w:val="721F6FDD"/>
    <w:rsid w:val="72261FA8"/>
    <w:rsid w:val="722A12B4"/>
    <w:rsid w:val="72323CC5"/>
    <w:rsid w:val="7238227B"/>
    <w:rsid w:val="72503C01"/>
    <w:rsid w:val="72516841"/>
    <w:rsid w:val="72565722"/>
    <w:rsid w:val="7256679E"/>
    <w:rsid w:val="72571B87"/>
    <w:rsid w:val="72646574"/>
    <w:rsid w:val="72710C91"/>
    <w:rsid w:val="7273425B"/>
    <w:rsid w:val="727644F9"/>
    <w:rsid w:val="728171E9"/>
    <w:rsid w:val="72825CE3"/>
    <w:rsid w:val="728D1EB9"/>
    <w:rsid w:val="7298446F"/>
    <w:rsid w:val="7298621E"/>
    <w:rsid w:val="729D55E2"/>
    <w:rsid w:val="72AB5F51"/>
    <w:rsid w:val="72AE5A41"/>
    <w:rsid w:val="72B12F90"/>
    <w:rsid w:val="72B92879"/>
    <w:rsid w:val="72BB1F0C"/>
    <w:rsid w:val="72BB69CA"/>
    <w:rsid w:val="72BD7A32"/>
    <w:rsid w:val="72BE481F"/>
    <w:rsid w:val="72BF7C4E"/>
    <w:rsid w:val="72CE0B34"/>
    <w:rsid w:val="72DC25AE"/>
    <w:rsid w:val="72E17BC5"/>
    <w:rsid w:val="72F0605A"/>
    <w:rsid w:val="7318110C"/>
    <w:rsid w:val="731A4E85"/>
    <w:rsid w:val="731E0187"/>
    <w:rsid w:val="7329156C"/>
    <w:rsid w:val="733114FA"/>
    <w:rsid w:val="733F48EB"/>
    <w:rsid w:val="73412360"/>
    <w:rsid w:val="734463A5"/>
    <w:rsid w:val="734E3C5A"/>
    <w:rsid w:val="735008A6"/>
    <w:rsid w:val="735465E8"/>
    <w:rsid w:val="73571FD2"/>
    <w:rsid w:val="736073AD"/>
    <w:rsid w:val="736425A4"/>
    <w:rsid w:val="737722D7"/>
    <w:rsid w:val="73792FA4"/>
    <w:rsid w:val="737C5B3F"/>
    <w:rsid w:val="73820B6A"/>
    <w:rsid w:val="73922C6D"/>
    <w:rsid w:val="739E1612"/>
    <w:rsid w:val="739E717E"/>
    <w:rsid w:val="73A155A6"/>
    <w:rsid w:val="73AB1F81"/>
    <w:rsid w:val="73B057E9"/>
    <w:rsid w:val="73B452D9"/>
    <w:rsid w:val="73B70925"/>
    <w:rsid w:val="73B9469D"/>
    <w:rsid w:val="73C03C7E"/>
    <w:rsid w:val="73C179F6"/>
    <w:rsid w:val="73C40A94"/>
    <w:rsid w:val="73C42AC0"/>
    <w:rsid w:val="73C848E1"/>
    <w:rsid w:val="73D239B1"/>
    <w:rsid w:val="73D56FFD"/>
    <w:rsid w:val="73D70FC8"/>
    <w:rsid w:val="73DB0AB8"/>
    <w:rsid w:val="73E7745D"/>
    <w:rsid w:val="73E97B4F"/>
    <w:rsid w:val="73FE47A6"/>
    <w:rsid w:val="73FF0C86"/>
    <w:rsid w:val="74033B6B"/>
    <w:rsid w:val="740805B3"/>
    <w:rsid w:val="740E0A5A"/>
    <w:rsid w:val="741221C2"/>
    <w:rsid w:val="74130252"/>
    <w:rsid w:val="7419513C"/>
    <w:rsid w:val="7420471D"/>
    <w:rsid w:val="74222C41"/>
    <w:rsid w:val="74251D33"/>
    <w:rsid w:val="74275AAB"/>
    <w:rsid w:val="74304A2C"/>
    <w:rsid w:val="743252EE"/>
    <w:rsid w:val="74351904"/>
    <w:rsid w:val="74416441"/>
    <w:rsid w:val="74455F31"/>
    <w:rsid w:val="744E6B50"/>
    <w:rsid w:val="744F5002"/>
    <w:rsid w:val="74583EB6"/>
    <w:rsid w:val="74634609"/>
    <w:rsid w:val="747B5DF7"/>
    <w:rsid w:val="74830BC1"/>
    <w:rsid w:val="748474DA"/>
    <w:rsid w:val="748A7DE8"/>
    <w:rsid w:val="748C1DB2"/>
    <w:rsid w:val="748E4706"/>
    <w:rsid w:val="748E51A4"/>
    <w:rsid w:val="748F0B50"/>
    <w:rsid w:val="74904342"/>
    <w:rsid w:val="74A14C3A"/>
    <w:rsid w:val="74A3347A"/>
    <w:rsid w:val="74A66C0D"/>
    <w:rsid w:val="74AA5F4F"/>
    <w:rsid w:val="74AC7D5E"/>
    <w:rsid w:val="74BE7A92"/>
    <w:rsid w:val="74C12C69"/>
    <w:rsid w:val="74C257D4"/>
    <w:rsid w:val="74CB5AD7"/>
    <w:rsid w:val="74CE54BD"/>
    <w:rsid w:val="74DD260E"/>
    <w:rsid w:val="74DD7C45"/>
    <w:rsid w:val="74DE1B69"/>
    <w:rsid w:val="74EB6AD9"/>
    <w:rsid w:val="74EE6AD0"/>
    <w:rsid w:val="74EF29BE"/>
    <w:rsid w:val="74F02341"/>
    <w:rsid w:val="74F46E8C"/>
    <w:rsid w:val="74F55BA9"/>
    <w:rsid w:val="74F944F9"/>
    <w:rsid w:val="74FA2DFF"/>
    <w:rsid w:val="74FC6F38"/>
    <w:rsid w:val="74FE366A"/>
    <w:rsid w:val="750040BD"/>
    <w:rsid w:val="75062505"/>
    <w:rsid w:val="750D3A6F"/>
    <w:rsid w:val="751375EE"/>
    <w:rsid w:val="751D0C5C"/>
    <w:rsid w:val="752244C4"/>
    <w:rsid w:val="7522622B"/>
    <w:rsid w:val="752478BB"/>
    <w:rsid w:val="752A303B"/>
    <w:rsid w:val="752B4572"/>
    <w:rsid w:val="752C70F1"/>
    <w:rsid w:val="7533222E"/>
    <w:rsid w:val="75371D1E"/>
    <w:rsid w:val="75410DEE"/>
    <w:rsid w:val="75422471"/>
    <w:rsid w:val="754306E3"/>
    <w:rsid w:val="754601B3"/>
    <w:rsid w:val="7546388F"/>
    <w:rsid w:val="75491A51"/>
    <w:rsid w:val="75556648"/>
    <w:rsid w:val="755A1EB0"/>
    <w:rsid w:val="756B3B07"/>
    <w:rsid w:val="757A4300"/>
    <w:rsid w:val="7592197C"/>
    <w:rsid w:val="75A93F2C"/>
    <w:rsid w:val="75B81421"/>
    <w:rsid w:val="75B90985"/>
    <w:rsid w:val="75BB7AD4"/>
    <w:rsid w:val="75C8033F"/>
    <w:rsid w:val="75FB71EF"/>
    <w:rsid w:val="75FE3485"/>
    <w:rsid w:val="760B4F58"/>
    <w:rsid w:val="761A519B"/>
    <w:rsid w:val="76226A64"/>
    <w:rsid w:val="762F6E4A"/>
    <w:rsid w:val="76357E9D"/>
    <w:rsid w:val="763C15B6"/>
    <w:rsid w:val="763D3615"/>
    <w:rsid w:val="763D7808"/>
    <w:rsid w:val="764010A6"/>
    <w:rsid w:val="764447CB"/>
    <w:rsid w:val="764D0C4D"/>
    <w:rsid w:val="7650620D"/>
    <w:rsid w:val="76552ED1"/>
    <w:rsid w:val="76600D0C"/>
    <w:rsid w:val="76641C80"/>
    <w:rsid w:val="766B0673"/>
    <w:rsid w:val="766C3C49"/>
    <w:rsid w:val="766D1334"/>
    <w:rsid w:val="76766876"/>
    <w:rsid w:val="76793A48"/>
    <w:rsid w:val="76852F5D"/>
    <w:rsid w:val="76960CC6"/>
    <w:rsid w:val="76985084"/>
    <w:rsid w:val="76A1577F"/>
    <w:rsid w:val="76A2229C"/>
    <w:rsid w:val="76A258BD"/>
    <w:rsid w:val="76AC673B"/>
    <w:rsid w:val="76B455F0"/>
    <w:rsid w:val="76B83ED9"/>
    <w:rsid w:val="76BD44A5"/>
    <w:rsid w:val="76BF021D"/>
    <w:rsid w:val="76C923A0"/>
    <w:rsid w:val="76D96E05"/>
    <w:rsid w:val="76DA32A9"/>
    <w:rsid w:val="76E14B65"/>
    <w:rsid w:val="76EC2FDC"/>
    <w:rsid w:val="76ED7D36"/>
    <w:rsid w:val="76F0487A"/>
    <w:rsid w:val="76FB4935"/>
    <w:rsid w:val="76FB6D7B"/>
    <w:rsid w:val="76FF1BAD"/>
    <w:rsid w:val="770179C1"/>
    <w:rsid w:val="770648B1"/>
    <w:rsid w:val="770A220B"/>
    <w:rsid w:val="77106CCA"/>
    <w:rsid w:val="7718792D"/>
    <w:rsid w:val="77266D5B"/>
    <w:rsid w:val="77286DE9"/>
    <w:rsid w:val="773109EF"/>
    <w:rsid w:val="773177CA"/>
    <w:rsid w:val="773329B9"/>
    <w:rsid w:val="77336515"/>
    <w:rsid w:val="773724A9"/>
    <w:rsid w:val="77383B2B"/>
    <w:rsid w:val="773A683D"/>
    <w:rsid w:val="773C186D"/>
    <w:rsid w:val="77443A25"/>
    <w:rsid w:val="774A385E"/>
    <w:rsid w:val="7754728F"/>
    <w:rsid w:val="775546DD"/>
    <w:rsid w:val="7761640E"/>
    <w:rsid w:val="77675C2A"/>
    <w:rsid w:val="776C3889"/>
    <w:rsid w:val="77784870"/>
    <w:rsid w:val="777D74C1"/>
    <w:rsid w:val="77822FF8"/>
    <w:rsid w:val="7791148D"/>
    <w:rsid w:val="77974CF6"/>
    <w:rsid w:val="77A41BF0"/>
    <w:rsid w:val="77A458E3"/>
    <w:rsid w:val="77A64F39"/>
    <w:rsid w:val="77A92C7B"/>
    <w:rsid w:val="77B05DB7"/>
    <w:rsid w:val="77B5517C"/>
    <w:rsid w:val="77BA09E4"/>
    <w:rsid w:val="77BA4E88"/>
    <w:rsid w:val="77BC650A"/>
    <w:rsid w:val="77BE6726"/>
    <w:rsid w:val="77BF5FFA"/>
    <w:rsid w:val="77C307BF"/>
    <w:rsid w:val="77CA5C1A"/>
    <w:rsid w:val="77CE4490"/>
    <w:rsid w:val="77D61BF0"/>
    <w:rsid w:val="77D6701F"/>
    <w:rsid w:val="77DA4D7F"/>
    <w:rsid w:val="77DB72D8"/>
    <w:rsid w:val="77E9658A"/>
    <w:rsid w:val="77EA3AA8"/>
    <w:rsid w:val="77EB08C0"/>
    <w:rsid w:val="77EE0563"/>
    <w:rsid w:val="77FD390B"/>
    <w:rsid w:val="77FD5374"/>
    <w:rsid w:val="780D6D66"/>
    <w:rsid w:val="780E3DBB"/>
    <w:rsid w:val="78160310"/>
    <w:rsid w:val="781C68CA"/>
    <w:rsid w:val="782328AA"/>
    <w:rsid w:val="782574E9"/>
    <w:rsid w:val="78281DF2"/>
    <w:rsid w:val="78285EDE"/>
    <w:rsid w:val="782A3BAD"/>
    <w:rsid w:val="782B5247"/>
    <w:rsid w:val="782E3F05"/>
    <w:rsid w:val="78300CA6"/>
    <w:rsid w:val="78306EF8"/>
    <w:rsid w:val="783764D9"/>
    <w:rsid w:val="78515B09"/>
    <w:rsid w:val="785901FD"/>
    <w:rsid w:val="78681BA9"/>
    <w:rsid w:val="786B1CDE"/>
    <w:rsid w:val="786E73D3"/>
    <w:rsid w:val="78790B94"/>
    <w:rsid w:val="787A3ED4"/>
    <w:rsid w:val="787B4FBA"/>
    <w:rsid w:val="787E16AF"/>
    <w:rsid w:val="78864D0C"/>
    <w:rsid w:val="788C15BE"/>
    <w:rsid w:val="788D434B"/>
    <w:rsid w:val="789456D9"/>
    <w:rsid w:val="78986F77"/>
    <w:rsid w:val="78994A9D"/>
    <w:rsid w:val="78A3591C"/>
    <w:rsid w:val="78AC14EC"/>
    <w:rsid w:val="78B2790D"/>
    <w:rsid w:val="78C81D43"/>
    <w:rsid w:val="78C83F92"/>
    <w:rsid w:val="78D14237"/>
    <w:rsid w:val="78E201F2"/>
    <w:rsid w:val="78E33F6B"/>
    <w:rsid w:val="78E424E3"/>
    <w:rsid w:val="78E51A91"/>
    <w:rsid w:val="78E52003"/>
    <w:rsid w:val="78E75809"/>
    <w:rsid w:val="78E82C47"/>
    <w:rsid w:val="78EC72C3"/>
    <w:rsid w:val="78F426B9"/>
    <w:rsid w:val="78F9378E"/>
    <w:rsid w:val="790F4D60"/>
    <w:rsid w:val="791153FF"/>
    <w:rsid w:val="79196BEE"/>
    <w:rsid w:val="791D747D"/>
    <w:rsid w:val="79336CA0"/>
    <w:rsid w:val="794744F9"/>
    <w:rsid w:val="794B223C"/>
    <w:rsid w:val="794B3FEA"/>
    <w:rsid w:val="794C5D4C"/>
    <w:rsid w:val="795D2923"/>
    <w:rsid w:val="795E22EF"/>
    <w:rsid w:val="7960127B"/>
    <w:rsid w:val="79660E24"/>
    <w:rsid w:val="796B4D55"/>
    <w:rsid w:val="796C5D0E"/>
    <w:rsid w:val="796E1A86"/>
    <w:rsid w:val="797540E7"/>
    <w:rsid w:val="79773031"/>
    <w:rsid w:val="797D7F1B"/>
    <w:rsid w:val="79825532"/>
    <w:rsid w:val="79892D64"/>
    <w:rsid w:val="798A110B"/>
    <w:rsid w:val="798E2128"/>
    <w:rsid w:val="799040F2"/>
    <w:rsid w:val="79924211"/>
    <w:rsid w:val="7993773F"/>
    <w:rsid w:val="799F4335"/>
    <w:rsid w:val="799F7E92"/>
    <w:rsid w:val="79A61220"/>
    <w:rsid w:val="79AE6327"/>
    <w:rsid w:val="79B7342D"/>
    <w:rsid w:val="79CF27C5"/>
    <w:rsid w:val="79D20267"/>
    <w:rsid w:val="79D73ACF"/>
    <w:rsid w:val="79D86EC0"/>
    <w:rsid w:val="79DA35C0"/>
    <w:rsid w:val="79DF5257"/>
    <w:rsid w:val="79E217A7"/>
    <w:rsid w:val="79FC52E4"/>
    <w:rsid w:val="79FD1A15"/>
    <w:rsid w:val="79FF6B82"/>
    <w:rsid w:val="7A0128FA"/>
    <w:rsid w:val="7A0441EA"/>
    <w:rsid w:val="7A081EDB"/>
    <w:rsid w:val="7A0D129F"/>
    <w:rsid w:val="7A0F16BE"/>
    <w:rsid w:val="7A13262E"/>
    <w:rsid w:val="7A153394"/>
    <w:rsid w:val="7A1563A6"/>
    <w:rsid w:val="7A212F9C"/>
    <w:rsid w:val="7A214D4A"/>
    <w:rsid w:val="7A2A00A3"/>
    <w:rsid w:val="7A340F22"/>
    <w:rsid w:val="7A36446C"/>
    <w:rsid w:val="7A3F4990"/>
    <w:rsid w:val="7A487241"/>
    <w:rsid w:val="7A4D3D91"/>
    <w:rsid w:val="7A513C47"/>
    <w:rsid w:val="7A592A6D"/>
    <w:rsid w:val="7A65732D"/>
    <w:rsid w:val="7A664E53"/>
    <w:rsid w:val="7A666C01"/>
    <w:rsid w:val="7A676C97"/>
    <w:rsid w:val="7A6A04A0"/>
    <w:rsid w:val="7A6A5012"/>
    <w:rsid w:val="7A7430CC"/>
    <w:rsid w:val="7A7F1A71"/>
    <w:rsid w:val="7A804A05"/>
    <w:rsid w:val="7A83243B"/>
    <w:rsid w:val="7A8B6668"/>
    <w:rsid w:val="7A990D85"/>
    <w:rsid w:val="7AAD4830"/>
    <w:rsid w:val="7AB66611"/>
    <w:rsid w:val="7AB7745D"/>
    <w:rsid w:val="7ABF068C"/>
    <w:rsid w:val="7ACA42CA"/>
    <w:rsid w:val="7ADE49EA"/>
    <w:rsid w:val="7AE2272C"/>
    <w:rsid w:val="7AE85868"/>
    <w:rsid w:val="7AEA338E"/>
    <w:rsid w:val="7AEC5358"/>
    <w:rsid w:val="7AEE4FAA"/>
    <w:rsid w:val="7B0043BF"/>
    <w:rsid w:val="7B005C28"/>
    <w:rsid w:val="7B09415C"/>
    <w:rsid w:val="7B164183"/>
    <w:rsid w:val="7B166879"/>
    <w:rsid w:val="7B190A41"/>
    <w:rsid w:val="7B1D7C08"/>
    <w:rsid w:val="7B234AF2"/>
    <w:rsid w:val="7B2F16E9"/>
    <w:rsid w:val="7B31720F"/>
    <w:rsid w:val="7B32428B"/>
    <w:rsid w:val="7B356C01"/>
    <w:rsid w:val="7B431E0F"/>
    <w:rsid w:val="7B4A02D1"/>
    <w:rsid w:val="7B4C4049"/>
    <w:rsid w:val="7B4D163C"/>
    <w:rsid w:val="7B560A24"/>
    <w:rsid w:val="7B566C76"/>
    <w:rsid w:val="7B5B603A"/>
    <w:rsid w:val="7B5C505B"/>
    <w:rsid w:val="7B5D735A"/>
    <w:rsid w:val="7B601B36"/>
    <w:rsid w:val="7B6969A9"/>
    <w:rsid w:val="7B6C46EB"/>
    <w:rsid w:val="7B6E3FBF"/>
    <w:rsid w:val="7B6F0D71"/>
    <w:rsid w:val="7B715804"/>
    <w:rsid w:val="7B7B1B66"/>
    <w:rsid w:val="7B8E3F7F"/>
    <w:rsid w:val="7B8F4AF4"/>
    <w:rsid w:val="7BAA6BD7"/>
    <w:rsid w:val="7BAE7B41"/>
    <w:rsid w:val="7BC71395"/>
    <w:rsid w:val="7BC71922"/>
    <w:rsid w:val="7BCA650C"/>
    <w:rsid w:val="7BCB7664"/>
    <w:rsid w:val="7BD40E73"/>
    <w:rsid w:val="7BD81D81"/>
    <w:rsid w:val="7BDD144D"/>
    <w:rsid w:val="7BDF6C6B"/>
    <w:rsid w:val="7BE27552"/>
    <w:rsid w:val="7BE510F9"/>
    <w:rsid w:val="7BE61DA8"/>
    <w:rsid w:val="7BE67FFA"/>
    <w:rsid w:val="7BE75B20"/>
    <w:rsid w:val="7C04276A"/>
    <w:rsid w:val="7C042B76"/>
    <w:rsid w:val="7C0E575E"/>
    <w:rsid w:val="7C0F7B36"/>
    <w:rsid w:val="7C122B9D"/>
    <w:rsid w:val="7C1475DC"/>
    <w:rsid w:val="7C1F52BA"/>
    <w:rsid w:val="7C235618"/>
    <w:rsid w:val="7C247576"/>
    <w:rsid w:val="7C250398"/>
    <w:rsid w:val="7C2C4E0F"/>
    <w:rsid w:val="7C32323F"/>
    <w:rsid w:val="7C336FB7"/>
    <w:rsid w:val="7C3743EE"/>
    <w:rsid w:val="7C3801E7"/>
    <w:rsid w:val="7C4A4A2C"/>
    <w:rsid w:val="7C52743D"/>
    <w:rsid w:val="7C584387"/>
    <w:rsid w:val="7C610CCC"/>
    <w:rsid w:val="7C694787"/>
    <w:rsid w:val="7C6B0716"/>
    <w:rsid w:val="7C6D225F"/>
    <w:rsid w:val="7C715301"/>
    <w:rsid w:val="7C80044E"/>
    <w:rsid w:val="7C815EE6"/>
    <w:rsid w:val="7C896BAD"/>
    <w:rsid w:val="7C912DA8"/>
    <w:rsid w:val="7C936712"/>
    <w:rsid w:val="7CB579CC"/>
    <w:rsid w:val="7CBA4FE2"/>
    <w:rsid w:val="7CC0084B"/>
    <w:rsid w:val="7CC31ECF"/>
    <w:rsid w:val="7CC72903"/>
    <w:rsid w:val="7CCA791B"/>
    <w:rsid w:val="7CD12574"/>
    <w:rsid w:val="7CD769A1"/>
    <w:rsid w:val="7CDB7433"/>
    <w:rsid w:val="7CDC13FD"/>
    <w:rsid w:val="7CDC4B3C"/>
    <w:rsid w:val="7CE24C65"/>
    <w:rsid w:val="7CE81B50"/>
    <w:rsid w:val="7CE91B1B"/>
    <w:rsid w:val="7CED7166"/>
    <w:rsid w:val="7CFD0DE2"/>
    <w:rsid w:val="7D0D017A"/>
    <w:rsid w:val="7D0E5B0D"/>
    <w:rsid w:val="7D0F3580"/>
    <w:rsid w:val="7D172435"/>
    <w:rsid w:val="7D184638"/>
    <w:rsid w:val="7D200A92"/>
    <w:rsid w:val="7D2012E9"/>
    <w:rsid w:val="7D20753B"/>
    <w:rsid w:val="7D2D3A06"/>
    <w:rsid w:val="7D2F3C22"/>
    <w:rsid w:val="7D3E4868"/>
    <w:rsid w:val="7D450D50"/>
    <w:rsid w:val="7D4D2489"/>
    <w:rsid w:val="7D4E3585"/>
    <w:rsid w:val="7D4F7E21"/>
    <w:rsid w:val="7D562F5D"/>
    <w:rsid w:val="7D592F5B"/>
    <w:rsid w:val="7D6E64F9"/>
    <w:rsid w:val="7D7A30EF"/>
    <w:rsid w:val="7D7B0C16"/>
    <w:rsid w:val="7D834C9E"/>
    <w:rsid w:val="7D851DEF"/>
    <w:rsid w:val="7D873368"/>
    <w:rsid w:val="7D957F29"/>
    <w:rsid w:val="7D9F222A"/>
    <w:rsid w:val="7DA261A2"/>
    <w:rsid w:val="7DA95783"/>
    <w:rsid w:val="7DAC7021"/>
    <w:rsid w:val="7DB013D9"/>
    <w:rsid w:val="7DB52379"/>
    <w:rsid w:val="7DBA3928"/>
    <w:rsid w:val="7DC0487A"/>
    <w:rsid w:val="7DC221CB"/>
    <w:rsid w:val="7DC768B8"/>
    <w:rsid w:val="7DCB394B"/>
    <w:rsid w:val="7DCF6C70"/>
    <w:rsid w:val="7DEB5D9B"/>
    <w:rsid w:val="7DF804B8"/>
    <w:rsid w:val="7DF956FF"/>
    <w:rsid w:val="7DFC3B04"/>
    <w:rsid w:val="7E025285"/>
    <w:rsid w:val="7E026722"/>
    <w:rsid w:val="7E06136E"/>
    <w:rsid w:val="7E16506D"/>
    <w:rsid w:val="7E1D3A7B"/>
    <w:rsid w:val="7E260B81"/>
    <w:rsid w:val="7E2748F9"/>
    <w:rsid w:val="7E2766A8"/>
    <w:rsid w:val="7E2E5C88"/>
    <w:rsid w:val="7E2E7FCD"/>
    <w:rsid w:val="7E327526"/>
    <w:rsid w:val="7E34529A"/>
    <w:rsid w:val="7E3D5ECB"/>
    <w:rsid w:val="7E40364D"/>
    <w:rsid w:val="7E59421F"/>
    <w:rsid w:val="7E5A082B"/>
    <w:rsid w:val="7E5A5F62"/>
    <w:rsid w:val="7E5D031B"/>
    <w:rsid w:val="7E5E656D"/>
    <w:rsid w:val="7E6761FB"/>
    <w:rsid w:val="7E6C3ECF"/>
    <w:rsid w:val="7E70004F"/>
    <w:rsid w:val="7E786F03"/>
    <w:rsid w:val="7E837D82"/>
    <w:rsid w:val="7E856584"/>
    <w:rsid w:val="7E8F312E"/>
    <w:rsid w:val="7E9514BC"/>
    <w:rsid w:val="7E991485"/>
    <w:rsid w:val="7E9C7095"/>
    <w:rsid w:val="7EBA7332"/>
    <w:rsid w:val="7ECB4467"/>
    <w:rsid w:val="7ED7237F"/>
    <w:rsid w:val="7EDC7492"/>
    <w:rsid w:val="7EEE23D2"/>
    <w:rsid w:val="7EEF5417"/>
    <w:rsid w:val="7EF07998"/>
    <w:rsid w:val="7EF2014F"/>
    <w:rsid w:val="7EF36C27"/>
    <w:rsid w:val="7EF40C80"/>
    <w:rsid w:val="7EF50554"/>
    <w:rsid w:val="7EF60BEC"/>
    <w:rsid w:val="7EFB43CE"/>
    <w:rsid w:val="7F106766"/>
    <w:rsid w:val="7F1354D5"/>
    <w:rsid w:val="7F165DFB"/>
    <w:rsid w:val="7F17496E"/>
    <w:rsid w:val="7F1857BD"/>
    <w:rsid w:val="7F1A66A7"/>
    <w:rsid w:val="7F1A7708"/>
    <w:rsid w:val="7F1C1F84"/>
    <w:rsid w:val="7F207CC7"/>
    <w:rsid w:val="7F343772"/>
    <w:rsid w:val="7F3E014D"/>
    <w:rsid w:val="7F437530"/>
    <w:rsid w:val="7F524A36"/>
    <w:rsid w:val="7F536173"/>
    <w:rsid w:val="7F5931D8"/>
    <w:rsid w:val="7F623E3B"/>
    <w:rsid w:val="7F687A39"/>
    <w:rsid w:val="7F7462EF"/>
    <w:rsid w:val="7F751C44"/>
    <w:rsid w:val="7F78365F"/>
    <w:rsid w:val="7F78540D"/>
    <w:rsid w:val="7F790A14"/>
    <w:rsid w:val="7F792F33"/>
    <w:rsid w:val="7F800765"/>
    <w:rsid w:val="7F8042C1"/>
    <w:rsid w:val="7F814A6A"/>
    <w:rsid w:val="7F83088F"/>
    <w:rsid w:val="7F8E34B9"/>
    <w:rsid w:val="7F963AE5"/>
    <w:rsid w:val="7F9E0BEB"/>
    <w:rsid w:val="7F9E267E"/>
    <w:rsid w:val="7FA2248A"/>
    <w:rsid w:val="7FAE52D2"/>
    <w:rsid w:val="7FB126CD"/>
    <w:rsid w:val="7FB34146"/>
    <w:rsid w:val="7FBF6BF5"/>
    <w:rsid w:val="7FC56166"/>
    <w:rsid w:val="7FCA19E0"/>
    <w:rsid w:val="7FCF6FF7"/>
    <w:rsid w:val="7FDB3BED"/>
    <w:rsid w:val="7FDD34C2"/>
    <w:rsid w:val="7FF22B3C"/>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5">
    <w:name w:val="heading 4"/>
    <w:basedOn w:val="6"/>
    <w:next w:val="7"/>
    <w:qFormat/>
    <w:uiPriority w:val="0"/>
    <w:pPr>
      <w:tabs>
        <w:tab w:val="left" w:pos="360"/>
        <w:tab w:val="left" w:pos="2207"/>
      </w:tabs>
      <w:spacing w:line="480" w:lineRule="exact"/>
      <w:ind w:firstLine="0" w:firstLineChars="0"/>
      <w:outlineLvl w:val="3"/>
    </w:pPr>
    <w:rPr>
      <w:rFonts w:ascii="宋体" w:hAnsi="宋体"/>
      <w:b/>
      <w:snapToGrid/>
      <w:color w:val="000000"/>
      <w:sz w:val="24"/>
    </w:rPr>
  </w:style>
  <w:style w:type="paragraph" w:styleId="8">
    <w:name w:val="heading 5"/>
    <w:basedOn w:val="1"/>
    <w:next w:val="1"/>
    <w:unhideWhenUsed/>
    <w:qFormat/>
    <w:uiPriority w:val="0"/>
    <w:pPr>
      <w:keepNext w:val="0"/>
      <w:keepLines w:val="0"/>
      <w:adjustRightInd w:val="0"/>
      <w:snapToGrid w:val="0"/>
      <w:spacing w:beforeLines="0" w:beforeAutospacing="0" w:afterLines="0" w:afterAutospacing="0" w:line="240" w:lineRule="auto"/>
      <w:ind w:firstLine="0" w:firstLineChars="0"/>
      <w:jc w:val="center"/>
      <w:outlineLvl w:val="4"/>
    </w:pPr>
    <w:rPr>
      <w:rFonts w:ascii="Times New Roman" w:hAnsi="Times New Roman"/>
      <w:b/>
      <w:sz w:val="21"/>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Indent"/>
    <w:basedOn w:val="1"/>
    <w:next w:val="4"/>
    <w:qFormat/>
    <w:uiPriority w:val="0"/>
    <w:pPr>
      <w:spacing w:after="120"/>
      <w:ind w:left="420" w:leftChars="200"/>
    </w:pPr>
    <w:rPr>
      <w:kern w:val="0"/>
      <w:sz w:val="24"/>
      <w:szCs w:val="20"/>
    </w:rPr>
  </w:style>
  <w:style w:type="paragraph" w:styleId="4">
    <w:name w:val="Body Text Indent 2"/>
    <w:basedOn w:val="1"/>
    <w:qFormat/>
    <w:uiPriority w:val="0"/>
    <w:pPr>
      <w:spacing w:before="120" w:beforeLines="0"/>
      <w:ind w:right="113" w:firstLine="570"/>
    </w:pPr>
    <w:rPr>
      <w:kern w:val="24"/>
      <w:sz w:val="28"/>
      <w:szCs w:val="20"/>
    </w:rPr>
  </w:style>
  <w:style w:type="paragraph" w:styleId="6">
    <w:name w:val="toc 4"/>
    <w:basedOn w:val="1"/>
    <w:next w:val="1"/>
    <w:qFormat/>
    <w:uiPriority w:val="39"/>
    <w:pPr>
      <w:ind w:left="1260" w:leftChars="600"/>
    </w:pPr>
    <w:rPr>
      <w:szCs w:val="20"/>
    </w:rPr>
  </w:style>
  <w:style w:type="paragraph" w:styleId="7">
    <w:name w:val="Normal Indent"/>
    <w:basedOn w:val="1"/>
    <w:next w:val="5"/>
    <w:qFormat/>
    <w:uiPriority w:val="0"/>
    <w:pPr>
      <w:ind w:firstLine="420" w:firstLineChars="200"/>
    </w:pPr>
    <w:rPr>
      <w:rFonts w:ascii="Times New Roman" w:hAnsi="Times New Roman"/>
      <w:szCs w:val="24"/>
    </w:rPr>
  </w:style>
  <w:style w:type="paragraph" w:styleId="9">
    <w:name w:val="caption"/>
    <w:basedOn w:val="1"/>
    <w:next w:val="1"/>
    <w:qFormat/>
    <w:uiPriority w:val="0"/>
    <w:pPr>
      <w:spacing w:before="160" w:after="160" w:line="288" w:lineRule="auto"/>
      <w:ind w:firstLine="510"/>
      <w:jc w:val="center"/>
    </w:pPr>
    <w:rPr>
      <w:rFonts w:ascii="Arial" w:hAnsi="Arial" w:eastAsia="黑体"/>
      <w:sz w:val="24"/>
    </w:rPr>
  </w:style>
  <w:style w:type="paragraph" w:styleId="10">
    <w:name w:val="index 5"/>
    <w:basedOn w:val="1"/>
    <w:next w:val="1"/>
    <w:qFormat/>
    <w:uiPriority w:val="0"/>
    <w:pPr>
      <w:ind w:left="800" w:leftChars="800"/>
    </w:pPr>
  </w:style>
  <w:style w:type="paragraph" w:styleId="11">
    <w:name w:val="annotation text"/>
    <w:basedOn w:val="1"/>
    <w:semiHidden/>
    <w:qFormat/>
    <w:uiPriority w:val="0"/>
    <w:pPr>
      <w:jc w:val="left"/>
    </w:pPr>
    <w:rPr>
      <w:kern w:val="0"/>
      <w:sz w:val="24"/>
      <w:szCs w:val="20"/>
    </w:rPr>
  </w:style>
  <w:style w:type="paragraph" w:styleId="12">
    <w:name w:val="Body Text"/>
    <w:basedOn w:val="1"/>
    <w:qFormat/>
    <w:uiPriority w:val="0"/>
    <w:pPr>
      <w:widowControl/>
      <w:snapToGrid w:val="0"/>
      <w:spacing w:before="60" w:after="160" w:line="259" w:lineRule="auto"/>
      <w:ind w:right="113"/>
    </w:pPr>
    <w:rPr>
      <w:kern w:val="0"/>
      <w:sz w:val="18"/>
      <w:szCs w:val="20"/>
    </w:rPr>
  </w:style>
  <w:style w:type="paragraph" w:styleId="13">
    <w:name w:val="Block Text"/>
    <w:basedOn w:val="1"/>
    <w:next w:val="1"/>
    <w:unhideWhenUsed/>
    <w:qFormat/>
    <w:uiPriority w:val="0"/>
    <w:pPr>
      <w:spacing w:after="120"/>
      <w:ind w:left="1440" w:leftChars="700" w:right="1440" w:rightChars="700"/>
    </w:pPr>
  </w:style>
  <w:style w:type="paragraph" w:styleId="14">
    <w:name w:val="Plain Text"/>
    <w:basedOn w:val="1"/>
    <w:qFormat/>
    <w:uiPriority w:val="0"/>
    <w:rPr>
      <w:rFonts w:ascii="宋体" w:hAnsi="Courier New" w:cs="Courier New"/>
      <w:szCs w:val="21"/>
    </w:rPr>
  </w:style>
  <w:style w:type="paragraph" w:styleId="15">
    <w:name w:val="footer"/>
    <w:basedOn w:val="1"/>
    <w:qFormat/>
    <w:uiPriority w:val="99"/>
    <w:pPr>
      <w:tabs>
        <w:tab w:val="center" w:pos="4153"/>
        <w:tab w:val="right" w:pos="8306"/>
      </w:tabs>
      <w:snapToGrid w:val="0"/>
      <w:jc w:val="left"/>
    </w:pPr>
    <w:rPr>
      <w:kern w:val="0"/>
      <w:sz w:val="18"/>
      <w:szCs w:val="20"/>
    </w:rPr>
  </w:style>
  <w:style w:type="paragraph" w:styleId="16">
    <w:name w:val="Subtitle"/>
    <w:basedOn w:val="1"/>
    <w:next w:val="1"/>
    <w:qFormat/>
    <w:uiPriority w:val="0"/>
    <w:pPr>
      <w:ind w:firstLine="0" w:firstLineChars="0"/>
      <w:jc w:val="center"/>
    </w:pPr>
    <w:rPr>
      <w:b/>
      <w:sz w:val="21"/>
    </w:rPr>
  </w:style>
  <w:style w:type="paragraph" w:styleId="17">
    <w:name w:val="HTML Preformatted"/>
    <w:basedOn w:val="1"/>
    <w:unhideWhenUsed/>
    <w:qFormat/>
    <w:uiPriority w:val="99"/>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微软雅黑" w:hAnsi="微软雅黑" w:eastAsia="微软雅黑" w:cs="微软雅黑"/>
      <w:kern w:val="0"/>
      <w:sz w:val="24"/>
      <w:szCs w:val="24"/>
      <w:lang w:val="en-US" w:eastAsia="zh-CN" w:bidi="ar"/>
    </w:rPr>
  </w:style>
  <w:style w:type="paragraph" w:styleId="18">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9">
    <w:name w:val="Body Text First Indent"/>
    <w:basedOn w:val="12"/>
    <w:next w:val="2"/>
    <w:qFormat/>
    <w:uiPriority w:val="0"/>
    <w:pPr>
      <w:spacing w:after="120"/>
      <w:ind w:firstLine="420" w:firstLineChars="100"/>
    </w:pPr>
    <w:rPr>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rFonts w:eastAsia="宋体"/>
      <w:color w:val="0000FF"/>
      <w:sz w:val="24"/>
      <w:szCs w:val="24"/>
      <w:u w:val="none"/>
    </w:rPr>
  </w:style>
  <w:style w:type="paragraph" w:customStyle="1" w:styleId="26">
    <w:name w:val="封皮"/>
    <w:basedOn w:val="1"/>
    <w:qFormat/>
    <w:uiPriority w:val="0"/>
    <w:pPr>
      <w:spacing w:line="240" w:lineRule="auto"/>
      <w:ind w:firstLine="0" w:firstLineChars="0"/>
      <w:jc w:val="center"/>
    </w:pPr>
    <w:rPr>
      <w:b/>
      <w:sz w:val="72"/>
    </w:rPr>
  </w:style>
  <w:style w:type="paragraph" w:customStyle="1" w:styleId="27">
    <w:name w:val="表格"/>
    <w:basedOn w:val="1"/>
    <w:next w:val="1"/>
    <w:qFormat/>
    <w:uiPriority w:val="0"/>
    <w:pPr>
      <w:spacing w:line="240" w:lineRule="auto"/>
      <w:ind w:firstLine="0" w:firstLineChars="0"/>
      <w:jc w:val="center"/>
    </w:pPr>
    <w:rPr>
      <w:szCs w:val="21"/>
    </w:rPr>
  </w:style>
  <w:style w:type="paragraph" w:customStyle="1" w:styleId="28">
    <w:name w:val="Default"/>
    <w:basedOn w:val="29"/>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纯文本1"/>
    <w:basedOn w:val="1"/>
    <w:qFormat/>
    <w:uiPriority w:val="0"/>
    <w:pPr>
      <w:widowControl/>
      <w:spacing w:beforeLines="10" w:afterLines="10" w:line="360" w:lineRule="auto"/>
      <w:ind w:firstLine="200" w:firstLineChars="200"/>
      <w:jc w:val="left"/>
    </w:pPr>
    <w:rPr>
      <w:rFonts w:hAnsi="宋体" w:cs="宋体"/>
      <w:kern w:val="0"/>
      <w:sz w:val="24"/>
    </w:rPr>
  </w:style>
  <w:style w:type="character" w:customStyle="1" w:styleId="30">
    <w:name w:val="正文文本 (2) + 9.5 pt"/>
    <w:qFormat/>
    <w:uiPriority w:val="0"/>
    <w:rPr>
      <w:rFonts w:ascii="MingLiU" w:hAnsi="MingLiU" w:eastAsia="MingLiU" w:cs="MingLiU"/>
      <w:color w:val="000000"/>
      <w:spacing w:val="0"/>
      <w:w w:val="100"/>
      <w:position w:val="0"/>
      <w:sz w:val="19"/>
      <w:szCs w:val="19"/>
      <w:u w:val="none"/>
      <w:shd w:val="clear" w:color="auto" w:fill="FFFFFF"/>
      <w:lang w:val="zh-TW" w:eastAsia="zh-TW" w:bidi="zh-TW"/>
    </w:rPr>
  </w:style>
  <w:style w:type="character" w:customStyle="1" w:styleId="31">
    <w:name w:val="正文文本 (2) + AngsanaUPC"/>
    <w:qFormat/>
    <w:uiPriority w:val="0"/>
    <w:rPr>
      <w:rFonts w:ascii="AngsanaUPC" w:hAnsi="AngsanaUPC" w:eastAsia="AngsanaUPC" w:cs="AngsanaUPC"/>
      <w:color w:val="000000"/>
      <w:spacing w:val="0"/>
      <w:w w:val="100"/>
      <w:position w:val="0"/>
      <w:sz w:val="32"/>
      <w:szCs w:val="32"/>
      <w:u w:val="none"/>
      <w:shd w:val="clear" w:color="auto" w:fill="FFFFFF"/>
      <w:lang w:val="en-US" w:eastAsia="en-US" w:bidi="en-US"/>
    </w:rPr>
  </w:style>
  <w:style w:type="paragraph" w:customStyle="1" w:styleId="32">
    <w:name w:val="Table Paragraph"/>
    <w:basedOn w:val="1"/>
    <w:qFormat/>
    <w:uiPriority w:val="1"/>
    <w:pPr>
      <w:autoSpaceDE w:val="0"/>
      <w:autoSpaceDN w:val="0"/>
      <w:adjustRightInd w:val="0"/>
      <w:jc w:val="left"/>
    </w:pPr>
    <w:rPr>
      <w:kern w:val="0"/>
      <w:sz w:val="24"/>
    </w:rPr>
  </w:style>
  <w:style w:type="paragraph" w:styleId="33">
    <w:name w:val="List Paragraph"/>
    <w:basedOn w:val="1"/>
    <w:qFormat/>
    <w:uiPriority w:val="34"/>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4">
    <w:name w:val="表头"/>
    <w:basedOn w:val="1"/>
    <w:link w:val="45"/>
    <w:qFormat/>
    <w:uiPriority w:val="0"/>
    <w:pPr>
      <w:ind w:firstLine="0" w:firstLineChars="0"/>
      <w:jc w:val="center"/>
    </w:pPr>
    <w:rPr>
      <w:rFonts w:ascii="Times New Roman" w:hAnsi="Times New Roman" w:eastAsia="宋体"/>
      <w:b/>
    </w:rPr>
  </w:style>
  <w:style w:type="character" w:customStyle="1" w:styleId="35">
    <w:name w:val="font01"/>
    <w:basedOn w:val="22"/>
    <w:qFormat/>
    <w:uiPriority w:val="0"/>
    <w:rPr>
      <w:rFonts w:hint="eastAsia" w:ascii="宋体" w:hAnsi="宋体" w:eastAsia="宋体" w:cs="宋体"/>
      <w:color w:val="000000"/>
      <w:sz w:val="24"/>
      <w:szCs w:val="24"/>
      <w:u w:val="none"/>
    </w:rPr>
  </w:style>
  <w:style w:type="character" w:customStyle="1" w:styleId="36">
    <w:name w:val="font31"/>
    <w:basedOn w:val="22"/>
    <w:qFormat/>
    <w:uiPriority w:val="0"/>
    <w:rPr>
      <w:rFonts w:hint="eastAsia" w:ascii="宋体" w:hAnsi="宋体" w:eastAsia="宋体" w:cs="宋体"/>
      <w:color w:val="000000"/>
      <w:sz w:val="24"/>
      <w:szCs w:val="24"/>
      <w:u w:val="none"/>
    </w:rPr>
  </w:style>
  <w:style w:type="paragraph" w:customStyle="1" w:styleId="37">
    <w:name w:val="我的表头"/>
    <w:basedOn w:val="1"/>
    <w:qFormat/>
    <w:uiPriority w:val="0"/>
    <w:pPr>
      <w:spacing w:line="480" w:lineRule="exact"/>
      <w:ind w:firstLine="0" w:firstLineChars="0"/>
      <w:jc w:val="center"/>
    </w:pPr>
    <w:rPr>
      <w:rFonts w:ascii="Times New Roman" w:hAnsi="Times New Roman"/>
      <w:b/>
      <w:sz w:val="21"/>
      <w:szCs w:val="21"/>
    </w:rPr>
  </w:style>
  <w:style w:type="paragraph" w:customStyle="1" w:styleId="38">
    <w:name w:val="列出段落1"/>
    <w:basedOn w:val="1"/>
    <w:qFormat/>
    <w:uiPriority w:val="0"/>
    <w:pPr>
      <w:ind w:firstLine="420" w:firstLineChars="200"/>
    </w:pPr>
    <w:rPr>
      <w:rFonts w:ascii="Calibri" w:hAnsi="Calibri" w:eastAsia="宋体"/>
    </w:rPr>
  </w:style>
  <w:style w:type="paragraph" w:customStyle="1" w:styleId="39">
    <w:name w:val="(.a表格内容"/>
    <w:basedOn w:val="40"/>
    <w:qFormat/>
    <w:uiPriority w:val="0"/>
    <w:pPr>
      <w:spacing w:line="0" w:lineRule="atLeast"/>
      <w:jc w:val="center"/>
    </w:pPr>
    <w:rPr>
      <w:sz w:val="21"/>
    </w:rPr>
  </w:style>
  <w:style w:type="paragraph" w:customStyle="1" w:styleId="40">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41">
    <w:name w:val="正常格式"/>
    <w:basedOn w:val="42"/>
    <w:link w:val="50"/>
    <w:qFormat/>
    <w:uiPriority w:val="0"/>
    <w:pPr>
      <w:snapToGrid w:val="0"/>
      <w:spacing w:line="480" w:lineRule="exact"/>
      <w:ind w:firstLine="602"/>
    </w:pPr>
    <w:rPr>
      <w:rFonts w:ascii="Times New Roman" w:hAnsi="Times New Roman" w:eastAsia="仿宋_GB2312"/>
      <w:kern w:val="0"/>
      <w:szCs w:val="20"/>
    </w:rPr>
  </w:style>
  <w:style w:type="paragraph" w:customStyle="1" w:styleId="42">
    <w:name w:val="正文2"/>
    <w:basedOn w:val="43"/>
    <w:qFormat/>
    <w:uiPriority w:val="0"/>
    <w:pPr>
      <w:spacing w:line="360" w:lineRule="auto"/>
      <w:ind w:firstLine="480" w:firstLineChars="200"/>
    </w:pPr>
    <w:rPr>
      <w:rFonts w:ascii="宋体" w:hAnsi="宋体"/>
      <w:sz w:val="24"/>
    </w:rPr>
  </w:style>
  <w:style w:type="paragraph" w:customStyle="1" w:styleId="43">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44">
    <w:name w:val="我的表格"/>
    <w:basedOn w:val="1"/>
    <w:qFormat/>
    <w:uiPriority w:val="0"/>
    <w:pPr>
      <w:spacing w:line="240" w:lineRule="auto"/>
      <w:ind w:firstLine="0" w:firstLineChars="0"/>
      <w:jc w:val="center"/>
    </w:pPr>
    <w:rPr>
      <w:rFonts w:ascii="Times New Roman" w:hAnsi="Times New Roman"/>
      <w:sz w:val="21"/>
      <w:szCs w:val="21"/>
    </w:rPr>
  </w:style>
  <w:style w:type="character" w:customStyle="1" w:styleId="45">
    <w:name w:val="表头 Char"/>
    <w:link w:val="34"/>
    <w:qFormat/>
    <w:uiPriority w:val="0"/>
    <w:rPr>
      <w:rFonts w:ascii="Times New Roman" w:hAnsi="Times New Roman" w:eastAsia="宋体"/>
      <w:b/>
    </w:rPr>
  </w:style>
  <w:style w:type="paragraph" w:customStyle="1" w:styleId="46">
    <w:name w:val="正文1"/>
    <w:basedOn w:val="1"/>
    <w:next w:val="1"/>
    <w:qFormat/>
    <w:uiPriority w:val="0"/>
    <w:pPr>
      <w:spacing w:before="78" w:after="78" w:line="360" w:lineRule="auto"/>
      <w:ind w:firstLine="480"/>
    </w:pPr>
    <w:rPr>
      <w:kern w:val="1"/>
      <w:sz w:val="24"/>
    </w:rPr>
  </w:style>
  <w:style w:type="paragraph" w:customStyle="1" w:styleId="47">
    <w:name w:val="样式10"/>
    <w:basedOn w:val="42"/>
    <w:qFormat/>
    <w:uiPriority w:val="0"/>
    <w:pPr>
      <w:spacing w:line="480" w:lineRule="exact"/>
      <w:ind w:firstLine="600"/>
    </w:pPr>
  </w:style>
  <w:style w:type="paragraph" w:customStyle="1" w:styleId="48">
    <w:name w:val="正文正"/>
    <w:basedOn w:val="1"/>
    <w:qFormat/>
    <w:uiPriority w:val="0"/>
    <w:pPr>
      <w:ind w:firstLine="560" w:firstLineChars="200"/>
    </w:pPr>
    <w:rPr>
      <w:sz w:val="28"/>
    </w:rPr>
  </w:style>
  <w:style w:type="paragraph" w:customStyle="1" w:styleId="49">
    <w:name w:val="正文文本 (2)"/>
    <w:qFormat/>
    <w:uiPriority w:val="0"/>
    <w:pPr>
      <w:widowControl w:val="0"/>
      <w:shd w:val="clear" w:color="auto" w:fill="FFFFFF"/>
      <w:spacing w:before="420" w:after="360" w:line="0" w:lineRule="atLeast"/>
      <w:jc w:val="distribute"/>
    </w:pPr>
    <w:rPr>
      <w:rFonts w:ascii="MingLiU" w:hAnsi="MingLiU" w:eastAsia="MingLiU" w:cs="MingLiU"/>
      <w:sz w:val="26"/>
      <w:szCs w:val="26"/>
      <w:lang w:val="en-US" w:eastAsia="en-US" w:bidi="en-US"/>
    </w:rPr>
  </w:style>
  <w:style w:type="character" w:customStyle="1" w:styleId="50">
    <w:name w:val="正常格式 Char"/>
    <w:link w:val="41"/>
    <w:qFormat/>
    <w:uiPriority w:val="0"/>
    <w:rPr>
      <w:rFonts w:ascii="Times New Roman" w:hAnsi="Times New Roman" w:eastAsia="仿宋_GB2312"/>
      <w:kern w:val="0"/>
      <w:szCs w:val="20"/>
    </w:rPr>
  </w:style>
  <w:style w:type="paragraph" w:customStyle="1" w:styleId="51">
    <w:name w:val="【表格】1"/>
    <w:next w:val="19"/>
    <w:qFormat/>
    <w:uiPriority w:val="0"/>
    <w:pPr>
      <w:widowControl w:val="0"/>
      <w:spacing w:line="0" w:lineRule="atLeast"/>
      <w:jc w:val="center"/>
    </w:pPr>
    <w:rPr>
      <w:rFonts w:ascii="Times New Roman" w:hAnsi="Times New Roman" w:eastAsia="宋体" w:cs="Times New Roman"/>
      <w:color w:val="000000"/>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17129</Words>
  <Characters>18615</Characters>
  <Lines>0</Lines>
  <Paragraphs>0</Paragraphs>
  <TotalTime>436</TotalTime>
  <ScaleCrop>false</ScaleCrop>
  <LinksUpToDate>false</LinksUpToDate>
  <CharactersWithSpaces>18722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2021-08-25T05:32:00Z</dcterms:created>
  <dc:creator>Administrator</dc:creator>
  <cp:lastModifiedBy>勇敢编辑部</cp:lastModifiedBy>
  <cp:lastPrinted>2022-02-17T00:35:00Z</cp:lastPrinted>
  <dcterms:modified xsi:type="dcterms:W3CDTF">2025-07-23T01:57:39Z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CF4406E48016437DA57CC490EA27EAEA</vt:lpwstr>
  </property>
  <property fmtid="{D5CDD505-2E9C-101B-9397-08002B2CF9AE}" pid="4" name="KSOTemplateDocerSaveRecord">
    <vt:lpwstr>eyJoZGlkIjoiYmJkYmIyN2ZmNzkxZTFlODIzMWFjNTE5YmViNGUwNmUiLCJ1c2VySWQiOiIxNjU1MzMyOTYxIn0=</vt:lpwstr>
  </property>
</Properties>
</file>