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5</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pPr>
        <w:pStyle w:val="4"/>
        <w:tabs>
          <w:tab w:val="right" w:leader="dot" w:pos="14562"/>
        </w:tabs>
        <w:rPr>
          <w:rFonts w:hint="default"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fldChar w:fldCharType="end"/>
      </w:r>
      <w:r>
        <w:rPr>
          <w:rFonts w:hint="eastAsia"/>
          <w:lang w:val="en-US" w:eastAsia="zh-CN"/>
        </w:rPr>
        <w:t>12</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8</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4</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4</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4</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4</w:t>
      </w:r>
      <w:r>
        <w:fldChar w:fldCharType="end"/>
      </w:r>
      <w:r>
        <w:rPr>
          <w:rFonts w:hint="eastAsia"/>
          <w:lang w:val="en-US" w:eastAsia="zh-CN"/>
        </w:rPr>
        <w:t>3</w:t>
      </w:r>
      <w:bookmarkStart w:id="20" w:name="_GoBack"/>
      <w:bookmarkEnd w:id="20"/>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4"/>
        <w:gridCol w:w="4690"/>
        <w:gridCol w:w="1971"/>
        <w:gridCol w:w="3264"/>
        <w:gridCol w:w="2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4" w:type="dxa"/>
            <w:gridSpan w:val="2"/>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1971" w:type="dxa"/>
            <w:tcBorders>
              <w:top w:val="single" w:color="FFFFFF" w:sz="6" w:space="0"/>
              <w:left w:val="single" w:color="FFFFFF" w:sz="6" w:space="0"/>
              <w:right w:val="single" w:color="FFFFFF" w:sz="6" w:space="0"/>
            </w:tcBorders>
            <w:vAlign w:val="center"/>
          </w:tcPr>
          <w:p>
            <w:pPr>
              <w:pStyle w:val="11"/>
            </w:pPr>
            <w:r>
              <w:t>预算年度：2024</w:t>
            </w:r>
          </w:p>
        </w:tc>
        <w:tc>
          <w:tcPr>
            <w:tcW w:w="580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Merge w:val="restart"/>
            <w:vAlign w:val="center"/>
          </w:tcPr>
          <w:p>
            <w:pPr>
              <w:pStyle w:val="13"/>
            </w:pPr>
            <w:r>
              <w:t>序号</w:t>
            </w:r>
          </w:p>
        </w:tc>
        <w:tc>
          <w:tcPr>
            <w:tcW w:w="6661" w:type="dxa"/>
            <w:gridSpan w:val="2"/>
            <w:vAlign w:val="center"/>
          </w:tcPr>
          <w:p>
            <w:pPr>
              <w:pStyle w:val="13"/>
            </w:pPr>
            <w:r>
              <w:t>收入</w:t>
            </w:r>
          </w:p>
        </w:tc>
        <w:tc>
          <w:tcPr>
            <w:tcW w:w="5806"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Merge w:val="continue"/>
          </w:tcPr>
          <w:p/>
        </w:tc>
        <w:tc>
          <w:tcPr>
            <w:tcW w:w="4690" w:type="dxa"/>
            <w:vAlign w:val="center"/>
          </w:tcPr>
          <w:p>
            <w:pPr>
              <w:pStyle w:val="13"/>
            </w:pPr>
            <w:r>
              <w:t>项  目</w:t>
            </w:r>
          </w:p>
        </w:tc>
        <w:tc>
          <w:tcPr>
            <w:tcW w:w="1971" w:type="dxa"/>
            <w:vAlign w:val="center"/>
          </w:tcPr>
          <w:p>
            <w:pPr>
              <w:pStyle w:val="13"/>
            </w:pPr>
            <w:r>
              <w:t>预算数</w:t>
            </w:r>
          </w:p>
        </w:tc>
        <w:tc>
          <w:tcPr>
            <w:tcW w:w="3264" w:type="dxa"/>
            <w:vAlign w:val="center"/>
          </w:tcPr>
          <w:p>
            <w:pPr>
              <w:pStyle w:val="13"/>
            </w:pPr>
            <w:r>
              <w:t>项  目</w:t>
            </w:r>
          </w:p>
        </w:tc>
        <w:tc>
          <w:tcPr>
            <w:tcW w:w="2542"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Align w:val="center"/>
          </w:tcPr>
          <w:p>
            <w:pPr>
              <w:pStyle w:val="13"/>
            </w:pPr>
            <w:r>
              <w:t>栏次</w:t>
            </w:r>
          </w:p>
        </w:tc>
        <w:tc>
          <w:tcPr>
            <w:tcW w:w="4690" w:type="dxa"/>
            <w:vAlign w:val="center"/>
          </w:tcPr>
          <w:p>
            <w:pPr>
              <w:pStyle w:val="13"/>
            </w:pPr>
            <w:r>
              <w:t>1</w:t>
            </w:r>
          </w:p>
        </w:tc>
        <w:tc>
          <w:tcPr>
            <w:tcW w:w="1971" w:type="dxa"/>
            <w:vAlign w:val="center"/>
          </w:tcPr>
          <w:p>
            <w:pPr>
              <w:pStyle w:val="13"/>
            </w:pPr>
            <w:r>
              <w:t>2</w:t>
            </w:r>
          </w:p>
        </w:tc>
        <w:tc>
          <w:tcPr>
            <w:tcW w:w="3264" w:type="dxa"/>
            <w:vAlign w:val="center"/>
          </w:tcPr>
          <w:p>
            <w:pPr>
              <w:pStyle w:val="13"/>
            </w:pPr>
            <w:r>
              <w:t>3</w:t>
            </w:r>
          </w:p>
        </w:tc>
        <w:tc>
          <w:tcPr>
            <w:tcW w:w="2542"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w:t>
            </w:r>
          </w:p>
        </w:tc>
        <w:tc>
          <w:tcPr>
            <w:tcW w:w="4690" w:type="dxa"/>
            <w:vAlign w:val="center"/>
          </w:tcPr>
          <w:p>
            <w:pPr>
              <w:pStyle w:val="15"/>
            </w:pPr>
            <w:r>
              <w:t>一、一般公共预算拨款收入</w:t>
            </w:r>
          </w:p>
        </w:tc>
        <w:tc>
          <w:tcPr>
            <w:tcW w:w="1971" w:type="dxa"/>
            <w:vAlign w:val="center"/>
          </w:tcPr>
          <w:p>
            <w:pPr>
              <w:pStyle w:val="14"/>
            </w:pPr>
            <w:r>
              <w:t>1191.31</w:t>
            </w:r>
          </w:p>
        </w:tc>
        <w:tc>
          <w:tcPr>
            <w:tcW w:w="3264" w:type="dxa"/>
            <w:vAlign w:val="center"/>
          </w:tcPr>
          <w:p>
            <w:pPr>
              <w:pStyle w:val="15"/>
            </w:pPr>
            <w:r>
              <w:t>一、一般公共服务支出</w:t>
            </w:r>
          </w:p>
        </w:tc>
        <w:tc>
          <w:tcPr>
            <w:tcW w:w="2542" w:type="dxa"/>
            <w:vAlign w:val="center"/>
          </w:tcPr>
          <w:p>
            <w:pPr>
              <w:pStyle w:val="14"/>
            </w:pPr>
            <w:r>
              <w:t>556.82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w:t>
            </w:r>
          </w:p>
        </w:tc>
        <w:tc>
          <w:tcPr>
            <w:tcW w:w="4690" w:type="dxa"/>
            <w:vAlign w:val="center"/>
          </w:tcPr>
          <w:p>
            <w:pPr>
              <w:pStyle w:val="15"/>
            </w:pPr>
            <w:r>
              <w:t>二、政府性基金预算拨款收入</w:t>
            </w:r>
          </w:p>
        </w:tc>
        <w:tc>
          <w:tcPr>
            <w:tcW w:w="1971" w:type="dxa"/>
            <w:vAlign w:val="center"/>
          </w:tcPr>
          <w:p>
            <w:pPr>
              <w:pStyle w:val="14"/>
            </w:pPr>
          </w:p>
        </w:tc>
        <w:tc>
          <w:tcPr>
            <w:tcW w:w="3264" w:type="dxa"/>
            <w:vAlign w:val="center"/>
          </w:tcPr>
          <w:p>
            <w:pPr>
              <w:pStyle w:val="15"/>
            </w:pPr>
            <w:r>
              <w:t>二、外交支出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3</w:t>
            </w:r>
          </w:p>
        </w:tc>
        <w:tc>
          <w:tcPr>
            <w:tcW w:w="4690" w:type="dxa"/>
            <w:vAlign w:val="center"/>
          </w:tcPr>
          <w:p>
            <w:pPr>
              <w:pStyle w:val="15"/>
            </w:pPr>
            <w:r>
              <w:t>三、国有资本经营预算拨款收入</w:t>
            </w:r>
          </w:p>
        </w:tc>
        <w:tc>
          <w:tcPr>
            <w:tcW w:w="1971" w:type="dxa"/>
            <w:vAlign w:val="center"/>
          </w:tcPr>
          <w:p>
            <w:pPr>
              <w:pStyle w:val="14"/>
            </w:pPr>
          </w:p>
        </w:tc>
        <w:tc>
          <w:tcPr>
            <w:tcW w:w="3264" w:type="dxa"/>
            <w:vAlign w:val="center"/>
          </w:tcPr>
          <w:p>
            <w:pPr>
              <w:pStyle w:val="15"/>
            </w:pPr>
            <w:r>
              <w:t>三、国防支出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4</w:t>
            </w:r>
          </w:p>
        </w:tc>
        <w:tc>
          <w:tcPr>
            <w:tcW w:w="4690" w:type="dxa"/>
            <w:vAlign w:val="center"/>
          </w:tcPr>
          <w:p>
            <w:pPr>
              <w:pStyle w:val="15"/>
            </w:pPr>
            <w:r>
              <w:t>四、财政专户管理资金收入</w:t>
            </w:r>
          </w:p>
        </w:tc>
        <w:tc>
          <w:tcPr>
            <w:tcW w:w="1971" w:type="dxa"/>
            <w:vAlign w:val="center"/>
          </w:tcPr>
          <w:p>
            <w:pPr>
              <w:pStyle w:val="14"/>
            </w:pPr>
          </w:p>
        </w:tc>
        <w:tc>
          <w:tcPr>
            <w:tcW w:w="3264" w:type="dxa"/>
            <w:vAlign w:val="center"/>
          </w:tcPr>
          <w:p>
            <w:pPr>
              <w:pStyle w:val="15"/>
            </w:pPr>
            <w:r>
              <w:t>四、公共安全支出</w:t>
            </w:r>
          </w:p>
        </w:tc>
        <w:tc>
          <w:tcPr>
            <w:tcW w:w="2542" w:type="dxa"/>
            <w:vAlign w:val="center"/>
          </w:tcPr>
          <w:p>
            <w:pPr>
              <w:pStyle w:val="14"/>
            </w:pPr>
            <w:r>
              <w:t>480.39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5</w:t>
            </w:r>
          </w:p>
        </w:tc>
        <w:tc>
          <w:tcPr>
            <w:tcW w:w="4690" w:type="dxa"/>
            <w:vAlign w:val="center"/>
          </w:tcPr>
          <w:p>
            <w:pPr>
              <w:pStyle w:val="15"/>
            </w:pPr>
            <w:r>
              <w:t>五、单位资金</w:t>
            </w:r>
          </w:p>
        </w:tc>
        <w:tc>
          <w:tcPr>
            <w:tcW w:w="1971" w:type="dxa"/>
            <w:vAlign w:val="center"/>
          </w:tcPr>
          <w:p>
            <w:pPr>
              <w:pStyle w:val="14"/>
            </w:pPr>
          </w:p>
        </w:tc>
        <w:tc>
          <w:tcPr>
            <w:tcW w:w="3264" w:type="dxa"/>
            <w:vAlign w:val="center"/>
          </w:tcPr>
          <w:p>
            <w:pPr>
              <w:pStyle w:val="15"/>
            </w:pPr>
            <w:r>
              <w:t>五、教育支出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6</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六、科学技术支出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7</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七、文化旅游体育与传媒支出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8</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八、社会保障和就业支出</w:t>
            </w:r>
          </w:p>
        </w:tc>
        <w:tc>
          <w:tcPr>
            <w:tcW w:w="2542" w:type="dxa"/>
            <w:vAlign w:val="center"/>
          </w:tcPr>
          <w:p>
            <w:pPr>
              <w:pStyle w:val="14"/>
            </w:pPr>
            <w:r>
              <w:t>57.65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9</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九、社会保险基金支出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10</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十、卫生健康支出</w:t>
            </w:r>
          </w:p>
        </w:tc>
        <w:tc>
          <w:tcPr>
            <w:tcW w:w="2542" w:type="dxa"/>
            <w:vAlign w:val="center"/>
          </w:tcPr>
          <w:p>
            <w:pPr>
              <w:pStyle w:val="14"/>
            </w:pPr>
            <w:r>
              <w:t>51.71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11</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十一、节能环保支出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12</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十二、城乡社区支出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13</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十三、农林水支出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14</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十四、交通运输支出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15</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十五、资源勘探工业信息等支出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16</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十六、商业服务业等支出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17</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十七、金融支出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18</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十八、援助其他地区支出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19</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十九、自然资源海洋气象等支出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20</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二十、住房保障支出</w:t>
            </w:r>
          </w:p>
        </w:tc>
        <w:tc>
          <w:tcPr>
            <w:tcW w:w="2542" w:type="dxa"/>
            <w:vAlign w:val="center"/>
          </w:tcPr>
          <w:p>
            <w:pPr>
              <w:pStyle w:val="14"/>
            </w:pPr>
            <w:r>
              <w:t>44.74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21</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二十一、粮油物资储备支出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22</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二十二、国有资本经营预算支出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23</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二十三、灾害防治及应急管理支出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24</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二十四、预备费</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25</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二十五、其他支出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26</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二十六、转移性支出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27</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二十七、债务还本支出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28</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二十八、债务付息支出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29</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二十九、债务发行费用支出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30</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三十、抗疫特别国债安排的支出</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31</w:t>
            </w:r>
          </w:p>
        </w:tc>
        <w:tc>
          <w:tcPr>
            <w:tcW w:w="4690" w:type="dxa"/>
            <w:vAlign w:val="center"/>
          </w:tcPr>
          <w:p>
            <w:pPr>
              <w:pStyle w:val="15"/>
            </w:pPr>
          </w:p>
        </w:tc>
        <w:tc>
          <w:tcPr>
            <w:tcW w:w="1971" w:type="dxa"/>
            <w:vAlign w:val="center"/>
          </w:tcPr>
          <w:p>
            <w:pPr>
              <w:pStyle w:val="14"/>
            </w:pPr>
          </w:p>
        </w:tc>
        <w:tc>
          <w:tcPr>
            <w:tcW w:w="3264" w:type="dxa"/>
            <w:vAlign w:val="center"/>
          </w:tcPr>
          <w:p>
            <w:pPr>
              <w:pStyle w:val="15"/>
            </w:pPr>
            <w:r>
              <w:t>三十一、人行科目</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32</w:t>
            </w:r>
          </w:p>
        </w:tc>
        <w:tc>
          <w:tcPr>
            <w:tcW w:w="4690" w:type="dxa"/>
            <w:vAlign w:val="center"/>
          </w:tcPr>
          <w:p>
            <w:pPr>
              <w:pStyle w:val="17"/>
            </w:pPr>
            <w:r>
              <w:t>本年收入合计</w:t>
            </w:r>
          </w:p>
        </w:tc>
        <w:tc>
          <w:tcPr>
            <w:tcW w:w="1971" w:type="dxa"/>
            <w:vAlign w:val="center"/>
          </w:tcPr>
          <w:p>
            <w:pPr>
              <w:pStyle w:val="18"/>
            </w:pPr>
            <w:r>
              <w:t>1191.31</w:t>
            </w:r>
          </w:p>
        </w:tc>
        <w:tc>
          <w:tcPr>
            <w:tcW w:w="3264" w:type="dxa"/>
            <w:vAlign w:val="center"/>
          </w:tcPr>
          <w:p>
            <w:pPr>
              <w:pStyle w:val="17"/>
            </w:pPr>
            <w:r>
              <w:t>本年支出合计</w:t>
            </w:r>
          </w:p>
        </w:tc>
        <w:tc>
          <w:tcPr>
            <w:tcW w:w="2542" w:type="dxa"/>
            <w:vAlign w:val="center"/>
          </w:tcPr>
          <w:p>
            <w:pPr>
              <w:pStyle w:val="18"/>
            </w:pPr>
            <w:r>
              <w:t>1191.31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33</w:t>
            </w:r>
          </w:p>
        </w:tc>
        <w:tc>
          <w:tcPr>
            <w:tcW w:w="4690" w:type="dxa"/>
            <w:vAlign w:val="center"/>
          </w:tcPr>
          <w:p>
            <w:pPr>
              <w:pStyle w:val="15"/>
            </w:pPr>
            <w:r>
              <w:t>上年结转结余</w:t>
            </w:r>
          </w:p>
        </w:tc>
        <w:tc>
          <w:tcPr>
            <w:tcW w:w="1971" w:type="dxa"/>
            <w:vAlign w:val="center"/>
          </w:tcPr>
          <w:p>
            <w:pPr>
              <w:pStyle w:val="14"/>
            </w:pPr>
          </w:p>
        </w:tc>
        <w:tc>
          <w:tcPr>
            <w:tcW w:w="3264" w:type="dxa"/>
            <w:vAlign w:val="center"/>
          </w:tcPr>
          <w:p>
            <w:pPr>
              <w:pStyle w:val="15"/>
            </w:pPr>
            <w:r>
              <w:t>年终结转结余</w:t>
            </w:r>
          </w:p>
        </w:tc>
        <w:tc>
          <w:tcPr>
            <w:tcW w:w="254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6"/>
            </w:pPr>
            <w:r>
              <w:t>34</w:t>
            </w:r>
          </w:p>
        </w:tc>
        <w:tc>
          <w:tcPr>
            <w:tcW w:w="4690" w:type="dxa"/>
            <w:vAlign w:val="center"/>
          </w:tcPr>
          <w:p>
            <w:pPr>
              <w:pStyle w:val="17"/>
            </w:pPr>
            <w:r>
              <w:t>收入总计</w:t>
            </w:r>
          </w:p>
        </w:tc>
        <w:tc>
          <w:tcPr>
            <w:tcW w:w="1971" w:type="dxa"/>
            <w:vAlign w:val="center"/>
          </w:tcPr>
          <w:p>
            <w:pPr>
              <w:pStyle w:val="18"/>
            </w:pPr>
            <w:r>
              <w:t>1191.31</w:t>
            </w:r>
          </w:p>
        </w:tc>
        <w:tc>
          <w:tcPr>
            <w:tcW w:w="3264" w:type="dxa"/>
            <w:vAlign w:val="center"/>
          </w:tcPr>
          <w:p>
            <w:pPr>
              <w:pStyle w:val="17"/>
            </w:pPr>
            <w:r>
              <w:t>支出总计</w:t>
            </w:r>
          </w:p>
        </w:tc>
        <w:tc>
          <w:tcPr>
            <w:tcW w:w="2542" w:type="dxa"/>
            <w:vAlign w:val="center"/>
          </w:tcPr>
          <w:p>
            <w:pPr>
              <w:pStyle w:val="18"/>
            </w:pPr>
            <w:r>
              <w:t>1191.31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7"/>
        <w:gridCol w:w="1366"/>
        <w:gridCol w:w="2217"/>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96" w:type="dxa"/>
            <w:gridSpan w:val="5"/>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2274"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7" w:type="dxa"/>
            <w:vMerge w:val="restart"/>
            <w:vAlign w:val="center"/>
          </w:tcPr>
          <w:p>
            <w:pPr>
              <w:pStyle w:val="13"/>
            </w:pPr>
            <w:r>
              <w:t>序号</w:t>
            </w:r>
          </w:p>
        </w:tc>
        <w:tc>
          <w:tcPr>
            <w:tcW w:w="3583" w:type="dxa"/>
            <w:gridSpan w:val="2"/>
            <w:vAlign w:val="center"/>
          </w:tcPr>
          <w:p>
            <w:pPr>
              <w:pStyle w:val="13"/>
            </w:pPr>
            <w:r>
              <w:t>功能分类科目</w:t>
            </w:r>
          </w:p>
        </w:tc>
        <w:tc>
          <w:tcPr>
            <w:tcW w:w="758" w:type="dxa"/>
            <w:vMerge w:val="restart"/>
            <w:vAlign w:val="center"/>
          </w:tcPr>
          <w:p>
            <w:pPr>
              <w:pStyle w:val="13"/>
            </w:pPr>
            <w:r>
              <w:t>合计</w:t>
            </w:r>
          </w:p>
        </w:tc>
        <w:tc>
          <w:tcPr>
            <w:tcW w:w="6064" w:type="dxa"/>
            <w:gridSpan w:val="8"/>
            <w:vAlign w:val="center"/>
          </w:tcPr>
          <w:p>
            <w:pPr>
              <w:pStyle w:val="13"/>
            </w:pPr>
            <w:r>
              <w:t>本年收入</w:t>
            </w:r>
          </w:p>
        </w:tc>
        <w:tc>
          <w:tcPr>
            <w:tcW w:w="75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7" w:type="dxa"/>
            <w:vMerge w:val="continue"/>
          </w:tcPr>
          <w:p/>
        </w:tc>
        <w:tc>
          <w:tcPr>
            <w:tcW w:w="1366" w:type="dxa"/>
            <w:vAlign w:val="center"/>
          </w:tcPr>
          <w:p>
            <w:pPr>
              <w:pStyle w:val="13"/>
            </w:pPr>
            <w:r>
              <w:t>科目    编码</w:t>
            </w:r>
          </w:p>
        </w:tc>
        <w:tc>
          <w:tcPr>
            <w:tcW w:w="2217" w:type="dxa"/>
            <w:vAlign w:val="center"/>
          </w:tcPr>
          <w:p>
            <w:pPr>
              <w:pStyle w:val="13"/>
            </w:pPr>
            <w:r>
              <w:t>科目名称</w:t>
            </w:r>
          </w:p>
        </w:tc>
        <w:tc>
          <w:tcPr>
            <w:tcW w:w="758" w:type="dxa"/>
            <w:vMerge w:val="continue"/>
          </w:tcPr>
          <w:p/>
        </w:tc>
        <w:tc>
          <w:tcPr>
            <w:tcW w:w="758" w:type="dxa"/>
            <w:vAlign w:val="center"/>
          </w:tcPr>
          <w:p>
            <w:pPr>
              <w:pStyle w:val="13"/>
            </w:pPr>
            <w:r>
              <w:t>小计</w:t>
            </w:r>
          </w:p>
        </w:tc>
        <w:tc>
          <w:tcPr>
            <w:tcW w:w="758" w:type="dxa"/>
            <w:vAlign w:val="center"/>
          </w:tcPr>
          <w:p>
            <w:pPr>
              <w:pStyle w:val="13"/>
            </w:pPr>
            <w:r>
              <w:t>财政拨款 收入</w:t>
            </w:r>
          </w:p>
        </w:tc>
        <w:tc>
          <w:tcPr>
            <w:tcW w:w="758" w:type="dxa"/>
            <w:vAlign w:val="center"/>
          </w:tcPr>
          <w:p>
            <w:pPr>
              <w:pStyle w:val="13"/>
            </w:pPr>
            <w:r>
              <w:t>财政专户 收入</w:t>
            </w:r>
          </w:p>
        </w:tc>
        <w:tc>
          <w:tcPr>
            <w:tcW w:w="758" w:type="dxa"/>
            <w:vAlign w:val="center"/>
          </w:tcPr>
          <w:p>
            <w:pPr>
              <w:pStyle w:val="13"/>
            </w:pPr>
            <w:r>
              <w:t>事业收入</w:t>
            </w:r>
          </w:p>
        </w:tc>
        <w:tc>
          <w:tcPr>
            <w:tcW w:w="758" w:type="dxa"/>
            <w:vAlign w:val="center"/>
          </w:tcPr>
          <w:p>
            <w:pPr>
              <w:pStyle w:val="13"/>
            </w:pPr>
            <w:r>
              <w:t>经营收入</w:t>
            </w:r>
          </w:p>
        </w:tc>
        <w:tc>
          <w:tcPr>
            <w:tcW w:w="758" w:type="dxa"/>
            <w:vAlign w:val="center"/>
          </w:tcPr>
          <w:p>
            <w:pPr>
              <w:pStyle w:val="13"/>
            </w:pPr>
            <w:r>
              <w:t>上级补助收入</w:t>
            </w:r>
          </w:p>
        </w:tc>
        <w:tc>
          <w:tcPr>
            <w:tcW w:w="758" w:type="dxa"/>
            <w:vAlign w:val="center"/>
          </w:tcPr>
          <w:p>
            <w:pPr>
              <w:pStyle w:val="13"/>
            </w:pPr>
            <w:r>
              <w:t>附属单位上缴收入</w:t>
            </w:r>
          </w:p>
        </w:tc>
        <w:tc>
          <w:tcPr>
            <w:tcW w:w="758" w:type="dxa"/>
            <w:vAlign w:val="center"/>
          </w:tcPr>
          <w:p>
            <w:pPr>
              <w:pStyle w:val="13"/>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7" w:type="dxa"/>
            <w:vAlign w:val="center"/>
          </w:tcPr>
          <w:p>
            <w:pPr>
              <w:pStyle w:val="13"/>
            </w:pPr>
            <w:r>
              <w:t>栏次</w:t>
            </w:r>
          </w:p>
        </w:tc>
        <w:tc>
          <w:tcPr>
            <w:tcW w:w="1366" w:type="dxa"/>
            <w:vAlign w:val="center"/>
          </w:tcPr>
          <w:p>
            <w:pPr>
              <w:pStyle w:val="13"/>
            </w:pPr>
            <w:r>
              <w:t>1</w:t>
            </w:r>
          </w:p>
        </w:tc>
        <w:tc>
          <w:tcPr>
            <w:tcW w:w="2217" w:type="dxa"/>
            <w:vAlign w:val="center"/>
          </w:tcPr>
          <w:p>
            <w:pPr>
              <w:pStyle w:val="13"/>
            </w:pPr>
            <w:r>
              <w:t>2</w:t>
            </w:r>
          </w:p>
        </w:tc>
        <w:tc>
          <w:tcPr>
            <w:tcW w:w="758" w:type="dxa"/>
            <w:vAlign w:val="center"/>
          </w:tcPr>
          <w:p>
            <w:pPr>
              <w:pStyle w:val="13"/>
            </w:pPr>
            <w:r>
              <w:t>3</w:t>
            </w:r>
          </w:p>
        </w:tc>
        <w:tc>
          <w:tcPr>
            <w:tcW w:w="758" w:type="dxa"/>
            <w:vAlign w:val="center"/>
          </w:tcPr>
          <w:p>
            <w:pPr>
              <w:pStyle w:val="13"/>
            </w:pPr>
            <w:r>
              <w:t>4</w:t>
            </w:r>
          </w:p>
        </w:tc>
        <w:tc>
          <w:tcPr>
            <w:tcW w:w="758" w:type="dxa"/>
            <w:vAlign w:val="center"/>
          </w:tcPr>
          <w:p>
            <w:pPr>
              <w:pStyle w:val="13"/>
            </w:pPr>
            <w:r>
              <w:t>5</w:t>
            </w:r>
          </w:p>
        </w:tc>
        <w:tc>
          <w:tcPr>
            <w:tcW w:w="758" w:type="dxa"/>
            <w:vAlign w:val="center"/>
          </w:tcPr>
          <w:p>
            <w:pPr>
              <w:pStyle w:val="13"/>
            </w:pPr>
            <w:r>
              <w:t>6</w:t>
            </w:r>
          </w:p>
        </w:tc>
        <w:tc>
          <w:tcPr>
            <w:tcW w:w="758" w:type="dxa"/>
            <w:vAlign w:val="center"/>
          </w:tcPr>
          <w:p>
            <w:pPr>
              <w:pStyle w:val="13"/>
            </w:pPr>
            <w:r>
              <w:t>7</w:t>
            </w:r>
          </w:p>
        </w:tc>
        <w:tc>
          <w:tcPr>
            <w:tcW w:w="758" w:type="dxa"/>
            <w:vAlign w:val="center"/>
          </w:tcPr>
          <w:p>
            <w:pPr>
              <w:pStyle w:val="13"/>
            </w:pPr>
            <w:r>
              <w:t>8</w:t>
            </w:r>
          </w:p>
        </w:tc>
        <w:tc>
          <w:tcPr>
            <w:tcW w:w="758" w:type="dxa"/>
            <w:vAlign w:val="center"/>
          </w:tcPr>
          <w:p>
            <w:pPr>
              <w:pStyle w:val="13"/>
            </w:pPr>
            <w:r>
              <w:t>9</w:t>
            </w:r>
          </w:p>
        </w:tc>
        <w:tc>
          <w:tcPr>
            <w:tcW w:w="758" w:type="dxa"/>
            <w:vAlign w:val="center"/>
          </w:tcPr>
          <w:p>
            <w:pPr>
              <w:pStyle w:val="13"/>
            </w:pPr>
            <w:r>
              <w:t>10</w:t>
            </w:r>
          </w:p>
        </w:tc>
        <w:tc>
          <w:tcPr>
            <w:tcW w:w="758" w:type="dxa"/>
            <w:vAlign w:val="center"/>
          </w:tcPr>
          <w:p>
            <w:pPr>
              <w:pStyle w:val="13"/>
            </w:pPr>
            <w:r>
              <w:t>11</w:t>
            </w:r>
          </w:p>
        </w:tc>
        <w:tc>
          <w:tcPr>
            <w:tcW w:w="75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w:t>
            </w:r>
          </w:p>
        </w:tc>
        <w:tc>
          <w:tcPr>
            <w:tcW w:w="1366" w:type="dxa"/>
            <w:vAlign w:val="center"/>
          </w:tcPr>
          <w:p>
            <w:pPr>
              <w:pStyle w:val="19"/>
            </w:pPr>
          </w:p>
        </w:tc>
        <w:tc>
          <w:tcPr>
            <w:tcW w:w="2217" w:type="dxa"/>
            <w:vAlign w:val="center"/>
          </w:tcPr>
          <w:p>
            <w:pPr>
              <w:pStyle w:val="17"/>
            </w:pPr>
            <w:r>
              <w:t>合计</w:t>
            </w:r>
          </w:p>
        </w:tc>
        <w:tc>
          <w:tcPr>
            <w:tcW w:w="758" w:type="dxa"/>
            <w:vAlign w:val="center"/>
          </w:tcPr>
          <w:p>
            <w:pPr>
              <w:pStyle w:val="18"/>
            </w:pPr>
            <w:r>
              <w:t>1191.31</w:t>
            </w:r>
          </w:p>
        </w:tc>
        <w:tc>
          <w:tcPr>
            <w:tcW w:w="758" w:type="dxa"/>
            <w:vAlign w:val="center"/>
          </w:tcPr>
          <w:p>
            <w:pPr>
              <w:pStyle w:val="18"/>
            </w:pPr>
            <w:r>
              <w:t>1191.31</w:t>
            </w:r>
          </w:p>
        </w:tc>
        <w:tc>
          <w:tcPr>
            <w:tcW w:w="758" w:type="dxa"/>
            <w:vAlign w:val="center"/>
          </w:tcPr>
          <w:p>
            <w:pPr>
              <w:pStyle w:val="18"/>
            </w:pPr>
            <w:r>
              <w:t>1191.31</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2</w:t>
            </w:r>
          </w:p>
        </w:tc>
        <w:tc>
          <w:tcPr>
            <w:tcW w:w="1366" w:type="dxa"/>
            <w:vAlign w:val="center"/>
          </w:tcPr>
          <w:p>
            <w:pPr>
              <w:pStyle w:val="15"/>
            </w:pPr>
            <w:r>
              <w:t>201</w:t>
            </w:r>
          </w:p>
        </w:tc>
        <w:tc>
          <w:tcPr>
            <w:tcW w:w="2217" w:type="dxa"/>
            <w:vAlign w:val="center"/>
          </w:tcPr>
          <w:p>
            <w:pPr>
              <w:pStyle w:val="15"/>
            </w:pPr>
            <w:r>
              <w:t>一般公共服务支出</w:t>
            </w:r>
          </w:p>
        </w:tc>
        <w:tc>
          <w:tcPr>
            <w:tcW w:w="758" w:type="dxa"/>
            <w:vAlign w:val="center"/>
          </w:tcPr>
          <w:p>
            <w:pPr>
              <w:pStyle w:val="14"/>
            </w:pPr>
            <w:r>
              <w:t>556.82</w:t>
            </w:r>
          </w:p>
        </w:tc>
        <w:tc>
          <w:tcPr>
            <w:tcW w:w="758" w:type="dxa"/>
            <w:vAlign w:val="center"/>
          </w:tcPr>
          <w:p>
            <w:pPr>
              <w:pStyle w:val="14"/>
            </w:pPr>
            <w:r>
              <w:t>556.82</w:t>
            </w:r>
          </w:p>
        </w:tc>
        <w:tc>
          <w:tcPr>
            <w:tcW w:w="758" w:type="dxa"/>
            <w:vAlign w:val="center"/>
          </w:tcPr>
          <w:p>
            <w:pPr>
              <w:pStyle w:val="14"/>
            </w:pPr>
            <w:r>
              <w:t>556.82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3</w:t>
            </w:r>
          </w:p>
        </w:tc>
        <w:tc>
          <w:tcPr>
            <w:tcW w:w="1366" w:type="dxa"/>
            <w:vAlign w:val="center"/>
          </w:tcPr>
          <w:p>
            <w:pPr>
              <w:pStyle w:val="15"/>
            </w:pPr>
            <w:r>
              <w:t>20103</w:t>
            </w:r>
          </w:p>
        </w:tc>
        <w:tc>
          <w:tcPr>
            <w:tcW w:w="2217" w:type="dxa"/>
            <w:vAlign w:val="center"/>
          </w:tcPr>
          <w:p>
            <w:pPr>
              <w:pStyle w:val="15"/>
            </w:pPr>
            <w:r>
              <w:t>政府办公厅（室）及相关机构事务</w:t>
            </w:r>
          </w:p>
        </w:tc>
        <w:tc>
          <w:tcPr>
            <w:tcW w:w="758" w:type="dxa"/>
            <w:vAlign w:val="center"/>
          </w:tcPr>
          <w:p>
            <w:pPr>
              <w:pStyle w:val="14"/>
            </w:pPr>
            <w:r>
              <w:t>476.82</w:t>
            </w:r>
          </w:p>
        </w:tc>
        <w:tc>
          <w:tcPr>
            <w:tcW w:w="758" w:type="dxa"/>
            <w:vAlign w:val="center"/>
          </w:tcPr>
          <w:p>
            <w:pPr>
              <w:pStyle w:val="14"/>
            </w:pPr>
            <w:r>
              <w:t>476.82</w:t>
            </w:r>
          </w:p>
        </w:tc>
        <w:tc>
          <w:tcPr>
            <w:tcW w:w="758" w:type="dxa"/>
            <w:vAlign w:val="center"/>
          </w:tcPr>
          <w:p>
            <w:pPr>
              <w:pStyle w:val="14"/>
            </w:pPr>
            <w:r>
              <w:t>476.82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4</w:t>
            </w:r>
          </w:p>
        </w:tc>
        <w:tc>
          <w:tcPr>
            <w:tcW w:w="1366" w:type="dxa"/>
            <w:vAlign w:val="center"/>
          </w:tcPr>
          <w:p>
            <w:pPr>
              <w:pStyle w:val="15"/>
            </w:pPr>
            <w:r>
              <w:t>2010301</w:t>
            </w:r>
          </w:p>
        </w:tc>
        <w:tc>
          <w:tcPr>
            <w:tcW w:w="2217" w:type="dxa"/>
            <w:vAlign w:val="center"/>
          </w:tcPr>
          <w:p>
            <w:pPr>
              <w:pStyle w:val="15"/>
            </w:pPr>
            <w:r>
              <w:t>行政运行</w:t>
            </w:r>
          </w:p>
        </w:tc>
        <w:tc>
          <w:tcPr>
            <w:tcW w:w="758" w:type="dxa"/>
            <w:vAlign w:val="center"/>
          </w:tcPr>
          <w:p>
            <w:pPr>
              <w:pStyle w:val="14"/>
            </w:pPr>
            <w:r>
              <w:t>476.82</w:t>
            </w:r>
          </w:p>
        </w:tc>
        <w:tc>
          <w:tcPr>
            <w:tcW w:w="758" w:type="dxa"/>
            <w:vAlign w:val="center"/>
          </w:tcPr>
          <w:p>
            <w:pPr>
              <w:pStyle w:val="14"/>
            </w:pPr>
            <w:r>
              <w:t>476.82</w:t>
            </w:r>
          </w:p>
        </w:tc>
        <w:tc>
          <w:tcPr>
            <w:tcW w:w="758" w:type="dxa"/>
            <w:vAlign w:val="center"/>
          </w:tcPr>
          <w:p>
            <w:pPr>
              <w:pStyle w:val="14"/>
            </w:pPr>
            <w:r>
              <w:t>476.82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5</w:t>
            </w:r>
          </w:p>
        </w:tc>
        <w:tc>
          <w:tcPr>
            <w:tcW w:w="1366" w:type="dxa"/>
            <w:vAlign w:val="center"/>
          </w:tcPr>
          <w:p>
            <w:pPr>
              <w:pStyle w:val="15"/>
            </w:pPr>
            <w:r>
              <w:t>20140</w:t>
            </w:r>
          </w:p>
        </w:tc>
        <w:tc>
          <w:tcPr>
            <w:tcW w:w="2217" w:type="dxa"/>
            <w:vAlign w:val="center"/>
          </w:tcPr>
          <w:p>
            <w:pPr>
              <w:pStyle w:val="15"/>
            </w:pPr>
            <w:r>
              <w:t>信访事务</w:t>
            </w:r>
          </w:p>
        </w:tc>
        <w:tc>
          <w:tcPr>
            <w:tcW w:w="758" w:type="dxa"/>
            <w:vAlign w:val="center"/>
          </w:tcPr>
          <w:p>
            <w:pPr>
              <w:pStyle w:val="14"/>
            </w:pPr>
            <w:r>
              <w:t>80.00</w:t>
            </w:r>
          </w:p>
        </w:tc>
        <w:tc>
          <w:tcPr>
            <w:tcW w:w="758" w:type="dxa"/>
            <w:vAlign w:val="center"/>
          </w:tcPr>
          <w:p>
            <w:pPr>
              <w:pStyle w:val="14"/>
            </w:pPr>
            <w:r>
              <w:t>80.00</w:t>
            </w:r>
          </w:p>
        </w:tc>
        <w:tc>
          <w:tcPr>
            <w:tcW w:w="758" w:type="dxa"/>
            <w:vAlign w:val="center"/>
          </w:tcPr>
          <w:p>
            <w:pPr>
              <w:pStyle w:val="14"/>
            </w:pPr>
            <w:r>
              <w:t>80.00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6</w:t>
            </w:r>
          </w:p>
        </w:tc>
        <w:tc>
          <w:tcPr>
            <w:tcW w:w="1366" w:type="dxa"/>
            <w:vAlign w:val="center"/>
          </w:tcPr>
          <w:p>
            <w:pPr>
              <w:pStyle w:val="15"/>
            </w:pPr>
            <w:r>
              <w:t>2014004</w:t>
            </w:r>
          </w:p>
        </w:tc>
        <w:tc>
          <w:tcPr>
            <w:tcW w:w="2217" w:type="dxa"/>
            <w:vAlign w:val="center"/>
          </w:tcPr>
          <w:p>
            <w:pPr>
              <w:pStyle w:val="15"/>
            </w:pPr>
            <w:r>
              <w:t>信访业务</w:t>
            </w:r>
          </w:p>
        </w:tc>
        <w:tc>
          <w:tcPr>
            <w:tcW w:w="758" w:type="dxa"/>
            <w:vAlign w:val="center"/>
          </w:tcPr>
          <w:p>
            <w:pPr>
              <w:pStyle w:val="14"/>
            </w:pPr>
            <w:r>
              <w:t>80.00</w:t>
            </w:r>
          </w:p>
        </w:tc>
        <w:tc>
          <w:tcPr>
            <w:tcW w:w="758" w:type="dxa"/>
            <w:vAlign w:val="center"/>
          </w:tcPr>
          <w:p>
            <w:pPr>
              <w:pStyle w:val="14"/>
            </w:pPr>
            <w:r>
              <w:t>80.00</w:t>
            </w:r>
          </w:p>
        </w:tc>
        <w:tc>
          <w:tcPr>
            <w:tcW w:w="758" w:type="dxa"/>
            <w:vAlign w:val="center"/>
          </w:tcPr>
          <w:p>
            <w:pPr>
              <w:pStyle w:val="14"/>
            </w:pPr>
            <w:r>
              <w:t>80.00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7</w:t>
            </w:r>
          </w:p>
        </w:tc>
        <w:tc>
          <w:tcPr>
            <w:tcW w:w="1366" w:type="dxa"/>
            <w:vAlign w:val="center"/>
          </w:tcPr>
          <w:p>
            <w:pPr>
              <w:pStyle w:val="15"/>
            </w:pPr>
            <w:r>
              <w:t>204</w:t>
            </w:r>
          </w:p>
        </w:tc>
        <w:tc>
          <w:tcPr>
            <w:tcW w:w="2217" w:type="dxa"/>
            <w:vAlign w:val="center"/>
          </w:tcPr>
          <w:p>
            <w:pPr>
              <w:pStyle w:val="15"/>
            </w:pPr>
            <w:r>
              <w:t>公共安全支出</w:t>
            </w:r>
          </w:p>
        </w:tc>
        <w:tc>
          <w:tcPr>
            <w:tcW w:w="758" w:type="dxa"/>
            <w:vAlign w:val="center"/>
          </w:tcPr>
          <w:p>
            <w:pPr>
              <w:pStyle w:val="14"/>
            </w:pPr>
            <w:r>
              <w:t>480.39</w:t>
            </w:r>
          </w:p>
        </w:tc>
        <w:tc>
          <w:tcPr>
            <w:tcW w:w="758" w:type="dxa"/>
            <w:vAlign w:val="center"/>
          </w:tcPr>
          <w:p>
            <w:pPr>
              <w:pStyle w:val="14"/>
            </w:pPr>
            <w:r>
              <w:t>480.39</w:t>
            </w:r>
          </w:p>
        </w:tc>
        <w:tc>
          <w:tcPr>
            <w:tcW w:w="758" w:type="dxa"/>
            <w:vAlign w:val="center"/>
          </w:tcPr>
          <w:p>
            <w:pPr>
              <w:pStyle w:val="14"/>
            </w:pPr>
            <w:r>
              <w:t>480.39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8</w:t>
            </w:r>
          </w:p>
        </w:tc>
        <w:tc>
          <w:tcPr>
            <w:tcW w:w="1366" w:type="dxa"/>
            <w:vAlign w:val="center"/>
          </w:tcPr>
          <w:p>
            <w:pPr>
              <w:pStyle w:val="15"/>
            </w:pPr>
            <w:r>
              <w:t>20406</w:t>
            </w:r>
          </w:p>
        </w:tc>
        <w:tc>
          <w:tcPr>
            <w:tcW w:w="2217" w:type="dxa"/>
            <w:vAlign w:val="center"/>
          </w:tcPr>
          <w:p>
            <w:pPr>
              <w:pStyle w:val="15"/>
            </w:pPr>
            <w:r>
              <w:t>司法</w:t>
            </w:r>
          </w:p>
        </w:tc>
        <w:tc>
          <w:tcPr>
            <w:tcW w:w="758" w:type="dxa"/>
            <w:vAlign w:val="center"/>
          </w:tcPr>
          <w:p>
            <w:pPr>
              <w:pStyle w:val="14"/>
            </w:pPr>
            <w:r>
              <w:t>480.39</w:t>
            </w:r>
          </w:p>
        </w:tc>
        <w:tc>
          <w:tcPr>
            <w:tcW w:w="758" w:type="dxa"/>
            <w:vAlign w:val="center"/>
          </w:tcPr>
          <w:p>
            <w:pPr>
              <w:pStyle w:val="14"/>
            </w:pPr>
            <w:r>
              <w:t>480.39</w:t>
            </w:r>
          </w:p>
        </w:tc>
        <w:tc>
          <w:tcPr>
            <w:tcW w:w="758" w:type="dxa"/>
            <w:vAlign w:val="center"/>
          </w:tcPr>
          <w:p>
            <w:pPr>
              <w:pStyle w:val="14"/>
            </w:pPr>
            <w:r>
              <w:t>480.39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9</w:t>
            </w:r>
          </w:p>
        </w:tc>
        <w:tc>
          <w:tcPr>
            <w:tcW w:w="1366" w:type="dxa"/>
            <w:vAlign w:val="center"/>
          </w:tcPr>
          <w:p>
            <w:pPr>
              <w:pStyle w:val="15"/>
            </w:pPr>
            <w:r>
              <w:t>2040602</w:t>
            </w:r>
          </w:p>
        </w:tc>
        <w:tc>
          <w:tcPr>
            <w:tcW w:w="2217" w:type="dxa"/>
            <w:vAlign w:val="center"/>
          </w:tcPr>
          <w:p>
            <w:pPr>
              <w:pStyle w:val="15"/>
            </w:pPr>
            <w:r>
              <w:t>一般行政管理事务</w:t>
            </w:r>
          </w:p>
        </w:tc>
        <w:tc>
          <w:tcPr>
            <w:tcW w:w="758" w:type="dxa"/>
            <w:vAlign w:val="center"/>
          </w:tcPr>
          <w:p>
            <w:pPr>
              <w:pStyle w:val="14"/>
            </w:pPr>
            <w:r>
              <w:t>422.89</w:t>
            </w:r>
          </w:p>
        </w:tc>
        <w:tc>
          <w:tcPr>
            <w:tcW w:w="758" w:type="dxa"/>
            <w:vAlign w:val="center"/>
          </w:tcPr>
          <w:p>
            <w:pPr>
              <w:pStyle w:val="14"/>
            </w:pPr>
            <w:r>
              <w:t>422.89</w:t>
            </w:r>
          </w:p>
        </w:tc>
        <w:tc>
          <w:tcPr>
            <w:tcW w:w="758" w:type="dxa"/>
            <w:vAlign w:val="center"/>
          </w:tcPr>
          <w:p>
            <w:pPr>
              <w:pStyle w:val="14"/>
            </w:pPr>
            <w:r>
              <w:t>422.89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10</w:t>
            </w:r>
          </w:p>
        </w:tc>
        <w:tc>
          <w:tcPr>
            <w:tcW w:w="1366" w:type="dxa"/>
            <w:vAlign w:val="center"/>
          </w:tcPr>
          <w:p>
            <w:pPr>
              <w:pStyle w:val="15"/>
            </w:pPr>
            <w:r>
              <w:t>2040604</w:t>
            </w:r>
          </w:p>
        </w:tc>
        <w:tc>
          <w:tcPr>
            <w:tcW w:w="2217" w:type="dxa"/>
            <w:vAlign w:val="center"/>
          </w:tcPr>
          <w:p>
            <w:pPr>
              <w:pStyle w:val="15"/>
            </w:pPr>
            <w:r>
              <w:t>基层司法业务</w:t>
            </w:r>
          </w:p>
        </w:tc>
        <w:tc>
          <w:tcPr>
            <w:tcW w:w="758" w:type="dxa"/>
            <w:vAlign w:val="center"/>
          </w:tcPr>
          <w:p>
            <w:pPr>
              <w:pStyle w:val="14"/>
            </w:pPr>
            <w:r>
              <w:t>2.00</w:t>
            </w:r>
          </w:p>
        </w:tc>
        <w:tc>
          <w:tcPr>
            <w:tcW w:w="758" w:type="dxa"/>
            <w:vAlign w:val="center"/>
          </w:tcPr>
          <w:p>
            <w:pPr>
              <w:pStyle w:val="14"/>
            </w:pPr>
            <w:r>
              <w:t>2.00</w:t>
            </w:r>
          </w:p>
        </w:tc>
        <w:tc>
          <w:tcPr>
            <w:tcW w:w="758" w:type="dxa"/>
            <w:vAlign w:val="center"/>
          </w:tcPr>
          <w:p>
            <w:pPr>
              <w:pStyle w:val="14"/>
            </w:pPr>
            <w:r>
              <w:t>2.00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11</w:t>
            </w:r>
          </w:p>
        </w:tc>
        <w:tc>
          <w:tcPr>
            <w:tcW w:w="1366" w:type="dxa"/>
            <w:vAlign w:val="center"/>
          </w:tcPr>
          <w:p>
            <w:pPr>
              <w:pStyle w:val="15"/>
            </w:pPr>
            <w:r>
              <w:t>2040606</w:t>
            </w:r>
          </w:p>
        </w:tc>
        <w:tc>
          <w:tcPr>
            <w:tcW w:w="2217" w:type="dxa"/>
            <w:vAlign w:val="center"/>
          </w:tcPr>
          <w:p>
            <w:pPr>
              <w:pStyle w:val="15"/>
            </w:pPr>
            <w:r>
              <w:t>律师管理</w:t>
            </w:r>
          </w:p>
        </w:tc>
        <w:tc>
          <w:tcPr>
            <w:tcW w:w="758" w:type="dxa"/>
            <w:vAlign w:val="center"/>
          </w:tcPr>
          <w:p>
            <w:pPr>
              <w:pStyle w:val="14"/>
            </w:pPr>
            <w:r>
              <w:t>20.00</w:t>
            </w:r>
          </w:p>
        </w:tc>
        <w:tc>
          <w:tcPr>
            <w:tcW w:w="758" w:type="dxa"/>
            <w:vAlign w:val="center"/>
          </w:tcPr>
          <w:p>
            <w:pPr>
              <w:pStyle w:val="14"/>
            </w:pPr>
            <w:r>
              <w:t>20.00</w:t>
            </w:r>
          </w:p>
        </w:tc>
        <w:tc>
          <w:tcPr>
            <w:tcW w:w="758" w:type="dxa"/>
            <w:vAlign w:val="center"/>
          </w:tcPr>
          <w:p>
            <w:pPr>
              <w:pStyle w:val="14"/>
            </w:pPr>
            <w:r>
              <w:t>20.00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12</w:t>
            </w:r>
          </w:p>
        </w:tc>
        <w:tc>
          <w:tcPr>
            <w:tcW w:w="1366" w:type="dxa"/>
            <w:vAlign w:val="center"/>
          </w:tcPr>
          <w:p>
            <w:pPr>
              <w:pStyle w:val="15"/>
            </w:pPr>
            <w:r>
              <w:t>2040607</w:t>
            </w:r>
          </w:p>
        </w:tc>
        <w:tc>
          <w:tcPr>
            <w:tcW w:w="2217" w:type="dxa"/>
            <w:vAlign w:val="center"/>
          </w:tcPr>
          <w:p>
            <w:pPr>
              <w:pStyle w:val="15"/>
            </w:pPr>
            <w:r>
              <w:t>公共法律服务</w:t>
            </w:r>
          </w:p>
        </w:tc>
        <w:tc>
          <w:tcPr>
            <w:tcW w:w="758" w:type="dxa"/>
            <w:vAlign w:val="center"/>
          </w:tcPr>
          <w:p>
            <w:pPr>
              <w:pStyle w:val="14"/>
            </w:pPr>
            <w:r>
              <w:t>27.00</w:t>
            </w:r>
          </w:p>
        </w:tc>
        <w:tc>
          <w:tcPr>
            <w:tcW w:w="758" w:type="dxa"/>
            <w:vAlign w:val="center"/>
          </w:tcPr>
          <w:p>
            <w:pPr>
              <w:pStyle w:val="14"/>
            </w:pPr>
            <w:r>
              <w:t>27.00</w:t>
            </w:r>
          </w:p>
        </w:tc>
        <w:tc>
          <w:tcPr>
            <w:tcW w:w="758" w:type="dxa"/>
            <w:vAlign w:val="center"/>
          </w:tcPr>
          <w:p>
            <w:pPr>
              <w:pStyle w:val="14"/>
            </w:pPr>
            <w:r>
              <w:t>27.00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13</w:t>
            </w:r>
          </w:p>
        </w:tc>
        <w:tc>
          <w:tcPr>
            <w:tcW w:w="1366" w:type="dxa"/>
            <w:vAlign w:val="center"/>
          </w:tcPr>
          <w:p>
            <w:pPr>
              <w:pStyle w:val="15"/>
            </w:pPr>
            <w:r>
              <w:t>2040610</w:t>
            </w:r>
          </w:p>
        </w:tc>
        <w:tc>
          <w:tcPr>
            <w:tcW w:w="2217" w:type="dxa"/>
            <w:vAlign w:val="center"/>
          </w:tcPr>
          <w:p>
            <w:pPr>
              <w:pStyle w:val="15"/>
            </w:pPr>
            <w:r>
              <w:t>社区矫正</w:t>
            </w:r>
          </w:p>
        </w:tc>
        <w:tc>
          <w:tcPr>
            <w:tcW w:w="758" w:type="dxa"/>
            <w:vAlign w:val="center"/>
          </w:tcPr>
          <w:p>
            <w:pPr>
              <w:pStyle w:val="14"/>
            </w:pPr>
            <w:r>
              <w:t>8.50</w:t>
            </w:r>
          </w:p>
        </w:tc>
        <w:tc>
          <w:tcPr>
            <w:tcW w:w="758" w:type="dxa"/>
            <w:vAlign w:val="center"/>
          </w:tcPr>
          <w:p>
            <w:pPr>
              <w:pStyle w:val="14"/>
            </w:pPr>
            <w:r>
              <w:t>8.50</w:t>
            </w:r>
          </w:p>
        </w:tc>
        <w:tc>
          <w:tcPr>
            <w:tcW w:w="758" w:type="dxa"/>
            <w:vAlign w:val="center"/>
          </w:tcPr>
          <w:p>
            <w:pPr>
              <w:pStyle w:val="14"/>
            </w:pPr>
            <w:r>
              <w:t>8.50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14</w:t>
            </w:r>
          </w:p>
        </w:tc>
        <w:tc>
          <w:tcPr>
            <w:tcW w:w="1366" w:type="dxa"/>
            <w:vAlign w:val="center"/>
          </w:tcPr>
          <w:p>
            <w:pPr>
              <w:pStyle w:val="15"/>
            </w:pPr>
            <w:r>
              <w:t>208</w:t>
            </w:r>
          </w:p>
        </w:tc>
        <w:tc>
          <w:tcPr>
            <w:tcW w:w="2217" w:type="dxa"/>
            <w:vAlign w:val="center"/>
          </w:tcPr>
          <w:p>
            <w:pPr>
              <w:pStyle w:val="15"/>
            </w:pPr>
            <w:r>
              <w:t>社会保障和就业支出</w:t>
            </w:r>
          </w:p>
        </w:tc>
        <w:tc>
          <w:tcPr>
            <w:tcW w:w="758" w:type="dxa"/>
            <w:vAlign w:val="center"/>
          </w:tcPr>
          <w:p>
            <w:pPr>
              <w:pStyle w:val="14"/>
            </w:pPr>
            <w:r>
              <w:t>57.65</w:t>
            </w:r>
          </w:p>
        </w:tc>
        <w:tc>
          <w:tcPr>
            <w:tcW w:w="758" w:type="dxa"/>
            <w:vAlign w:val="center"/>
          </w:tcPr>
          <w:p>
            <w:pPr>
              <w:pStyle w:val="14"/>
            </w:pPr>
            <w:r>
              <w:t>57.65</w:t>
            </w:r>
          </w:p>
        </w:tc>
        <w:tc>
          <w:tcPr>
            <w:tcW w:w="758" w:type="dxa"/>
            <w:vAlign w:val="center"/>
          </w:tcPr>
          <w:p>
            <w:pPr>
              <w:pStyle w:val="14"/>
            </w:pPr>
            <w:r>
              <w:t>57.65</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15</w:t>
            </w:r>
          </w:p>
        </w:tc>
        <w:tc>
          <w:tcPr>
            <w:tcW w:w="1366" w:type="dxa"/>
            <w:vAlign w:val="center"/>
          </w:tcPr>
          <w:p>
            <w:pPr>
              <w:pStyle w:val="15"/>
            </w:pPr>
            <w:r>
              <w:t>20805</w:t>
            </w:r>
          </w:p>
        </w:tc>
        <w:tc>
          <w:tcPr>
            <w:tcW w:w="2217" w:type="dxa"/>
            <w:vAlign w:val="center"/>
          </w:tcPr>
          <w:p>
            <w:pPr>
              <w:pStyle w:val="15"/>
            </w:pPr>
            <w:r>
              <w:t>行政事业单位养老支出</w:t>
            </w:r>
          </w:p>
        </w:tc>
        <w:tc>
          <w:tcPr>
            <w:tcW w:w="758" w:type="dxa"/>
            <w:vAlign w:val="center"/>
          </w:tcPr>
          <w:p>
            <w:pPr>
              <w:pStyle w:val="14"/>
            </w:pPr>
            <w:r>
              <w:t>57.65</w:t>
            </w:r>
          </w:p>
        </w:tc>
        <w:tc>
          <w:tcPr>
            <w:tcW w:w="758" w:type="dxa"/>
            <w:vAlign w:val="center"/>
          </w:tcPr>
          <w:p>
            <w:pPr>
              <w:pStyle w:val="14"/>
            </w:pPr>
            <w:r>
              <w:t>57.65</w:t>
            </w:r>
          </w:p>
        </w:tc>
        <w:tc>
          <w:tcPr>
            <w:tcW w:w="758" w:type="dxa"/>
            <w:vAlign w:val="center"/>
          </w:tcPr>
          <w:p>
            <w:pPr>
              <w:pStyle w:val="14"/>
            </w:pPr>
            <w:r>
              <w:t>57.65</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16</w:t>
            </w:r>
          </w:p>
        </w:tc>
        <w:tc>
          <w:tcPr>
            <w:tcW w:w="1366" w:type="dxa"/>
            <w:vAlign w:val="center"/>
          </w:tcPr>
          <w:p>
            <w:pPr>
              <w:pStyle w:val="15"/>
            </w:pPr>
            <w:r>
              <w:t>2080505</w:t>
            </w:r>
          </w:p>
        </w:tc>
        <w:tc>
          <w:tcPr>
            <w:tcW w:w="2217" w:type="dxa"/>
            <w:vAlign w:val="center"/>
          </w:tcPr>
          <w:p>
            <w:pPr>
              <w:pStyle w:val="15"/>
            </w:pPr>
            <w:r>
              <w:t>机关事业单位基本养老保险缴费支出</w:t>
            </w:r>
          </w:p>
        </w:tc>
        <w:tc>
          <w:tcPr>
            <w:tcW w:w="758" w:type="dxa"/>
            <w:vAlign w:val="center"/>
          </w:tcPr>
          <w:p>
            <w:pPr>
              <w:pStyle w:val="14"/>
            </w:pPr>
            <w:r>
              <w:t>57.65</w:t>
            </w:r>
          </w:p>
        </w:tc>
        <w:tc>
          <w:tcPr>
            <w:tcW w:w="758" w:type="dxa"/>
            <w:vAlign w:val="center"/>
          </w:tcPr>
          <w:p>
            <w:pPr>
              <w:pStyle w:val="14"/>
            </w:pPr>
            <w:r>
              <w:t>57.65</w:t>
            </w:r>
          </w:p>
        </w:tc>
        <w:tc>
          <w:tcPr>
            <w:tcW w:w="758" w:type="dxa"/>
            <w:vAlign w:val="center"/>
          </w:tcPr>
          <w:p>
            <w:pPr>
              <w:pStyle w:val="14"/>
            </w:pPr>
            <w:r>
              <w:t>57.65</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17</w:t>
            </w:r>
          </w:p>
        </w:tc>
        <w:tc>
          <w:tcPr>
            <w:tcW w:w="1366" w:type="dxa"/>
            <w:vAlign w:val="center"/>
          </w:tcPr>
          <w:p>
            <w:pPr>
              <w:pStyle w:val="15"/>
            </w:pPr>
            <w:r>
              <w:t>210</w:t>
            </w:r>
          </w:p>
        </w:tc>
        <w:tc>
          <w:tcPr>
            <w:tcW w:w="2217" w:type="dxa"/>
            <w:vAlign w:val="center"/>
          </w:tcPr>
          <w:p>
            <w:pPr>
              <w:pStyle w:val="15"/>
            </w:pPr>
            <w:r>
              <w:t>卫生健康支出</w:t>
            </w:r>
          </w:p>
        </w:tc>
        <w:tc>
          <w:tcPr>
            <w:tcW w:w="758" w:type="dxa"/>
            <w:vAlign w:val="center"/>
          </w:tcPr>
          <w:p>
            <w:pPr>
              <w:pStyle w:val="14"/>
            </w:pPr>
            <w:r>
              <w:t>51.71</w:t>
            </w:r>
          </w:p>
        </w:tc>
        <w:tc>
          <w:tcPr>
            <w:tcW w:w="758" w:type="dxa"/>
            <w:vAlign w:val="center"/>
          </w:tcPr>
          <w:p>
            <w:pPr>
              <w:pStyle w:val="14"/>
            </w:pPr>
            <w:r>
              <w:t>51.71</w:t>
            </w:r>
          </w:p>
        </w:tc>
        <w:tc>
          <w:tcPr>
            <w:tcW w:w="758" w:type="dxa"/>
            <w:vAlign w:val="center"/>
          </w:tcPr>
          <w:p>
            <w:pPr>
              <w:pStyle w:val="14"/>
            </w:pPr>
            <w:r>
              <w:t>51.71</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18</w:t>
            </w:r>
          </w:p>
        </w:tc>
        <w:tc>
          <w:tcPr>
            <w:tcW w:w="1366" w:type="dxa"/>
            <w:vAlign w:val="center"/>
          </w:tcPr>
          <w:p>
            <w:pPr>
              <w:pStyle w:val="15"/>
            </w:pPr>
            <w:r>
              <w:t>21011</w:t>
            </w:r>
          </w:p>
        </w:tc>
        <w:tc>
          <w:tcPr>
            <w:tcW w:w="2217" w:type="dxa"/>
            <w:vAlign w:val="center"/>
          </w:tcPr>
          <w:p>
            <w:pPr>
              <w:pStyle w:val="15"/>
            </w:pPr>
            <w:r>
              <w:t>行政事业单位医疗</w:t>
            </w:r>
          </w:p>
        </w:tc>
        <w:tc>
          <w:tcPr>
            <w:tcW w:w="758" w:type="dxa"/>
            <w:vAlign w:val="center"/>
          </w:tcPr>
          <w:p>
            <w:pPr>
              <w:pStyle w:val="14"/>
            </w:pPr>
            <w:r>
              <w:t>51.71</w:t>
            </w:r>
          </w:p>
        </w:tc>
        <w:tc>
          <w:tcPr>
            <w:tcW w:w="758" w:type="dxa"/>
            <w:vAlign w:val="center"/>
          </w:tcPr>
          <w:p>
            <w:pPr>
              <w:pStyle w:val="14"/>
            </w:pPr>
            <w:r>
              <w:t>51.71</w:t>
            </w:r>
          </w:p>
        </w:tc>
        <w:tc>
          <w:tcPr>
            <w:tcW w:w="758" w:type="dxa"/>
            <w:vAlign w:val="center"/>
          </w:tcPr>
          <w:p>
            <w:pPr>
              <w:pStyle w:val="14"/>
            </w:pPr>
            <w:r>
              <w:t>51.71</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19</w:t>
            </w:r>
          </w:p>
        </w:tc>
        <w:tc>
          <w:tcPr>
            <w:tcW w:w="1366" w:type="dxa"/>
            <w:vAlign w:val="center"/>
          </w:tcPr>
          <w:p>
            <w:pPr>
              <w:pStyle w:val="15"/>
            </w:pPr>
            <w:r>
              <w:t>2101101</w:t>
            </w:r>
          </w:p>
        </w:tc>
        <w:tc>
          <w:tcPr>
            <w:tcW w:w="2217" w:type="dxa"/>
            <w:vAlign w:val="center"/>
          </w:tcPr>
          <w:p>
            <w:pPr>
              <w:pStyle w:val="15"/>
            </w:pPr>
            <w:r>
              <w:t>行政单位医疗</w:t>
            </w:r>
          </w:p>
        </w:tc>
        <w:tc>
          <w:tcPr>
            <w:tcW w:w="758" w:type="dxa"/>
            <w:vAlign w:val="center"/>
          </w:tcPr>
          <w:p>
            <w:pPr>
              <w:pStyle w:val="14"/>
            </w:pPr>
            <w:r>
              <w:t>10.35</w:t>
            </w:r>
          </w:p>
        </w:tc>
        <w:tc>
          <w:tcPr>
            <w:tcW w:w="758" w:type="dxa"/>
            <w:vAlign w:val="center"/>
          </w:tcPr>
          <w:p>
            <w:pPr>
              <w:pStyle w:val="14"/>
            </w:pPr>
            <w:r>
              <w:t>10.35</w:t>
            </w:r>
          </w:p>
        </w:tc>
        <w:tc>
          <w:tcPr>
            <w:tcW w:w="758" w:type="dxa"/>
            <w:vAlign w:val="center"/>
          </w:tcPr>
          <w:p>
            <w:pPr>
              <w:pStyle w:val="14"/>
            </w:pPr>
            <w:r>
              <w:t>10.35</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20</w:t>
            </w:r>
          </w:p>
        </w:tc>
        <w:tc>
          <w:tcPr>
            <w:tcW w:w="1366" w:type="dxa"/>
            <w:vAlign w:val="center"/>
          </w:tcPr>
          <w:p>
            <w:pPr>
              <w:pStyle w:val="15"/>
            </w:pPr>
            <w:r>
              <w:t>2101102</w:t>
            </w:r>
          </w:p>
        </w:tc>
        <w:tc>
          <w:tcPr>
            <w:tcW w:w="2217" w:type="dxa"/>
            <w:vAlign w:val="center"/>
          </w:tcPr>
          <w:p>
            <w:pPr>
              <w:pStyle w:val="15"/>
            </w:pPr>
            <w:r>
              <w:t>事业单位医疗</w:t>
            </w:r>
          </w:p>
        </w:tc>
        <w:tc>
          <w:tcPr>
            <w:tcW w:w="758" w:type="dxa"/>
            <w:vAlign w:val="center"/>
          </w:tcPr>
          <w:p>
            <w:pPr>
              <w:pStyle w:val="14"/>
            </w:pPr>
            <w:r>
              <w:t>14.25</w:t>
            </w:r>
          </w:p>
        </w:tc>
        <w:tc>
          <w:tcPr>
            <w:tcW w:w="758" w:type="dxa"/>
            <w:vAlign w:val="center"/>
          </w:tcPr>
          <w:p>
            <w:pPr>
              <w:pStyle w:val="14"/>
            </w:pPr>
            <w:r>
              <w:t>14.25</w:t>
            </w:r>
          </w:p>
        </w:tc>
        <w:tc>
          <w:tcPr>
            <w:tcW w:w="758" w:type="dxa"/>
            <w:vAlign w:val="center"/>
          </w:tcPr>
          <w:p>
            <w:pPr>
              <w:pStyle w:val="14"/>
            </w:pPr>
            <w:r>
              <w:t>14.25</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21</w:t>
            </w:r>
          </w:p>
        </w:tc>
        <w:tc>
          <w:tcPr>
            <w:tcW w:w="1366" w:type="dxa"/>
            <w:vAlign w:val="center"/>
          </w:tcPr>
          <w:p>
            <w:pPr>
              <w:pStyle w:val="15"/>
            </w:pPr>
            <w:r>
              <w:t>2101103</w:t>
            </w:r>
          </w:p>
        </w:tc>
        <w:tc>
          <w:tcPr>
            <w:tcW w:w="2217" w:type="dxa"/>
            <w:vAlign w:val="center"/>
          </w:tcPr>
          <w:p>
            <w:pPr>
              <w:pStyle w:val="15"/>
            </w:pPr>
            <w:r>
              <w:t>公务员医疗补助</w:t>
            </w:r>
          </w:p>
        </w:tc>
        <w:tc>
          <w:tcPr>
            <w:tcW w:w="758" w:type="dxa"/>
            <w:vAlign w:val="center"/>
          </w:tcPr>
          <w:p>
            <w:pPr>
              <w:pStyle w:val="14"/>
            </w:pPr>
            <w:r>
              <w:t>27.11</w:t>
            </w:r>
          </w:p>
        </w:tc>
        <w:tc>
          <w:tcPr>
            <w:tcW w:w="758" w:type="dxa"/>
            <w:vAlign w:val="center"/>
          </w:tcPr>
          <w:p>
            <w:pPr>
              <w:pStyle w:val="14"/>
            </w:pPr>
            <w:r>
              <w:t>27.11</w:t>
            </w:r>
          </w:p>
        </w:tc>
        <w:tc>
          <w:tcPr>
            <w:tcW w:w="758" w:type="dxa"/>
            <w:vAlign w:val="center"/>
          </w:tcPr>
          <w:p>
            <w:pPr>
              <w:pStyle w:val="14"/>
            </w:pPr>
            <w:r>
              <w:t>27.11</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22</w:t>
            </w:r>
          </w:p>
        </w:tc>
        <w:tc>
          <w:tcPr>
            <w:tcW w:w="1366" w:type="dxa"/>
            <w:vAlign w:val="center"/>
          </w:tcPr>
          <w:p>
            <w:pPr>
              <w:pStyle w:val="15"/>
            </w:pPr>
            <w:r>
              <w:t>221</w:t>
            </w:r>
          </w:p>
        </w:tc>
        <w:tc>
          <w:tcPr>
            <w:tcW w:w="2217" w:type="dxa"/>
            <w:vAlign w:val="center"/>
          </w:tcPr>
          <w:p>
            <w:pPr>
              <w:pStyle w:val="15"/>
            </w:pPr>
            <w:r>
              <w:t>住房保障支出</w:t>
            </w:r>
          </w:p>
        </w:tc>
        <w:tc>
          <w:tcPr>
            <w:tcW w:w="758" w:type="dxa"/>
            <w:vAlign w:val="center"/>
          </w:tcPr>
          <w:p>
            <w:pPr>
              <w:pStyle w:val="14"/>
            </w:pPr>
            <w:r>
              <w:t>44.74</w:t>
            </w:r>
          </w:p>
        </w:tc>
        <w:tc>
          <w:tcPr>
            <w:tcW w:w="758" w:type="dxa"/>
            <w:vAlign w:val="center"/>
          </w:tcPr>
          <w:p>
            <w:pPr>
              <w:pStyle w:val="14"/>
            </w:pPr>
            <w:r>
              <w:t>44.74</w:t>
            </w:r>
          </w:p>
        </w:tc>
        <w:tc>
          <w:tcPr>
            <w:tcW w:w="758" w:type="dxa"/>
            <w:vAlign w:val="center"/>
          </w:tcPr>
          <w:p>
            <w:pPr>
              <w:pStyle w:val="14"/>
            </w:pPr>
            <w:r>
              <w:t>44.74</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23</w:t>
            </w:r>
          </w:p>
        </w:tc>
        <w:tc>
          <w:tcPr>
            <w:tcW w:w="1366" w:type="dxa"/>
            <w:vAlign w:val="center"/>
          </w:tcPr>
          <w:p>
            <w:pPr>
              <w:pStyle w:val="15"/>
            </w:pPr>
            <w:r>
              <w:t>22102</w:t>
            </w:r>
          </w:p>
        </w:tc>
        <w:tc>
          <w:tcPr>
            <w:tcW w:w="2217" w:type="dxa"/>
            <w:vAlign w:val="center"/>
          </w:tcPr>
          <w:p>
            <w:pPr>
              <w:pStyle w:val="15"/>
            </w:pPr>
            <w:r>
              <w:t>住房改革支出</w:t>
            </w:r>
          </w:p>
        </w:tc>
        <w:tc>
          <w:tcPr>
            <w:tcW w:w="758" w:type="dxa"/>
            <w:vAlign w:val="center"/>
          </w:tcPr>
          <w:p>
            <w:pPr>
              <w:pStyle w:val="14"/>
            </w:pPr>
            <w:r>
              <w:t>44.74</w:t>
            </w:r>
          </w:p>
        </w:tc>
        <w:tc>
          <w:tcPr>
            <w:tcW w:w="758" w:type="dxa"/>
            <w:vAlign w:val="center"/>
          </w:tcPr>
          <w:p>
            <w:pPr>
              <w:pStyle w:val="14"/>
            </w:pPr>
            <w:r>
              <w:t>44.74</w:t>
            </w:r>
          </w:p>
        </w:tc>
        <w:tc>
          <w:tcPr>
            <w:tcW w:w="758" w:type="dxa"/>
            <w:vAlign w:val="center"/>
          </w:tcPr>
          <w:p>
            <w:pPr>
              <w:pStyle w:val="14"/>
            </w:pPr>
            <w:r>
              <w:t>44.74</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7" w:type="dxa"/>
            <w:vAlign w:val="center"/>
          </w:tcPr>
          <w:p>
            <w:pPr>
              <w:pStyle w:val="16"/>
            </w:pPr>
            <w:r>
              <w:t>24</w:t>
            </w:r>
          </w:p>
        </w:tc>
        <w:tc>
          <w:tcPr>
            <w:tcW w:w="1366" w:type="dxa"/>
            <w:vAlign w:val="center"/>
          </w:tcPr>
          <w:p>
            <w:pPr>
              <w:pStyle w:val="15"/>
            </w:pPr>
            <w:r>
              <w:t>2210201</w:t>
            </w:r>
          </w:p>
        </w:tc>
        <w:tc>
          <w:tcPr>
            <w:tcW w:w="2217" w:type="dxa"/>
            <w:vAlign w:val="center"/>
          </w:tcPr>
          <w:p>
            <w:pPr>
              <w:pStyle w:val="15"/>
            </w:pPr>
            <w:r>
              <w:t>住房公积金</w:t>
            </w:r>
          </w:p>
        </w:tc>
        <w:tc>
          <w:tcPr>
            <w:tcW w:w="758" w:type="dxa"/>
            <w:vAlign w:val="center"/>
          </w:tcPr>
          <w:p>
            <w:pPr>
              <w:pStyle w:val="14"/>
            </w:pPr>
            <w:r>
              <w:t>44.74</w:t>
            </w:r>
          </w:p>
        </w:tc>
        <w:tc>
          <w:tcPr>
            <w:tcW w:w="758" w:type="dxa"/>
            <w:vAlign w:val="center"/>
          </w:tcPr>
          <w:p>
            <w:pPr>
              <w:pStyle w:val="14"/>
            </w:pPr>
            <w:r>
              <w:t>44.74</w:t>
            </w:r>
          </w:p>
        </w:tc>
        <w:tc>
          <w:tcPr>
            <w:tcW w:w="758" w:type="dxa"/>
            <w:vAlign w:val="center"/>
          </w:tcPr>
          <w:p>
            <w:pPr>
              <w:pStyle w:val="14"/>
            </w:pPr>
            <w:r>
              <w:t>44.74</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1191.31</w:t>
            </w:r>
          </w:p>
        </w:tc>
        <w:tc>
          <w:tcPr>
            <w:tcW w:w="1361" w:type="dxa"/>
            <w:vAlign w:val="center"/>
          </w:tcPr>
          <w:p>
            <w:pPr>
              <w:pStyle w:val="18"/>
            </w:pPr>
            <w:r>
              <w:t>630.92</w:t>
            </w:r>
          </w:p>
        </w:tc>
        <w:tc>
          <w:tcPr>
            <w:tcW w:w="1361" w:type="dxa"/>
            <w:vAlign w:val="center"/>
          </w:tcPr>
          <w:p>
            <w:pPr>
              <w:pStyle w:val="18"/>
            </w:pPr>
            <w:r>
              <w:t>560.39</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556.82</w:t>
            </w:r>
          </w:p>
        </w:tc>
        <w:tc>
          <w:tcPr>
            <w:tcW w:w="1361" w:type="dxa"/>
            <w:vAlign w:val="center"/>
          </w:tcPr>
          <w:p>
            <w:pPr>
              <w:pStyle w:val="14"/>
            </w:pPr>
            <w:r>
              <w:t>476.82</w:t>
            </w: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20103</w:t>
            </w:r>
          </w:p>
        </w:tc>
        <w:tc>
          <w:tcPr>
            <w:tcW w:w="4535" w:type="dxa"/>
            <w:vAlign w:val="center"/>
          </w:tcPr>
          <w:p>
            <w:pPr>
              <w:pStyle w:val="15"/>
            </w:pPr>
            <w:r>
              <w:t>政府办公厅（室）及相关机构事务</w:t>
            </w:r>
          </w:p>
        </w:tc>
        <w:tc>
          <w:tcPr>
            <w:tcW w:w="1361" w:type="dxa"/>
            <w:vAlign w:val="center"/>
          </w:tcPr>
          <w:p>
            <w:pPr>
              <w:pStyle w:val="14"/>
            </w:pPr>
            <w:r>
              <w:t>476.82</w:t>
            </w:r>
          </w:p>
        </w:tc>
        <w:tc>
          <w:tcPr>
            <w:tcW w:w="1361" w:type="dxa"/>
            <w:vAlign w:val="center"/>
          </w:tcPr>
          <w:p>
            <w:pPr>
              <w:pStyle w:val="14"/>
            </w:pPr>
            <w:r>
              <w:t>476.82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2010301</w:t>
            </w:r>
          </w:p>
        </w:tc>
        <w:tc>
          <w:tcPr>
            <w:tcW w:w="4535" w:type="dxa"/>
            <w:vAlign w:val="center"/>
          </w:tcPr>
          <w:p>
            <w:pPr>
              <w:pStyle w:val="15"/>
            </w:pPr>
            <w:r>
              <w:t>行政运行</w:t>
            </w:r>
          </w:p>
        </w:tc>
        <w:tc>
          <w:tcPr>
            <w:tcW w:w="1361" w:type="dxa"/>
            <w:vAlign w:val="center"/>
          </w:tcPr>
          <w:p>
            <w:pPr>
              <w:pStyle w:val="14"/>
            </w:pPr>
            <w:r>
              <w:t>476.82</w:t>
            </w:r>
          </w:p>
        </w:tc>
        <w:tc>
          <w:tcPr>
            <w:tcW w:w="1361" w:type="dxa"/>
            <w:vAlign w:val="center"/>
          </w:tcPr>
          <w:p>
            <w:pPr>
              <w:pStyle w:val="14"/>
            </w:pPr>
            <w:r>
              <w:t>476.82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20140</w:t>
            </w:r>
          </w:p>
        </w:tc>
        <w:tc>
          <w:tcPr>
            <w:tcW w:w="4535" w:type="dxa"/>
            <w:vAlign w:val="center"/>
          </w:tcPr>
          <w:p>
            <w:pPr>
              <w:pStyle w:val="15"/>
            </w:pPr>
            <w:r>
              <w:t>信访事务</w:t>
            </w: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2014004</w:t>
            </w:r>
          </w:p>
        </w:tc>
        <w:tc>
          <w:tcPr>
            <w:tcW w:w="4535" w:type="dxa"/>
            <w:vAlign w:val="center"/>
          </w:tcPr>
          <w:p>
            <w:pPr>
              <w:pStyle w:val="15"/>
            </w:pPr>
            <w:r>
              <w:t>信访业务</w:t>
            </w: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204</w:t>
            </w:r>
          </w:p>
        </w:tc>
        <w:tc>
          <w:tcPr>
            <w:tcW w:w="4535" w:type="dxa"/>
            <w:vAlign w:val="center"/>
          </w:tcPr>
          <w:p>
            <w:pPr>
              <w:pStyle w:val="15"/>
            </w:pPr>
            <w:r>
              <w:t>公共安全支出</w:t>
            </w:r>
          </w:p>
        </w:tc>
        <w:tc>
          <w:tcPr>
            <w:tcW w:w="1361" w:type="dxa"/>
            <w:vAlign w:val="center"/>
          </w:tcPr>
          <w:p>
            <w:pPr>
              <w:pStyle w:val="14"/>
            </w:pPr>
            <w:r>
              <w:t>480.39</w:t>
            </w:r>
          </w:p>
        </w:tc>
        <w:tc>
          <w:tcPr>
            <w:tcW w:w="1361" w:type="dxa"/>
            <w:vAlign w:val="center"/>
          </w:tcPr>
          <w:p>
            <w:pPr>
              <w:pStyle w:val="14"/>
            </w:pPr>
          </w:p>
        </w:tc>
        <w:tc>
          <w:tcPr>
            <w:tcW w:w="1361" w:type="dxa"/>
            <w:vAlign w:val="center"/>
          </w:tcPr>
          <w:p>
            <w:pPr>
              <w:pStyle w:val="14"/>
            </w:pPr>
            <w:r>
              <w:t>480.39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20406</w:t>
            </w:r>
          </w:p>
        </w:tc>
        <w:tc>
          <w:tcPr>
            <w:tcW w:w="4535" w:type="dxa"/>
            <w:vAlign w:val="center"/>
          </w:tcPr>
          <w:p>
            <w:pPr>
              <w:pStyle w:val="15"/>
            </w:pPr>
            <w:r>
              <w:t>司法</w:t>
            </w:r>
          </w:p>
        </w:tc>
        <w:tc>
          <w:tcPr>
            <w:tcW w:w="1361" w:type="dxa"/>
            <w:vAlign w:val="center"/>
          </w:tcPr>
          <w:p>
            <w:pPr>
              <w:pStyle w:val="14"/>
            </w:pPr>
            <w:r>
              <w:t>480.39</w:t>
            </w:r>
          </w:p>
        </w:tc>
        <w:tc>
          <w:tcPr>
            <w:tcW w:w="1361" w:type="dxa"/>
            <w:vAlign w:val="center"/>
          </w:tcPr>
          <w:p>
            <w:pPr>
              <w:pStyle w:val="14"/>
            </w:pPr>
          </w:p>
        </w:tc>
        <w:tc>
          <w:tcPr>
            <w:tcW w:w="1361" w:type="dxa"/>
            <w:vAlign w:val="center"/>
          </w:tcPr>
          <w:p>
            <w:pPr>
              <w:pStyle w:val="14"/>
            </w:pPr>
            <w:r>
              <w:t>480.39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2040602</w:t>
            </w:r>
          </w:p>
        </w:tc>
        <w:tc>
          <w:tcPr>
            <w:tcW w:w="4535" w:type="dxa"/>
            <w:vAlign w:val="center"/>
          </w:tcPr>
          <w:p>
            <w:pPr>
              <w:pStyle w:val="15"/>
            </w:pPr>
            <w:r>
              <w:t>一般行政管理事务</w:t>
            </w:r>
          </w:p>
        </w:tc>
        <w:tc>
          <w:tcPr>
            <w:tcW w:w="1361" w:type="dxa"/>
            <w:vAlign w:val="center"/>
          </w:tcPr>
          <w:p>
            <w:pPr>
              <w:pStyle w:val="14"/>
            </w:pPr>
            <w:r>
              <w:t>422.89</w:t>
            </w:r>
          </w:p>
        </w:tc>
        <w:tc>
          <w:tcPr>
            <w:tcW w:w="1361" w:type="dxa"/>
            <w:vAlign w:val="center"/>
          </w:tcPr>
          <w:p>
            <w:pPr>
              <w:pStyle w:val="14"/>
            </w:pPr>
          </w:p>
        </w:tc>
        <w:tc>
          <w:tcPr>
            <w:tcW w:w="1361" w:type="dxa"/>
            <w:vAlign w:val="center"/>
          </w:tcPr>
          <w:p>
            <w:pPr>
              <w:pStyle w:val="14"/>
            </w:pPr>
            <w:r>
              <w:t>422.89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2040604</w:t>
            </w:r>
          </w:p>
        </w:tc>
        <w:tc>
          <w:tcPr>
            <w:tcW w:w="4535" w:type="dxa"/>
            <w:vAlign w:val="center"/>
          </w:tcPr>
          <w:p>
            <w:pPr>
              <w:pStyle w:val="15"/>
            </w:pPr>
            <w:r>
              <w:t>基层司法业务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2040606</w:t>
            </w:r>
          </w:p>
        </w:tc>
        <w:tc>
          <w:tcPr>
            <w:tcW w:w="4535" w:type="dxa"/>
            <w:vAlign w:val="center"/>
          </w:tcPr>
          <w:p>
            <w:pPr>
              <w:pStyle w:val="15"/>
            </w:pPr>
            <w:r>
              <w:t>律师管理</w:t>
            </w:r>
          </w:p>
        </w:tc>
        <w:tc>
          <w:tcPr>
            <w:tcW w:w="1361" w:type="dxa"/>
            <w:vAlign w:val="center"/>
          </w:tcPr>
          <w:p>
            <w:pPr>
              <w:pStyle w:val="14"/>
            </w:pPr>
            <w:r>
              <w:t>20.00</w:t>
            </w:r>
          </w:p>
        </w:tc>
        <w:tc>
          <w:tcPr>
            <w:tcW w:w="1361" w:type="dxa"/>
            <w:vAlign w:val="center"/>
          </w:tcPr>
          <w:p>
            <w:pPr>
              <w:pStyle w:val="14"/>
            </w:pPr>
          </w:p>
        </w:tc>
        <w:tc>
          <w:tcPr>
            <w:tcW w:w="1361" w:type="dxa"/>
            <w:vAlign w:val="center"/>
          </w:tcPr>
          <w:p>
            <w:pPr>
              <w:pStyle w:val="14"/>
            </w:pPr>
            <w:r>
              <w:t>20.00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2040607</w:t>
            </w:r>
          </w:p>
        </w:tc>
        <w:tc>
          <w:tcPr>
            <w:tcW w:w="4535" w:type="dxa"/>
            <w:vAlign w:val="center"/>
          </w:tcPr>
          <w:p>
            <w:pPr>
              <w:pStyle w:val="15"/>
            </w:pPr>
            <w:r>
              <w:t>公共法律服务</w:t>
            </w:r>
          </w:p>
        </w:tc>
        <w:tc>
          <w:tcPr>
            <w:tcW w:w="1361" w:type="dxa"/>
            <w:vAlign w:val="center"/>
          </w:tcPr>
          <w:p>
            <w:pPr>
              <w:pStyle w:val="14"/>
            </w:pPr>
            <w:r>
              <w:t>27.00</w:t>
            </w:r>
          </w:p>
        </w:tc>
        <w:tc>
          <w:tcPr>
            <w:tcW w:w="1361" w:type="dxa"/>
            <w:vAlign w:val="center"/>
          </w:tcPr>
          <w:p>
            <w:pPr>
              <w:pStyle w:val="14"/>
            </w:pPr>
          </w:p>
        </w:tc>
        <w:tc>
          <w:tcPr>
            <w:tcW w:w="1361" w:type="dxa"/>
            <w:vAlign w:val="center"/>
          </w:tcPr>
          <w:p>
            <w:pPr>
              <w:pStyle w:val="14"/>
            </w:pPr>
            <w:r>
              <w:t>27.00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2040610</w:t>
            </w:r>
          </w:p>
        </w:tc>
        <w:tc>
          <w:tcPr>
            <w:tcW w:w="4535" w:type="dxa"/>
            <w:vAlign w:val="center"/>
          </w:tcPr>
          <w:p>
            <w:pPr>
              <w:pStyle w:val="15"/>
            </w:pPr>
            <w:r>
              <w:t>社区矫正</w:t>
            </w:r>
          </w:p>
        </w:tc>
        <w:tc>
          <w:tcPr>
            <w:tcW w:w="1361" w:type="dxa"/>
            <w:vAlign w:val="center"/>
          </w:tcPr>
          <w:p>
            <w:pPr>
              <w:pStyle w:val="14"/>
            </w:pPr>
            <w:r>
              <w:t>8.50</w:t>
            </w:r>
          </w:p>
        </w:tc>
        <w:tc>
          <w:tcPr>
            <w:tcW w:w="1361" w:type="dxa"/>
            <w:vAlign w:val="center"/>
          </w:tcPr>
          <w:p>
            <w:pPr>
              <w:pStyle w:val="14"/>
            </w:pPr>
          </w:p>
        </w:tc>
        <w:tc>
          <w:tcPr>
            <w:tcW w:w="1361" w:type="dxa"/>
            <w:vAlign w:val="center"/>
          </w:tcPr>
          <w:p>
            <w:pPr>
              <w:pStyle w:val="14"/>
            </w:pPr>
            <w:r>
              <w:t>8.50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57.65</w:t>
            </w:r>
          </w:p>
        </w:tc>
        <w:tc>
          <w:tcPr>
            <w:tcW w:w="1361" w:type="dxa"/>
            <w:vAlign w:val="center"/>
          </w:tcPr>
          <w:p>
            <w:pPr>
              <w:pStyle w:val="14"/>
            </w:pPr>
            <w:r>
              <w:t>57.65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57.65</w:t>
            </w:r>
          </w:p>
        </w:tc>
        <w:tc>
          <w:tcPr>
            <w:tcW w:w="1361" w:type="dxa"/>
            <w:vAlign w:val="center"/>
          </w:tcPr>
          <w:p>
            <w:pPr>
              <w:pStyle w:val="14"/>
            </w:pPr>
            <w:r>
              <w:t>57.65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57.65</w:t>
            </w:r>
          </w:p>
        </w:tc>
        <w:tc>
          <w:tcPr>
            <w:tcW w:w="1361" w:type="dxa"/>
            <w:vAlign w:val="center"/>
          </w:tcPr>
          <w:p>
            <w:pPr>
              <w:pStyle w:val="14"/>
            </w:pPr>
            <w:r>
              <w:t>57.65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51.71</w:t>
            </w:r>
          </w:p>
        </w:tc>
        <w:tc>
          <w:tcPr>
            <w:tcW w:w="1361" w:type="dxa"/>
            <w:vAlign w:val="center"/>
          </w:tcPr>
          <w:p>
            <w:pPr>
              <w:pStyle w:val="14"/>
            </w:pPr>
            <w:r>
              <w:t>51.71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51.71</w:t>
            </w:r>
          </w:p>
        </w:tc>
        <w:tc>
          <w:tcPr>
            <w:tcW w:w="1361" w:type="dxa"/>
            <w:vAlign w:val="center"/>
          </w:tcPr>
          <w:p>
            <w:pPr>
              <w:pStyle w:val="14"/>
            </w:pPr>
            <w:r>
              <w:t>51.71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10.35</w:t>
            </w:r>
          </w:p>
        </w:tc>
        <w:tc>
          <w:tcPr>
            <w:tcW w:w="1361" w:type="dxa"/>
            <w:vAlign w:val="center"/>
          </w:tcPr>
          <w:p>
            <w:pPr>
              <w:pStyle w:val="14"/>
            </w:pPr>
            <w:r>
              <w:t>10.35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14.25</w:t>
            </w:r>
          </w:p>
        </w:tc>
        <w:tc>
          <w:tcPr>
            <w:tcW w:w="1361" w:type="dxa"/>
            <w:vAlign w:val="center"/>
          </w:tcPr>
          <w:p>
            <w:pPr>
              <w:pStyle w:val="14"/>
            </w:pPr>
            <w:r>
              <w:t>14.25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2101103</w:t>
            </w:r>
          </w:p>
        </w:tc>
        <w:tc>
          <w:tcPr>
            <w:tcW w:w="4535" w:type="dxa"/>
            <w:vAlign w:val="center"/>
          </w:tcPr>
          <w:p>
            <w:pPr>
              <w:pStyle w:val="15"/>
            </w:pPr>
            <w:r>
              <w:t>公务员医疗补助</w:t>
            </w:r>
          </w:p>
        </w:tc>
        <w:tc>
          <w:tcPr>
            <w:tcW w:w="1361" w:type="dxa"/>
            <w:vAlign w:val="center"/>
          </w:tcPr>
          <w:p>
            <w:pPr>
              <w:pStyle w:val="14"/>
            </w:pPr>
            <w:r>
              <w:t>27.11</w:t>
            </w:r>
          </w:p>
        </w:tc>
        <w:tc>
          <w:tcPr>
            <w:tcW w:w="1361" w:type="dxa"/>
            <w:vAlign w:val="center"/>
          </w:tcPr>
          <w:p>
            <w:pPr>
              <w:pStyle w:val="14"/>
            </w:pPr>
            <w:r>
              <w:t>27.11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44.74</w:t>
            </w:r>
          </w:p>
        </w:tc>
        <w:tc>
          <w:tcPr>
            <w:tcW w:w="1361" w:type="dxa"/>
            <w:vAlign w:val="center"/>
          </w:tcPr>
          <w:p>
            <w:pPr>
              <w:pStyle w:val="14"/>
            </w:pPr>
            <w:r>
              <w:t>44.74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44.74</w:t>
            </w:r>
          </w:p>
        </w:tc>
        <w:tc>
          <w:tcPr>
            <w:tcW w:w="1361" w:type="dxa"/>
            <w:vAlign w:val="center"/>
          </w:tcPr>
          <w:p>
            <w:pPr>
              <w:pStyle w:val="14"/>
            </w:pPr>
            <w:r>
              <w:t>44.74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44.74</w:t>
            </w:r>
          </w:p>
        </w:tc>
        <w:tc>
          <w:tcPr>
            <w:tcW w:w="1361" w:type="dxa"/>
            <w:vAlign w:val="center"/>
          </w:tcPr>
          <w:p>
            <w:pPr>
              <w:pStyle w:val="14"/>
            </w:pPr>
            <w:r>
              <w:t>44.74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0"/>
        <w:gridCol w:w="1794"/>
        <w:gridCol w:w="1232"/>
        <w:gridCol w:w="1540"/>
        <w:gridCol w:w="924"/>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1540" w:type="dxa"/>
            <w:tcBorders>
              <w:top w:val="single" w:color="FFFFFF" w:sz="6" w:space="0"/>
              <w:left w:val="single" w:color="FFFFFF" w:sz="6" w:space="0"/>
              <w:right w:val="single" w:color="FFFFFF" w:sz="6" w:space="0"/>
            </w:tcBorders>
            <w:vAlign w:val="center"/>
          </w:tcPr>
          <w:p>
            <w:pPr>
              <w:pStyle w:val="11"/>
            </w:pPr>
            <w:r>
              <w:t>预算年度：2024</w:t>
            </w:r>
          </w:p>
        </w:tc>
        <w:tc>
          <w:tcPr>
            <w:tcW w:w="462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 w:type="dxa"/>
            <w:vMerge w:val="restart"/>
            <w:vAlign w:val="center"/>
          </w:tcPr>
          <w:p>
            <w:pPr>
              <w:pStyle w:val="13"/>
            </w:pPr>
            <w:r>
              <w:t>序号</w:t>
            </w:r>
          </w:p>
        </w:tc>
        <w:tc>
          <w:tcPr>
            <w:tcW w:w="3026" w:type="dxa"/>
            <w:gridSpan w:val="2"/>
            <w:vAlign w:val="center"/>
          </w:tcPr>
          <w:p>
            <w:pPr>
              <w:pStyle w:val="13"/>
            </w:pPr>
            <w:r>
              <w:t>收入</w:t>
            </w:r>
          </w:p>
        </w:tc>
        <w:tc>
          <w:tcPr>
            <w:tcW w:w="6160"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 w:type="dxa"/>
            <w:vMerge w:val="continue"/>
          </w:tcPr>
          <w:p/>
        </w:tc>
        <w:tc>
          <w:tcPr>
            <w:tcW w:w="1794" w:type="dxa"/>
            <w:vAlign w:val="center"/>
          </w:tcPr>
          <w:p>
            <w:pPr>
              <w:pStyle w:val="13"/>
            </w:pPr>
            <w:r>
              <w:t>项  目</w:t>
            </w:r>
          </w:p>
        </w:tc>
        <w:tc>
          <w:tcPr>
            <w:tcW w:w="1232" w:type="dxa"/>
            <w:vAlign w:val="center"/>
          </w:tcPr>
          <w:p>
            <w:pPr>
              <w:pStyle w:val="13"/>
            </w:pPr>
            <w:r>
              <w:t>金额</w:t>
            </w:r>
          </w:p>
        </w:tc>
        <w:tc>
          <w:tcPr>
            <w:tcW w:w="1540" w:type="dxa"/>
            <w:vAlign w:val="center"/>
          </w:tcPr>
          <w:p>
            <w:pPr>
              <w:pStyle w:val="13"/>
            </w:pPr>
            <w:r>
              <w:t>项  目</w:t>
            </w:r>
          </w:p>
        </w:tc>
        <w:tc>
          <w:tcPr>
            <w:tcW w:w="924" w:type="dxa"/>
            <w:vAlign w:val="center"/>
          </w:tcPr>
          <w:p>
            <w:pPr>
              <w:pStyle w:val="13"/>
            </w:pPr>
            <w:r>
              <w:t>合计</w:t>
            </w:r>
          </w:p>
        </w:tc>
        <w:tc>
          <w:tcPr>
            <w:tcW w:w="1232"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 w:type="dxa"/>
            <w:vAlign w:val="center"/>
          </w:tcPr>
          <w:p>
            <w:pPr>
              <w:pStyle w:val="13"/>
            </w:pPr>
            <w:r>
              <w:t>栏次</w:t>
            </w:r>
          </w:p>
        </w:tc>
        <w:tc>
          <w:tcPr>
            <w:tcW w:w="1794" w:type="dxa"/>
            <w:vAlign w:val="center"/>
          </w:tcPr>
          <w:p>
            <w:pPr>
              <w:pStyle w:val="13"/>
            </w:pPr>
            <w:r>
              <w:t>1</w:t>
            </w:r>
          </w:p>
        </w:tc>
        <w:tc>
          <w:tcPr>
            <w:tcW w:w="1232" w:type="dxa"/>
            <w:vAlign w:val="center"/>
          </w:tcPr>
          <w:p>
            <w:pPr>
              <w:pStyle w:val="13"/>
            </w:pPr>
            <w:r>
              <w:t>2</w:t>
            </w:r>
          </w:p>
        </w:tc>
        <w:tc>
          <w:tcPr>
            <w:tcW w:w="1540" w:type="dxa"/>
            <w:vAlign w:val="center"/>
          </w:tcPr>
          <w:p>
            <w:pPr>
              <w:pStyle w:val="13"/>
            </w:pPr>
            <w:r>
              <w:t>3</w:t>
            </w:r>
          </w:p>
        </w:tc>
        <w:tc>
          <w:tcPr>
            <w:tcW w:w="924" w:type="dxa"/>
            <w:vAlign w:val="center"/>
          </w:tcPr>
          <w:p>
            <w:pPr>
              <w:pStyle w:val="13"/>
            </w:pPr>
            <w:r>
              <w:t>4</w:t>
            </w:r>
          </w:p>
        </w:tc>
        <w:tc>
          <w:tcPr>
            <w:tcW w:w="1232"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w:t>
            </w:r>
          </w:p>
        </w:tc>
        <w:tc>
          <w:tcPr>
            <w:tcW w:w="1794" w:type="dxa"/>
            <w:vAlign w:val="center"/>
          </w:tcPr>
          <w:p>
            <w:pPr>
              <w:pStyle w:val="15"/>
            </w:pPr>
            <w:r>
              <w:t>一、一般公共预算拨款</w:t>
            </w:r>
          </w:p>
        </w:tc>
        <w:tc>
          <w:tcPr>
            <w:tcW w:w="1232" w:type="dxa"/>
            <w:vAlign w:val="center"/>
          </w:tcPr>
          <w:p>
            <w:pPr>
              <w:pStyle w:val="14"/>
            </w:pPr>
            <w:r>
              <w:t>1191.31</w:t>
            </w:r>
          </w:p>
        </w:tc>
        <w:tc>
          <w:tcPr>
            <w:tcW w:w="1540" w:type="dxa"/>
            <w:vAlign w:val="center"/>
          </w:tcPr>
          <w:p>
            <w:pPr>
              <w:pStyle w:val="15"/>
            </w:pPr>
            <w:r>
              <w:t>一、一般公共服务支出</w:t>
            </w:r>
          </w:p>
        </w:tc>
        <w:tc>
          <w:tcPr>
            <w:tcW w:w="924" w:type="dxa"/>
            <w:vAlign w:val="center"/>
          </w:tcPr>
          <w:p>
            <w:pPr>
              <w:pStyle w:val="14"/>
            </w:pPr>
            <w:r>
              <w:t>556.82</w:t>
            </w:r>
          </w:p>
        </w:tc>
        <w:tc>
          <w:tcPr>
            <w:tcW w:w="1232" w:type="dxa"/>
            <w:vAlign w:val="center"/>
          </w:tcPr>
          <w:p>
            <w:pPr>
              <w:pStyle w:val="14"/>
            </w:pPr>
            <w:r>
              <w:t>556.82</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w:t>
            </w:r>
          </w:p>
        </w:tc>
        <w:tc>
          <w:tcPr>
            <w:tcW w:w="1794" w:type="dxa"/>
            <w:vAlign w:val="center"/>
          </w:tcPr>
          <w:p>
            <w:pPr>
              <w:pStyle w:val="15"/>
            </w:pPr>
            <w:r>
              <w:t>二、政府性基金预算拨款</w:t>
            </w:r>
          </w:p>
        </w:tc>
        <w:tc>
          <w:tcPr>
            <w:tcW w:w="1232" w:type="dxa"/>
            <w:vAlign w:val="center"/>
          </w:tcPr>
          <w:p>
            <w:pPr>
              <w:pStyle w:val="14"/>
            </w:pPr>
          </w:p>
        </w:tc>
        <w:tc>
          <w:tcPr>
            <w:tcW w:w="1540" w:type="dxa"/>
            <w:vAlign w:val="center"/>
          </w:tcPr>
          <w:p>
            <w:pPr>
              <w:pStyle w:val="15"/>
            </w:pPr>
            <w:r>
              <w:t>二、外交支出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3</w:t>
            </w:r>
          </w:p>
        </w:tc>
        <w:tc>
          <w:tcPr>
            <w:tcW w:w="1794" w:type="dxa"/>
            <w:vAlign w:val="center"/>
          </w:tcPr>
          <w:p>
            <w:pPr>
              <w:pStyle w:val="15"/>
            </w:pPr>
            <w:r>
              <w:t>三、国有资本经营预算拨款</w:t>
            </w:r>
          </w:p>
        </w:tc>
        <w:tc>
          <w:tcPr>
            <w:tcW w:w="1232" w:type="dxa"/>
            <w:vAlign w:val="center"/>
          </w:tcPr>
          <w:p>
            <w:pPr>
              <w:pStyle w:val="14"/>
            </w:pPr>
          </w:p>
        </w:tc>
        <w:tc>
          <w:tcPr>
            <w:tcW w:w="1540" w:type="dxa"/>
            <w:vAlign w:val="center"/>
          </w:tcPr>
          <w:p>
            <w:pPr>
              <w:pStyle w:val="15"/>
            </w:pPr>
            <w:r>
              <w:t>三、国防支出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4</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四、公共安全支出</w:t>
            </w:r>
          </w:p>
        </w:tc>
        <w:tc>
          <w:tcPr>
            <w:tcW w:w="924" w:type="dxa"/>
            <w:vAlign w:val="center"/>
          </w:tcPr>
          <w:p>
            <w:pPr>
              <w:pStyle w:val="14"/>
            </w:pPr>
            <w:r>
              <w:t>480.39</w:t>
            </w:r>
          </w:p>
        </w:tc>
        <w:tc>
          <w:tcPr>
            <w:tcW w:w="1232" w:type="dxa"/>
            <w:vAlign w:val="center"/>
          </w:tcPr>
          <w:p>
            <w:pPr>
              <w:pStyle w:val="14"/>
            </w:pPr>
            <w:r>
              <w:t>480.39</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5</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五、教育支出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6</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六、科学技术支出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7</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七、文化旅游体育与传媒支出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8</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八、社会保障和就业支出</w:t>
            </w:r>
          </w:p>
        </w:tc>
        <w:tc>
          <w:tcPr>
            <w:tcW w:w="924" w:type="dxa"/>
            <w:vAlign w:val="center"/>
          </w:tcPr>
          <w:p>
            <w:pPr>
              <w:pStyle w:val="14"/>
            </w:pPr>
            <w:r>
              <w:t>57.65</w:t>
            </w:r>
          </w:p>
        </w:tc>
        <w:tc>
          <w:tcPr>
            <w:tcW w:w="1232" w:type="dxa"/>
            <w:vAlign w:val="center"/>
          </w:tcPr>
          <w:p>
            <w:pPr>
              <w:pStyle w:val="14"/>
            </w:pPr>
            <w:r>
              <w:t>57.65</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9</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九、社会保险基金支出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10</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十、卫生健康支出</w:t>
            </w:r>
          </w:p>
        </w:tc>
        <w:tc>
          <w:tcPr>
            <w:tcW w:w="924" w:type="dxa"/>
            <w:vAlign w:val="center"/>
          </w:tcPr>
          <w:p>
            <w:pPr>
              <w:pStyle w:val="14"/>
            </w:pPr>
            <w:r>
              <w:t>51.71</w:t>
            </w:r>
          </w:p>
        </w:tc>
        <w:tc>
          <w:tcPr>
            <w:tcW w:w="1232" w:type="dxa"/>
            <w:vAlign w:val="center"/>
          </w:tcPr>
          <w:p>
            <w:pPr>
              <w:pStyle w:val="14"/>
            </w:pPr>
            <w:r>
              <w:t>51.71</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11</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十一、节能环保支出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12</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十二、城乡社区支出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13</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十三、农林水支出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14</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十四、交通运输支出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15</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十五、资源勘探工业信息等支出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16</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十六、商业服务业等支出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17</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十七、金融支出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9" w:hRule="atLeast"/>
          <w:jc w:val="center"/>
        </w:trPr>
        <w:tc>
          <w:tcPr>
            <w:tcW w:w="670" w:type="dxa"/>
            <w:vAlign w:val="center"/>
          </w:tcPr>
          <w:p>
            <w:pPr>
              <w:pStyle w:val="16"/>
            </w:pPr>
            <w:r>
              <w:t>18</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十八、援助其他地区支出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19</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十九、自然资源海洋气象等支出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20</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二十、住房保障支出</w:t>
            </w:r>
          </w:p>
        </w:tc>
        <w:tc>
          <w:tcPr>
            <w:tcW w:w="924" w:type="dxa"/>
            <w:vAlign w:val="center"/>
          </w:tcPr>
          <w:p>
            <w:pPr>
              <w:pStyle w:val="14"/>
            </w:pPr>
            <w:r>
              <w:t>44.74</w:t>
            </w:r>
          </w:p>
        </w:tc>
        <w:tc>
          <w:tcPr>
            <w:tcW w:w="1232" w:type="dxa"/>
            <w:vAlign w:val="center"/>
          </w:tcPr>
          <w:p>
            <w:pPr>
              <w:pStyle w:val="14"/>
            </w:pPr>
            <w:r>
              <w:t>44.74</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21</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二十一、粮油物资储备支出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22</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二十二、国有资本经营预算支出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23</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二十三、灾害防治及应急管理支出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24</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二十四、预备费</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25</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二十五、其他支出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26</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二十六、转移性支出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27</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二十七、债务还本支出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28</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二十八、债务付息支出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29</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二十九、债务发行费用支出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9" w:hRule="atLeast"/>
          <w:jc w:val="center"/>
        </w:trPr>
        <w:tc>
          <w:tcPr>
            <w:tcW w:w="670" w:type="dxa"/>
            <w:vAlign w:val="center"/>
          </w:tcPr>
          <w:p>
            <w:pPr>
              <w:pStyle w:val="16"/>
            </w:pPr>
            <w:r>
              <w:t>30</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三十、抗疫特别国债安排的支出</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670" w:type="dxa"/>
            <w:vAlign w:val="center"/>
          </w:tcPr>
          <w:p>
            <w:pPr>
              <w:pStyle w:val="16"/>
            </w:pPr>
            <w:r>
              <w:t>31</w:t>
            </w:r>
          </w:p>
        </w:tc>
        <w:tc>
          <w:tcPr>
            <w:tcW w:w="1794" w:type="dxa"/>
            <w:vAlign w:val="center"/>
          </w:tcPr>
          <w:p>
            <w:pPr>
              <w:pStyle w:val="15"/>
            </w:pPr>
          </w:p>
        </w:tc>
        <w:tc>
          <w:tcPr>
            <w:tcW w:w="1232" w:type="dxa"/>
            <w:vAlign w:val="center"/>
          </w:tcPr>
          <w:p>
            <w:pPr>
              <w:pStyle w:val="14"/>
            </w:pPr>
          </w:p>
        </w:tc>
        <w:tc>
          <w:tcPr>
            <w:tcW w:w="1540" w:type="dxa"/>
            <w:vAlign w:val="center"/>
          </w:tcPr>
          <w:p>
            <w:pPr>
              <w:pStyle w:val="15"/>
            </w:pPr>
            <w:r>
              <w:t>三十一、人行科目</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32</w:t>
            </w:r>
          </w:p>
        </w:tc>
        <w:tc>
          <w:tcPr>
            <w:tcW w:w="1794" w:type="dxa"/>
            <w:vAlign w:val="center"/>
          </w:tcPr>
          <w:p>
            <w:pPr>
              <w:pStyle w:val="17"/>
            </w:pPr>
            <w:r>
              <w:t>本年收入合计</w:t>
            </w:r>
          </w:p>
        </w:tc>
        <w:tc>
          <w:tcPr>
            <w:tcW w:w="1232" w:type="dxa"/>
            <w:vAlign w:val="center"/>
          </w:tcPr>
          <w:p>
            <w:pPr>
              <w:pStyle w:val="18"/>
            </w:pPr>
            <w:r>
              <w:t>1191.31</w:t>
            </w:r>
          </w:p>
        </w:tc>
        <w:tc>
          <w:tcPr>
            <w:tcW w:w="1540" w:type="dxa"/>
            <w:vAlign w:val="center"/>
          </w:tcPr>
          <w:p>
            <w:pPr>
              <w:pStyle w:val="17"/>
            </w:pPr>
            <w:r>
              <w:t>本年支出合计</w:t>
            </w:r>
          </w:p>
        </w:tc>
        <w:tc>
          <w:tcPr>
            <w:tcW w:w="924" w:type="dxa"/>
            <w:vAlign w:val="center"/>
          </w:tcPr>
          <w:p>
            <w:pPr>
              <w:pStyle w:val="18"/>
            </w:pPr>
            <w:r>
              <w:t>1191.31</w:t>
            </w:r>
          </w:p>
        </w:tc>
        <w:tc>
          <w:tcPr>
            <w:tcW w:w="1232" w:type="dxa"/>
            <w:vAlign w:val="center"/>
          </w:tcPr>
          <w:p>
            <w:pPr>
              <w:pStyle w:val="18"/>
            </w:pPr>
            <w:r>
              <w:t>1191.31</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33</w:t>
            </w:r>
          </w:p>
        </w:tc>
        <w:tc>
          <w:tcPr>
            <w:tcW w:w="1794" w:type="dxa"/>
            <w:vAlign w:val="center"/>
          </w:tcPr>
          <w:p>
            <w:pPr>
              <w:pStyle w:val="15"/>
            </w:pPr>
            <w:r>
              <w:t>年初财政拨款结转和结余</w:t>
            </w:r>
          </w:p>
        </w:tc>
        <w:tc>
          <w:tcPr>
            <w:tcW w:w="1232" w:type="dxa"/>
            <w:vAlign w:val="center"/>
          </w:tcPr>
          <w:p>
            <w:pPr>
              <w:pStyle w:val="14"/>
            </w:pPr>
          </w:p>
        </w:tc>
        <w:tc>
          <w:tcPr>
            <w:tcW w:w="1540" w:type="dxa"/>
            <w:vAlign w:val="center"/>
          </w:tcPr>
          <w:p>
            <w:pPr>
              <w:pStyle w:val="15"/>
            </w:pPr>
            <w:r>
              <w:t>年末财政拨款结转和结余</w:t>
            </w: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34</w:t>
            </w:r>
          </w:p>
        </w:tc>
        <w:tc>
          <w:tcPr>
            <w:tcW w:w="1794" w:type="dxa"/>
            <w:vAlign w:val="center"/>
          </w:tcPr>
          <w:p>
            <w:pPr>
              <w:pStyle w:val="15"/>
            </w:pPr>
            <w:r>
              <w:t>一、一般公共预算拨款</w:t>
            </w:r>
          </w:p>
        </w:tc>
        <w:tc>
          <w:tcPr>
            <w:tcW w:w="1232" w:type="dxa"/>
            <w:vAlign w:val="center"/>
          </w:tcPr>
          <w:p>
            <w:pPr>
              <w:pStyle w:val="14"/>
            </w:pPr>
          </w:p>
        </w:tc>
        <w:tc>
          <w:tcPr>
            <w:tcW w:w="1540" w:type="dxa"/>
            <w:vAlign w:val="center"/>
          </w:tcPr>
          <w:p>
            <w:pPr>
              <w:pStyle w:val="15"/>
            </w:pP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35</w:t>
            </w:r>
          </w:p>
        </w:tc>
        <w:tc>
          <w:tcPr>
            <w:tcW w:w="1794" w:type="dxa"/>
            <w:vAlign w:val="center"/>
          </w:tcPr>
          <w:p>
            <w:pPr>
              <w:pStyle w:val="15"/>
            </w:pPr>
            <w:r>
              <w:t>二、政府性基金预算拨款</w:t>
            </w:r>
          </w:p>
        </w:tc>
        <w:tc>
          <w:tcPr>
            <w:tcW w:w="1232" w:type="dxa"/>
            <w:vAlign w:val="center"/>
          </w:tcPr>
          <w:p>
            <w:pPr>
              <w:pStyle w:val="14"/>
            </w:pPr>
          </w:p>
        </w:tc>
        <w:tc>
          <w:tcPr>
            <w:tcW w:w="1540" w:type="dxa"/>
            <w:vAlign w:val="center"/>
          </w:tcPr>
          <w:p>
            <w:pPr>
              <w:pStyle w:val="15"/>
            </w:pP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36</w:t>
            </w:r>
          </w:p>
        </w:tc>
        <w:tc>
          <w:tcPr>
            <w:tcW w:w="1794" w:type="dxa"/>
            <w:vAlign w:val="center"/>
          </w:tcPr>
          <w:p>
            <w:pPr>
              <w:pStyle w:val="15"/>
            </w:pPr>
            <w:r>
              <w:t>三、国有资本经营预算拨款</w:t>
            </w:r>
          </w:p>
        </w:tc>
        <w:tc>
          <w:tcPr>
            <w:tcW w:w="1232" w:type="dxa"/>
            <w:vAlign w:val="center"/>
          </w:tcPr>
          <w:p>
            <w:pPr>
              <w:pStyle w:val="14"/>
            </w:pPr>
          </w:p>
        </w:tc>
        <w:tc>
          <w:tcPr>
            <w:tcW w:w="1540" w:type="dxa"/>
            <w:vAlign w:val="center"/>
          </w:tcPr>
          <w:p>
            <w:pPr>
              <w:pStyle w:val="15"/>
            </w:pPr>
          </w:p>
        </w:tc>
        <w:tc>
          <w:tcPr>
            <w:tcW w:w="924"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dxa"/>
            <w:vAlign w:val="center"/>
          </w:tcPr>
          <w:p>
            <w:pPr>
              <w:pStyle w:val="16"/>
            </w:pPr>
            <w:r>
              <w:t>37</w:t>
            </w:r>
          </w:p>
        </w:tc>
        <w:tc>
          <w:tcPr>
            <w:tcW w:w="1794" w:type="dxa"/>
            <w:vAlign w:val="center"/>
          </w:tcPr>
          <w:p>
            <w:pPr>
              <w:pStyle w:val="17"/>
            </w:pPr>
            <w:r>
              <w:t>收入总计</w:t>
            </w:r>
          </w:p>
        </w:tc>
        <w:tc>
          <w:tcPr>
            <w:tcW w:w="1232" w:type="dxa"/>
            <w:vAlign w:val="center"/>
          </w:tcPr>
          <w:p>
            <w:pPr>
              <w:pStyle w:val="18"/>
            </w:pPr>
            <w:r>
              <w:t>1191.31</w:t>
            </w:r>
          </w:p>
        </w:tc>
        <w:tc>
          <w:tcPr>
            <w:tcW w:w="1540" w:type="dxa"/>
            <w:vAlign w:val="center"/>
          </w:tcPr>
          <w:p>
            <w:pPr>
              <w:pStyle w:val="17"/>
            </w:pPr>
            <w:r>
              <w:t>支出总计</w:t>
            </w:r>
          </w:p>
        </w:tc>
        <w:tc>
          <w:tcPr>
            <w:tcW w:w="924" w:type="dxa"/>
            <w:vAlign w:val="center"/>
          </w:tcPr>
          <w:p>
            <w:pPr>
              <w:pStyle w:val="18"/>
            </w:pPr>
            <w:r>
              <w:t>1191.31</w:t>
            </w:r>
          </w:p>
        </w:tc>
        <w:tc>
          <w:tcPr>
            <w:tcW w:w="1232" w:type="dxa"/>
            <w:vAlign w:val="center"/>
          </w:tcPr>
          <w:p>
            <w:pPr>
              <w:pStyle w:val="18"/>
            </w:pPr>
            <w:r>
              <w:t>1191.31</w:t>
            </w:r>
          </w:p>
        </w:tc>
        <w:tc>
          <w:tcPr>
            <w:tcW w:w="1232" w:type="dxa"/>
            <w:vAlign w:val="center"/>
          </w:tcPr>
          <w:p>
            <w:pPr>
              <w:pStyle w:val="18"/>
            </w:pP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1191.31</w:t>
            </w:r>
          </w:p>
        </w:tc>
        <w:tc>
          <w:tcPr>
            <w:tcW w:w="2551" w:type="dxa"/>
            <w:vAlign w:val="center"/>
          </w:tcPr>
          <w:p>
            <w:pPr>
              <w:pStyle w:val="18"/>
            </w:pPr>
            <w:r>
              <w:t>630.92</w:t>
            </w:r>
          </w:p>
        </w:tc>
        <w:tc>
          <w:tcPr>
            <w:tcW w:w="2551" w:type="dxa"/>
            <w:vAlign w:val="center"/>
          </w:tcPr>
          <w:p>
            <w:pPr>
              <w:pStyle w:val="18"/>
            </w:pPr>
            <w:r>
              <w:t>560.39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556.82</w:t>
            </w:r>
          </w:p>
        </w:tc>
        <w:tc>
          <w:tcPr>
            <w:tcW w:w="2551" w:type="dxa"/>
            <w:vAlign w:val="center"/>
          </w:tcPr>
          <w:p>
            <w:pPr>
              <w:pStyle w:val="14"/>
            </w:pPr>
            <w:r>
              <w:t>476.82</w:t>
            </w:r>
          </w:p>
        </w:tc>
        <w:tc>
          <w:tcPr>
            <w:tcW w:w="2551"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20103</w:t>
            </w:r>
          </w:p>
        </w:tc>
        <w:tc>
          <w:tcPr>
            <w:tcW w:w="4535" w:type="dxa"/>
            <w:vAlign w:val="center"/>
          </w:tcPr>
          <w:p>
            <w:pPr>
              <w:pStyle w:val="15"/>
            </w:pPr>
            <w:r>
              <w:t>政府办公厅（室）及相关机构事务</w:t>
            </w:r>
          </w:p>
        </w:tc>
        <w:tc>
          <w:tcPr>
            <w:tcW w:w="2551" w:type="dxa"/>
            <w:vAlign w:val="center"/>
          </w:tcPr>
          <w:p>
            <w:pPr>
              <w:pStyle w:val="14"/>
            </w:pPr>
            <w:r>
              <w:t>476.82</w:t>
            </w:r>
          </w:p>
        </w:tc>
        <w:tc>
          <w:tcPr>
            <w:tcW w:w="2551" w:type="dxa"/>
            <w:vAlign w:val="center"/>
          </w:tcPr>
          <w:p>
            <w:pPr>
              <w:pStyle w:val="14"/>
            </w:pPr>
            <w:r>
              <w:t>476.82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2010301</w:t>
            </w:r>
          </w:p>
        </w:tc>
        <w:tc>
          <w:tcPr>
            <w:tcW w:w="4535" w:type="dxa"/>
            <w:vAlign w:val="center"/>
          </w:tcPr>
          <w:p>
            <w:pPr>
              <w:pStyle w:val="15"/>
            </w:pPr>
            <w:r>
              <w:t>行政运行</w:t>
            </w:r>
          </w:p>
        </w:tc>
        <w:tc>
          <w:tcPr>
            <w:tcW w:w="2551" w:type="dxa"/>
            <w:vAlign w:val="center"/>
          </w:tcPr>
          <w:p>
            <w:pPr>
              <w:pStyle w:val="14"/>
            </w:pPr>
            <w:r>
              <w:t>476.82</w:t>
            </w:r>
          </w:p>
        </w:tc>
        <w:tc>
          <w:tcPr>
            <w:tcW w:w="2551" w:type="dxa"/>
            <w:vAlign w:val="center"/>
          </w:tcPr>
          <w:p>
            <w:pPr>
              <w:pStyle w:val="14"/>
            </w:pPr>
            <w:r>
              <w:t>476.82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20140</w:t>
            </w:r>
          </w:p>
        </w:tc>
        <w:tc>
          <w:tcPr>
            <w:tcW w:w="4535" w:type="dxa"/>
            <w:vAlign w:val="center"/>
          </w:tcPr>
          <w:p>
            <w:pPr>
              <w:pStyle w:val="15"/>
            </w:pPr>
            <w:r>
              <w:t>信访事务</w:t>
            </w:r>
          </w:p>
        </w:tc>
        <w:tc>
          <w:tcPr>
            <w:tcW w:w="2551" w:type="dxa"/>
            <w:vAlign w:val="center"/>
          </w:tcPr>
          <w:p>
            <w:pPr>
              <w:pStyle w:val="14"/>
            </w:pPr>
            <w:r>
              <w:t>80.00</w:t>
            </w:r>
          </w:p>
        </w:tc>
        <w:tc>
          <w:tcPr>
            <w:tcW w:w="2551" w:type="dxa"/>
            <w:vAlign w:val="center"/>
          </w:tcPr>
          <w:p>
            <w:pPr>
              <w:pStyle w:val="14"/>
            </w:pPr>
          </w:p>
        </w:tc>
        <w:tc>
          <w:tcPr>
            <w:tcW w:w="2551"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2014004</w:t>
            </w:r>
          </w:p>
        </w:tc>
        <w:tc>
          <w:tcPr>
            <w:tcW w:w="4535" w:type="dxa"/>
            <w:vAlign w:val="center"/>
          </w:tcPr>
          <w:p>
            <w:pPr>
              <w:pStyle w:val="15"/>
            </w:pPr>
            <w:r>
              <w:t>信访业务</w:t>
            </w:r>
          </w:p>
        </w:tc>
        <w:tc>
          <w:tcPr>
            <w:tcW w:w="2551" w:type="dxa"/>
            <w:vAlign w:val="center"/>
          </w:tcPr>
          <w:p>
            <w:pPr>
              <w:pStyle w:val="14"/>
            </w:pPr>
            <w:r>
              <w:t>80.00</w:t>
            </w:r>
          </w:p>
        </w:tc>
        <w:tc>
          <w:tcPr>
            <w:tcW w:w="2551" w:type="dxa"/>
            <w:vAlign w:val="center"/>
          </w:tcPr>
          <w:p>
            <w:pPr>
              <w:pStyle w:val="14"/>
            </w:pPr>
          </w:p>
        </w:tc>
        <w:tc>
          <w:tcPr>
            <w:tcW w:w="2551"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204</w:t>
            </w:r>
          </w:p>
        </w:tc>
        <w:tc>
          <w:tcPr>
            <w:tcW w:w="4535" w:type="dxa"/>
            <w:vAlign w:val="center"/>
          </w:tcPr>
          <w:p>
            <w:pPr>
              <w:pStyle w:val="15"/>
            </w:pPr>
            <w:r>
              <w:t>公共安全支出</w:t>
            </w:r>
          </w:p>
        </w:tc>
        <w:tc>
          <w:tcPr>
            <w:tcW w:w="2551" w:type="dxa"/>
            <w:vAlign w:val="center"/>
          </w:tcPr>
          <w:p>
            <w:pPr>
              <w:pStyle w:val="14"/>
            </w:pPr>
            <w:r>
              <w:t>480.39</w:t>
            </w:r>
          </w:p>
        </w:tc>
        <w:tc>
          <w:tcPr>
            <w:tcW w:w="2551" w:type="dxa"/>
            <w:vAlign w:val="center"/>
          </w:tcPr>
          <w:p>
            <w:pPr>
              <w:pStyle w:val="14"/>
            </w:pPr>
          </w:p>
        </w:tc>
        <w:tc>
          <w:tcPr>
            <w:tcW w:w="2551" w:type="dxa"/>
            <w:vAlign w:val="center"/>
          </w:tcPr>
          <w:p>
            <w:pPr>
              <w:pStyle w:val="14"/>
            </w:pPr>
            <w:r>
              <w:t>480.39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20406</w:t>
            </w:r>
          </w:p>
        </w:tc>
        <w:tc>
          <w:tcPr>
            <w:tcW w:w="4535" w:type="dxa"/>
            <w:vAlign w:val="center"/>
          </w:tcPr>
          <w:p>
            <w:pPr>
              <w:pStyle w:val="15"/>
            </w:pPr>
            <w:r>
              <w:t>司法</w:t>
            </w:r>
          </w:p>
        </w:tc>
        <w:tc>
          <w:tcPr>
            <w:tcW w:w="2551" w:type="dxa"/>
            <w:vAlign w:val="center"/>
          </w:tcPr>
          <w:p>
            <w:pPr>
              <w:pStyle w:val="14"/>
            </w:pPr>
            <w:r>
              <w:t>480.39</w:t>
            </w:r>
          </w:p>
        </w:tc>
        <w:tc>
          <w:tcPr>
            <w:tcW w:w="2551" w:type="dxa"/>
            <w:vAlign w:val="center"/>
          </w:tcPr>
          <w:p>
            <w:pPr>
              <w:pStyle w:val="14"/>
            </w:pPr>
          </w:p>
        </w:tc>
        <w:tc>
          <w:tcPr>
            <w:tcW w:w="2551" w:type="dxa"/>
            <w:vAlign w:val="center"/>
          </w:tcPr>
          <w:p>
            <w:pPr>
              <w:pStyle w:val="14"/>
            </w:pPr>
            <w:r>
              <w:t>480.39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2040602</w:t>
            </w:r>
          </w:p>
        </w:tc>
        <w:tc>
          <w:tcPr>
            <w:tcW w:w="4535" w:type="dxa"/>
            <w:vAlign w:val="center"/>
          </w:tcPr>
          <w:p>
            <w:pPr>
              <w:pStyle w:val="15"/>
            </w:pPr>
            <w:r>
              <w:t>一般行政管理事务</w:t>
            </w:r>
          </w:p>
        </w:tc>
        <w:tc>
          <w:tcPr>
            <w:tcW w:w="2551" w:type="dxa"/>
            <w:vAlign w:val="center"/>
          </w:tcPr>
          <w:p>
            <w:pPr>
              <w:pStyle w:val="14"/>
            </w:pPr>
            <w:r>
              <w:t>422.89</w:t>
            </w:r>
          </w:p>
        </w:tc>
        <w:tc>
          <w:tcPr>
            <w:tcW w:w="2551" w:type="dxa"/>
            <w:vAlign w:val="center"/>
          </w:tcPr>
          <w:p>
            <w:pPr>
              <w:pStyle w:val="14"/>
            </w:pPr>
          </w:p>
        </w:tc>
        <w:tc>
          <w:tcPr>
            <w:tcW w:w="2551" w:type="dxa"/>
            <w:vAlign w:val="center"/>
          </w:tcPr>
          <w:p>
            <w:pPr>
              <w:pStyle w:val="14"/>
            </w:pPr>
            <w:r>
              <w:t>422.89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2040604</w:t>
            </w:r>
          </w:p>
        </w:tc>
        <w:tc>
          <w:tcPr>
            <w:tcW w:w="4535" w:type="dxa"/>
            <w:vAlign w:val="center"/>
          </w:tcPr>
          <w:p>
            <w:pPr>
              <w:pStyle w:val="15"/>
            </w:pPr>
            <w:r>
              <w:t>基层司法业务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2040606</w:t>
            </w:r>
          </w:p>
        </w:tc>
        <w:tc>
          <w:tcPr>
            <w:tcW w:w="4535" w:type="dxa"/>
            <w:vAlign w:val="center"/>
          </w:tcPr>
          <w:p>
            <w:pPr>
              <w:pStyle w:val="15"/>
            </w:pPr>
            <w:r>
              <w:t>律师管理</w:t>
            </w:r>
          </w:p>
        </w:tc>
        <w:tc>
          <w:tcPr>
            <w:tcW w:w="2551" w:type="dxa"/>
            <w:vAlign w:val="center"/>
          </w:tcPr>
          <w:p>
            <w:pPr>
              <w:pStyle w:val="14"/>
            </w:pPr>
            <w:r>
              <w:t>20.00</w:t>
            </w:r>
          </w:p>
        </w:tc>
        <w:tc>
          <w:tcPr>
            <w:tcW w:w="2551" w:type="dxa"/>
            <w:vAlign w:val="center"/>
          </w:tcPr>
          <w:p>
            <w:pPr>
              <w:pStyle w:val="14"/>
            </w:pPr>
          </w:p>
        </w:tc>
        <w:tc>
          <w:tcPr>
            <w:tcW w:w="2551" w:type="dxa"/>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2040607</w:t>
            </w:r>
          </w:p>
        </w:tc>
        <w:tc>
          <w:tcPr>
            <w:tcW w:w="4535" w:type="dxa"/>
            <w:vAlign w:val="center"/>
          </w:tcPr>
          <w:p>
            <w:pPr>
              <w:pStyle w:val="15"/>
            </w:pPr>
            <w:r>
              <w:t>公共法律服务</w:t>
            </w:r>
          </w:p>
        </w:tc>
        <w:tc>
          <w:tcPr>
            <w:tcW w:w="2551" w:type="dxa"/>
            <w:vAlign w:val="center"/>
          </w:tcPr>
          <w:p>
            <w:pPr>
              <w:pStyle w:val="14"/>
            </w:pPr>
            <w:r>
              <w:t>27.00</w:t>
            </w:r>
          </w:p>
        </w:tc>
        <w:tc>
          <w:tcPr>
            <w:tcW w:w="2551" w:type="dxa"/>
            <w:vAlign w:val="center"/>
          </w:tcPr>
          <w:p>
            <w:pPr>
              <w:pStyle w:val="14"/>
            </w:pPr>
          </w:p>
        </w:tc>
        <w:tc>
          <w:tcPr>
            <w:tcW w:w="2551" w:type="dxa"/>
            <w:vAlign w:val="center"/>
          </w:tcPr>
          <w:p>
            <w:pPr>
              <w:pStyle w:val="14"/>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2040610</w:t>
            </w:r>
          </w:p>
        </w:tc>
        <w:tc>
          <w:tcPr>
            <w:tcW w:w="4535" w:type="dxa"/>
            <w:vAlign w:val="center"/>
          </w:tcPr>
          <w:p>
            <w:pPr>
              <w:pStyle w:val="15"/>
            </w:pPr>
            <w:r>
              <w:t>社区矫正</w:t>
            </w:r>
          </w:p>
        </w:tc>
        <w:tc>
          <w:tcPr>
            <w:tcW w:w="2551" w:type="dxa"/>
            <w:vAlign w:val="center"/>
          </w:tcPr>
          <w:p>
            <w:pPr>
              <w:pStyle w:val="14"/>
            </w:pPr>
            <w:r>
              <w:t>8.50</w:t>
            </w:r>
          </w:p>
        </w:tc>
        <w:tc>
          <w:tcPr>
            <w:tcW w:w="2551" w:type="dxa"/>
            <w:vAlign w:val="center"/>
          </w:tcPr>
          <w:p>
            <w:pPr>
              <w:pStyle w:val="14"/>
            </w:pPr>
          </w:p>
        </w:tc>
        <w:tc>
          <w:tcPr>
            <w:tcW w:w="2551" w:type="dxa"/>
            <w:vAlign w:val="center"/>
          </w:tcPr>
          <w:p>
            <w:pPr>
              <w:pStyle w:val="14"/>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57.65</w:t>
            </w:r>
          </w:p>
        </w:tc>
        <w:tc>
          <w:tcPr>
            <w:tcW w:w="2551" w:type="dxa"/>
            <w:vAlign w:val="center"/>
          </w:tcPr>
          <w:p>
            <w:pPr>
              <w:pStyle w:val="14"/>
            </w:pPr>
            <w:r>
              <w:t>57.65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57.65</w:t>
            </w:r>
          </w:p>
        </w:tc>
        <w:tc>
          <w:tcPr>
            <w:tcW w:w="2551" w:type="dxa"/>
            <w:vAlign w:val="center"/>
          </w:tcPr>
          <w:p>
            <w:pPr>
              <w:pStyle w:val="14"/>
            </w:pPr>
            <w:r>
              <w:t>57.65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57.65</w:t>
            </w:r>
          </w:p>
        </w:tc>
        <w:tc>
          <w:tcPr>
            <w:tcW w:w="2551" w:type="dxa"/>
            <w:vAlign w:val="center"/>
          </w:tcPr>
          <w:p>
            <w:pPr>
              <w:pStyle w:val="14"/>
            </w:pPr>
            <w:r>
              <w:t>57.65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51.71</w:t>
            </w:r>
          </w:p>
        </w:tc>
        <w:tc>
          <w:tcPr>
            <w:tcW w:w="2551" w:type="dxa"/>
            <w:vAlign w:val="center"/>
          </w:tcPr>
          <w:p>
            <w:pPr>
              <w:pStyle w:val="14"/>
            </w:pPr>
            <w:r>
              <w:t>51.71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51.71</w:t>
            </w:r>
          </w:p>
        </w:tc>
        <w:tc>
          <w:tcPr>
            <w:tcW w:w="2551" w:type="dxa"/>
            <w:vAlign w:val="center"/>
          </w:tcPr>
          <w:p>
            <w:pPr>
              <w:pStyle w:val="14"/>
            </w:pPr>
            <w:r>
              <w:t>51.71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10.35</w:t>
            </w:r>
          </w:p>
        </w:tc>
        <w:tc>
          <w:tcPr>
            <w:tcW w:w="2551" w:type="dxa"/>
            <w:vAlign w:val="center"/>
          </w:tcPr>
          <w:p>
            <w:pPr>
              <w:pStyle w:val="14"/>
            </w:pPr>
            <w:r>
              <w:t>10.35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14.25</w:t>
            </w:r>
          </w:p>
        </w:tc>
        <w:tc>
          <w:tcPr>
            <w:tcW w:w="2551" w:type="dxa"/>
            <w:vAlign w:val="center"/>
          </w:tcPr>
          <w:p>
            <w:pPr>
              <w:pStyle w:val="14"/>
            </w:pPr>
            <w:r>
              <w:t>14.25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2101103</w:t>
            </w:r>
          </w:p>
        </w:tc>
        <w:tc>
          <w:tcPr>
            <w:tcW w:w="4535" w:type="dxa"/>
            <w:vAlign w:val="center"/>
          </w:tcPr>
          <w:p>
            <w:pPr>
              <w:pStyle w:val="15"/>
            </w:pPr>
            <w:r>
              <w:t>公务员医疗补助</w:t>
            </w:r>
          </w:p>
        </w:tc>
        <w:tc>
          <w:tcPr>
            <w:tcW w:w="2551" w:type="dxa"/>
            <w:vAlign w:val="center"/>
          </w:tcPr>
          <w:p>
            <w:pPr>
              <w:pStyle w:val="14"/>
            </w:pPr>
            <w:r>
              <w:t>27.11</w:t>
            </w:r>
          </w:p>
        </w:tc>
        <w:tc>
          <w:tcPr>
            <w:tcW w:w="2551" w:type="dxa"/>
            <w:vAlign w:val="center"/>
          </w:tcPr>
          <w:p>
            <w:pPr>
              <w:pStyle w:val="14"/>
            </w:pPr>
            <w:r>
              <w:t>27.11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44.74</w:t>
            </w:r>
          </w:p>
        </w:tc>
        <w:tc>
          <w:tcPr>
            <w:tcW w:w="2551" w:type="dxa"/>
            <w:vAlign w:val="center"/>
          </w:tcPr>
          <w:p>
            <w:pPr>
              <w:pStyle w:val="14"/>
            </w:pPr>
            <w:r>
              <w:t>44.74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44.74</w:t>
            </w:r>
          </w:p>
        </w:tc>
        <w:tc>
          <w:tcPr>
            <w:tcW w:w="2551" w:type="dxa"/>
            <w:vAlign w:val="center"/>
          </w:tcPr>
          <w:p>
            <w:pPr>
              <w:pStyle w:val="14"/>
            </w:pPr>
            <w:r>
              <w:t>44.74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44.74</w:t>
            </w:r>
          </w:p>
        </w:tc>
        <w:tc>
          <w:tcPr>
            <w:tcW w:w="2551" w:type="dxa"/>
            <w:vAlign w:val="center"/>
          </w:tcPr>
          <w:p>
            <w:pPr>
              <w:pStyle w:val="14"/>
            </w:pPr>
            <w:r>
              <w:t>44.74</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630.92</w:t>
            </w:r>
          </w:p>
        </w:tc>
        <w:tc>
          <w:tcPr>
            <w:tcW w:w="2551" w:type="dxa"/>
            <w:vAlign w:val="center"/>
          </w:tcPr>
          <w:p>
            <w:pPr>
              <w:pStyle w:val="18"/>
            </w:pPr>
            <w:r>
              <w:t>605.18</w:t>
            </w:r>
          </w:p>
        </w:tc>
        <w:tc>
          <w:tcPr>
            <w:tcW w:w="2551" w:type="dxa"/>
            <w:vAlign w:val="center"/>
          </w:tcPr>
          <w:p>
            <w:pPr>
              <w:pStyle w:val="18"/>
            </w:pPr>
            <w:r>
              <w:t>25.74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605.10</w:t>
            </w:r>
          </w:p>
        </w:tc>
        <w:tc>
          <w:tcPr>
            <w:tcW w:w="2551" w:type="dxa"/>
            <w:vAlign w:val="center"/>
          </w:tcPr>
          <w:p>
            <w:pPr>
              <w:pStyle w:val="14"/>
            </w:pPr>
            <w:r>
              <w:t>605.10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135.80</w:t>
            </w:r>
          </w:p>
        </w:tc>
        <w:tc>
          <w:tcPr>
            <w:tcW w:w="2551" w:type="dxa"/>
            <w:vAlign w:val="center"/>
          </w:tcPr>
          <w:p>
            <w:pPr>
              <w:pStyle w:val="14"/>
            </w:pPr>
            <w:r>
              <w:t>135.80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82.77</w:t>
            </w:r>
          </w:p>
        </w:tc>
        <w:tc>
          <w:tcPr>
            <w:tcW w:w="2551" w:type="dxa"/>
            <w:vAlign w:val="center"/>
          </w:tcPr>
          <w:p>
            <w:pPr>
              <w:pStyle w:val="14"/>
            </w:pPr>
            <w:r>
              <w:t>82.77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43.21</w:t>
            </w:r>
          </w:p>
        </w:tc>
        <w:tc>
          <w:tcPr>
            <w:tcW w:w="2551" w:type="dxa"/>
            <w:vAlign w:val="center"/>
          </w:tcPr>
          <w:p>
            <w:pPr>
              <w:pStyle w:val="14"/>
            </w:pPr>
            <w:r>
              <w:t>43.21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166.31</w:t>
            </w:r>
          </w:p>
        </w:tc>
        <w:tc>
          <w:tcPr>
            <w:tcW w:w="2551" w:type="dxa"/>
            <w:vAlign w:val="center"/>
          </w:tcPr>
          <w:p>
            <w:pPr>
              <w:pStyle w:val="14"/>
            </w:pPr>
            <w:r>
              <w:t>166.31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55.81</w:t>
            </w:r>
          </w:p>
        </w:tc>
        <w:tc>
          <w:tcPr>
            <w:tcW w:w="2551" w:type="dxa"/>
            <w:vAlign w:val="center"/>
          </w:tcPr>
          <w:p>
            <w:pPr>
              <w:pStyle w:val="14"/>
            </w:pPr>
            <w:r>
              <w:t>55.81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24.60</w:t>
            </w:r>
          </w:p>
        </w:tc>
        <w:tc>
          <w:tcPr>
            <w:tcW w:w="2551" w:type="dxa"/>
            <w:vAlign w:val="center"/>
          </w:tcPr>
          <w:p>
            <w:pPr>
              <w:pStyle w:val="14"/>
            </w:pPr>
            <w:r>
              <w:t>24.60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27.11</w:t>
            </w:r>
          </w:p>
        </w:tc>
        <w:tc>
          <w:tcPr>
            <w:tcW w:w="2551" w:type="dxa"/>
            <w:vAlign w:val="center"/>
          </w:tcPr>
          <w:p>
            <w:pPr>
              <w:pStyle w:val="14"/>
            </w:pPr>
            <w:r>
              <w:t>27.11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3.95</w:t>
            </w:r>
          </w:p>
        </w:tc>
        <w:tc>
          <w:tcPr>
            <w:tcW w:w="2551" w:type="dxa"/>
            <w:vAlign w:val="center"/>
          </w:tcPr>
          <w:p>
            <w:pPr>
              <w:pStyle w:val="14"/>
            </w:pPr>
            <w:r>
              <w:t>3.95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44.74</w:t>
            </w:r>
          </w:p>
        </w:tc>
        <w:tc>
          <w:tcPr>
            <w:tcW w:w="2551" w:type="dxa"/>
            <w:vAlign w:val="center"/>
          </w:tcPr>
          <w:p>
            <w:pPr>
              <w:pStyle w:val="14"/>
            </w:pPr>
            <w:r>
              <w:t>44.74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20.80</w:t>
            </w:r>
          </w:p>
        </w:tc>
        <w:tc>
          <w:tcPr>
            <w:tcW w:w="2551" w:type="dxa"/>
            <w:vAlign w:val="center"/>
          </w:tcPr>
          <w:p>
            <w:pPr>
              <w:pStyle w:val="14"/>
            </w:pPr>
            <w:r>
              <w:t>20.80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25.74</w:t>
            </w:r>
          </w:p>
        </w:tc>
        <w:tc>
          <w:tcPr>
            <w:tcW w:w="2551" w:type="dxa"/>
            <w:vAlign w:val="center"/>
          </w:tcPr>
          <w:p>
            <w:pPr>
              <w:pStyle w:val="14"/>
            </w:pPr>
          </w:p>
        </w:tc>
        <w:tc>
          <w:tcPr>
            <w:tcW w:w="2551" w:type="dxa"/>
            <w:vAlign w:val="center"/>
          </w:tcPr>
          <w:p>
            <w:pPr>
              <w:pStyle w:val="14"/>
            </w:pPr>
            <w:r>
              <w:t>25.74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5.10</w:t>
            </w:r>
          </w:p>
        </w:tc>
        <w:tc>
          <w:tcPr>
            <w:tcW w:w="2551" w:type="dxa"/>
            <w:vAlign w:val="center"/>
          </w:tcPr>
          <w:p>
            <w:pPr>
              <w:pStyle w:val="14"/>
            </w:pPr>
          </w:p>
        </w:tc>
        <w:tc>
          <w:tcPr>
            <w:tcW w:w="2551"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3.40</w:t>
            </w:r>
          </w:p>
        </w:tc>
        <w:tc>
          <w:tcPr>
            <w:tcW w:w="2551" w:type="dxa"/>
            <w:vAlign w:val="center"/>
          </w:tcPr>
          <w:p>
            <w:pPr>
              <w:pStyle w:val="14"/>
            </w:pPr>
          </w:p>
        </w:tc>
        <w:tc>
          <w:tcPr>
            <w:tcW w:w="2551" w:type="dxa"/>
            <w:vAlign w:val="center"/>
          </w:tcPr>
          <w:p>
            <w:pPr>
              <w:pStyle w:val="14"/>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0.50</w:t>
            </w:r>
          </w:p>
        </w:tc>
        <w:tc>
          <w:tcPr>
            <w:tcW w:w="2551" w:type="dxa"/>
            <w:vAlign w:val="center"/>
          </w:tcPr>
          <w:p>
            <w:pPr>
              <w:pStyle w:val="14"/>
            </w:pPr>
          </w:p>
        </w:tc>
        <w:tc>
          <w:tcPr>
            <w:tcW w:w="2551" w:type="dxa"/>
            <w:vAlign w:val="center"/>
          </w:tcPr>
          <w:p>
            <w:pPr>
              <w:pStyle w:val="14"/>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0.80</w:t>
            </w:r>
          </w:p>
        </w:tc>
        <w:tc>
          <w:tcPr>
            <w:tcW w:w="2551" w:type="dxa"/>
            <w:vAlign w:val="center"/>
          </w:tcPr>
          <w:p>
            <w:pPr>
              <w:pStyle w:val="14"/>
            </w:pPr>
          </w:p>
        </w:tc>
        <w:tc>
          <w:tcPr>
            <w:tcW w:w="2551" w:type="dxa"/>
            <w:vAlign w:val="center"/>
          </w:tcPr>
          <w:p>
            <w:pPr>
              <w:pStyle w:val="14"/>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30214</w:t>
            </w:r>
          </w:p>
        </w:tc>
        <w:tc>
          <w:tcPr>
            <w:tcW w:w="4535" w:type="dxa"/>
            <w:vAlign w:val="center"/>
          </w:tcPr>
          <w:p>
            <w:pPr>
              <w:pStyle w:val="15"/>
            </w:pPr>
            <w:r>
              <w:t>租赁费</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30216</w:t>
            </w:r>
          </w:p>
        </w:tc>
        <w:tc>
          <w:tcPr>
            <w:tcW w:w="4535" w:type="dxa"/>
            <w:vAlign w:val="center"/>
          </w:tcPr>
          <w:p>
            <w:pPr>
              <w:pStyle w:val="15"/>
            </w:pPr>
            <w:r>
              <w:t>培训费</w:t>
            </w:r>
          </w:p>
        </w:tc>
        <w:tc>
          <w:tcPr>
            <w:tcW w:w="2551" w:type="dxa"/>
            <w:vAlign w:val="center"/>
          </w:tcPr>
          <w:p>
            <w:pPr>
              <w:pStyle w:val="14"/>
            </w:pPr>
            <w:r>
              <w:t>0.10</w:t>
            </w:r>
          </w:p>
        </w:tc>
        <w:tc>
          <w:tcPr>
            <w:tcW w:w="2551" w:type="dxa"/>
            <w:vAlign w:val="center"/>
          </w:tcPr>
          <w:p>
            <w:pPr>
              <w:pStyle w:val="14"/>
            </w:pPr>
          </w:p>
        </w:tc>
        <w:tc>
          <w:tcPr>
            <w:tcW w:w="2551" w:type="dxa"/>
            <w:vAlign w:val="center"/>
          </w:tcPr>
          <w:p>
            <w:pPr>
              <w:pStyle w:val="14"/>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0.50</w:t>
            </w:r>
          </w:p>
        </w:tc>
        <w:tc>
          <w:tcPr>
            <w:tcW w:w="2551" w:type="dxa"/>
            <w:vAlign w:val="center"/>
          </w:tcPr>
          <w:p>
            <w:pPr>
              <w:pStyle w:val="14"/>
            </w:pPr>
          </w:p>
        </w:tc>
        <w:tc>
          <w:tcPr>
            <w:tcW w:w="2551" w:type="dxa"/>
            <w:vAlign w:val="center"/>
          </w:tcPr>
          <w:p>
            <w:pPr>
              <w:pStyle w:val="14"/>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6.50</w:t>
            </w:r>
          </w:p>
        </w:tc>
        <w:tc>
          <w:tcPr>
            <w:tcW w:w="2551" w:type="dxa"/>
            <w:vAlign w:val="center"/>
          </w:tcPr>
          <w:p>
            <w:pPr>
              <w:pStyle w:val="14"/>
            </w:pPr>
          </w:p>
        </w:tc>
        <w:tc>
          <w:tcPr>
            <w:tcW w:w="2551" w:type="dxa"/>
            <w:vAlign w:val="center"/>
          </w:tcPr>
          <w:p>
            <w:pPr>
              <w:pStyle w:val="14"/>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7.50</w:t>
            </w:r>
          </w:p>
        </w:tc>
        <w:tc>
          <w:tcPr>
            <w:tcW w:w="2551" w:type="dxa"/>
            <w:vAlign w:val="center"/>
          </w:tcPr>
          <w:p>
            <w:pPr>
              <w:pStyle w:val="14"/>
            </w:pPr>
          </w:p>
        </w:tc>
        <w:tc>
          <w:tcPr>
            <w:tcW w:w="2551" w:type="dxa"/>
            <w:vAlign w:val="center"/>
          </w:tcPr>
          <w:p>
            <w:pPr>
              <w:pStyle w:val="14"/>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0.34</w:t>
            </w:r>
          </w:p>
        </w:tc>
        <w:tc>
          <w:tcPr>
            <w:tcW w:w="2551" w:type="dxa"/>
            <w:vAlign w:val="center"/>
          </w:tcPr>
          <w:p>
            <w:pPr>
              <w:pStyle w:val="14"/>
            </w:pPr>
          </w:p>
        </w:tc>
        <w:tc>
          <w:tcPr>
            <w:tcW w:w="2551" w:type="dxa"/>
            <w:vAlign w:val="center"/>
          </w:tcPr>
          <w:p>
            <w:pPr>
              <w:pStyle w:val="14"/>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0.08</w:t>
            </w:r>
          </w:p>
        </w:tc>
        <w:tc>
          <w:tcPr>
            <w:tcW w:w="2551" w:type="dxa"/>
            <w:vAlign w:val="center"/>
          </w:tcPr>
          <w:p>
            <w:pPr>
              <w:pStyle w:val="14"/>
            </w:pPr>
            <w:r>
              <w:t>0.08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0.08</w:t>
            </w:r>
          </w:p>
        </w:tc>
        <w:tc>
          <w:tcPr>
            <w:tcW w:w="2551" w:type="dxa"/>
            <w:vAlign w:val="center"/>
          </w:tcPr>
          <w:p>
            <w:pPr>
              <w:pStyle w:val="14"/>
            </w:pPr>
            <w:r>
              <w:t>0.08</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8.00</w:t>
            </w:r>
          </w:p>
        </w:tc>
        <w:tc>
          <w:tcPr>
            <w:tcW w:w="2381" w:type="dxa"/>
            <w:vAlign w:val="center"/>
          </w:tcPr>
          <w:p>
            <w:pPr>
              <w:pStyle w:val="18"/>
            </w:pPr>
            <w:r>
              <w:t>8.00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8.00</w:t>
            </w:r>
          </w:p>
        </w:tc>
        <w:tc>
          <w:tcPr>
            <w:tcW w:w="2381" w:type="dxa"/>
            <w:vAlign w:val="center"/>
          </w:tcPr>
          <w:p>
            <w:pPr>
              <w:pStyle w:val="14"/>
            </w:pPr>
            <w:r>
              <w:t>8.00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7.50</w:t>
            </w:r>
          </w:p>
        </w:tc>
        <w:tc>
          <w:tcPr>
            <w:tcW w:w="2381" w:type="dxa"/>
            <w:vAlign w:val="center"/>
          </w:tcPr>
          <w:p>
            <w:pPr>
              <w:pStyle w:val="14"/>
            </w:pPr>
            <w:r>
              <w:t>7.50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7.50</w:t>
            </w:r>
          </w:p>
        </w:tc>
        <w:tc>
          <w:tcPr>
            <w:tcW w:w="2381" w:type="dxa"/>
            <w:vAlign w:val="center"/>
          </w:tcPr>
          <w:p>
            <w:pPr>
              <w:pStyle w:val="14"/>
            </w:pPr>
            <w:r>
              <w:t>7.50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r>
              <w:t>0.50</w:t>
            </w:r>
          </w:p>
        </w:tc>
        <w:tc>
          <w:tcPr>
            <w:tcW w:w="2381" w:type="dxa"/>
            <w:vAlign w:val="center"/>
          </w:tcPr>
          <w:p>
            <w:pPr>
              <w:pStyle w:val="14"/>
            </w:pPr>
            <w:r>
              <w:t>0.50</w:t>
            </w:r>
          </w:p>
        </w:tc>
        <w:tc>
          <w:tcPr>
            <w:tcW w:w="2381" w:type="dxa"/>
            <w:vAlign w:val="center"/>
          </w:tcPr>
          <w:p>
            <w:pPr>
              <w:pStyle w:val="14"/>
            </w:pPr>
          </w:p>
        </w:tc>
        <w:tc>
          <w:tcPr>
            <w:tcW w:w="2381" w:type="dxa"/>
            <w:vAlign w:val="center"/>
          </w:tcPr>
          <w:p>
            <w:pPr>
              <w:pStyle w:val="14"/>
            </w:pPr>
          </w:p>
        </w:tc>
      </w:tr>
    </w:tbl>
    <w:p>
      <w:pPr>
        <w:spacing w:before="0" w:after="0" w:line="240" w:lineRule="auto"/>
        <w:ind w:firstLine="0"/>
        <w:jc w:val="center"/>
        <w:outlineLvl w:val="9"/>
      </w:pPr>
      <w:r>
        <w:rPr>
          <w:rFonts w:ascii="方正小标宋_GBK" w:hAnsi="方正小标宋_GBK" w:eastAsia="方正小标宋_GBK" w:cs="方正小标宋_GBK"/>
          <w:color w:val="000000"/>
          <w:sz w:val="44"/>
        </w:rPr>
        <w:t>中共唐山高新技术产业开发区工作委员会政法委员会2024年部门预算信息公开情况说明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按照《中华人民共和国预算法》、《地方预决算公开操作规程》和《关于进一步推进预算公开工作的实施意见》规定，现将中共唐山高新技术产业开发区工作委员会政法委员会2024年部门预算公开如下：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按照相关要求，我单位拟成立综合科、综治科、司法科。现将各科室职责情况明确如下。</w:t>
      </w:r>
    </w:p>
    <w:p>
      <w:pPr>
        <w:pStyle w:val="20"/>
      </w:pPr>
      <w:r>
        <w:t>(一）综合科：负责督促指导全区政法系统贯彻落实中央、省市委、党工委关于政法工作的重大决策部署；负责全区政法工作重大部署的检查落实；组织指导全区政法队伍建设工作；负责组织指导全区政法系统执法监督工作，协调重大、疑难案件，推进执法规范性建设；负责全区政法宣传工作；组织指导全区政法系统调研工作；负责机关综合协调工作；负责信息收集、传递和综合性文字工作；财务工作;负责本单位交办的其他事项。</w:t>
      </w:r>
    </w:p>
    <w:p>
      <w:pPr>
        <w:pStyle w:val="20"/>
      </w:pPr>
      <w:r>
        <w:t>（二）综治科：统筹协调平安建设、社会治安综合治理、维护社会稳定、反邪教工作，创新完善多部门参与的平安建设工作机制；负责掌握分析政法舆情动态，推动全区政法系统信息化工作；负责全区扫黑除恶、见义勇为、网格化服务管理工作；开展全区平安建设的检查、考核、奖惩工作，实施“一票否决”和提出落实领导责任追究制的意见和建议;负责全区信访工作的统筹协调、整体推进、督促落实，妥善指导处理群众集体上访和突发性信访事件,组织协调重点时期信访稳定工作；承担区信访工作联席会议办公室日常工作；负责本单位交办的其他事项。</w:t>
      </w:r>
    </w:p>
    <w:p>
      <w:pPr>
        <w:pStyle w:val="20"/>
      </w:pPr>
      <w:r>
        <w:t xml:space="preserve">（三）司法科：负责统筹推进法治政府建设，指导、监督全面依法行政工作；负责综合协调行政执法，推进严格规范公正文明执法；负责拟订法治宣传教育规划，组织实施普法宣传工作；负责管委会法律顾问工作，办理行政诉讼案件应诉工作；负责指导、管理社区矫正、安置帮教工作；指导全区人民调解工作和基层法律服务工作，推进司法所建设；承担全面依法治区委员会办公室日常工作；负责本单位交办的其他事项。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中共唐山高新技术产业开发区工作委员会政法委员会（本级）</w:t>
            </w:r>
          </w:p>
        </w:tc>
        <w:tc>
          <w:tcPr>
            <w:tcW w:w="1843" w:type="dxa"/>
            <w:vAlign w:val="center"/>
          </w:tcPr>
          <w:p>
            <w:pPr>
              <w:pStyle w:val="16"/>
            </w:pPr>
            <w:r>
              <w:t>行政</w:t>
            </w:r>
          </w:p>
        </w:tc>
        <w:tc>
          <w:tcPr>
            <w:tcW w:w="2126" w:type="dxa"/>
            <w:vAlign w:val="center"/>
          </w:tcPr>
          <w:p>
            <w:pPr>
              <w:pStyle w:val="16"/>
            </w:pPr>
            <w:r>
              <w:t>副处（县）级</w:t>
            </w:r>
          </w:p>
        </w:tc>
        <w:tc>
          <w:tcPr>
            <w:tcW w:w="3827" w:type="dxa"/>
            <w:vAlign w:val="center"/>
          </w:tcPr>
          <w:p>
            <w:pPr>
              <w:pStyle w:val="16"/>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唐山高新技术产业开发区群众工作中心</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按照预算管理有关规定，目前部门预算的编制实行综合预算管理，即全部收入和支出都反映在预算中。中共唐山高新技术产业开发区工作委员会政法委员会机关及所属事业单位的收支包含在部门预算中。</w:t>
      </w:r>
    </w:p>
    <w:p>
      <w:pPr>
        <w:pStyle w:val="21"/>
      </w:pPr>
      <w:r>
        <w:t>1、收入说明</w:t>
      </w:r>
    </w:p>
    <w:p>
      <w:pPr>
        <w:pStyle w:val="21"/>
      </w:pPr>
      <w:r>
        <w:t>反映本部门当年全部收入。2024年预算收入1191.31万元，其中：一般公共预算收入1191.31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中共唐山高新技术产业开发区工作委员会政法委员会年度部门预算中支出预算的总体情况。2024年支出预算1191.31万元，其中基本支出630.92万元，包括人员经费605.18万元和日常公用经费25.74万元；项目支出560.39万元，主要为社会治安保险：58.5万元；雪亮工程二期尾款及雪亮工程维修保养：281万元；法律顾问经费：20万元；人民调解、法律援助经费：27万元；社区矫正及普法宣传经费：7万元；司法所经费：2万元；政法网运行维护经费：8.39万元；政法维稳工作经费：5万元；综治重点工作经费：70万元；信访维稳经费：80万元；社区矫正补助转移支付资金（唐财政法【2023】17号）：1.5万元。</w:t>
      </w:r>
    </w:p>
    <w:p>
      <w:pPr>
        <w:pStyle w:val="21"/>
      </w:pPr>
      <w:r>
        <w:t>3、比上年增减情况</w:t>
      </w:r>
    </w:p>
    <w:p>
      <w:pPr>
        <w:pStyle w:val="21"/>
      </w:pPr>
      <w:r>
        <w:t>2024年预算收支安排1191.31万元，较2023年预算增加182.32万元，其中：基本支出增加291.28万元，主要为2024年部门预算新增一个二级单位：群众服务中心。项目支出减少108.96万元，主要为社会治理智能化平台建设项目2023年已完成，2024年度无；视频监控提醒标志牌项目2023年已完成，2024年度无；人民调解经费增加；雪亮工程一期（质保金）2023年度已支付，2024年度无；雪亮工程运行维护费2024年度有所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rPr>
          <w:rFonts w:hint="eastAsia" w:eastAsia="方正仿宋_GBK"/>
          <w:lang w:eastAsia="zh-CN"/>
        </w:rPr>
      </w:pPr>
      <w:r>
        <w:t>2024年，我部门机关运行经费共计安排25.74万元，主要用于日常维修、办公用房水电费、办公用房取暖费、办公用房物业管理费等日常运行支出。</w:t>
      </w:r>
      <w:r>
        <w:rPr>
          <w:rFonts w:hint="eastAsia"/>
          <w:lang w:eastAsia="zh-CN"/>
        </w:rPr>
        <w:t>其中本级机关运行经费共计安排14.45万元，主要用于日常维修、办公用房水电费、办公用房取暖费、办公用房物业管理费等日常运行支出。比2023年同比减少0.96%。主要原因：我单位按照《预算法》和机关运行费用节支要求，减少各项运行费用。</w:t>
      </w:r>
    </w:p>
    <w:p>
      <w:pPr>
        <w:spacing w:before="10" w:after="10" w:line="360" w:lineRule="auto"/>
        <w:ind w:firstLine="640"/>
        <w:jc w:val="left"/>
        <w:outlineLvl w:val="2"/>
        <w:rPr>
          <w:rFonts w:ascii="黑体" w:hAnsi="黑体" w:eastAsia="黑体" w:cs="黑体"/>
          <w:color w:val="000000"/>
          <w:sz w:val="32"/>
        </w:rPr>
      </w:pPr>
      <w:bookmarkStart w:id="12" w:name="_Toc_3_3_0000000013"/>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3"/>
      </w:pPr>
      <w:r>
        <w:t>2024年，我部门财政拨款“三公”经费预算安排8.00万元，其中因公出国（境）费0.00万元；公务用车购置及运维费7.50万元（其中：公务用车购置费为0.00万元，公务用车运维费7.50万元)；公务接待费0.50万元。与2023年相比增加3.00万元，增减变化的主要原因是部门新增二级预算单位：群众服务中心，新增公务用车运维费3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（一）推进社会治理体系和治理能力现代化建设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1.加强雪亮工程设备维护管理。2.大力推动市域社会治理现代化工作。3.持续做好社会治安保险参保工作。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（二）继续做好维稳各项工作，确保社会大局稳定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1.做好本年度维护社会稳定工作，按照市维稳办要求按时完成各项工作。2.做好打击防范、宣传、“双清”、以及</w:t>
      </w:r>
      <w:r>
        <w:rPr>
          <w:rFonts w:hint="eastAsia" w:ascii="仿宋" w:hAnsi="仿宋" w:eastAsia="仿宋" w:cs="仿宋_GB2312"/>
          <w:color w:val="auto"/>
          <w:sz w:val="32"/>
          <w:szCs w:val="32"/>
          <w:lang w:eastAsia="zh-CN"/>
        </w:rPr>
        <w:t>解脱</w:t>
      </w:r>
      <w:r>
        <w:rPr>
          <w:rFonts w:hint="eastAsia" w:ascii="仿宋" w:hAnsi="仿宋" w:eastAsia="仿宋" w:cs="仿宋_GB2312"/>
          <w:color w:val="auto"/>
          <w:sz w:val="32"/>
          <w:szCs w:val="32"/>
        </w:rPr>
        <w:t>人员的去存量工作</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3.</w:t>
      </w:r>
      <w:r>
        <w:rPr>
          <w:rFonts w:hint="eastAsia" w:ascii="仿宋" w:hAnsi="仿宋" w:eastAsia="仿宋" w:cs="仿宋_GB2312"/>
          <w:color w:val="auto"/>
          <w:sz w:val="32"/>
          <w:szCs w:val="32"/>
          <w:lang w:eastAsia="zh-CN"/>
        </w:rPr>
        <w:t>做好涉法涉诉信访案件有（无）理访认定工作。</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（三）继续做好司法法制工作，全面推进依法行政。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1.推进普法宣传，建立完善普法宣传长效机制。2.提升司法所办公设施、工作人员业务水平。3.</w:t>
      </w:r>
      <w:r>
        <w:rPr>
          <w:rFonts w:hint="eastAsia" w:ascii="仿宋" w:hAnsi="仿宋" w:eastAsia="仿宋" w:cs="仿宋_GB2312"/>
          <w:color w:val="auto"/>
          <w:sz w:val="32"/>
          <w:szCs w:val="32"/>
          <w:lang w:eastAsia="zh-CN"/>
        </w:rPr>
        <w:t>保障</w:t>
      </w:r>
      <w:r>
        <w:rPr>
          <w:rFonts w:hint="eastAsia" w:ascii="仿宋" w:hAnsi="仿宋" w:eastAsia="仿宋" w:cs="仿宋_GB2312"/>
          <w:color w:val="auto"/>
          <w:sz w:val="32"/>
          <w:szCs w:val="32"/>
        </w:rPr>
        <w:t>法务工作有序推进</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4.持续推进人民调解体系建设工作。</w:t>
      </w:r>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加大信访政策宣传，切实关心上访群众。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_GB2312"/>
          <w:color w:val="auto"/>
          <w:sz w:val="32"/>
          <w:szCs w:val="32"/>
        </w:rPr>
        <w:t>认真抓好全体党员干部对《信访条例》及相关政策法规的学习</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了解信访案件受理、直接转送、办理、复查和复核等制度及相应的期限，明确法律责任</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加大信访政策宣传，切实关心上访群众，群众上访接待率达到100%，疑难重点信访问题向县级分管领导呈报。及时办理中央、省、市三级交办信访事项,办结率达到100%。区级领导批示信访案件办结率达到100%。网上信访案件办理的及时受理率和按期答复率达到95%以上。</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w:t>
      </w:r>
      <w:r>
        <w:rPr>
          <w:color w:val="auto"/>
        </w:rPr>
        <w:fldChar w:fldCharType="begin"/>
      </w:r>
      <w:r>
        <w:rPr>
          <w:color w:val="auto"/>
        </w:rPr>
        <w:instrText xml:space="preserve"> HYPERLINK "http://www.baidu.com/link?url=WbrCOPq8Mf_xPMq5dV60vAFmq6F0NBJAd859rSRKoYyWTYc7eUrLsy4178YcoN7P" \t "https://www.baidu.com/_blank" </w:instrText>
      </w:r>
      <w:r>
        <w:rPr>
          <w:color w:val="auto"/>
        </w:rPr>
        <w:fldChar w:fldCharType="separate"/>
      </w:r>
      <w:r>
        <w:rPr>
          <w:rFonts w:ascii="楷体_GB2312" w:hAnsi="楷体_GB2312" w:eastAsia="楷体_GB2312" w:cs="楷体_GB2312"/>
          <w:color w:val="auto"/>
          <w:sz w:val="32"/>
          <w:szCs w:val="32"/>
        </w:rPr>
        <w:t>社区矫正稳防线</w:t>
      </w:r>
      <w:r>
        <w:rPr>
          <w:rFonts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rPr>
        <w:t>，普法意识入人心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绩效目标：推进普法宣传，建立完善普法宣传长效机制；实现社区矫正人员法制观念、劳动技能提升，提高社区矫正工作的社会效益。确保“零脱漏管”和“无重新犯罪”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绩效指标：普法工作覆盖率，在各个领域的普及情况达到90%；社区矫正人员达到规范化管理达到100%。</w:t>
      </w:r>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"http://www.baidu.com/link?url=Otp_NCd0EdNAkVaSkzEEI9suuFMl182RZp0f6flYnlAh6dN4Pr3AqUnxJUKfYlPM" \t "https://www.baidu.com/_blank"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法律援助助人民,人民调解解民忧</w:t>
      </w:r>
      <w:r>
        <w:rPr>
          <w:rFonts w:hint="eastAsia" w:ascii="楷体_GB2312" w:hAnsi="楷体_GB2312" w:eastAsia="楷体_GB2312" w:cs="楷体_GB2312"/>
          <w:color w:val="auto"/>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绩效目标：人民调解专项经费落实，确保人民调解工作正常开展。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绩效指标：群众对人民调解工作满意度达95%，案件调解成功数量占案件总数量百分比达到95%。</w:t>
      </w:r>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"http://www.baidu.com/link?url=N9171_WgwXFxNgVGYZqfxGxd838LA4BEdgxlWct9rkqQFyfb1dOsdT1wW4KAOpwz9pv49wf95C1JnD0W5PkIRpCKuDRiPU_KdO2pE4uX69S" \t "https://www.baidu.com/_blank"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抓住重点扎实推进司法所规范化建设</w:t>
      </w:r>
      <w:r>
        <w:rPr>
          <w:rFonts w:hint="eastAsia" w:ascii="楷体_GB2312" w:hAnsi="楷体_GB2312" w:eastAsia="楷体_GB2312" w:cs="楷体_GB2312"/>
          <w:color w:val="auto"/>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绩效目标：提升司法所办公设施、工作人员业务水平。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绩效指标：创建1个规范化司法所，达到省级要求标准。</w:t>
      </w:r>
    </w:p>
    <w:p>
      <w:pPr>
        <w:spacing w:line="580" w:lineRule="exact"/>
        <w:ind w:firstLine="63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"http://www.baidu.com/link?url=v3utMuDpYL0KEhsw30fZp-2q-jR9yYZboSyZAjZIEzW427673baN9d8lcMWuXsJo" \t "https://www.baidu.com/_blank"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法律顾问进社区,服务便民暖人心</w:t>
      </w:r>
      <w:r>
        <w:rPr>
          <w:rFonts w:hint="eastAsia" w:ascii="楷体_GB2312" w:hAnsi="楷体_GB2312" w:eastAsia="楷体_GB2312" w:cs="楷体_GB2312"/>
          <w:color w:val="auto"/>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绩效目标：法务工作有序推进。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绩效指标：规定时限完成法律咨询、应诉方服务达到95%；审核数量达到50起。</w:t>
      </w:r>
    </w:p>
    <w:p>
      <w:pPr>
        <w:spacing w:line="580" w:lineRule="exact"/>
        <w:ind w:firstLine="63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扎实推进社区矫正工作规范化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绩效目标：提升社区矫正工作效率、工作人员业务水平。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绩效指标：规范社区矫正工作各项流程，做到0脱漏管。</w:t>
      </w:r>
    </w:p>
    <w:p>
      <w:pPr>
        <w:spacing w:line="560" w:lineRule="exact"/>
        <w:ind w:firstLine="630"/>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六</w:t>
      </w:r>
      <w:r>
        <w:rPr>
          <w:rFonts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rPr>
        <w:t>做好年度维护社会稳定工作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绩效目标：做好本年度维护社会稳定工作，按照市维稳办要求按时完成各项工作;做好打击防范、宣传、“双清”、以及解脱人员的去存量工作；做好涉法涉诉信访案件有（无）理访认定工作。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当年信访敏感期任务完成率≥90%;完成各项防范宣传工作次数≥3种;信访敏感时期值班人员到位人数占值班人数百分比达100%;开展宣传活动的种类≥2种;维稳工作人民群众的满意度、知晓率≥90%；实际涉法涉诉信访案件发生情况及时进行评查≥98%；实际涉法涉诉信访案件发生情况认定达100%；根据涉法涉诉信访案件发生情况认定次数≥3次；开展涉法涉诉调度会≥2次；涉法涉诉人民群众的满意度、知晓率≥90%。</w:t>
      </w:r>
    </w:p>
    <w:p>
      <w:pPr>
        <w:spacing w:line="560" w:lineRule="exact"/>
        <w:ind w:firstLine="63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）加强“雪亮工程”设备运维管理，提高视频监控实战化应用。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绩效目标：建立长效机制，提高视频监控系统运维管理。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绩效指标：视频监控点位设备在线率需达到95%以上。</w:t>
      </w:r>
    </w:p>
    <w:p>
      <w:pPr>
        <w:spacing w:line="560" w:lineRule="exact"/>
        <w:ind w:firstLine="63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八</w:t>
      </w:r>
      <w:r>
        <w:rPr>
          <w:rFonts w:hint="eastAsia" w:ascii="楷体_GB2312" w:hAnsi="楷体_GB2312" w:eastAsia="楷体_GB2312" w:cs="楷体_GB2312"/>
          <w:color w:val="auto"/>
          <w:sz w:val="32"/>
          <w:szCs w:val="32"/>
        </w:rPr>
        <w:t>）增强人民群众安全感，提高预防各类风险能力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绩效目标：开展市域社会治理宣传、平安建设“八进”和扫黑除恶斗争宣传教育活动,营造良好的宣传氛围，激发全民参与平安创建的积极性。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绩效指标：通过宣传，广大群众满意度达90%以上。</w:t>
      </w:r>
    </w:p>
    <w:p>
      <w:pPr>
        <w:spacing w:line="560" w:lineRule="exact"/>
        <w:ind w:firstLine="63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（九）提高政法系统工作效率，实现互联互通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绩效目标：按照“统一领导、统一标准、统一采购、统一签订合同、统一建设、统一付款、统一维护”原则，开展政法网运行维护工作，保障政法信息资源共享，有效提高政法机关信息化水平。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绩效指标：实现政法网络覆盖率达到100%。</w:t>
      </w:r>
    </w:p>
    <w:p>
      <w:pPr>
        <w:spacing w:line="560" w:lineRule="exact"/>
        <w:ind w:firstLine="63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w:t>
      </w:r>
      <w:r>
        <w:rPr>
          <w:rFonts w:hint="eastAsia" w:ascii="楷体_GB2312" w:hAnsi="楷体_GB2312" w:eastAsia="楷体_GB2312" w:cs="楷体_GB2312"/>
          <w:color w:val="auto"/>
          <w:sz w:val="32"/>
          <w:szCs w:val="32"/>
        </w:rPr>
        <w:t>）推进社会治安保险工作，实现参保全覆盖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绩效目标：调动和激发广大群众参与群防群治的积极性，不断提高市域社会治理能力，大力促进平安高新建设。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绩效指标：治安保险参保率达到100%。</w:t>
      </w:r>
    </w:p>
    <w:p>
      <w:pPr>
        <w:numPr>
          <w:ilvl w:val="0"/>
          <w:numId w:val="1"/>
        </w:numPr>
        <w:spacing w:line="560" w:lineRule="exact"/>
        <w:ind w:firstLine="63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1.信访受理及案件化解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组织开展信访重复访化解,对未息诉罢访的信访案件进行梳理,分类建立台账,明确领导包案,落实化解责任,加强协调调度,实行挂账督办,着力清除老案，努力减少信访存量。推进我区领导干部包案督访常态化,确保每个信访事项做到“三个一”(一个办结时限、一套办理纪要、一个办结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结合我区实际，按照党工委、管委会要求，充分认识“两会”期间等重点敏感时期维稳工作的重要性，深入开展矛盾纠纷化解及重点人稳控工作。坚持公开接访、重点约访、带案下访相结合,及时解决各类信访问题;做到信访苗头及隐患排查调处工作,排查率100%。</w:t>
      </w:r>
    </w:p>
    <w:p>
      <w:pPr>
        <w:spacing w:line="58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2.信访宣传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绩效目标：确保信访工作顺利开展，组织开展 “信访法制”宣传活动。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绩效指标：深入开展《信访条例》宣传教育活动，《信访条例》宣传到千家万户。通过发放宣传册，悬挂宣传横幅等形式，使</w:t>
      </w:r>
      <w:r>
        <w:rPr>
          <w:rFonts w:hint="eastAsia" w:ascii="仿宋" w:hAnsi="仿宋" w:eastAsia="仿宋" w:cs="仿宋_GB2312"/>
          <w:color w:val="auto"/>
          <w:sz w:val="32"/>
          <w:szCs w:val="32"/>
          <w:lang w:val="zh-CN" w:eastAsia="zh-CN"/>
        </w:rPr>
        <w:t>广大群众增强法律意识，</w:t>
      </w:r>
      <w:r>
        <w:rPr>
          <w:rFonts w:hint="eastAsia" w:ascii="仿宋" w:hAnsi="仿宋" w:eastAsia="仿宋" w:cs="仿宋_GB2312"/>
          <w:color w:val="auto"/>
          <w:sz w:val="32"/>
          <w:szCs w:val="32"/>
          <w:lang w:val="en-US" w:eastAsia="zh-CN"/>
        </w:rPr>
        <w:t>做好相关涉及到多种领域信访隐患的排查工作，把隐患降到最低，争取辖区内不出现大规模群体性上访。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（一）</w:t>
      </w:r>
      <w:r>
        <w:rPr>
          <w:rFonts w:ascii="楷体_GB2312" w:hAnsi="楷体_GB2312" w:eastAsia="楷体_GB2312" w:cs="楷体_GB2312"/>
          <w:sz w:val="32"/>
          <w:szCs w:val="32"/>
          <w:lang w:bidi="ar"/>
        </w:rPr>
        <w:t>完善制度建设</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制定完善预算绩效</w:t>
      </w:r>
      <w:r>
        <w:rPr>
          <w:rFonts w:hint="eastAsia" w:ascii="仿宋" w:hAnsi="仿宋" w:eastAsia="仿宋" w:cs="仿宋_GB2312"/>
          <w:sz w:val="32"/>
          <w:szCs w:val="32"/>
          <w:lang w:eastAsia="zh-CN"/>
        </w:rPr>
        <w:t>监控</w:t>
      </w:r>
      <w:r>
        <w:rPr>
          <w:rFonts w:hint="eastAsia" w:ascii="仿宋" w:hAnsi="仿宋" w:eastAsia="仿宋" w:cs="仿宋_GB2312"/>
          <w:sz w:val="32"/>
          <w:szCs w:val="32"/>
        </w:rPr>
        <w:t>制度、资</w:t>
      </w:r>
      <w:r>
        <w:rPr>
          <w:rFonts w:hint="eastAsia" w:ascii="仿宋" w:hAnsi="仿宋" w:eastAsia="仿宋" w:cs="仿宋_GB2312"/>
          <w:sz w:val="32"/>
          <w:szCs w:val="32"/>
          <w:lang w:eastAsia="zh-CN"/>
        </w:rPr>
        <w:t>金</w:t>
      </w:r>
      <w:r>
        <w:rPr>
          <w:rFonts w:hint="eastAsia" w:ascii="仿宋" w:hAnsi="仿宋" w:eastAsia="仿宋" w:cs="仿宋_GB2312"/>
          <w:sz w:val="32"/>
          <w:szCs w:val="32"/>
        </w:rPr>
        <w:t>管理办法、</w:t>
      </w:r>
      <w:r>
        <w:rPr>
          <w:rFonts w:hint="eastAsia" w:ascii="仿宋" w:hAnsi="仿宋" w:eastAsia="仿宋" w:cs="仿宋_GB2312"/>
          <w:sz w:val="32"/>
          <w:szCs w:val="32"/>
          <w:lang w:eastAsia="zh-CN"/>
        </w:rPr>
        <w:t>固定资产购置和管理</w:t>
      </w:r>
      <w:r>
        <w:rPr>
          <w:rFonts w:hint="eastAsia" w:ascii="仿宋" w:hAnsi="仿宋" w:eastAsia="仿宋" w:cs="仿宋_GB2312"/>
          <w:sz w:val="32"/>
          <w:szCs w:val="32"/>
        </w:rPr>
        <w:t>制度</w:t>
      </w:r>
      <w:r>
        <w:rPr>
          <w:rFonts w:hint="eastAsia" w:ascii="仿宋" w:hAnsi="仿宋" w:eastAsia="仿宋" w:cs="仿宋_GB2312"/>
          <w:sz w:val="32"/>
          <w:szCs w:val="32"/>
          <w:lang w:eastAsia="zh-CN"/>
        </w:rPr>
        <w:t>、内部控制制度</w:t>
      </w:r>
      <w:r>
        <w:rPr>
          <w:rFonts w:hint="eastAsia" w:ascii="仿宋" w:hAnsi="仿宋" w:eastAsia="仿宋" w:cs="仿宋_GB2312"/>
          <w:sz w:val="32"/>
          <w:szCs w:val="32"/>
        </w:rPr>
        <w:t>等相关制度。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（二）加强支出管理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严格执行预算</w:t>
      </w:r>
      <w:r>
        <w:rPr>
          <w:rFonts w:hint="eastAsia" w:ascii="仿宋" w:hAnsi="仿宋" w:eastAsia="仿宋" w:cs="仿宋_GB2312"/>
          <w:sz w:val="32"/>
          <w:szCs w:val="32"/>
          <w:lang w:eastAsia="zh-CN"/>
        </w:rPr>
        <w:t>安排</w:t>
      </w:r>
      <w:r>
        <w:rPr>
          <w:rFonts w:hint="eastAsia" w:ascii="仿宋" w:hAnsi="仿宋" w:eastAsia="仿宋" w:cs="仿宋_GB2312"/>
          <w:sz w:val="32"/>
          <w:szCs w:val="32"/>
        </w:rPr>
        <w:t>，</w:t>
      </w:r>
      <w:r>
        <w:rPr>
          <w:rFonts w:hint="eastAsia" w:ascii="仿宋" w:hAnsi="仿宋" w:eastAsia="仿宋" w:cs="仿宋_GB2312"/>
          <w:sz w:val="32"/>
          <w:szCs w:val="32"/>
          <w:lang w:eastAsia="zh-CN"/>
        </w:rPr>
        <w:t>按时间节点对项目支出情况进行监控和汇报</w:t>
      </w:r>
      <w:r>
        <w:rPr>
          <w:rFonts w:hint="eastAsia" w:ascii="仿宋" w:hAnsi="仿宋" w:eastAsia="仿宋" w:cs="仿宋_GB2312"/>
          <w:sz w:val="32"/>
          <w:szCs w:val="32"/>
        </w:rPr>
        <w:t>。</w:t>
      </w:r>
      <w:r>
        <w:rPr>
          <w:rFonts w:hint="eastAsia" w:ascii="仿宋" w:hAnsi="仿宋" w:eastAsia="仿宋" w:cs="仿宋_GB2312"/>
          <w:sz w:val="32"/>
          <w:szCs w:val="32"/>
          <w:lang w:eastAsia="zh-CN"/>
        </w:rPr>
        <w:t>按时分析</w:t>
      </w:r>
      <w:r>
        <w:rPr>
          <w:rFonts w:hint="eastAsia" w:ascii="仿宋" w:hAnsi="仿宋" w:eastAsia="仿宋" w:cs="仿宋_GB2312"/>
          <w:sz w:val="32"/>
          <w:szCs w:val="32"/>
        </w:rPr>
        <w:t>支出进度</w:t>
      </w:r>
      <w:r>
        <w:rPr>
          <w:rFonts w:hint="eastAsia" w:ascii="仿宋" w:hAnsi="仿宋" w:eastAsia="仿宋" w:cs="仿宋_GB2312"/>
          <w:sz w:val="32"/>
          <w:szCs w:val="32"/>
          <w:lang w:eastAsia="zh-CN"/>
        </w:rPr>
        <w:t>情况及原因</w:t>
      </w:r>
      <w:r>
        <w:rPr>
          <w:rFonts w:hint="eastAsia" w:ascii="仿宋" w:hAnsi="仿宋" w:eastAsia="仿宋" w:cs="仿宋_GB2312"/>
          <w:sz w:val="32"/>
          <w:szCs w:val="32"/>
        </w:rPr>
        <w:t>，及时反映预算执行动态，确保财政预算支出进度顺利完成。加强</w:t>
      </w:r>
      <w:r>
        <w:rPr>
          <w:rFonts w:hint="eastAsia" w:ascii="仿宋" w:hAnsi="仿宋" w:eastAsia="仿宋" w:cs="仿宋_GB2312"/>
          <w:sz w:val="32"/>
          <w:szCs w:val="32"/>
          <w:lang w:eastAsia="zh-CN"/>
        </w:rPr>
        <w:t>各个项目负责人</w:t>
      </w:r>
      <w:r>
        <w:rPr>
          <w:rFonts w:hint="eastAsia" w:ascii="仿宋" w:hAnsi="仿宋" w:eastAsia="仿宋" w:cs="仿宋_GB2312"/>
          <w:sz w:val="32"/>
          <w:szCs w:val="32"/>
        </w:rPr>
        <w:t>预算执行的责任意识，</w:t>
      </w:r>
      <w:r>
        <w:rPr>
          <w:rFonts w:hint="eastAsia" w:ascii="仿宋" w:hAnsi="仿宋" w:eastAsia="仿宋" w:cs="仿宋_GB2312"/>
          <w:sz w:val="32"/>
          <w:szCs w:val="32"/>
          <w:lang w:eastAsia="zh-CN"/>
        </w:rPr>
        <w:t>优</w:t>
      </w:r>
      <w:r>
        <w:rPr>
          <w:rFonts w:hint="eastAsia" w:ascii="仿宋" w:hAnsi="仿宋" w:eastAsia="仿宋" w:cs="仿宋_GB2312"/>
          <w:sz w:val="32"/>
          <w:szCs w:val="32"/>
        </w:rPr>
        <w:t>化财政资金使用，提高财政资金的效益性和安全性。</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（三）加强绩效运行监控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按照上级要求按季度开展绩效运行监控，掌握预算支出进度</w:t>
      </w:r>
      <w:r>
        <w:rPr>
          <w:rFonts w:hint="eastAsia" w:ascii="仿宋" w:hAnsi="仿宋" w:eastAsia="仿宋" w:cs="仿宋_GB2312"/>
          <w:sz w:val="32"/>
          <w:szCs w:val="32"/>
          <w:lang w:eastAsia="zh-CN"/>
        </w:rPr>
        <w:t>、</w:t>
      </w:r>
      <w:r>
        <w:rPr>
          <w:rFonts w:hint="eastAsia" w:ascii="仿宋" w:hAnsi="仿宋" w:eastAsia="仿宋" w:cs="仿宋_GB2312"/>
          <w:sz w:val="32"/>
          <w:szCs w:val="32"/>
        </w:rPr>
        <w:t>项目实施情况</w:t>
      </w:r>
      <w:r>
        <w:rPr>
          <w:rFonts w:hint="eastAsia" w:ascii="仿宋" w:hAnsi="仿宋" w:eastAsia="仿宋" w:cs="仿宋_GB2312"/>
          <w:sz w:val="32"/>
          <w:szCs w:val="32"/>
          <w:lang w:eastAsia="zh-CN"/>
        </w:rPr>
        <w:t>及项目绩效情况</w:t>
      </w:r>
      <w:r>
        <w:rPr>
          <w:rFonts w:hint="eastAsia" w:ascii="仿宋" w:hAnsi="仿宋" w:eastAsia="仿宋" w:cs="仿宋_GB2312"/>
          <w:sz w:val="32"/>
          <w:szCs w:val="32"/>
        </w:rPr>
        <w:t>，</w:t>
      </w:r>
      <w:r>
        <w:rPr>
          <w:rFonts w:hint="eastAsia" w:ascii="仿宋" w:hAnsi="仿宋" w:eastAsia="仿宋" w:cs="仿宋_GB2312"/>
          <w:sz w:val="32"/>
          <w:szCs w:val="32"/>
          <w:lang w:eastAsia="zh-CN"/>
        </w:rPr>
        <w:t>及时</w:t>
      </w:r>
      <w:r>
        <w:rPr>
          <w:rFonts w:hint="eastAsia" w:ascii="仿宋" w:hAnsi="仿宋" w:eastAsia="仿宋" w:cs="仿宋_GB2312"/>
          <w:sz w:val="32"/>
          <w:szCs w:val="32"/>
        </w:rPr>
        <w:t>发现问题</w:t>
      </w:r>
      <w:r>
        <w:rPr>
          <w:rFonts w:hint="eastAsia" w:ascii="仿宋" w:hAnsi="仿宋" w:eastAsia="仿宋" w:cs="仿宋_GB2312"/>
          <w:sz w:val="32"/>
          <w:szCs w:val="32"/>
          <w:lang w:eastAsia="zh-CN"/>
        </w:rPr>
        <w:t>并</w:t>
      </w:r>
      <w:r>
        <w:rPr>
          <w:rFonts w:hint="eastAsia" w:ascii="仿宋" w:hAnsi="仿宋" w:eastAsia="仿宋" w:cs="仿宋_GB2312"/>
          <w:sz w:val="32"/>
          <w:szCs w:val="32"/>
        </w:rPr>
        <w:t>采取</w:t>
      </w:r>
      <w:r>
        <w:rPr>
          <w:rFonts w:hint="eastAsia" w:ascii="仿宋" w:hAnsi="仿宋" w:eastAsia="仿宋" w:cs="仿宋_GB2312"/>
          <w:sz w:val="32"/>
          <w:szCs w:val="32"/>
          <w:lang w:eastAsia="zh-CN"/>
        </w:rPr>
        <w:t>有效</w:t>
      </w:r>
      <w:r>
        <w:rPr>
          <w:rFonts w:hint="eastAsia" w:ascii="仿宋" w:hAnsi="仿宋" w:eastAsia="仿宋" w:cs="仿宋_GB2312"/>
          <w:sz w:val="32"/>
          <w:szCs w:val="32"/>
        </w:rPr>
        <w:t>措施，确保绩效目标</w:t>
      </w:r>
      <w:r>
        <w:rPr>
          <w:rFonts w:hint="eastAsia" w:ascii="仿宋" w:hAnsi="仿宋" w:eastAsia="仿宋" w:cs="仿宋_GB2312"/>
          <w:sz w:val="32"/>
          <w:szCs w:val="32"/>
          <w:lang w:eastAsia="zh-CN"/>
        </w:rPr>
        <w:t>按时保质保量完成</w:t>
      </w:r>
      <w:r>
        <w:rPr>
          <w:rFonts w:hint="eastAsia" w:ascii="仿宋" w:hAnsi="仿宋" w:eastAsia="仿宋" w:cs="仿宋_GB2312"/>
          <w:sz w:val="32"/>
          <w:szCs w:val="32"/>
        </w:rPr>
        <w:t>。</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（四）做好绩效自评工作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rPr>
      </w:pPr>
      <w:r>
        <w:rPr>
          <w:rFonts w:hint="eastAsia" w:ascii="仿宋" w:hAnsi="仿宋" w:eastAsia="仿宋" w:cs="仿宋_GB2312"/>
          <w:sz w:val="32"/>
          <w:szCs w:val="32"/>
        </w:rPr>
        <w:t>按</w:t>
      </w:r>
      <w:r>
        <w:rPr>
          <w:rFonts w:hint="eastAsia" w:ascii="仿宋" w:hAnsi="仿宋" w:eastAsia="仿宋" w:cs="仿宋_GB2312"/>
          <w:sz w:val="32"/>
          <w:szCs w:val="32"/>
          <w:lang w:eastAsia="zh-CN"/>
        </w:rPr>
        <w:t>照</w:t>
      </w:r>
      <w:r>
        <w:rPr>
          <w:rFonts w:hint="eastAsia" w:ascii="仿宋" w:hAnsi="仿宋" w:eastAsia="仿宋" w:cs="仿宋_GB2312"/>
          <w:sz w:val="32"/>
          <w:szCs w:val="32"/>
        </w:rPr>
        <w:t>要求开展</w:t>
      </w:r>
      <w:r>
        <w:rPr>
          <w:rFonts w:hint="eastAsia" w:ascii="仿宋" w:hAnsi="仿宋" w:eastAsia="仿宋" w:cs="仿宋_GB2312"/>
          <w:sz w:val="32"/>
          <w:szCs w:val="32"/>
          <w:lang w:eastAsia="zh-CN"/>
        </w:rPr>
        <w:t>对</w:t>
      </w:r>
      <w:r>
        <w:rPr>
          <w:rFonts w:hint="eastAsia" w:ascii="仿宋" w:hAnsi="仿宋" w:eastAsia="仿宋" w:cs="仿宋_GB2312"/>
          <w:sz w:val="32"/>
          <w:szCs w:val="32"/>
        </w:rPr>
        <w:t>上年度</w:t>
      </w:r>
      <w:r>
        <w:rPr>
          <w:rFonts w:hint="eastAsia" w:ascii="仿宋" w:hAnsi="仿宋" w:eastAsia="仿宋" w:cs="仿宋_GB2312"/>
          <w:sz w:val="32"/>
          <w:szCs w:val="32"/>
          <w:lang w:eastAsia="zh-CN"/>
        </w:rPr>
        <w:t>单位</w:t>
      </w:r>
      <w:r>
        <w:rPr>
          <w:rFonts w:hint="eastAsia" w:ascii="仿宋" w:hAnsi="仿宋" w:eastAsia="仿宋" w:cs="仿宋_GB2312"/>
          <w:sz w:val="32"/>
          <w:szCs w:val="32"/>
        </w:rPr>
        <w:t>预算绩效</w:t>
      </w:r>
      <w:r>
        <w:rPr>
          <w:rFonts w:hint="eastAsia" w:ascii="仿宋" w:hAnsi="仿宋" w:eastAsia="仿宋" w:cs="仿宋_GB2312"/>
          <w:sz w:val="32"/>
          <w:szCs w:val="32"/>
          <w:lang w:eastAsia="zh-CN"/>
        </w:rPr>
        <w:t>进行</w:t>
      </w:r>
      <w:r>
        <w:rPr>
          <w:rFonts w:hint="eastAsia" w:ascii="仿宋" w:hAnsi="仿宋" w:eastAsia="仿宋" w:cs="仿宋_GB2312"/>
          <w:sz w:val="32"/>
          <w:szCs w:val="32"/>
        </w:rPr>
        <w:t>自评工作，</w:t>
      </w:r>
      <w:r>
        <w:rPr>
          <w:rFonts w:hint="eastAsia" w:ascii="仿宋" w:hAnsi="仿宋" w:eastAsia="仿宋" w:cs="仿宋_GB2312"/>
          <w:sz w:val="32"/>
          <w:szCs w:val="32"/>
          <w:lang w:eastAsia="zh-CN"/>
        </w:rPr>
        <w:t>并</w:t>
      </w:r>
      <w:r>
        <w:rPr>
          <w:rFonts w:hint="eastAsia" w:ascii="仿宋" w:hAnsi="仿宋" w:eastAsia="仿宋" w:cs="仿宋_GB2312"/>
          <w:sz w:val="32"/>
          <w:szCs w:val="32"/>
        </w:rPr>
        <w:t>对自评中发现的问题及时整改，</w:t>
      </w:r>
      <w:r>
        <w:rPr>
          <w:rFonts w:hint="eastAsia" w:ascii="仿宋" w:hAnsi="仿宋" w:eastAsia="仿宋" w:cs="仿宋_GB2312"/>
          <w:sz w:val="32"/>
          <w:szCs w:val="32"/>
          <w:lang w:eastAsia="zh-CN"/>
        </w:rPr>
        <w:t>结合实际情况</w:t>
      </w:r>
      <w:r>
        <w:rPr>
          <w:rFonts w:hint="eastAsia" w:ascii="仿宋" w:hAnsi="仿宋" w:eastAsia="仿宋" w:cs="仿宋_GB2312"/>
          <w:sz w:val="32"/>
          <w:szCs w:val="32"/>
        </w:rPr>
        <w:t>调整优化支出结构，提高财政资金使用效益。</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（五）规范</w:t>
      </w:r>
      <w:r>
        <w:rPr>
          <w:rFonts w:hint="eastAsia" w:ascii="楷体_GB2312" w:hAnsi="楷体_GB2312" w:eastAsia="楷体_GB2312" w:cs="楷体_GB2312"/>
          <w:szCs w:val="32"/>
          <w:lang w:eastAsia="zh-CN" w:bidi="ar"/>
        </w:rPr>
        <w:t>固定资产及办公耗材</w:t>
      </w:r>
      <w:r>
        <w:rPr>
          <w:rFonts w:hint="eastAsia" w:ascii="楷体_GB2312" w:hAnsi="楷体_GB2312" w:eastAsia="楷体_GB2312" w:cs="楷体_GB2312"/>
          <w:szCs w:val="32"/>
          <w:lang w:bidi="ar"/>
        </w:rPr>
        <w:t>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楷体_GB2312" w:hAnsi="楷体_GB2312" w:eastAsia="楷体_GB2312" w:cs="楷体_GB2312"/>
          <w:szCs w:val="32"/>
          <w:lang w:bidi="ar"/>
        </w:rPr>
        <w:t xml:space="preserve"> </w:t>
      </w:r>
      <w:r>
        <w:rPr>
          <w:rFonts w:hint="eastAsia" w:ascii="仿宋" w:hAnsi="仿宋" w:eastAsia="仿宋" w:cs="仿宋_GB2312"/>
          <w:sz w:val="32"/>
          <w:szCs w:val="32"/>
        </w:rPr>
        <w:t>完善</w:t>
      </w:r>
      <w:r>
        <w:rPr>
          <w:rFonts w:hint="eastAsia" w:ascii="仿宋" w:hAnsi="仿宋" w:eastAsia="仿宋" w:cs="仿宋_GB2312"/>
          <w:sz w:val="32"/>
          <w:szCs w:val="32"/>
          <w:lang w:eastAsia="zh-CN"/>
        </w:rPr>
        <w:t>固定资产购置及</w:t>
      </w:r>
      <w:r>
        <w:rPr>
          <w:rFonts w:hint="eastAsia" w:ascii="仿宋" w:hAnsi="仿宋" w:eastAsia="仿宋" w:cs="仿宋_GB2312"/>
          <w:sz w:val="32"/>
          <w:szCs w:val="32"/>
        </w:rPr>
        <w:t>管理制度，</w:t>
      </w:r>
      <w:r>
        <w:rPr>
          <w:rFonts w:hint="eastAsia" w:ascii="仿宋" w:hAnsi="仿宋" w:eastAsia="仿宋" w:cs="仿宋_GB2312"/>
          <w:sz w:val="32"/>
          <w:szCs w:val="32"/>
          <w:lang w:eastAsia="zh-CN"/>
        </w:rPr>
        <w:t>规范</w:t>
      </w:r>
      <w:r>
        <w:rPr>
          <w:rFonts w:hint="eastAsia" w:ascii="仿宋" w:hAnsi="仿宋" w:eastAsia="仿宋" w:cs="仿宋_GB2312"/>
          <w:sz w:val="32"/>
          <w:szCs w:val="32"/>
        </w:rPr>
        <w:t>审批程序，做好固定资产登记</w:t>
      </w:r>
      <w:r>
        <w:rPr>
          <w:rFonts w:hint="eastAsia" w:ascii="仿宋" w:hAnsi="仿宋" w:eastAsia="仿宋" w:cs="仿宋_GB2312"/>
          <w:sz w:val="32"/>
          <w:szCs w:val="32"/>
          <w:lang w:eastAsia="zh-CN"/>
        </w:rPr>
        <w:t>及</w:t>
      </w:r>
      <w:r>
        <w:rPr>
          <w:rFonts w:hint="eastAsia" w:ascii="仿宋" w:hAnsi="仿宋" w:eastAsia="仿宋" w:cs="仿宋_GB2312"/>
          <w:sz w:val="32"/>
          <w:szCs w:val="32"/>
        </w:rPr>
        <w:t>使用报废处置</w:t>
      </w:r>
      <w:r>
        <w:rPr>
          <w:rFonts w:hint="eastAsia" w:ascii="仿宋" w:hAnsi="仿宋" w:eastAsia="仿宋" w:cs="仿宋_GB2312"/>
          <w:sz w:val="32"/>
          <w:szCs w:val="32"/>
          <w:lang w:eastAsia="zh-CN"/>
        </w:rPr>
        <w:t>登记</w:t>
      </w:r>
      <w:r>
        <w:rPr>
          <w:rFonts w:hint="eastAsia" w:ascii="仿宋" w:hAnsi="仿宋" w:eastAsia="仿宋" w:cs="仿宋_GB2312"/>
          <w:sz w:val="32"/>
          <w:szCs w:val="32"/>
        </w:rPr>
        <w:t>，</w:t>
      </w:r>
      <w:r>
        <w:rPr>
          <w:rFonts w:hint="eastAsia" w:ascii="仿宋" w:hAnsi="仿宋" w:eastAsia="仿宋" w:cs="仿宋_GB2312"/>
          <w:sz w:val="32"/>
          <w:szCs w:val="32"/>
          <w:lang w:eastAsia="zh-CN"/>
        </w:rPr>
        <w:t>对人员支领办公耗材进行登记，</w:t>
      </w:r>
      <w:r>
        <w:rPr>
          <w:rFonts w:hint="eastAsia" w:ascii="仿宋" w:hAnsi="仿宋" w:eastAsia="仿宋" w:cs="仿宋_GB2312"/>
          <w:sz w:val="32"/>
          <w:szCs w:val="32"/>
        </w:rPr>
        <w:t>做到支出合理，物尽其用。</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楷体_GB2312" w:cs="仿宋_GB2312"/>
          <w:szCs w:val="32"/>
          <w:lang w:eastAsia="zh-CN"/>
        </w:rPr>
      </w:pPr>
      <w:r>
        <w:rPr>
          <w:rFonts w:hint="eastAsia" w:ascii="楷体_GB2312" w:hAnsi="楷体_GB2312" w:eastAsia="楷体_GB2312" w:cs="楷体_GB2312"/>
          <w:szCs w:val="32"/>
          <w:lang w:bidi="ar"/>
        </w:rPr>
        <w:t>（六）加强内部监督</w:t>
      </w:r>
      <w:r>
        <w:rPr>
          <w:rFonts w:hint="eastAsia" w:ascii="楷体_GB2312" w:hAnsi="楷体_GB2312" w:eastAsia="楷体_GB2312" w:cs="楷体_GB2312"/>
          <w:szCs w:val="32"/>
          <w:lang w:eastAsia="zh-CN" w:bidi="ar"/>
        </w:rPr>
        <w:t>，完善内部控制</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加强内部监督制度建设，做好内控工作，对</w:t>
      </w:r>
      <w:r>
        <w:rPr>
          <w:rFonts w:hint="eastAsia" w:ascii="仿宋" w:hAnsi="仿宋" w:eastAsia="仿宋" w:cs="仿宋_GB2312"/>
          <w:sz w:val="32"/>
          <w:szCs w:val="32"/>
          <w:lang w:eastAsia="zh-CN"/>
        </w:rPr>
        <w:t>项目风险管控工作</w:t>
      </w:r>
      <w:r>
        <w:rPr>
          <w:rFonts w:hint="eastAsia" w:ascii="仿宋" w:hAnsi="仿宋" w:eastAsia="仿宋" w:cs="仿宋_GB2312"/>
          <w:sz w:val="32"/>
          <w:szCs w:val="32"/>
        </w:rPr>
        <w:t>进行督导，对会计</w:t>
      </w:r>
      <w:r>
        <w:rPr>
          <w:rFonts w:hint="eastAsia" w:ascii="仿宋" w:hAnsi="仿宋" w:eastAsia="仿宋" w:cs="仿宋_GB2312"/>
          <w:sz w:val="32"/>
          <w:szCs w:val="32"/>
          <w:lang w:eastAsia="zh-CN"/>
        </w:rPr>
        <w:t>账簿等材料</w:t>
      </w:r>
      <w:r>
        <w:rPr>
          <w:rFonts w:hint="eastAsia" w:ascii="仿宋" w:hAnsi="仿宋" w:eastAsia="仿宋" w:cs="仿宋_GB2312"/>
          <w:sz w:val="32"/>
          <w:szCs w:val="32"/>
        </w:rPr>
        <w:t>进行内部审计，并配合做好</w:t>
      </w:r>
      <w:r>
        <w:rPr>
          <w:rFonts w:hint="eastAsia" w:ascii="仿宋" w:hAnsi="仿宋" w:eastAsia="仿宋" w:cs="仿宋_GB2312"/>
          <w:sz w:val="32"/>
          <w:szCs w:val="32"/>
          <w:lang w:eastAsia="zh-CN"/>
        </w:rPr>
        <w:t>上级</w:t>
      </w:r>
      <w:r>
        <w:rPr>
          <w:rFonts w:hint="eastAsia" w:ascii="仿宋" w:hAnsi="仿宋" w:eastAsia="仿宋" w:cs="仿宋_GB2312"/>
          <w:sz w:val="32"/>
          <w:szCs w:val="32"/>
        </w:rPr>
        <w:t>财政监督等工作，确保财政资金安全有效。</w:t>
      </w:r>
    </w:p>
    <w:p>
      <w:pPr>
        <w:keepNext w:val="0"/>
        <w:keepLines w:val="0"/>
        <w:pageBreakBefore w:val="0"/>
        <w:kinsoku/>
        <w:wordWrap/>
        <w:overflowPunct/>
        <w:topLinePunct w:val="0"/>
        <w:autoSpaceDE/>
        <w:autoSpaceDN/>
        <w:bidi w:val="0"/>
        <w:adjustRightInd/>
        <w:snapToGrid/>
        <w:spacing w:line="560" w:lineRule="exact"/>
        <w:ind w:left="480" w:leftChars="200" w:firstLine="320" w:firstLineChars="100"/>
        <w:textAlignment w:val="auto"/>
        <w:rPr>
          <w:rFonts w:hint="eastAsia" w:ascii="楷体_GB2312" w:hAnsi="楷体_GB2312" w:eastAsia="楷体_GB2312" w:cs="楷体_GB2312"/>
          <w:sz w:val="32"/>
          <w:szCs w:val="32"/>
          <w:lang w:eastAsia="zh-CN" w:bidi="ar"/>
        </w:rPr>
      </w:pPr>
      <w:r>
        <w:rPr>
          <w:rFonts w:hint="eastAsia" w:ascii="楷体_GB2312" w:hAnsi="楷体_GB2312" w:eastAsia="楷体_GB2312" w:cs="楷体_GB2312"/>
          <w:sz w:val="32"/>
          <w:szCs w:val="32"/>
          <w:lang w:bidi="ar"/>
        </w:rPr>
        <w:t>（七）</w:t>
      </w:r>
      <w:r>
        <w:rPr>
          <w:rFonts w:hint="eastAsia" w:ascii="楷体_GB2312" w:hAnsi="楷体_GB2312" w:eastAsia="楷体_GB2312" w:cs="楷体_GB2312"/>
          <w:sz w:val="32"/>
          <w:szCs w:val="32"/>
          <w:lang w:eastAsia="zh-CN" w:bidi="ar"/>
        </w:rPr>
        <w:t>增加财务人员</w:t>
      </w:r>
      <w:r>
        <w:rPr>
          <w:rFonts w:hint="eastAsia" w:ascii="楷体_GB2312" w:hAnsi="楷体_GB2312" w:eastAsia="楷体_GB2312" w:cs="楷体_GB2312"/>
          <w:sz w:val="32"/>
          <w:szCs w:val="32"/>
          <w:lang w:bidi="ar"/>
        </w:rPr>
        <w:t>培训调研</w:t>
      </w:r>
      <w:r>
        <w:rPr>
          <w:rFonts w:hint="eastAsia" w:ascii="楷体_GB2312" w:hAnsi="楷体_GB2312" w:eastAsia="楷体_GB2312" w:cs="楷体_GB2312"/>
          <w:sz w:val="32"/>
          <w:szCs w:val="32"/>
          <w:lang w:eastAsia="zh-CN" w:bidi="ar"/>
        </w:rPr>
        <w:t>次数，提升财务人员业务能力</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color w:val="auto"/>
          <w:sz w:val="32"/>
          <w:szCs w:val="32"/>
          <w:lang w:val="en-US" w:eastAsia="zh-CN"/>
        </w:rPr>
        <w:sectPr>
          <w:pgSz w:w="16840" w:h="11900" w:orient="landscape"/>
          <w:pgMar w:top="1361" w:right="1020" w:bottom="1134" w:left="1020" w:header="720" w:footer="720" w:gutter="0"/>
          <w:cols w:space="720" w:num="1"/>
        </w:sectPr>
      </w:pPr>
      <w:r>
        <w:rPr>
          <w:rFonts w:hint="eastAsia" w:ascii="仿宋" w:hAnsi="仿宋" w:eastAsia="仿宋" w:cs="仿宋_GB2312"/>
          <w:sz w:val="32"/>
          <w:szCs w:val="32"/>
          <w:lang w:eastAsia="zh-CN"/>
        </w:rPr>
        <w:t>安排财务</w:t>
      </w:r>
      <w:r>
        <w:rPr>
          <w:rFonts w:hint="eastAsia" w:ascii="仿宋" w:hAnsi="仿宋" w:eastAsia="仿宋" w:cs="仿宋_GB2312"/>
          <w:sz w:val="32"/>
          <w:szCs w:val="32"/>
        </w:rPr>
        <w:t>人员培训，提高职工业务素质；加强调研</w:t>
      </w:r>
      <w:r>
        <w:rPr>
          <w:rFonts w:hint="eastAsia" w:ascii="仿宋" w:hAnsi="仿宋" w:eastAsia="仿宋" w:cs="仿宋_GB2312"/>
          <w:sz w:val="32"/>
          <w:szCs w:val="32"/>
          <w:lang w:eastAsia="zh-CN"/>
        </w:rPr>
        <w:t>交流工作</w:t>
      </w:r>
      <w:r>
        <w:rPr>
          <w:rFonts w:hint="eastAsia" w:ascii="仿宋" w:hAnsi="仿宋" w:eastAsia="仿宋" w:cs="仿宋_GB2312"/>
          <w:sz w:val="32"/>
          <w:szCs w:val="32"/>
        </w:rPr>
        <w:t>，</w:t>
      </w:r>
      <w:r>
        <w:rPr>
          <w:rFonts w:hint="eastAsia" w:ascii="仿宋" w:hAnsi="仿宋" w:eastAsia="仿宋" w:cs="仿宋_GB2312"/>
          <w:sz w:val="32"/>
          <w:szCs w:val="32"/>
          <w:lang w:eastAsia="zh-CN"/>
        </w:rPr>
        <w:t>学习</w:t>
      </w:r>
      <w:r>
        <w:rPr>
          <w:rFonts w:hint="eastAsia" w:ascii="仿宋" w:hAnsi="仿宋" w:eastAsia="仿宋" w:cs="仿宋_GB2312"/>
          <w:sz w:val="32"/>
          <w:szCs w:val="32"/>
        </w:rPr>
        <w:t>优化财政资金配置、提高资金使用效益的</w:t>
      </w:r>
      <w:r>
        <w:rPr>
          <w:rFonts w:hint="eastAsia" w:ascii="仿宋" w:hAnsi="仿宋" w:eastAsia="仿宋" w:cs="仿宋_GB2312"/>
          <w:sz w:val="32"/>
          <w:szCs w:val="32"/>
          <w:lang w:eastAsia="zh-CN"/>
        </w:rPr>
        <w:t>经验方法</w:t>
      </w:r>
      <w:r>
        <w:rPr>
          <w:rFonts w:hint="eastAsia" w:ascii="仿宋" w:hAnsi="仿宋" w:eastAsia="仿宋" w:cs="仿宋_GB2312"/>
          <w:sz w:val="32"/>
          <w:szCs w:val="32"/>
        </w:rPr>
        <w:t>。</w:t>
      </w:r>
    </w:p>
    <w:p>
      <w:pPr>
        <w:pStyle w:val="25"/>
        <w:ind w:left="0" w:leftChars="0" w:firstLine="0" w:firstLineChars="0"/>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bookmarkStart w:id="15" w:name="_Toc_3_3_0000000016"/>
      <w:r>
        <w:rPr>
          <w:rFonts w:hint="eastAsia" w:ascii="仿宋" w:hAnsi="仿宋" w:eastAsia="仿宋" w:cs="仿宋_GB2312"/>
          <w:color w:val="auto"/>
          <w:sz w:val="32"/>
          <w:szCs w:val="32"/>
          <w:lang w:val="en-US" w:eastAsia="zh-CN"/>
        </w:rPr>
        <w:t>备注：无相关内容。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p>
    <w:p>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1、法律顾问经费绩效目标表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13021124P0046M610006M</w:t>
            </w:r>
          </w:p>
        </w:tc>
        <w:tc>
          <w:tcPr>
            <w:tcW w:w="2835" w:type="dxa"/>
            <w:vAlign w:val="center"/>
          </w:tcPr>
          <w:p>
            <w:pPr>
              <w:pStyle w:val="13"/>
            </w:pPr>
            <w:r>
              <w:t>项目名称</w:t>
            </w:r>
          </w:p>
        </w:tc>
        <w:tc>
          <w:tcPr>
            <w:tcW w:w="6094" w:type="dxa"/>
            <w:gridSpan w:val="3"/>
            <w:vAlign w:val="center"/>
          </w:tcPr>
          <w:p>
            <w:pPr>
              <w:pStyle w:val="15"/>
            </w:pPr>
            <w:r>
              <w:t>法律顾问经费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主要用于法律顾问劳务费，开展用于法律活动使用的相关工作经费，进一步健全管委会依法处理各项法律事务，为管委会及所属各部门提供法律服务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1.目标内容1法务工作有序推进。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案件有（无）理认定数量</w:t>
            </w:r>
          </w:p>
        </w:tc>
        <w:tc>
          <w:tcPr>
            <w:tcW w:w="5386" w:type="dxa"/>
            <w:vAlign w:val="center"/>
          </w:tcPr>
          <w:p>
            <w:pPr>
              <w:pStyle w:val="15"/>
            </w:pPr>
            <w:r>
              <w:t>按照实际发生的案件数量认定</w:t>
            </w:r>
          </w:p>
        </w:tc>
        <w:tc>
          <w:tcPr>
            <w:tcW w:w="2268" w:type="dxa"/>
            <w:vAlign w:val="center"/>
          </w:tcPr>
          <w:p>
            <w:pPr>
              <w:pStyle w:val="15"/>
            </w:pPr>
            <w:r>
              <w:t>≥3件</w:t>
            </w:r>
          </w:p>
        </w:tc>
        <w:tc>
          <w:tcPr>
            <w:tcW w:w="1276" w:type="dxa"/>
            <w:vAlign w:val="center"/>
          </w:tcPr>
          <w:p>
            <w:pPr>
              <w:pStyle w:val="15"/>
            </w:pPr>
            <w:r>
              <w:t>按照实际工作经验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法律咨询率</w:t>
            </w:r>
          </w:p>
        </w:tc>
        <w:tc>
          <w:tcPr>
            <w:tcW w:w="5386" w:type="dxa"/>
            <w:vAlign w:val="center"/>
          </w:tcPr>
          <w:p>
            <w:pPr>
              <w:pStyle w:val="15"/>
            </w:pPr>
            <w:r>
              <w:t>完成各个案件法律咨询率。</w:t>
            </w:r>
          </w:p>
        </w:tc>
        <w:tc>
          <w:tcPr>
            <w:tcW w:w="2268" w:type="dxa"/>
            <w:vAlign w:val="center"/>
          </w:tcPr>
          <w:p>
            <w:pPr>
              <w:pStyle w:val="15"/>
            </w:pPr>
            <w:r>
              <w:t>≥95%</w:t>
            </w:r>
          </w:p>
        </w:tc>
        <w:tc>
          <w:tcPr>
            <w:tcW w:w="1276" w:type="dxa"/>
            <w:vAlign w:val="center"/>
          </w:tcPr>
          <w:p>
            <w:pPr>
              <w:pStyle w:val="15"/>
            </w:pPr>
            <w:r>
              <w:t>按照年度案件发生情况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法律服务时效率</w:t>
            </w:r>
          </w:p>
        </w:tc>
        <w:tc>
          <w:tcPr>
            <w:tcW w:w="5386" w:type="dxa"/>
            <w:vAlign w:val="center"/>
          </w:tcPr>
          <w:p>
            <w:pPr>
              <w:pStyle w:val="15"/>
            </w:pPr>
            <w:r>
              <w:t>当年信访敏感期任务完成率</w:t>
            </w:r>
          </w:p>
        </w:tc>
        <w:tc>
          <w:tcPr>
            <w:tcW w:w="2268" w:type="dxa"/>
            <w:vAlign w:val="center"/>
          </w:tcPr>
          <w:p>
            <w:pPr>
              <w:pStyle w:val="15"/>
            </w:pPr>
            <w:r>
              <w:t>≥95%</w:t>
            </w:r>
          </w:p>
        </w:tc>
        <w:tc>
          <w:tcPr>
            <w:tcW w:w="1276" w:type="dxa"/>
            <w:vAlign w:val="center"/>
          </w:tcPr>
          <w:p>
            <w:pPr>
              <w:pStyle w:val="15"/>
            </w:pPr>
            <w:r>
              <w:t>按照实际发生的信访案件情况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法务顾问劳务费</w:t>
            </w:r>
          </w:p>
        </w:tc>
        <w:tc>
          <w:tcPr>
            <w:tcW w:w="5386" w:type="dxa"/>
            <w:vAlign w:val="center"/>
          </w:tcPr>
          <w:p>
            <w:pPr>
              <w:pStyle w:val="15"/>
            </w:pPr>
            <w:r>
              <w:t>聘请法律顾问的劳务费</w:t>
            </w:r>
          </w:p>
        </w:tc>
        <w:tc>
          <w:tcPr>
            <w:tcW w:w="2268" w:type="dxa"/>
            <w:vAlign w:val="center"/>
          </w:tcPr>
          <w:p>
            <w:pPr>
              <w:pStyle w:val="15"/>
            </w:pPr>
            <w:r>
              <w:t>按照合同</w:t>
            </w:r>
          </w:p>
        </w:tc>
        <w:tc>
          <w:tcPr>
            <w:tcW w:w="1276" w:type="dxa"/>
            <w:vAlign w:val="center"/>
          </w:tcPr>
          <w:p>
            <w:pPr>
              <w:pStyle w:val="15"/>
            </w:pPr>
            <w:r>
              <w:t>按照合同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社会稳定情况</w:t>
            </w:r>
          </w:p>
        </w:tc>
        <w:tc>
          <w:tcPr>
            <w:tcW w:w="5386" w:type="dxa"/>
            <w:vAlign w:val="center"/>
          </w:tcPr>
          <w:p>
            <w:pPr>
              <w:pStyle w:val="15"/>
            </w:pPr>
            <w:r>
              <w:t>根据认定的案件百分率来测算是否稳定。</w:t>
            </w:r>
          </w:p>
        </w:tc>
        <w:tc>
          <w:tcPr>
            <w:tcW w:w="2268" w:type="dxa"/>
            <w:vAlign w:val="center"/>
          </w:tcPr>
          <w:p>
            <w:pPr>
              <w:pStyle w:val="15"/>
            </w:pPr>
            <w:r>
              <w:t>≥95%</w:t>
            </w:r>
          </w:p>
        </w:tc>
        <w:tc>
          <w:tcPr>
            <w:tcW w:w="1276" w:type="dxa"/>
            <w:vAlign w:val="center"/>
          </w:tcPr>
          <w:p>
            <w:pPr>
              <w:pStyle w:val="15"/>
            </w:pPr>
            <w:r>
              <w:t>按照上级文件要求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工作效率</w:t>
            </w:r>
          </w:p>
        </w:tc>
        <w:tc>
          <w:tcPr>
            <w:tcW w:w="5386" w:type="dxa"/>
            <w:vAlign w:val="center"/>
          </w:tcPr>
          <w:p>
            <w:pPr>
              <w:pStyle w:val="15"/>
            </w:pPr>
            <w:r>
              <w:t>提高工作效率程度</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公众满意率</w:t>
            </w:r>
          </w:p>
        </w:tc>
        <w:tc>
          <w:tcPr>
            <w:tcW w:w="5386" w:type="dxa"/>
            <w:vAlign w:val="center"/>
          </w:tcPr>
          <w:p>
            <w:pPr>
              <w:pStyle w:val="15"/>
            </w:pPr>
            <w:r>
              <w:t>提高人民群众的满意度、知晓率</w:t>
            </w:r>
          </w:p>
        </w:tc>
        <w:tc>
          <w:tcPr>
            <w:tcW w:w="2268" w:type="dxa"/>
            <w:vAlign w:val="center"/>
          </w:tcPr>
          <w:p>
            <w:pPr>
              <w:pStyle w:val="15"/>
            </w:pPr>
            <w:r>
              <w:t>≥95%</w:t>
            </w:r>
          </w:p>
        </w:tc>
        <w:tc>
          <w:tcPr>
            <w:tcW w:w="1276" w:type="dxa"/>
            <w:vAlign w:val="center"/>
          </w:tcPr>
          <w:p>
            <w:pPr>
              <w:pStyle w:val="15"/>
            </w:pPr>
            <w:r>
              <w:t>工作经验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2、人民调解、法律援助经费绩效目标表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13021124P00GUR210005R</w:t>
            </w:r>
          </w:p>
        </w:tc>
        <w:tc>
          <w:tcPr>
            <w:tcW w:w="2835" w:type="dxa"/>
            <w:vAlign w:val="center"/>
          </w:tcPr>
          <w:p>
            <w:pPr>
              <w:pStyle w:val="13"/>
            </w:pPr>
            <w:r>
              <w:t>项目名称</w:t>
            </w:r>
          </w:p>
        </w:tc>
        <w:tc>
          <w:tcPr>
            <w:tcW w:w="6094" w:type="dxa"/>
            <w:gridSpan w:val="3"/>
            <w:vAlign w:val="center"/>
          </w:tcPr>
          <w:p>
            <w:pPr>
              <w:pStyle w:val="15"/>
            </w:pPr>
            <w:r>
              <w:t>人民调解、法律援助经费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27.00</w:t>
            </w:r>
          </w:p>
        </w:tc>
        <w:tc>
          <w:tcPr>
            <w:tcW w:w="2835" w:type="dxa"/>
            <w:vAlign w:val="center"/>
          </w:tcPr>
          <w:p>
            <w:pPr>
              <w:pStyle w:val="13"/>
            </w:pPr>
            <w:r>
              <w:t>其中：财政    资金</w:t>
            </w:r>
          </w:p>
        </w:tc>
        <w:tc>
          <w:tcPr>
            <w:tcW w:w="2551" w:type="dxa"/>
            <w:vAlign w:val="center"/>
          </w:tcPr>
          <w:p>
            <w:pPr>
              <w:pStyle w:val="15"/>
            </w:pPr>
            <w:r>
              <w:t>27.00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司法行政机关知道人民调解工作经费、人民调解委员会工作补助经费、人民调解员补助经费、专职人民调解员聘用经费，按规定承担的人民调解办案补贴和专家咨询费，组织开展法律援助业务的支出，包括法律援助工作指导费、法律援助办案补助经费、法律援助宣传费、人员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1.人民调解专项经费落实，确保人民调解工作正常开展。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人民调解工作案件数</w:t>
            </w:r>
          </w:p>
        </w:tc>
        <w:tc>
          <w:tcPr>
            <w:tcW w:w="5386" w:type="dxa"/>
            <w:vAlign w:val="center"/>
          </w:tcPr>
          <w:p>
            <w:pPr>
              <w:pStyle w:val="15"/>
            </w:pPr>
            <w:r>
              <w:t>调解矛盾纠纷案件数</w:t>
            </w:r>
          </w:p>
        </w:tc>
        <w:tc>
          <w:tcPr>
            <w:tcW w:w="2268" w:type="dxa"/>
            <w:vAlign w:val="center"/>
          </w:tcPr>
          <w:p>
            <w:pPr>
              <w:pStyle w:val="15"/>
            </w:pPr>
            <w:r>
              <w:t>≥350件</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支付效率</w:t>
            </w:r>
          </w:p>
        </w:tc>
        <w:tc>
          <w:tcPr>
            <w:tcW w:w="5386" w:type="dxa"/>
            <w:vAlign w:val="center"/>
          </w:tcPr>
          <w:p>
            <w:pPr>
              <w:pStyle w:val="15"/>
            </w:pPr>
            <w:r>
              <w:t>支付资金与年初预算占比</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矛盾纠纷调解工作</w:t>
            </w:r>
          </w:p>
        </w:tc>
        <w:tc>
          <w:tcPr>
            <w:tcW w:w="5386" w:type="dxa"/>
            <w:vAlign w:val="center"/>
          </w:tcPr>
          <w:p>
            <w:pPr>
              <w:pStyle w:val="15"/>
            </w:pPr>
            <w:r>
              <w:t>2024年全年</w:t>
            </w:r>
          </w:p>
        </w:tc>
        <w:tc>
          <w:tcPr>
            <w:tcW w:w="2268" w:type="dxa"/>
            <w:vAlign w:val="center"/>
          </w:tcPr>
          <w:p>
            <w:pPr>
              <w:pStyle w:val="15"/>
            </w:pPr>
            <w:r>
              <w:t>全年</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调解成功率（%）</w:t>
            </w:r>
          </w:p>
        </w:tc>
        <w:tc>
          <w:tcPr>
            <w:tcW w:w="5386" w:type="dxa"/>
            <w:vAlign w:val="center"/>
          </w:tcPr>
          <w:p>
            <w:pPr>
              <w:pStyle w:val="15"/>
            </w:pPr>
            <w:r>
              <w:t>人民调解工作调解成功率</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服务可持续期限</w:t>
            </w:r>
          </w:p>
          <w:p>
            <w:pPr>
              <w:pStyle w:val="15"/>
            </w:pPr>
            <w:r>
              <w:tab/>
            </w:r>
          </w:p>
        </w:tc>
        <w:tc>
          <w:tcPr>
            <w:tcW w:w="5386" w:type="dxa"/>
            <w:vAlign w:val="center"/>
          </w:tcPr>
          <w:p>
            <w:pPr>
              <w:pStyle w:val="15"/>
            </w:pPr>
            <w:r>
              <w:t>人民调解工作的可持续期限</w:t>
            </w:r>
          </w:p>
        </w:tc>
        <w:tc>
          <w:tcPr>
            <w:tcW w:w="2268" w:type="dxa"/>
            <w:vAlign w:val="center"/>
          </w:tcPr>
          <w:p>
            <w:pPr>
              <w:pStyle w:val="15"/>
            </w:pPr>
            <w:r>
              <w:t>≥1年</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维护社会稳定</w:t>
            </w:r>
          </w:p>
        </w:tc>
        <w:tc>
          <w:tcPr>
            <w:tcW w:w="5386" w:type="dxa"/>
            <w:vAlign w:val="center"/>
          </w:tcPr>
          <w:p>
            <w:pPr>
              <w:pStyle w:val="15"/>
            </w:pPr>
            <w:r>
              <w:t>维护全区社会和谐稳定发展</w:t>
            </w:r>
          </w:p>
        </w:tc>
        <w:tc>
          <w:tcPr>
            <w:tcW w:w="2268" w:type="dxa"/>
            <w:vAlign w:val="center"/>
          </w:tcPr>
          <w:p>
            <w:pPr>
              <w:pStyle w:val="15"/>
            </w:pPr>
            <w:r>
              <w:t>维护全区社会和谐稳定，为我区有序建设发展贡献力量</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群众对人民调解工作满意度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3、社区矫正及普法宣传经费绩效目标表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13021124P0099JD10004L</w:t>
            </w:r>
          </w:p>
        </w:tc>
        <w:tc>
          <w:tcPr>
            <w:tcW w:w="2835" w:type="dxa"/>
            <w:vAlign w:val="center"/>
          </w:tcPr>
          <w:p>
            <w:pPr>
              <w:pStyle w:val="13"/>
            </w:pPr>
            <w:r>
              <w:t>项目名称</w:t>
            </w:r>
          </w:p>
        </w:tc>
        <w:tc>
          <w:tcPr>
            <w:tcW w:w="6094" w:type="dxa"/>
            <w:gridSpan w:val="3"/>
            <w:vAlign w:val="center"/>
          </w:tcPr>
          <w:p>
            <w:pPr>
              <w:pStyle w:val="15"/>
            </w:pPr>
            <w:r>
              <w:t>社区矫正及普法宣传经费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w:t>
            </w:r>
          </w:p>
        </w:tc>
        <w:tc>
          <w:tcPr>
            <w:tcW w:w="2835" w:type="dxa"/>
            <w:vAlign w:val="center"/>
          </w:tcPr>
          <w:p>
            <w:pPr>
              <w:pStyle w:val="13"/>
            </w:pPr>
            <w:r>
              <w:t>其中：财政    资金</w:t>
            </w:r>
          </w:p>
        </w:tc>
        <w:tc>
          <w:tcPr>
            <w:tcW w:w="2551" w:type="dxa"/>
            <w:vAlign w:val="center"/>
          </w:tcPr>
          <w:p>
            <w:pPr>
              <w:pStyle w:val="15"/>
            </w:pPr>
            <w:r>
              <w:t>7.00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多种途径开展普法宣传，包括制作宣传品，建设法制园地、开展普法宣传活动等，用于我区社区矫正人员实施规范化管理。包括：适用社区矫正调查评估费，社区矫正执行变更案件办理费，档案文书费，对社区矫正人员的监督管理、风险评估、突发事件处置费，组织集中教育、心理矫正、社区服务等活动所发生的资料费、场地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1.目标内容1推进普法宣传，建立完善普法宣传长效机制；实现社区矫正人员法制观念、劳动技能提升，提高社区矫正工作的社会效益。确保“零脱管”和“无重新犯罪”。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组织社区矫正对象开展学习活动次数</w:t>
            </w:r>
          </w:p>
        </w:tc>
        <w:tc>
          <w:tcPr>
            <w:tcW w:w="5386" w:type="dxa"/>
            <w:vAlign w:val="center"/>
          </w:tcPr>
          <w:p>
            <w:pPr>
              <w:pStyle w:val="15"/>
            </w:pPr>
            <w:r>
              <w:t>每年需对社矫对象开展学习活动</w:t>
            </w:r>
          </w:p>
        </w:tc>
        <w:tc>
          <w:tcPr>
            <w:tcW w:w="2268" w:type="dxa"/>
            <w:vAlign w:val="center"/>
          </w:tcPr>
          <w:p>
            <w:pPr>
              <w:pStyle w:val="15"/>
            </w:pPr>
            <w:r>
              <w:t>≥12次</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法律宣传数量</w:t>
            </w:r>
          </w:p>
        </w:tc>
        <w:tc>
          <w:tcPr>
            <w:tcW w:w="5386" w:type="dxa"/>
            <w:vAlign w:val="center"/>
          </w:tcPr>
          <w:p>
            <w:pPr>
              <w:pStyle w:val="15"/>
            </w:pPr>
            <w:r>
              <w:t>集中法律宣传场次</w:t>
            </w:r>
          </w:p>
        </w:tc>
        <w:tc>
          <w:tcPr>
            <w:tcW w:w="2268" w:type="dxa"/>
            <w:vAlign w:val="center"/>
          </w:tcPr>
          <w:p>
            <w:pPr>
              <w:pStyle w:val="15"/>
            </w:pPr>
            <w:r>
              <w:t>≥5次</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社矫对象管理周期</w:t>
            </w:r>
          </w:p>
        </w:tc>
        <w:tc>
          <w:tcPr>
            <w:tcW w:w="5386" w:type="dxa"/>
            <w:vAlign w:val="center"/>
          </w:tcPr>
          <w:p>
            <w:pPr>
              <w:pStyle w:val="15"/>
            </w:pPr>
            <w:r>
              <w:t>对社区矫正对象管理的周期</w:t>
            </w:r>
          </w:p>
        </w:tc>
        <w:tc>
          <w:tcPr>
            <w:tcW w:w="2268" w:type="dxa"/>
            <w:vAlign w:val="center"/>
          </w:tcPr>
          <w:p>
            <w:pPr>
              <w:pStyle w:val="15"/>
            </w:pPr>
            <w:r>
              <w:t>全年</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矫正对象管理费用、普法宣传费用</w:t>
            </w:r>
          </w:p>
        </w:tc>
        <w:tc>
          <w:tcPr>
            <w:tcW w:w="5386" w:type="dxa"/>
            <w:vAlign w:val="center"/>
          </w:tcPr>
          <w:p>
            <w:pPr>
              <w:pStyle w:val="15"/>
            </w:pPr>
            <w:r>
              <w:t>矫正对象管理费用、普法宣传费用支付率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依法治区工作完成率</w:t>
            </w:r>
          </w:p>
        </w:tc>
        <w:tc>
          <w:tcPr>
            <w:tcW w:w="5386" w:type="dxa"/>
            <w:vAlign w:val="center"/>
          </w:tcPr>
          <w:p>
            <w:pPr>
              <w:pStyle w:val="15"/>
            </w:pPr>
            <w:r>
              <w:t>全面依法治区，群众法制意识增强</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社矫对象重新犯罪率</w:t>
            </w:r>
          </w:p>
        </w:tc>
        <w:tc>
          <w:tcPr>
            <w:tcW w:w="5386" w:type="dxa"/>
            <w:vAlign w:val="center"/>
          </w:tcPr>
          <w:p>
            <w:pPr>
              <w:pStyle w:val="15"/>
            </w:pPr>
            <w:r>
              <w:t>社矫对象重新犯罪情况</w:t>
            </w:r>
          </w:p>
        </w:tc>
        <w:tc>
          <w:tcPr>
            <w:tcW w:w="2268" w:type="dxa"/>
            <w:vAlign w:val="center"/>
          </w:tcPr>
          <w:p>
            <w:pPr>
              <w:pStyle w:val="15"/>
            </w:pPr>
            <w:r>
              <w:t>≤0.2%</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社矫对象满意度</w:t>
            </w:r>
          </w:p>
        </w:tc>
        <w:tc>
          <w:tcPr>
            <w:tcW w:w="5386" w:type="dxa"/>
            <w:vAlign w:val="center"/>
          </w:tcPr>
          <w:p>
            <w:pPr>
              <w:pStyle w:val="15"/>
            </w:pPr>
            <w:r>
              <w:t>社矫人员满意度占比</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4、司法所经费绩效目标表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13021124P00AM77100056</w:t>
            </w:r>
          </w:p>
        </w:tc>
        <w:tc>
          <w:tcPr>
            <w:tcW w:w="2835" w:type="dxa"/>
            <w:vAlign w:val="center"/>
          </w:tcPr>
          <w:p>
            <w:pPr>
              <w:pStyle w:val="13"/>
            </w:pPr>
            <w:r>
              <w:t>项目名称</w:t>
            </w:r>
          </w:p>
        </w:tc>
        <w:tc>
          <w:tcPr>
            <w:tcW w:w="6094" w:type="dxa"/>
            <w:gridSpan w:val="3"/>
            <w:vAlign w:val="center"/>
          </w:tcPr>
          <w:p>
            <w:pPr>
              <w:pStyle w:val="15"/>
            </w:pPr>
            <w:r>
              <w:t>司法所经费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主要用于司法行政机关知道司法所工作经费、司法所工作宣传经费、司法所业务经费、对司法工作人员的培训费、司法所规范化建设工作经费等。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1.扎实推进司法所规范化建设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质量指标</w:t>
            </w:r>
          </w:p>
        </w:tc>
        <w:tc>
          <w:tcPr>
            <w:tcW w:w="2835" w:type="dxa"/>
            <w:vAlign w:val="center"/>
          </w:tcPr>
          <w:p>
            <w:pPr>
              <w:pStyle w:val="15"/>
            </w:pPr>
            <w:r>
              <w:t>案件调解率</w:t>
            </w:r>
          </w:p>
        </w:tc>
        <w:tc>
          <w:tcPr>
            <w:tcW w:w="5386" w:type="dxa"/>
            <w:vAlign w:val="center"/>
          </w:tcPr>
          <w:p>
            <w:pPr>
              <w:pStyle w:val="15"/>
            </w:pPr>
            <w:r>
              <w:t>人民调解案件结案数量占比</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支付效率</w:t>
            </w:r>
          </w:p>
        </w:tc>
        <w:tc>
          <w:tcPr>
            <w:tcW w:w="5386" w:type="dxa"/>
            <w:vAlign w:val="center"/>
          </w:tcPr>
          <w:p>
            <w:pPr>
              <w:pStyle w:val="15"/>
            </w:pPr>
            <w:r>
              <w:t>支付资金与年初预算占比</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规范化司法所创建情况</w:t>
            </w:r>
          </w:p>
        </w:tc>
        <w:tc>
          <w:tcPr>
            <w:tcW w:w="5386" w:type="dxa"/>
            <w:vAlign w:val="center"/>
          </w:tcPr>
          <w:p>
            <w:pPr>
              <w:pStyle w:val="15"/>
            </w:pPr>
            <w:r>
              <w:t>创建1个规范化司法所，达到省级要求标准</w:t>
            </w:r>
          </w:p>
        </w:tc>
        <w:tc>
          <w:tcPr>
            <w:tcW w:w="2268" w:type="dxa"/>
            <w:vAlign w:val="center"/>
          </w:tcPr>
          <w:p>
            <w:pPr>
              <w:pStyle w:val="15"/>
            </w:pPr>
            <w:r>
              <w:t>1个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工作完成效率</w:t>
            </w:r>
          </w:p>
        </w:tc>
        <w:tc>
          <w:tcPr>
            <w:tcW w:w="5386" w:type="dxa"/>
            <w:vAlign w:val="center"/>
          </w:tcPr>
          <w:p>
            <w:pPr>
              <w:pStyle w:val="15"/>
            </w:pPr>
            <w:r>
              <w:t>工作完成是否按照时间节点</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验收通过率</w:t>
            </w:r>
          </w:p>
        </w:tc>
        <w:tc>
          <w:tcPr>
            <w:tcW w:w="5386" w:type="dxa"/>
            <w:vAlign w:val="center"/>
          </w:tcPr>
          <w:p>
            <w:pPr>
              <w:pStyle w:val="15"/>
            </w:pPr>
            <w:r>
              <w:t>司法所创建达到验收标准的百分比</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案件调解率</w:t>
            </w:r>
          </w:p>
        </w:tc>
        <w:tc>
          <w:tcPr>
            <w:tcW w:w="5386" w:type="dxa"/>
            <w:vAlign w:val="center"/>
          </w:tcPr>
          <w:p>
            <w:pPr>
              <w:pStyle w:val="15"/>
            </w:pPr>
            <w:r>
              <w:t>人民调解案件结案数量占比</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社会公众满意度</w:t>
            </w:r>
          </w:p>
        </w:tc>
        <w:tc>
          <w:tcPr>
            <w:tcW w:w="5386" w:type="dxa"/>
            <w:vAlign w:val="center"/>
          </w:tcPr>
          <w:p>
            <w:pPr>
              <w:pStyle w:val="15"/>
            </w:pPr>
            <w:r>
              <w:t>社会公众对社会治安水平满意度占比</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5、政法网运行维护经费绩效目标表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13021124P00Q4U510003L</w:t>
            </w:r>
          </w:p>
        </w:tc>
        <w:tc>
          <w:tcPr>
            <w:tcW w:w="2835" w:type="dxa"/>
            <w:vAlign w:val="center"/>
          </w:tcPr>
          <w:p>
            <w:pPr>
              <w:pStyle w:val="13"/>
            </w:pPr>
            <w:r>
              <w:t>项目名称</w:t>
            </w:r>
          </w:p>
        </w:tc>
        <w:tc>
          <w:tcPr>
            <w:tcW w:w="6094" w:type="dxa"/>
            <w:gridSpan w:val="3"/>
            <w:vAlign w:val="center"/>
          </w:tcPr>
          <w:p>
            <w:pPr>
              <w:pStyle w:val="15"/>
            </w:pPr>
            <w:r>
              <w:t>政法网运行维护经费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8.39</w:t>
            </w:r>
          </w:p>
        </w:tc>
        <w:tc>
          <w:tcPr>
            <w:tcW w:w="2835" w:type="dxa"/>
            <w:vAlign w:val="center"/>
          </w:tcPr>
          <w:p>
            <w:pPr>
              <w:pStyle w:val="13"/>
            </w:pPr>
            <w:r>
              <w:t>其中：财政    资金</w:t>
            </w:r>
          </w:p>
        </w:tc>
        <w:tc>
          <w:tcPr>
            <w:tcW w:w="2551" w:type="dxa"/>
            <w:vAlign w:val="center"/>
          </w:tcPr>
          <w:p>
            <w:pPr>
              <w:pStyle w:val="15"/>
            </w:pPr>
            <w:r>
              <w:t>8.39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用于保障政法网正常运行。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100%</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1.目标内容1按照市政法文件要求，确保全市政法网运行维护招投标工作顺利开展。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质量指标</w:t>
            </w:r>
          </w:p>
        </w:tc>
        <w:tc>
          <w:tcPr>
            <w:tcW w:w="2835" w:type="dxa"/>
            <w:vAlign w:val="center"/>
          </w:tcPr>
          <w:p>
            <w:pPr>
              <w:pStyle w:val="15"/>
            </w:pPr>
            <w:r>
              <w:t>完好性</w:t>
            </w:r>
          </w:p>
        </w:tc>
        <w:tc>
          <w:tcPr>
            <w:tcW w:w="5386" w:type="dxa"/>
            <w:vAlign w:val="center"/>
          </w:tcPr>
          <w:p>
            <w:pPr>
              <w:pStyle w:val="15"/>
            </w:pPr>
            <w:r>
              <w:t>政法网设备是否完好</w:t>
            </w:r>
          </w:p>
        </w:tc>
        <w:tc>
          <w:tcPr>
            <w:tcW w:w="2268" w:type="dxa"/>
            <w:vAlign w:val="center"/>
          </w:tcPr>
          <w:p>
            <w:pPr>
              <w:pStyle w:val="15"/>
            </w:pPr>
            <w:r>
              <w:t>是</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维护次数</w:t>
            </w:r>
          </w:p>
        </w:tc>
        <w:tc>
          <w:tcPr>
            <w:tcW w:w="5386" w:type="dxa"/>
            <w:vAlign w:val="center"/>
          </w:tcPr>
          <w:p>
            <w:pPr>
              <w:pStyle w:val="15"/>
            </w:pPr>
            <w:r>
              <w:t>对政法网设备进行例行维护</w:t>
            </w:r>
          </w:p>
        </w:tc>
        <w:tc>
          <w:tcPr>
            <w:tcW w:w="2268" w:type="dxa"/>
            <w:vAlign w:val="center"/>
          </w:tcPr>
          <w:p>
            <w:pPr>
              <w:pStyle w:val="15"/>
            </w:pPr>
            <w:r>
              <w:t>≥3次</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成本分摊</w:t>
            </w:r>
          </w:p>
        </w:tc>
        <w:tc>
          <w:tcPr>
            <w:tcW w:w="5386" w:type="dxa"/>
            <w:vAlign w:val="center"/>
          </w:tcPr>
          <w:p>
            <w:pPr>
              <w:pStyle w:val="15"/>
            </w:pPr>
            <w:r>
              <w:t>是否按上级要求分摊成本</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连通性</w:t>
            </w:r>
          </w:p>
        </w:tc>
        <w:tc>
          <w:tcPr>
            <w:tcW w:w="5386" w:type="dxa"/>
            <w:vAlign w:val="center"/>
          </w:tcPr>
          <w:p>
            <w:pPr>
              <w:pStyle w:val="15"/>
            </w:pPr>
            <w:r>
              <w:t>政法网是否连通</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办公效率</w:t>
            </w:r>
          </w:p>
        </w:tc>
        <w:tc>
          <w:tcPr>
            <w:tcW w:w="5386" w:type="dxa"/>
            <w:vAlign w:val="center"/>
          </w:tcPr>
          <w:p>
            <w:pPr>
              <w:pStyle w:val="15"/>
            </w:pPr>
            <w:r>
              <w:t>政法网的使用是否提高了政委机关办公效率</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降低风险</w:t>
            </w:r>
          </w:p>
        </w:tc>
        <w:tc>
          <w:tcPr>
            <w:tcW w:w="5386" w:type="dxa"/>
            <w:vAlign w:val="center"/>
          </w:tcPr>
          <w:p>
            <w:pPr>
              <w:pStyle w:val="15"/>
            </w:pPr>
            <w:r>
              <w:t>是否有效降低风险，保障网络传输安全</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满意度</w:t>
            </w:r>
          </w:p>
        </w:tc>
        <w:tc>
          <w:tcPr>
            <w:tcW w:w="5386" w:type="dxa"/>
            <w:vAlign w:val="center"/>
          </w:tcPr>
          <w:p>
            <w:pPr>
              <w:pStyle w:val="15"/>
            </w:pPr>
            <w:r>
              <w:t>服务对象满意度占比</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6、政法维稳工作经费绩效目标表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13021124P007T4410004T</w:t>
            </w:r>
          </w:p>
        </w:tc>
        <w:tc>
          <w:tcPr>
            <w:tcW w:w="2835" w:type="dxa"/>
            <w:vAlign w:val="center"/>
          </w:tcPr>
          <w:p>
            <w:pPr>
              <w:pStyle w:val="13"/>
            </w:pPr>
            <w:r>
              <w:t>项目名称</w:t>
            </w:r>
          </w:p>
        </w:tc>
        <w:tc>
          <w:tcPr>
            <w:tcW w:w="6094" w:type="dxa"/>
            <w:gridSpan w:val="3"/>
            <w:vAlign w:val="center"/>
          </w:tcPr>
          <w:p>
            <w:pPr>
              <w:pStyle w:val="15"/>
            </w:pPr>
            <w:r>
              <w:t>政法维稳工作经费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按照省、市和党工委要求，每年全国、省、市“两会”、“4.25”“5.13”“6.4”、暑期、“7.1”“8.1”等敏感期需要加强全区维稳工作。按照上级要求，通过多种途径开展防范、舆情工作宣传，培训、购买国安书记资料等；购买清理反宣品工具，用于教育转化、打击处置“全能神”邪教经费等费用及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70%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1.1.做好本年度维护社会稳定工作，按照市维稳办要求按时完成各项工作。2.做好打击防范、宣传、“双清”、以及解脱人员的去存量工作。3.做好涉法涉诉信访案件有（无）理访认定工作。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质量指标</w:t>
            </w:r>
          </w:p>
        </w:tc>
        <w:tc>
          <w:tcPr>
            <w:tcW w:w="2835" w:type="dxa"/>
            <w:vAlign w:val="center"/>
          </w:tcPr>
          <w:p>
            <w:pPr>
              <w:pStyle w:val="15"/>
            </w:pPr>
            <w:r>
              <w:t>信访完成率</w:t>
            </w:r>
          </w:p>
        </w:tc>
        <w:tc>
          <w:tcPr>
            <w:tcW w:w="5386" w:type="dxa"/>
            <w:vAlign w:val="center"/>
          </w:tcPr>
          <w:p>
            <w:pPr>
              <w:pStyle w:val="15"/>
            </w:pPr>
            <w:r>
              <w:t>当年信访敏感期任务完成率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预算资金完成率</w:t>
            </w:r>
          </w:p>
        </w:tc>
        <w:tc>
          <w:tcPr>
            <w:tcW w:w="5386" w:type="dxa"/>
            <w:vAlign w:val="center"/>
          </w:tcPr>
          <w:p>
            <w:pPr>
              <w:pStyle w:val="15"/>
            </w:pPr>
            <w:r>
              <w:t>根据每年实时发生的信访案件，值班次数不确定性。</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宣传情况</w:t>
            </w:r>
          </w:p>
        </w:tc>
        <w:tc>
          <w:tcPr>
            <w:tcW w:w="5386" w:type="dxa"/>
            <w:vAlign w:val="center"/>
          </w:tcPr>
          <w:p>
            <w:pPr>
              <w:pStyle w:val="15"/>
            </w:pPr>
            <w:r>
              <w:t>完成各项防范宣传工作次数。</w:t>
            </w:r>
          </w:p>
        </w:tc>
        <w:tc>
          <w:tcPr>
            <w:tcW w:w="2268" w:type="dxa"/>
            <w:vAlign w:val="center"/>
          </w:tcPr>
          <w:p>
            <w:pPr>
              <w:pStyle w:val="15"/>
            </w:pPr>
            <w:r>
              <w:t>≥3种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值班到位率</w:t>
            </w:r>
          </w:p>
        </w:tc>
        <w:tc>
          <w:tcPr>
            <w:tcW w:w="5386" w:type="dxa"/>
            <w:vAlign w:val="center"/>
          </w:tcPr>
          <w:p>
            <w:pPr>
              <w:pStyle w:val="15"/>
            </w:pPr>
            <w:r>
              <w:t>信访敏感时期值班人员到位人数占值班人数百分比</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开展维稳安保工作</w:t>
            </w:r>
          </w:p>
        </w:tc>
        <w:tc>
          <w:tcPr>
            <w:tcW w:w="5386" w:type="dxa"/>
            <w:vAlign w:val="center"/>
          </w:tcPr>
          <w:p>
            <w:pPr>
              <w:pStyle w:val="15"/>
            </w:pPr>
            <w:r>
              <w:t>是否在敏感时期完成维稳安保工作。</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持续做好维稳工作宣传</w:t>
            </w:r>
          </w:p>
        </w:tc>
        <w:tc>
          <w:tcPr>
            <w:tcW w:w="5386" w:type="dxa"/>
            <w:vAlign w:val="center"/>
          </w:tcPr>
          <w:p>
            <w:pPr>
              <w:pStyle w:val="15"/>
            </w:pPr>
            <w:r>
              <w:t>宣传工作达到较好预期提高知晓率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公众满意率</w:t>
            </w:r>
          </w:p>
        </w:tc>
        <w:tc>
          <w:tcPr>
            <w:tcW w:w="5386" w:type="dxa"/>
            <w:vAlign w:val="center"/>
          </w:tcPr>
          <w:p>
            <w:pPr>
              <w:pStyle w:val="15"/>
            </w:pPr>
            <w:r>
              <w:t>提高人民群众的满意度、知晓率</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7、综治重点工作经费绩效目标表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13021124P00481410007W</w:t>
            </w:r>
          </w:p>
        </w:tc>
        <w:tc>
          <w:tcPr>
            <w:tcW w:w="2835" w:type="dxa"/>
            <w:vAlign w:val="center"/>
          </w:tcPr>
          <w:p>
            <w:pPr>
              <w:pStyle w:val="13"/>
            </w:pPr>
            <w:r>
              <w:t>项目名称</w:t>
            </w:r>
          </w:p>
        </w:tc>
        <w:tc>
          <w:tcPr>
            <w:tcW w:w="6094" w:type="dxa"/>
            <w:gridSpan w:val="3"/>
            <w:vAlign w:val="center"/>
          </w:tcPr>
          <w:p>
            <w:pPr>
              <w:pStyle w:val="15"/>
            </w:pPr>
            <w:r>
              <w:t>综治重点工作经费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按照省市工作部署，用于推进2024年度各项综治重点工作。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30%</w:t>
            </w:r>
          </w:p>
        </w:tc>
        <w:tc>
          <w:tcPr>
            <w:tcW w:w="2835" w:type="dxa"/>
            <w:vAlign w:val="center"/>
          </w:tcPr>
          <w:p>
            <w:pPr>
              <w:pStyle w:val="16"/>
            </w:pPr>
            <w:r>
              <w:t>60%</w:t>
            </w:r>
          </w:p>
        </w:tc>
        <w:tc>
          <w:tcPr>
            <w:tcW w:w="2551" w:type="dxa"/>
            <w:vAlign w:val="center"/>
          </w:tcPr>
          <w:p>
            <w:pPr>
              <w:pStyle w:val="16"/>
            </w:pPr>
            <w:r>
              <w:t>90%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1.组织开展精神障碍责任险和以奖代补及“综治月”宣传、平安建设、扫黑除恶斗争、铁路护路联防等工作，营造宣传氛围，激发平安创建的积极性。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时效指标</w:t>
            </w:r>
          </w:p>
        </w:tc>
        <w:tc>
          <w:tcPr>
            <w:tcW w:w="2835" w:type="dxa"/>
            <w:vAlign w:val="center"/>
          </w:tcPr>
          <w:p>
            <w:pPr>
              <w:pStyle w:val="15"/>
            </w:pPr>
            <w:r>
              <w:t>及时率</w:t>
            </w:r>
          </w:p>
        </w:tc>
        <w:tc>
          <w:tcPr>
            <w:tcW w:w="5386" w:type="dxa"/>
            <w:vAlign w:val="center"/>
          </w:tcPr>
          <w:p>
            <w:pPr>
              <w:pStyle w:val="15"/>
            </w:pPr>
            <w:r>
              <w:t>是否及时发放以奖代补资金</w:t>
            </w:r>
          </w:p>
        </w:tc>
        <w:tc>
          <w:tcPr>
            <w:tcW w:w="2268" w:type="dxa"/>
            <w:vAlign w:val="center"/>
          </w:tcPr>
          <w:p>
            <w:pPr>
              <w:pStyle w:val="15"/>
            </w:pPr>
            <w:r>
              <w:t>是</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活动次数</w:t>
            </w:r>
          </w:p>
        </w:tc>
        <w:tc>
          <w:tcPr>
            <w:tcW w:w="5386" w:type="dxa"/>
            <w:vAlign w:val="center"/>
          </w:tcPr>
          <w:p>
            <w:pPr>
              <w:pStyle w:val="15"/>
            </w:pPr>
            <w:r>
              <w:t>组织开展各类</w:t>
            </w:r>
          </w:p>
          <w:p>
            <w:pPr>
              <w:pStyle w:val="15"/>
            </w:pPr>
            <w:r>
              <w:t>宣传活动次数</w:t>
            </w:r>
          </w:p>
        </w:tc>
        <w:tc>
          <w:tcPr>
            <w:tcW w:w="2268" w:type="dxa"/>
            <w:vAlign w:val="center"/>
          </w:tcPr>
          <w:p>
            <w:pPr>
              <w:pStyle w:val="15"/>
            </w:pPr>
            <w:r>
              <w:t>≥3次</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制作宣传品</w:t>
            </w:r>
          </w:p>
        </w:tc>
        <w:tc>
          <w:tcPr>
            <w:tcW w:w="5386" w:type="dxa"/>
            <w:vAlign w:val="center"/>
          </w:tcPr>
          <w:p>
            <w:pPr>
              <w:pStyle w:val="15"/>
            </w:pPr>
            <w:r>
              <w:t>发放各类宣传品</w:t>
            </w:r>
          </w:p>
        </w:tc>
        <w:tc>
          <w:tcPr>
            <w:tcW w:w="2268" w:type="dxa"/>
            <w:vAlign w:val="center"/>
          </w:tcPr>
          <w:p>
            <w:pPr>
              <w:pStyle w:val="15"/>
            </w:pPr>
            <w:r>
              <w:t>≥100000张/册及其它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巡护次数</w:t>
            </w:r>
          </w:p>
        </w:tc>
        <w:tc>
          <w:tcPr>
            <w:tcW w:w="5386" w:type="dxa"/>
            <w:vAlign w:val="center"/>
          </w:tcPr>
          <w:p>
            <w:pPr>
              <w:pStyle w:val="15"/>
            </w:pPr>
            <w:r>
              <w:t>组织开展铁路护路联防工作次数</w:t>
            </w:r>
          </w:p>
        </w:tc>
        <w:tc>
          <w:tcPr>
            <w:tcW w:w="2268" w:type="dxa"/>
            <w:vAlign w:val="center"/>
          </w:tcPr>
          <w:p>
            <w:pPr>
              <w:pStyle w:val="15"/>
            </w:pPr>
            <w:r>
              <w:t>≥2次</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管理人数占比</w:t>
            </w:r>
          </w:p>
        </w:tc>
        <w:tc>
          <w:tcPr>
            <w:tcW w:w="5386" w:type="dxa"/>
            <w:vAlign w:val="center"/>
          </w:tcPr>
          <w:p>
            <w:pPr>
              <w:pStyle w:val="15"/>
            </w:pPr>
            <w:r>
              <w:t>严重精神障碍患者责任险实际登记管理人数占比</w:t>
            </w:r>
          </w:p>
        </w:tc>
        <w:tc>
          <w:tcPr>
            <w:tcW w:w="2268" w:type="dxa"/>
            <w:vAlign w:val="center"/>
          </w:tcPr>
          <w:p>
            <w:pPr>
              <w:pStyle w:val="15"/>
            </w:pPr>
            <w:r>
              <w:t>100%</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投保金额</w:t>
            </w:r>
          </w:p>
        </w:tc>
        <w:tc>
          <w:tcPr>
            <w:tcW w:w="5386" w:type="dxa"/>
            <w:vAlign w:val="center"/>
          </w:tcPr>
          <w:p>
            <w:pPr>
              <w:pStyle w:val="15"/>
            </w:pPr>
            <w:r>
              <w:t>按照严重精神障碍患者监护人责任险每人每年投保金额</w:t>
            </w:r>
          </w:p>
        </w:tc>
        <w:tc>
          <w:tcPr>
            <w:tcW w:w="2268" w:type="dxa"/>
            <w:vAlign w:val="center"/>
          </w:tcPr>
          <w:p>
            <w:pPr>
              <w:pStyle w:val="15"/>
            </w:pPr>
            <w:r>
              <w:t>100元</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参保率</w:t>
            </w:r>
          </w:p>
        </w:tc>
        <w:tc>
          <w:tcPr>
            <w:tcW w:w="5386" w:type="dxa"/>
            <w:vAlign w:val="center"/>
          </w:tcPr>
          <w:p>
            <w:pPr>
              <w:pStyle w:val="15"/>
            </w:pPr>
            <w:r>
              <w:t>责任险是否完成参保，实现全覆盖</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事故频次</w:t>
            </w:r>
          </w:p>
        </w:tc>
        <w:tc>
          <w:tcPr>
            <w:tcW w:w="5386" w:type="dxa"/>
            <w:vAlign w:val="center"/>
          </w:tcPr>
          <w:p>
            <w:pPr>
              <w:pStyle w:val="15"/>
            </w:pPr>
            <w:r>
              <w:t>发生危及铁路行车案（事）件次数</w:t>
            </w:r>
          </w:p>
        </w:tc>
        <w:tc>
          <w:tcPr>
            <w:tcW w:w="2268" w:type="dxa"/>
            <w:vAlign w:val="center"/>
          </w:tcPr>
          <w:p>
            <w:pPr>
              <w:pStyle w:val="15"/>
            </w:pPr>
            <w:r>
              <w:t>≤0次</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满意度</w:t>
            </w:r>
          </w:p>
        </w:tc>
        <w:tc>
          <w:tcPr>
            <w:tcW w:w="5386" w:type="dxa"/>
            <w:vAlign w:val="center"/>
          </w:tcPr>
          <w:p>
            <w:pPr>
              <w:pStyle w:val="15"/>
            </w:pPr>
            <w:r>
              <w:t>服务对象满意度占比</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8、社会治安保险绩效目标表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13021124P008NAH10004K</w:t>
            </w:r>
          </w:p>
        </w:tc>
        <w:tc>
          <w:tcPr>
            <w:tcW w:w="2835" w:type="dxa"/>
            <w:vAlign w:val="center"/>
          </w:tcPr>
          <w:p>
            <w:pPr>
              <w:pStyle w:val="13"/>
            </w:pPr>
            <w:r>
              <w:t>项目名称</w:t>
            </w:r>
          </w:p>
        </w:tc>
        <w:tc>
          <w:tcPr>
            <w:tcW w:w="6094" w:type="dxa"/>
            <w:gridSpan w:val="3"/>
            <w:vAlign w:val="center"/>
          </w:tcPr>
          <w:p>
            <w:pPr>
              <w:pStyle w:val="15"/>
            </w:pPr>
            <w:r>
              <w:t>社会治安保险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58.50</w:t>
            </w:r>
          </w:p>
        </w:tc>
        <w:tc>
          <w:tcPr>
            <w:tcW w:w="2835" w:type="dxa"/>
            <w:vAlign w:val="center"/>
          </w:tcPr>
          <w:p>
            <w:pPr>
              <w:pStyle w:val="13"/>
            </w:pPr>
            <w:r>
              <w:t>其中：财政    资金</w:t>
            </w:r>
          </w:p>
        </w:tc>
        <w:tc>
          <w:tcPr>
            <w:tcW w:w="2551" w:type="dxa"/>
            <w:vAlign w:val="center"/>
          </w:tcPr>
          <w:p>
            <w:pPr>
              <w:pStyle w:val="15"/>
            </w:pPr>
            <w:r>
              <w:t>58.50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为辖区4.5万户常住村（居）民参加社会治安保险。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100%</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1.目标内容1调动和激发广大群众参与群防群治的积极性，不断提高市域社会治理能力，大力促进平安高新建设。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质量指标</w:t>
            </w:r>
          </w:p>
        </w:tc>
        <w:tc>
          <w:tcPr>
            <w:tcW w:w="2835" w:type="dxa"/>
            <w:vAlign w:val="center"/>
          </w:tcPr>
          <w:p>
            <w:pPr>
              <w:pStyle w:val="15"/>
            </w:pPr>
            <w:r>
              <w:t>参保完成率</w:t>
            </w:r>
          </w:p>
        </w:tc>
        <w:tc>
          <w:tcPr>
            <w:tcW w:w="5386" w:type="dxa"/>
            <w:vAlign w:val="center"/>
          </w:tcPr>
          <w:p>
            <w:pPr>
              <w:pStyle w:val="15"/>
            </w:pPr>
            <w:r>
              <w:t>参加社会治安保险户数占比</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保险覆盖率</w:t>
            </w:r>
          </w:p>
        </w:tc>
        <w:tc>
          <w:tcPr>
            <w:tcW w:w="5386" w:type="dxa"/>
            <w:vAlign w:val="center"/>
          </w:tcPr>
          <w:p>
            <w:pPr>
              <w:pStyle w:val="15"/>
            </w:pPr>
            <w:r>
              <w:t>镇（办）参与社会治安保险占比</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保险赔付率</w:t>
            </w:r>
          </w:p>
        </w:tc>
        <w:tc>
          <w:tcPr>
            <w:tcW w:w="5386" w:type="dxa"/>
            <w:vAlign w:val="center"/>
          </w:tcPr>
          <w:p>
            <w:pPr>
              <w:pStyle w:val="15"/>
            </w:pPr>
            <w:r>
              <w:t>保险赔付情况</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对辖区开展治安保险宣传次数</w:t>
            </w:r>
          </w:p>
        </w:tc>
        <w:tc>
          <w:tcPr>
            <w:tcW w:w="2268" w:type="dxa"/>
            <w:vAlign w:val="center"/>
          </w:tcPr>
          <w:p>
            <w:pPr>
              <w:pStyle w:val="15"/>
            </w:pPr>
            <w:r>
              <w:t>≥2次</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投保成本</w:t>
            </w:r>
          </w:p>
        </w:tc>
        <w:tc>
          <w:tcPr>
            <w:tcW w:w="5386" w:type="dxa"/>
            <w:vAlign w:val="center"/>
          </w:tcPr>
          <w:p>
            <w:pPr>
              <w:pStyle w:val="15"/>
            </w:pPr>
            <w:r>
              <w:t>每户投保金额</w:t>
            </w:r>
          </w:p>
        </w:tc>
        <w:tc>
          <w:tcPr>
            <w:tcW w:w="2268" w:type="dxa"/>
            <w:vAlign w:val="center"/>
          </w:tcPr>
          <w:p>
            <w:pPr>
              <w:pStyle w:val="15"/>
            </w:pPr>
            <w:r>
              <w:t>16元/户</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及时赔付</w:t>
            </w:r>
          </w:p>
        </w:tc>
        <w:tc>
          <w:tcPr>
            <w:tcW w:w="5386" w:type="dxa"/>
            <w:vAlign w:val="center"/>
          </w:tcPr>
          <w:p>
            <w:pPr>
              <w:pStyle w:val="15"/>
            </w:pPr>
            <w:r>
              <w:t>是否进行及时赔付</w:t>
            </w:r>
          </w:p>
        </w:tc>
        <w:tc>
          <w:tcPr>
            <w:tcW w:w="2268" w:type="dxa"/>
            <w:vAlign w:val="center"/>
          </w:tcPr>
          <w:p>
            <w:pPr>
              <w:pStyle w:val="15"/>
            </w:pPr>
            <w:r>
              <w:t>是</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5386" w:type="dxa"/>
            <w:vAlign w:val="center"/>
          </w:tcPr>
          <w:p>
            <w:pPr>
              <w:pStyle w:val="15"/>
            </w:pPr>
            <w:r>
              <w:t>居民对政策的知晓程度</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出险服务</w:t>
            </w:r>
          </w:p>
        </w:tc>
        <w:tc>
          <w:tcPr>
            <w:tcW w:w="5386" w:type="dxa"/>
            <w:vAlign w:val="center"/>
          </w:tcPr>
          <w:p>
            <w:pPr>
              <w:pStyle w:val="15"/>
            </w:pPr>
            <w:r>
              <w:t>是否及时提供保险服务</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自愿选择产品类别</w:t>
            </w:r>
          </w:p>
        </w:tc>
        <w:tc>
          <w:tcPr>
            <w:tcW w:w="5386" w:type="dxa"/>
            <w:vAlign w:val="center"/>
          </w:tcPr>
          <w:p>
            <w:pPr>
              <w:pStyle w:val="15"/>
            </w:pPr>
            <w:r>
              <w:t>是否自愿选择产品</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满意度</w:t>
            </w:r>
          </w:p>
        </w:tc>
        <w:tc>
          <w:tcPr>
            <w:tcW w:w="5386" w:type="dxa"/>
            <w:vAlign w:val="center"/>
          </w:tcPr>
          <w:p>
            <w:pPr>
              <w:pStyle w:val="15"/>
            </w:pPr>
            <w:r>
              <w:t>服务对象满意度占比</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9、社区矫正补助转移支付资金（唐财政法【2023】17号）绩效目标表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13021124P00370410004G</w:t>
            </w:r>
          </w:p>
        </w:tc>
        <w:tc>
          <w:tcPr>
            <w:tcW w:w="2835" w:type="dxa"/>
            <w:vAlign w:val="center"/>
          </w:tcPr>
          <w:p>
            <w:pPr>
              <w:pStyle w:val="13"/>
            </w:pPr>
            <w:r>
              <w:t>项目名称</w:t>
            </w:r>
          </w:p>
        </w:tc>
        <w:tc>
          <w:tcPr>
            <w:tcW w:w="6094" w:type="dxa"/>
            <w:gridSpan w:val="3"/>
            <w:vAlign w:val="center"/>
          </w:tcPr>
          <w:p>
            <w:pPr>
              <w:pStyle w:val="15"/>
            </w:pPr>
            <w:r>
              <w:t>社区矫正补助转移支付资金（唐财政法【2023】17号）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w:t>
            </w:r>
          </w:p>
        </w:tc>
        <w:tc>
          <w:tcPr>
            <w:tcW w:w="2835" w:type="dxa"/>
            <w:vAlign w:val="center"/>
          </w:tcPr>
          <w:p>
            <w:pPr>
              <w:pStyle w:val="13"/>
            </w:pPr>
            <w:r>
              <w:t>其中：财政    资金</w:t>
            </w:r>
          </w:p>
        </w:tc>
        <w:tc>
          <w:tcPr>
            <w:tcW w:w="2551" w:type="dxa"/>
            <w:vAlign w:val="center"/>
          </w:tcPr>
          <w:p>
            <w:pPr>
              <w:pStyle w:val="15"/>
            </w:pPr>
            <w:r>
              <w:t>1.50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按照冀财政法[2023]51号要求，将提前下达的2024年省级社区矫正补助资金用于社区矫正工作。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1.目标内容1：按照冀财政法[2023]51号要求，将提前下达的2024年省级社区矫正补助资金用于社区矫正工作。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组织社区矫正对象开展学习活动次数</w:t>
            </w:r>
          </w:p>
        </w:tc>
        <w:tc>
          <w:tcPr>
            <w:tcW w:w="5386" w:type="dxa"/>
            <w:vAlign w:val="center"/>
          </w:tcPr>
          <w:p>
            <w:pPr>
              <w:pStyle w:val="15"/>
            </w:pPr>
            <w:r>
              <w:t>每年需对社矫对象开展学习活动</w:t>
            </w:r>
          </w:p>
        </w:tc>
        <w:tc>
          <w:tcPr>
            <w:tcW w:w="2268" w:type="dxa"/>
            <w:vAlign w:val="center"/>
          </w:tcPr>
          <w:p>
            <w:pPr>
              <w:pStyle w:val="15"/>
            </w:pPr>
            <w:r>
              <w:t>≥12次</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脱管比例</w:t>
            </w:r>
          </w:p>
        </w:tc>
        <w:tc>
          <w:tcPr>
            <w:tcW w:w="5386" w:type="dxa"/>
            <w:vAlign w:val="center"/>
          </w:tcPr>
          <w:p>
            <w:pPr>
              <w:pStyle w:val="15"/>
            </w:pPr>
            <w:r>
              <w:t>年度脱离执行地社区矫正机构的监督管理，导致下落不明的人数与年度总人数比例</w:t>
            </w:r>
          </w:p>
        </w:tc>
        <w:tc>
          <w:tcPr>
            <w:tcW w:w="2268" w:type="dxa"/>
            <w:vAlign w:val="center"/>
          </w:tcPr>
          <w:p>
            <w:pPr>
              <w:pStyle w:val="15"/>
            </w:pPr>
            <w:r>
              <w:t>≤0.5%</w:t>
            </w:r>
          </w:p>
        </w:tc>
        <w:tc>
          <w:tcPr>
            <w:tcW w:w="1276" w:type="dxa"/>
            <w:vAlign w:val="center"/>
          </w:tcPr>
          <w:p>
            <w:pPr>
              <w:pStyle w:val="15"/>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完成调查评估</w:t>
            </w:r>
          </w:p>
        </w:tc>
        <w:tc>
          <w:tcPr>
            <w:tcW w:w="5386" w:type="dxa"/>
            <w:vAlign w:val="center"/>
          </w:tcPr>
          <w:p>
            <w:pPr>
              <w:pStyle w:val="15"/>
            </w:pPr>
            <w:r>
              <w:t>年度内县级司法行政机关自收到调查评估委托函及所附材料之日起完成的时间</w:t>
            </w:r>
          </w:p>
        </w:tc>
        <w:tc>
          <w:tcPr>
            <w:tcW w:w="2268" w:type="dxa"/>
            <w:vAlign w:val="center"/>
          </w:tcPr>
          <w:p>
            <w:pPr>
              <w:pStyle w:val="15"/>
            </w:pPr>
            <w:r>
              <w:t>≤10个工作日</w:t>
            </w:r>
          </w:p>
        </w:tc>
        <w:tc>
          <w:tcPr>
            <w:tcW w:w="1276" w:type="dxa"/>
            <w:vAlign w:val="center"/>
          </w:tcPr>
          <w:p>
            <w:pPr>
              <w:pStyle w:val="15"/>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支付效率</w:t>
            </w:r>
          </w:p>
        </w:tc>
        <w:tc>
          <w:tcPr>
            <w:tcW w:w="5386" w:type="dxa"/>
            <w:vAlign w:val="center"/>
          </w:tcPr>
          <w:p>
            <w:pPr>
              <w:pStyle w:val="15"/>
            </w:pPr>
            <w:r>
              <w:t>支付资金与下达资金占比</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依法治区工作完成率</w:t>
            </w:r>
          </w:p>
        </w:tc>
        <w:tc>
          <w:tcPr>
            <w:tcW w:w="5386" w:type="dxa"/>
            <w:vAlign w:val="center"/>
          </w:tcPr>
          <w:p>
            <w:pPr>
              <w:pStyle w:val="15"/>
            </w:pPr>
            <w:r>
              <w:t>全面依法治区，群众法制意识增强</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普法机制建设情况</w:t>
            </w:r>
          </w:p>
        </w:tc>
        <w:tc>
          <w:tcPr>
            <w:tcW w:w="5386" w:type="dxa"/>
            <w:vAlign w:val="center"/>
          </w:tcPr>
          <w:p>
            <w:pPr>
              <w:pStyle w:val="15"/>
            </w:pPr>
            <w:r>
              <w:t>建设完善普法机制</w:t>
            </w:r>
          </w:p>
        </w:tc>
        <w:tc>
          <w:tcPr>
            <w:tcW w:w="2268" w:type="dxa"/>
            <w:vAlign w:val="center"/>
          </w:tcPr>
          <w:p>
            <w:pPr>
              <w:pStyle w:val="15"/>
            </w:pPr>
            <w:r>
              <w:t>≥95%</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社区矫正人员满意度</w:t>
            </w:r>
          </w:p>
        </w:tc>
        <w:tc>
          <w:tcPr>
            <w:tcW w:w="5386" w:type="dxa"/>
            <w:vAlign w:val="center"/>
          </w:tcPr>
          <w:p>
            <w:pPr>
              <w:pStyle w:val="15"/>
            </w:pPr>
            <w:r>
              <w:t>社区矫正人员满意度占比</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10、雪亮工程二期尾款及雪亮工程维修保养绩效目标表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13021124P0019FM10006Y</w:t>
            </w:r>
          </w:p>
        </w:tc>
        <w:tc>
          <w:tcPr>
            <w:tcW w:w="2835" w:type="dxa"/>
            <w:vAlign w:val="center"/>
          </w:tcPr>
          <w:p>
            <w:pPr>
              <w:pStyle w:val="13"/>
            </w:pPr>
            <w:r>
              <w:t>项目名称</w:t>
            </w:r>
          </w:p>
        </w:tc>
        <w:tc>
          <w:tcPr>
            <w:tcW w:w="6094" w:type="dxa"/>
            <w:gridSpan w:val="3"/>
            <w:vAlign w:val="center"/>
          </w:tcPr>
          <w:p>
            <w:pPr>
              <w:pStyle w:val="15"/>
            </w:pPr>
            <w:r>
              <w:t>雪亮工程二期尾款及雪亮工程维修保养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281.00</w:t>
            </w:r>
          </w:p>
        </w:tc>
        <w:tc>
          <w:tcPr>
            <w:tcW w:w="2835" w:type="dxa"/>
            <w:vAlign w:val="center"/>
          </w:tcPr>
          <w:p>
            <w:pPr>
              <w:pStyle w:val="13"/>
            </w:pPr>
            <w:r>
              <w:t>其中：财政    资金</w:t>
            </w:r>
          </w:p>
        </w:tc>
        <w:tc>
          <w:tcPr>
            <w:tcW w:w="2551" w:type="dxa"/>
            <w:vAlign w:val="center"/>
          </w:tcPr>
          <w:p>
            <w:pPr>
              <w:pStyle w:val="15"/>
            </w:pPr>
            <w:r>
              <w:t>281.00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按照双方合同约定执行，保障高新区雪亮工程正常运行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1.目标内容1建立长效机制，提高视频监控系统运维管理。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设备数量</w:t>
            </w:r>
          </w:p>
        </w:tc>
        <w:tc>
          <w:tcPr>
            <w:tcW w:w="5386" w:type="dxa"/>
            <w:vAlign w:val="center"/>
          </w:tcPr>
          <w:p>
            <w:pPr>
              <w:pStyle w:val="15"/>
            </w:pPr>
            <w:r>
              <w:t>所需维护设备数量</w:t>
            </w:r>
          </w:p>
        </w:tc>
        <w:tc>
          <w:tcPr>
            <w:tcW w:w="2268" w:type="dxa"/>
            <w:vAlign w:val="center"/>
          </w:tcPr>
          <w:p>
            <w:pPr>
              <w:pStyle w:val="15"/>
            </w:pPr>
            <w:r>
              <w:t>1090个</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设备完好率</w:t>
            </w:r>
          </w:p>
        </w:tc>
        <w:tc>
          <w:tcPr>
            <w:tcW w:w="5386" w:type="dxa"/>
            <w:vAlign w:val="center"/>
          </w:tcPr>
          <w:p>
            <w:pPr>
              <w:pStyle w:val="15"/>
            </w:pPr>
            <w:r>
              <w:t>设备完好率</w:t>
            </w:r>
          </w:p>
        </w:tc>
        <w:tc>
          <w:tcPr>
            <w:tcW w:w="2268" w:type="dxa"/>
            <w:vAlign w:val="center"/>
          </w:tcPr>
          <w:p>
            <w:pPr>
              <w:pStyle w:val="15"/>
            </w:pPr>
            <w:r>
              <w:t>100%</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及时维修率</w:t>
            </w:r>
          </w:p>
        </w:tc>
        <w:tc>
          <w:tcPr>
            <w:tcW w:w="5386" w:type="dxa"/>
            <w:vAlign w:val="center"/>
          </w:tcPr>
          <w:p>
            <w:pPr>
              <w:pStyle w:val="15"/>
            </w:pPr>
            <w:r>
              <w:t>对设备故障进行维修时间</w:t>
            </w:r>
          </w:p>
        </w:tc>
        <w:tc>
          <w:tcPr>
            <w:tcW w:w="2268" w:type="dxa"/>
            <w:vAlign w:val="center"/>
          </w:tcPr>
          <w:p>
            <w:pPr>
              <w:pStyle w:val="15"/>
            </w:pPr>
            <w:r>
              <w:t>≤2小时</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成本支出</w:t>
            </w:r>
          </w:p>
        </w:tc>
        <w:tc>
          <w:tcPr>
            <w:tcW w:w="5386" w:type="dxa"/>
            <w:vAlign w:val="center"/>
          </w:tcPr>
          <w:p>
            <w:pPr>
              <w:pStyle w:val="15"/>
            </w:pPr>
            <w:r>
              <w:t>是否按合同运行维护服务</w:t>
            </w:r>
          </w:p>
        </w:tc>
        <w:tc>
          <w:tcPr>
            <w:tcW w:w="2268" w:type="dxa"/>
            <w:vAlign w:val="center"/>
          </w:tcPr>
          <w:p>
            <w:pPr>
              <w:pStyle w:val="15"/>
            </w:pPr>
            <w:r>
              <w:t>是</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是否维护稳定</w:t>
            </w:r>
          </w:p>
        </w:tc>
        <w:tc>
          <w:tcPr>
            <w:tcW w:w="5386" w:type="dxa"/>
            <w:vAlign w:val="center"/>
          </w:tcPr>
          <w:p>
            <w:pPr>
              <w:pStyle w:val="15"/>
            </w:pPr>
            <w:r>
              <w:t>投入使用后，是否提高了群众的安全感，维护了社会大局稳定。</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工作效率是否提高</w:t>
            </w:r>
          </w:p>
        </w:tc>
        <w:tc>
          <w:tcPr>
            <w:tcW w:w="5386" w:type="dxa"/>
            <w:vAlign w:val="center"/>
          </w:tcPr>
          <w:p>
            <w:pPr>
              <w:pStyle w:val="15"/>
            </w:pPr>
            <w:r>
              <w:t>功能应用是否满足现实要求</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满意度</w:t>
            </w:r>
          </w:p>
        </w:tc>
        <w:tc>
          <w:tcPr>
            <w:tcW w:w="5386" w:type="dxa"/>
            <w:vAlign w:val="center"/>
          </w:tcPr>
          <w:p>
            <w:pPr>
              <w:pStyle w:val="15"/>
            </w:pPr>
            <w:r>
              <w:t>群众满意度占比</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11、信访维稳经费绩效目标表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13021124P0057PE10011M</w:t>
            </w:r>
          </w:p>
        </w:tc>
        <w:tc>
          <w:tcPr>
            <w:tcW w:w="2835" w:type="dxa"/>
            <w:vAlign w:val="center"/>
          </w:tcPr>
          <w:p>
            <w:pPr>
              <w:pStyle w:val="13"/>
            </w:pPr>
            <w:r>
              <w:t>项目名称</w:t>
            </w:r>
          </w:p>
        </w:tc>
        <w:tc>
          <w:tcPr>
            <w:tcW w:w="6094" w:type="dxa"/>
            <w:gridSpan w:val="3"/>
            <w:vAlign w:val="center"/>
          </w:tcPr>
          <w:p>
            <w:pPr>
              <w:pStyle w:val="15"/>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用于全区信访维稳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30%</w:t>
            </w:r>
          </w:p>
        </w:tc>
        <w:tc>
          <w:tcPr>
            <w:tcW w:w="2835" w:type="dxa"/>
            <w:vAlign w:val="center"/>
          </w:tcPr>
          <w:p>
            <w:pPr>
              <w:pStyle w:val="16"/>
            </w:pPr>
            <w:r>
              <w:t>60%</w:t>
            </w:r>
          </w:p>
        </w:tc>
        <w:tc>
          <w:tcPr>
            <w:tcW w:w="2551" w:type="dxa"/>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1.及时足额拨付经费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受理办理网上信访事项数量</w:t>
            </w:r>
          </w:p>
        </w:tc>
        <w:tc>
          <w:tcPr>
            <w:tcW w:w="5386" w:type="dxa"/>
            <w:vAlign w:val="center"/>
          </w:tcPr>
          <w:p>
            <w:pPr>
              <w:pStyle w:val="15"/>
            </w:pPr>
            <w:r>
              <w:t>受理办理网上信访事项数量</w:t>
            </w:r>
          </w:p>
        </w:tc>
        <w:tc>
          <w:tcPr>
            <w:tcW w:w="2268" w:type="dxa"/>
            <w:vAlign w:val="center"/>
          </w:tcPr>
          <w:p>
            <w:pPr>
              <w:pStyle w:val="15"/>
            </w:pPr>
            <w:r>
              <w:t>≥95%</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信访事项按期结案率</w:t>
            </w:r>
          </w:p>
        </w:tc>
        <w:tc>
          <w:tcPr>
            <w:tcW w:w="5386" w:type="dxa"/>
            <w:vAlign w:val="center"/>
          </w:tcPr>
          <w:p>
            <w:pPr>
              <w:pStyle w:val="15"/>
            </w:pPr>
            <w:r>
              <w:t>信访事项按期结案率</w:t>
            </w:r>
          </w:p>
        </w:tc>
        <w:tc>
          <w:tcPr>
            <w:tcW w:w="2268" w:type="dxa"/>
            <w:vAlign w:val="center"/>
          </w:tcPr>
          <w:p>
            <w:pPr>
              <w:pStyle w:val="15"/>
            </w:pPr>
            <w:r>
              <w:t>≥80%</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信访事项受理及时率</w:t>
            </w:r>
          </w:p>
        </w:tc>
        <w:tc>
          <w:tcPr>
            <w:tcW w:w="5386" w:type="dxa"/>
            <w:vAlign w:val="center"/>
          </w:tcPr>
          <w:p>
            <w:pPr>
              <w:pStyle w:val="15"/>
            </w:pPr>
            <w:r>
              <w:t>信访事项受理及时率</w:t>
            </w:r>
          </w:p>
        </w:tc>
        <w:tc>
          <w:tcPr>
            <w:tcW w:w="2268" w:type="dxa"/>
            <w:vAlign w:val="center"/>
          </w:tcPr>
          <w:p>
            <w:pPr>
              <w:pStyle w:val="15"/>
            </w:pPr>
            <w:r>
              <w:t>≥100%</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预算执行</w:t>
            </w:r>
          </w:p>
        </w:tc>
        <w:tc>
          <w:tcPr>
            <w:tcW w:w="5386" w:type="dxa"/>
            <w:vAlign w:val="center"/>
          </w:tcPr>
          <w:p>
            <w:pPr>
              <w:pStyle w:val="15"/>
            </w:pPr>
            <w:r>
              <w:t>完成年度预算资金安排</w:t>
            </w:r>
          </w:p>
        </w:tc>
        <w:tc>
          <w:tcPr>
            <w:tcW w:w="2268" w:type="dxa"/>
            <w:vAlign w:val="center"/>
          </w:tcPr>
          <w:p>
            <w:pPr>
              <w:pStyle w:val="15"/>
            </w:pPr>
            <w:r>
              <w:t>≥95%</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信访转诉案件结案率</w:t>
            </w:r>
          </w:p>
        </w:tc>
        <w:tc>
          <w:tcPr>
            <w:tcW w:w="5386" w:type="dxa"/>
            <w:vAlign w:val="center"/>
          </w:tcPr>
          <w:p>
            <w:pPr>
              <w:pStyle w:val="15"/>
            </w:pPr>
            <w:r>
              <w:t>信访转诉案件结案率</w:t>
            </w:r>
          </w:p>
        </w:tc>
        <w:tc>
          <w:tcPr>
            <w:tcW w:w="2268" w:type="dxa"/>
            <w:vAlign w:val="center"/>
          </w:tcPr>
          <w:p>
            <w:pPr>
              <w:pStyle w:val="15"/>
            </w:pPr>
            <w:r>
              <w:t>≥80%</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信访群众满意度</w:t>
            </w:r>
          </w:p>
        </w:tc>
        <w:tc>
          <w:tcPr>
            <w:tcW w:w="5386" w:type="dxa"/>
            <w:vAlign w:val="center"/>
          </w:tcPr>
          <w:p>
            <w:pPr>
              <w:pStyle w:val="15"/>
            </w:pPr>
            <w:r>
              <w:t>信访群众满意度</w:t>
            </w:r>
          </w:p>
        </w:tc>
        <w:tc>
          <w:tcPr>
            <w:tcW w:w="2268" w:type="dxa"/>
            <w:vAlign w:val="center"/>
          </w:tcPr>
          <w:p>
            <w:pPr>
              <w:pStyle w:val="15"/>
            </w:pPr>
            <w:r>
              <w:t>≥85%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281.00</w:t>
            </w:r>
          </w:p>
        </w:tc>
        <w:tc>
          <w:tcPr>
            <w:tcW w:w="964" w:type="dxa"/>
            <w:vAlign w:val="center"/>
          </w:tcPr>
          <w:p>
            <w:pPr>
              <w:pStyle w:val="18"/>
            </w:pPr>
            <w:r>
              <w:t>281.00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中共唐山高新技术产业开发区工作委员会政法委员会（本级）小计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281.00</w:t>
            </w:r>
          </w:p>
        </w:tc>
        <w:tc>
          <w:tcPr>
            <w:tcW w:w="964" w:type="dxa"/>
            <w:vAlign w:val="center"/>
          </w:tcPr>
          <w:p>
            <w:pPr>
              <w:pStyle w:val="18"/>
            </w:pPr>
            <w:r>
              <w:t>281.00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雪亮工程二期尾款及雪亮工程维修保养</w:t>
            </w:r>
          </w:p>
        </w:tc>
        <w:tc>
          <w:tcPr>
            <w:tcW w:w="964" w:type="dxa"/>
            <w:vAlign w:val="center"/>
          </w:tcPr>
          <w:p>
            <w:pPr>
              <w:pStyle w:val="14"/>
            </w:pPr>
            <w:r>
              <w:t>281.00</w:t>
            </w:r>
          </w:p>
        </w:tc>
        <w:tc>
          <w:tcPr>
            <w:tcW w:w="1134" w:type="dxa"/>
            <w:vAlign w:val="center"/>
          </w:tcPr>
          <w:p>
            <w:pPr>
              <w:pStyle w:val="15"/>
            </w:pPr>
            <w:r>
              <w:t>其他维修和保养服务</w:t>
            </w:r>
          </w:p>
        </w:tc>
        <w:tc>
          <w:tcPr>
            <w:tcW w:w="1134" w:type="dxa"/>
            <w:vAlign w:val="center"/>
          </w:tcPr>
          <w:p>
            <w:pPr>
              <w:pStyle w:val="15"/>
            </w:pPr>
            <w:r>
              <w:t>C23129900</w:t>
            </w:r>
          </w:p>
        </w:tc>
        <w:tc>
          <w:tcPr>
            <w:tcW w:w="709" w:type="dxa"/>
            <w:vAlign w:val="center"/>
          </w:tcPr>
          <w:p>
            <w:pPr>
              <w:pStyle w:val="16"/>
            </w:pPr>
            <w:r>
              <w:t>/</w:t>
            </w:r>
          </w:p>
        </w:tc>
        <w:tc>
          <w:tcPr>
            <w:tcW w:w="850" w:type="dxa"/>
            <w:vAlign w:val="center"/>
          </w:tcPr>
          <w:p>
            <w:pPr>
              <w:pStyle w:val="14"/>
            </w:pPr>
            <w:r>
              <w:t>1</w:t>
            </w:r>
          </w:p>
        </w:tc>
        <w:tc>
          <w:tcPr>
            <w:tcW w:w="850" w:type="dxa"/>
            <w:vAlign w:val="center"/>
          </w:tcPr>
          <w:p>
            <w:pPr>
              <w:pStyle w:val="14"/>
            </w:pPr>
            <w:r>
              <w:t>281.00</w:t>
            </w:r>
          </w:p>
        </w:tc>
        <w:tc>
          <w:tcPr>
            <w:tcW w:w="964" w:type="dxa"/>
            <w:vAlign w:val="center"/>
          </w:tcPr>
          <w:p>
            <w:pPr>
              <w:pStyle w:val="14"/>
            </w:pPr>
            <w:r>
              <w:t>281.00</w:t>
            </w:r>
          </w:p>
        </w:tc>
        <w:tc>
          <w:tcPr>
            <w:tcW w:w="964" w:type="dxa"/>
            <w:vAlign w:val="center"/>
          </w:tcPr>
          <w:p>
            <w:pPr>
              <w:pStyle w:val="14"/>
            </w:pPr>
            <w:r>
              <w:t>281.00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中共唐山高新技术产业开发区工作委员会政法委员会（含所属单位）上年末固定资产金额为3215.59万元（详见下表）。本年度拟购置固定资产总额为0.00万元，已按要求列入政府采购预算，详见政府采购预算表。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161中共唐山高新技术产业开发区工作委员会政法委员会</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3215.59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21.26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4454</w:t>
            </w:r>
          </w:p>
        </w:tc>
        <w:tc>
          <w:tcPr>
            <w:tcW w:w="2835" w:type="dxa"/>
            <w:vAlign w:val="center"/>
          </w:tcPr>
          <w:p>
            <w:pPr>
              <w:pStyle w:val="14"/>
            </w:pPr>
            <w:r>
              <w:t>3194.33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B9761"/>
    <w:multiLevelType w:val="singleLevel"/>
    <w:tmpl w:val="8DAB9761"/>
    <w:lvl w:ilvl="0" w:tentative="0">
      <w:start w:val="6"/>
      <w:numFmt w:val="chineseCounting"/>
      <w:suff w:val="nothing"/>
      <w:lvlText w:val="%1、"/>
      <w:lvlJc w:val="left"/>
      <w:rPr>
        <w:rFonts w:hint="eastAsia"/>
      </w:rPr>
    </w:lvl>
  </w:abstractNum>
  <w:abstractNum w:abstractNumId="1">
    <w:nsid w:val="B47DB776"/>
    <w:multiLevelType w:val="singleLevel"/>
    <w:tmpl w:val="B47DB776"/>
    <w:lvl w:ilvl="0" w:tentative="0">
      <w:start w:val="1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A6374"/>
    <w:rsid w:val="06A12491"/>
    <w:rsid w:val="08D2505C"/>
    <w:rsid w:val="2F321CE1"/>
    <w:rsid w:val="4E9909DA"/>
    <w:rsid w:val="69386402"/>
    <w:rsid w:val="6E8A23B7"/>
    <w:rsid w:val="7A9703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next w:val="1"/>
    <w:qFormat/>
    <w:uiPriority w:val="0"/>
    <w:pPr>
      <w:ind w:left="240"/>
    </w:pPr>
  </w:style>
  <w:style w:type="paragraph" w:styleId="6">
    <w:name w:val="Body Text First Indent 2"/>
    <w:basedOn w:val="2"/>
    <w:qFormat/>
    <w:uiPriority w:val="99"/>
    <w:pPr>
      <w:spacing w:after="0"/>
      <w:ind w:left="0" w:leftChars="0" w:firstLine="420" w:firstLineChars="200"/>
    </w:pPr>
    <w:rPr>
      <w:rFonts w:ascii="等线" w:hAnsi="等线" w:eastAsia="仿宋_GB2312" w:cs="等线"/>
      <w:sz w:val="32"/>
      <w:szCs w:val="32"/>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2024-02-20T16:33:01Z</dcterms:created>
  <dcterms:modified xsi:type="dcterms:W3CDTF">2024-02-20T08:33:01Z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2024-02-20T16:33:01Z</dcterms:created>
  <dcterms:modified xsi:type="dcterms:W3CDTF">2024-02-20T08:33:01Z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2024-02-20T16:33:02Z</dcterms:created>
  <dcterms:modified xsi:type="dcterms:W3CDTF">2024-02-20T08:33:02Z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2024-02-20T16:33:02Z</dcterms:created>
  <dcterms:modified xsi:type="dcterms:W3CDTF">2024-02-20T08:33:02Z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2024-02-20T16:32:59Z</dcterms:created>
  <dcterms:modified xsi:type="dcterms:W3CDTF">2024-02-20T08:32:59Z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2024-02-20T16:33:02Z</dcterms:created>
  <dcterms:modified xsi:type="dcterms:W3CDTF">2024-02-20T08:33:02Z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2024-02-20T16:33:02Z</dcterms:created>
  <dcterms:modified xsi:type="dcterms:W3CDTF">2024-02-20T08:33:02Z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2024-02-20T16:33:03Z</dcterms:created>
  <dcterms:modified xsi:type="dcterms:W3CDTF">2024-02-20T08:33:03Z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2024-02-20T16:33:03Z</dcterms:created>
  <dcterms:modified xsi:type="dcterms:W3CDTF">2024-02-20T08:33:03Z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2024-02-20T16:32:59Z</dcterms:created>
  <dcterms:modified xsi:type="dcterms:W3CDTF">2024-02-20T08:32:59Z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2024-02-20T16:32:59Z</dcterms:created>
  <dcterms:modified xsi:type="dcterms:W3CDTF">2024-02-20T08:32:59Z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2024-02-20T16:33:00Z</dcterms:created>
  <dcterms:modified xsi:type="dcterms:W3CDTF">2024-02-20T08:33:00Z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2024-02-20T16:32:57Z</dcterms:created>
  <dcterms:modified xsi:type="dcterms:W3CDTF">2024-02-20T08:32:57Z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2024-02-20T16:33:00Z</dcterms:created>
  <dcterms:modified xsi:type="dcterms:W3CDTF">2024-02-20T08:33:00Z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2024-02-20T16:33:01Z</dcterms:created>
  <dcterms:modified xsi:type="dcterms:W3CDTF">2024-02-20T08:33:01Z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5390eda-8b9c-4093-86af-240668544955}">
  <ds:schemaRefs/>
</ds:datastoreItem>
</file>

<file path=customXml/itemProps11.xml><?xml version="1.0" encoding="utf-8"?>
<ds:datastoreItem xmlns:ds="http://schemas.openxmlformats.org/officeDocument/2006/customXml" ds:itemID="{e29a89c5-32b9-428c-b613-dcac7324e89e}">
  <ds:schemaRefs/>
</ds:datastoreItem>
</file>

<file path=customXml/itemProps12.xml><?xml version="1.0" encoding="utf-8"?>
<ds:datastoreItem xmlns:ds="http://schemas.openxmlformats.org/officeDocument/2006/customXml" ds:itemID="{1b1a31c1-0818-4945-9786-90a6ab611fab}">
  <ds:schemaRefs/>
</ds:datastoreItem>
</file>

<file path=customXml/itemProps13.xml><?xml version="1.0" encoding="utf-8"?>
<ds:datastoreItem xmlns:ds="http://schemas.openxmlformats.org/officeDocument/2006/customXml" ds:itemID="{5eea42ba-3791-46b8-b845-667ab884c999}">
  <ds:schemaRefs/>
</ds:datastoreItem>
</file>

<file path=customXml/itemProps14.xml><?xml version="1.0" encoding="utf-8"?>
<ds:datastoreItem xmlns:ds="http://schemas.openxmlformats.org/officeDocument/2006/customXml" ds:itemID="{d4e23b3d-be10-4cd0-969c-4e5573ead1fe}">
  <ds:schemaRefs/>
</ds:datastoreItem>
</file>

<file path=customXml/itemProps15.xml><?xml version="1.0" encoding="utf-8"?>
<ds:datastoreItem xmlns:ds="http://schemas.openxmlformats.org/officeDocument/2006/customXml" ds:itemID="{cf912908-8faa-4654-81a8-bf2e143f2689}">
  <ds:schemaRefs/>
</ds:datastoreItem>
</file>

<file path=customXml/itemProps16.xml><?xml version="1.0" encoding="utf-8"?>
<ds:datastoreItem xmlns:ds="http://schemas.openxmlformats.org/officeDocument/2006/customXml" ds:itemID="{fc6c2e66-acce-4c95-8f06-0abf7068ec97}">
  <ds:schemaRefs/>
</ds:datastoreItem>
</file>

<file path=customXml/itemProps17.xml><?xml version="1.0" encoding="utf-8"?>
<ds:datastoreItem xmlns:ds="http://schemas.openxmlformats.org/officeDocument/2006/customXml" ds:itemID="{58e331bc-7b4d-4cff-a36c-4dfea690e6c8}">
  <ds:schemaRefs/>
</ds:datastoreItem>
</file>

<file path=customXml/itemProps18.xml><?xml version="1.0" encoding="utf-8"?>
<ds:datastoreItem xmlns:ds="http://schemas.openxmlformats.org/officeDocument/2006/customXml" ds:itemID="{52ed4431-1008-46e0-95fe-5e5377566931}">
  <ds:schemaRefs/>
</ds:datastoreItem>
</file>

<file path=customXml/itemProps19.xml><?xml version="1.0" encoding="utf-8"?>
<ds:datastoreItem xmlns:ds="http://schemas.openxmlformats.org/officeDocument/2006/customXml" ds:itemID="{1a5b94e3-5814-404d-a30f-f5466182a611}">
  <ds:schemaRefs/>
</ds:datastoreItem>
</file>

<file path=customXml/itemProps2.xml><?xml version="1.0" encoding="utf-8"?>
<ds:datastoreItem xmlns:ds="http://schemas.openxmlformats.org/officeDocument/2006/customXml" ds:itemID="{594b2104-335b-4f4a-80cf-ecc60021018f}">
  <ds:schemaRefs/>
</ds:datastoreItem>
</file>

<file path=customXml/itemProps20.xml><?xml version="1.0" encoding="utf-8"?>
<ds:datastoreItem xmlns:ds="http://schemas.openxmlformats.org/officeDocument/2006/customXml" ds:itemID="{d35990fb-c971-4ee5-9dc6-a50a768deba5}">
  <ds:schemaRefs/>
</ds:datastoreItem>
</file>

<file path=customXml/itemProps21.xml><?xml version="1.0" encoding="utf-8"?>
<ds:datastoreItem xmlns:ds="http://schemas.openxmlformats.org/officeDocument/2006/customXml" ds:itemID="{c836007f-6338-4606-97e0-c19c0a88a9e2}">
  <ds:schemaRefs/>
</ds:datastoreItem>
</file>

<file path=customXml/itemProps22.xml><?xml version="1.0" encoding="utf-8"?>
<ds:datastoreItem xmlns:ds="http://schemas.openxmlformats.org/officeDocument/2006/customXml" ds:itemID="{d86c77d5-1d3b-4a34-950b-0e5015c91aca}">
  <ds:schemaRefs/>
</ds:datastoreItem>
</file>

<file path=customXml/itemProps23.xml><?xml version="1.0" encoding="utf-8"?>
<ds:datastoreItem xmlns:ds="http://schemas.openxmlformats.org/officeDocument/2006/customXml" ds:itemID="{d2c2db97-2b0f-40ac-9b34-442c57f75661}">
  <ds:schemaRefs/>
</ds:datastoreItem>
</file>

<file path=customXml/itemProps24.xml><?xml version="1.0" encoding="utf-8"?>
<ds:datastoreItem xmlns:ds="http://schemas.openxmlformats.org/officeDocument/2006/customXml" ds:itemID="{02f0dc4d-f0bc-45a1-ac66-052da2a5c634}">
  <ds:schemaRefs/>
</ds:datastoreItem>
</file>

<file path=customXml/itemProps25.xml><?xml version="1.0" encoding="utf-8"?>
<ds:datastoreItem xmlns:ds="http://schemas.openxmlformats.org/officeDocument/2006/customXml" ds:itemID="{c88d6f7d-0d11-4ad8-b08d-d8043191fe69}">
  <ds:schemaRefs/>
</ds:datastoreItem>
</file>

<file path=customXml/itemProps26.xml><?xml version="1.0" encoding="utf-8"?>
<ds:datastoreItem xmlns:ds="http://schemas.openxmlformats.org/officeDocument/2006/customXml" ds:itemID="{b222c45b-1292-40cf-948e-61cb243931d1}">
  <ds:schemaRefs/>
</ds:datastoreItem>
</file>

<file path=customXml/itemProps27.xml><?xml version="1.0" encoding="utf-8"?>
<ds:datastoreItem xmlns:ds="http://schemas.openxmlformats.org/officeDocument/2006/customXml" ds:itemID="{b7ab15fc-1854-49ea-a882-d588ee4dade0}">
  <ds:schemaRefs/>
</ds:datastoreItem>
</file>

<file path=customXml/itemProps28.xml><?xml version="1.0" encoding="utf-8"?>
<ds:datastoreItem xmlns:ds="http://schemas.openxmlformats.org/officeDocument/2006/customXml" ds:itemID="{751f93d0-43f7-4931-ae0c-b92e63608311}">
  <ds:schemaRefs/>
</ds:datastoreItem>
</file>

<file path=customXml/itemProps29.xml><?xml version="1.0" encoding="utf-8"?>
<ds:datastoreItem xmlns:ds="http://schemas.openxmlformats.org/officeDocument/2006/customXml" ds:itemID="{37bab801-2ede-43d9-9625-1a84a080cd0b}">
  <ds:schemaRefs/>
</ds:datastoreItem>
</file>

<file path=customXml/itemProps3.xml><?xml version="1.0" encoding="utf-8"?>
<ds:datastoreItem xmlns:ds="http://schemas.openxmlformats.org/officeDocument/2006/customXml" ds:itemID="{6c7f04bf-6d95-4e6d-a49f-bf54739db937}">
  <ds:schemaRefs/>
</ds:datastoreItem>
</file>

<file path=customXml/itemProps30.xml><?xml version="1.0" encoding="utf-8"?>
<ds:datastoreItem xmlns:ds="http://schemas.openxmlformats.org/officeDocument/2006/customXml" ds:itemID="{fe910783-453d-468a-a4b9-3edc84c1f460}">
  <ds:schemaRefs/>
</ds:datastoreItem>
</file>

<file path=customXml/itemProps31.xml><?xml version="1.0" encoding="utf-8"?>
<ds:datastoreItem xmlns:ds="http://schemas.openxmlformats.org/officeDocument/2006/customXml" ds:itemID="{f4739454-be71-4c7c-9420-55f8b8891418}">
  <ds:schemaRefs/>
</ds:datastoreItem>
</file>

<file path=customXml/itemProps4.xml><?xml version="1.0" encoding="utf-8"?>
<ds:datastoreItem xmlns:ds="http://schemas.openxmlformats.org/officeDocument/2006/customXml" ds:itemID="{325bd976-01e9-44e2-b495-c30d624695f3}">
  <ds:schemaRefs/>
</ds:datastoreItem>
</file>

<file path=customXml/itemProps5.xml><?xml version="1.0" encoding="utf-8"?>
<ds:datastoreItem xmlns:ds="http://schemas.openxmlformats.org/officeDocument/2006/customXml" ds:itemID="{a80dd17c-eba0-4d81-9f05-364122384cca}">
  <ds:schemaRefs/>
</ds:datastoreItem>
</file>

<file path=customXml/itemProps6.xml><?xml version="1.0" encoding="utf-8"?>
<ds:datastoreItem xmlns:ds="http://schemas.openxmlformats.org/officeDocument/2006/customXml" ds:itemID="{ae4b4ce6-9134-48a1-b381-e2e6d491e998}">
  <ds:schemaRefs/>
</ds:datastoreItem>
</file>

<file path=customXml/itemProps7.xml><?xml version="1.0" encoding="utf-8"?>
<ds:datastoreItem xmlns:ds="http://schemas.openxmlformats.org/officeDocument/2006/customXml" ds:itemID="{c41d4393-3600-4fec-b044-07f02d924746}">
  <ds:schemaRefs/>
</ds:datastoreItem>
</file>

<file path=customXml/itemProps8.xml><?xml version="1.0" encoding="utf-8"?>
<ds:datastoreItem xmlns:ds="http://schemas.openxmlformats.org/officeDocument/2006/customXml" ds:itemID="{1b75d248-c988-4e7c-bad3-5f3f67645f5e}">
  <ds:schemaRefs/>
</ds:datastoreItem>
</file>

<file path=customXml/itemProps9.xml><?xml version="1.0" encoding="utf-8"?>
<ds:datastoreItem xmlns:ds="http://schemas.openxmlformats.org/officeDocument/2006/customXml" ds:itemID="{26664a84-0309-490d-8dfa-e3add698453d}">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2024-02-20T16:33:00Z</dcterms:created>
  <dc:creator>Master</dc:creator>
  <cp:lastModifiedBy>Master</cp:lastModifiedBy>
  <dcterms:modified xsi:type="dcterms:W3CDTF">2024-02-23T08:08:25Z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