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仿宋_GB2312" w:eastAsia="仿宋_GB2312"/>
          <w:sz w:val="32"/>
          <w:szCs w:val="32"/>
          <w:lang w:eastAsia="zh-CN"/>
        </w:rPr>
      </w:pPr>
    </w:p>
    <w:p>
      <w:pPr>
        <w:ind w:firstLine="880" w:firstLineChars="200"/>
        <w:jc w:val="center"/>
        <w:rPr>
          <w:rFonts w:ascii="黑体" w:eastAsia="黑体"/>
          <w:sz w:val="44"/>
          <w:szCs w:val="44"/>
        </w:rPr>
      </w:pPr>
    </w:p>
    <w:p>
      <w:pPr>
        <w:ind w:firstLine="420" w:firstLineChars="200"/>
        <w:rPr>
          <w:szCs w:val="22"/>
        </w:rPr>
      </w:pPr>
    </w:p>
    <w:p>
      <w:pPr>
        <w:rPr>
          <w:szCs w:val="22"/>
        </w:rPr>
      </w:pPr>
    </w:p>
    <w:p>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高新区</w:t>
      </w:r>
      <w:r>
        <w:rPr>
          <w:rFonts w:hint="eastAsia" w:ascii="方正小标宋简体" w:hAnsi="方正小标宋简体" w:eastAsia="方正小标宋简体" w:cs="方正小标宋简体"/>
          <w:sz w:val="52"/>
          <w:szCs w:val="52"/>
          <w:lang w:eastAsia="zh-CN"/>
        </w:rPr>
        <w:t>人民检察院</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年部门预算绩效文本</w:t>
      </w: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高新区</w:t>
      </w:r>
      <w:r>
        <w:rPr>
          <w:rFonts w:hint="eastAsia" w:ascii="楷体_GB2312" w:hAnsi="楷体_GB2312" w:eastAsia="楷体_GB2312" w:cs="楷体_GB2312"/>
          <w:bCs/>
          <w:sz w:val="32"/>
          <w:szCs w:val="32"/>
          <w:lang w:eastAsia="zh-CN"/>
        </w:rPr>
        <w:t>人民检察院</w:t>
      </w:r>
      <w:r>
        <w:rPr>
          <w:rFonts w:hint="eastAsia" w:ascii="楷体_GB2312" w:hAnsi="楷体_GB2312" w:eastAsia="楷体_GB2312" w:cs="楷体_GB2312"/>
          <w:bCs/>
          <w:sz w:val="32"/>
          <w:szCs w:val="32"/>
        </w:rPr>
        <w:t>编制</w:t>
      </w:r>
    </w:p>
    <w:p>
      <w:pPr>
        <w:keepNext w:val="0"/>
        <w:keepLines w:val="0"/>
        <w:pageBreakBefore w:val="0"/>
        <w:widowControl w:val="0"/>
        <w:kinsoku/>
        <w:wordWrap/>
        <w:overflowPunct/>
        <w:topLinePunct w:val="0"/>
        <w:bidi w:val="0"/>
        <w:snapToGrid/>
        <w:spacing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年部门整体绩效目标</w:t>
      </w:r>
    </w:p>
    <w:p>
      <w:pPr>
        <w:pStyle w:val="2"/>
        <w:keepNext w:val="0"/>
        <w:keepLines w:val="0"/>
        <w:pageBreakBefore w:val="0"/>
        <w:widowControl w:val="0"/>
        <w:kinsoku/>
        <w:wordWrap/>
        <w:overflowPunct/>
        <w:topLinePunct w:val="0"/>
        <w:bidi w:val="0"/>
        <w:snapToGrid/>
        <w:spacing w:line="560" w:lineRule="exact"/>
        <w:ind w:left="0"/>
        <w:textAlignment w:val="auto"/>
        <w:rPr>
          <w:rFonts w:hint="eastAsia"/>
        </w:rPr>
      </w:pPr>
    </w:p>
    <w:p>
      <w:pPr>
        <w:keepNext w:val="0"/>
        <w:keepLines w:val="0"/>
        <w:pageBreakBefore w:val="0"/>
        <w:widowControl w:val="0"/>
        <w:kinsoku/>
        <w:wordWrap/>
        <w:overflowPunct/>
        <w:topLinePunct w:val="0"/>
        <w:bidi w:val="0"/>
        <w:snapToGrid/>
        <w:spacing w:line="560" w:lineRule="exact"/>
        <w:ind w:left="0" w:firstLine="629"/>
        <w:textAlignment w:val="auto"/>
        <w:rPr>
          <w:rFonts w:hint="eastAsia" w:ascii="黑体" w:hAnsi="黑体" w:eastAsia="黑体" w:cs="黑体"/>
          <w:sz w:val="32"/>
          <w:szCs w:val="32"/>
        </w:rPr>
      </w:pPr>
      <w:r>
        <w:rPr>
          <w:rFonts w:hint="eastAsia" w:ascii="黑体" w:hAnsi="黑体" w:eastAsia="黑体" w:cs="黑体"/>
          <w:sz w:val="32"/>
          <w:szCs w:val="32"/>
        </w:rPr>
        <w:t>一、总体绩效目标</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我院将继续在区党工委和市院的正确领导下，在区管委会的大力支持下，</w:t>
      </w:r>
      <w:r>
        <w:rPr>
          <w:rFonts w:hint="eastAsia" w:ascii="仿宋_GB2312" w:hAnsi="仿宋_GB2312" w:eastAsia="仿宋_GB2312" w:cs="仿宋_GB2312"/>
          <w:sz w:val="32"/>
          <w:szCs w:val="32"/>
        </w:rPr>
        <w:t>紧紧围绕“强化法律监督、维护公平正义”的检察工作主题，深入领会“政治建检、业务立检、公信树检、素质兴检、科技强检”的全省检察工作总体思路，有效提升各项检察工作水平，为实现“全省领先、全国一流”的全市检察工作目标和</w:t>
      </w:r>
      <w:r>
        <w:rPr>
          <w:rFonts w:hint="eastAsia" w:ascii="仿宋_GB2312" w:hAnsi="仿宋_GB2312" w:eastAsia="仿宋_GB2312" w:cs="仿宋_GB2312"/>
          <w:bCs/>
          <w:sz w:val="32"/>
          <w:szCs w:val="32"/>
        </w:rPr>
        <w:t>“建设经济强区、科技新城、幸福高新”的区域发展目标</w:t>
      </w:r>
      <w:r>
        <w:rPr>
          <w:rFonts w:hint="eastAsia" w:ascii="仿宋_GB2312" w:hAnsi="仿宋_GB2312" w:eastAsia="仿宋_GB2312" w:cs="仿宋_GB2312"/>
          <w:sz w:val="32"/>
          <w:szCs w:val="32"/>
        </w:rPr>
        <w:t>努力奋进。</w:t>
      </w:r>
    </w:p>
    <w:p>
      <w:pPr>
        <w:keepNext w:val="0"/>
        <w:keepLines w:val="0"/>
        <w:pageBreakBefore w:val="0"/>
        <w:widowControl w:val="0"/>
        <w:kinsoku/>
        <w:wordWrap/>
        <w:overflowPunct/>
        <w:topLinePunct w:val="0"/>
        <w:bidi w:val="0"/>
        <w:snapToGrid/>
        <w:spacing w:line="560" w:lineRule="exact"/>
        <w:ind w:left="0" w:firstLine="629"/>
        <w:textAlignment w:val="auto"/>
        <w:rPr>
          <w:rFonts w:hint="eastAsia" w:ascii="黑体" w:hAnsi="黑体" w:eastAsia="黑体" w:cs="黑体"/>
          <w:sz w:val="32"/>
          <w:szCs w:val="32"/>
        </w:rPr>
      </w:pPr>
      <w:r>
        <w:rPr>
          <w:rFonts w:hint="eastAsia" w:ascii="黑体" w:hAnsi="黑体" w:eastAsia="黑体" w:cs="黑体"/>
          <w:sz w:val="32"/>
          <w:szCs w:val="32"/>
        </w:rPr>
        <w:t>二、分项绩效目标</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（一）努力加强队伍建设</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绩效目标：按照</w:t>
      </w:r>
      <w:r>
        <w:rPr>
          <w:rFonts w:hint="eastAsia" w:ascii="仿宋_GB2312" w:hAnsi="仿宋_GB2312" w:eastAsia="仿宋_GB2312" w:cs="仿宋_GB2312"/>
          <w:sz w:val="32"/>
          <w:szCs w:val="32"/>
        </w:rPr>
        <w:t>全市政法系统推进正规化、专业化、职业化建设和高新区党工委建设学习型、创新型、服务型、担当型、廉政型、团结型检察机关要求，结合政法系统正反典型教育，努力打造风清气正、廉洁司法的检察队伍。以提高领导水平和法律监督能力为核心，着力建设坚定贯彻党的理论和路线方针政策、善于领导科学发展的领导班子，努力形成朝气蓬勃、奋发有为的坚强领导集体。积极开展正规化岗位培训，加强业务一线人员特别是执法办案骨干的专项业务培训和岗位技能培训，努力铸造专业、规范、高效、进取的干警队伍。</w:t>
      </w:r>
    </w:p>
    <w:p>
      <w:pPr>
        <w:keepNext w:val="0"/>
        <w:keepLines w:val="0"/>
        <w:pageBreakBefore w:val="0"/>
        <w:widowControl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z w:val="32"/>
          <w:szCs w:val="32"/>
        </w:rPr>
        <w:t>绩效指标：</w:t>
      </w:r>
      <w:r>
        <w:rPr>
          <w:rFonts w:hint="eastAsia" w:ascii="仿宋_GB2312" w:hAnsi="仿宋_GB2312" w:eastAsia="仿宋_GB2312" w:cs="仿宋_GB2312"/>
          <w:b w:val="0"/>
          <w:bCs w:val="0"/>
          <w:color w:val="000000"/>
          <w:sz w:val="32"/>
          <w:szCs w:val="32"/>
        </w:rPr>
        <w:t>计划开展</w:t>
      </w:r>
      <w:r>
        <w:rPr>
          <w:rFonts w:hint="eastAsia" w:ascii="仿宋_GB2312" w:hAnsi="仿宋_GB2312" w:eastAsia="仿宋_GB2312" w:cs="仿宋_GB2312"/>
          <w:color w:val="000000"/>
          <w:sz w:val="32"/>
          <w:szCs w:val="32"/>
          <w:lang w:eastAsia="zh-CN"/>
        </w:rPr>
        <w:t>检察宣传活动</w:t>
      </w:r>
      <w:r>
        <w:rPr>
          <w:rFonts w:hint="eastAsia" w:ascii="仿宋_GB2312" w:hAnsi="仿宋_GB2312" w:eastAsia="仿宋_GB2312" w:cs="仿宋_GB2312"/>
          <w:color w:val="000000"/>
          <w:sz w:val="32"/>
          <w:szCs w:val="32"/>
        </w:rPr>
        <w:t>次10次以上；</w:t>
      </w:r>
      <w:r>
        <w:rPr>
          <w:rFonts w:hint="eastAsia" w:ascii="仿宋_GB2312" w:hAnsi="仿宋_GB2312" w:eastAsia="仿宋_GB2312" w:cs="仿宋_GB2312"/>
          <w:color w:val="000000"/>
          <w:sz w:val="32"/>
          <w:szCs w:val="32"/>
          <w:lang w:eastAsia="zh-CN"/>
        </w:rPr>
        <w:t>未检宣传活动</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次以上。</w:t>
      </w:r>
    </w:p>
    <w:p>
      <w:pPr>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认真开展检务公开工作</w:t>
      </w:r>
    </w:p>
    <w:p>
      <w:pPr>
        <w:keepNext w:val="0"/>
        <w:keepLines w:val="0"/>
        <w:pageBreakBefore w:val="0"/>
        <w:widowControl w:val="0"/>
        <w:numPr>
          <w:ilvl w:val="0"/>
          <w:numId w:val="0"/>
        </w:numPr>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绩效目标：不断完善12309检务公开大厅相关设施和职能，明确检务公开大厅的主要职</w:t>
      </w:r>
      <w:r>
        <w:rPr>
          <w:rFonts w:hint="eastAsia" w:ascii="仿宋_GB2312" w:hAnsi="仿宋_GB2312" w:eastAsia="仿宋_GB2312" w:cs="仿宋_GB2312"/>
          <w:sz w:val="32"/>
          <w:szCs w:val="32"/>
        </w:rPr>
        <w:t>责，专门设立了控申接待、律师接待、业务受理三个区域，明确专人负责，全力打造“一站式”检察服务。谋划警务区改造。力争打造一个便民利民、功能集约、管理规范、技术先进、使用灵活的多功能执法办案区域，将信访接待、公开听证、案件受理、远程庭审、律师接待、未检帮教、讯问询问等功能整合于一体，进一步提升执法办案的透明度和群众满意度。</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绩效指标：</w:t>
      </w:r>
      <w:r>
        <w:rPr>
          <w:rFonts w:hint="eastAsia" w:ascii="仿宋_GB2312" w:hAnsi="仿宋_GB2312" w:eastAsia="仿宋_GB2312" w:cs="仿宋_GB2312"/>
          <w:b w:val="0"/>
          <w:bCs w:val="0"/>
          <w:sz w:val="32"/>
          <w:szCs w:val="32"/>
          <w:lang w:val="en-US" w:eastAsia="zh-CN"/>
        </w:rPr>
        <w:t>信访接待、律师接待、执法透明度、群众满意度</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（三）积极参与各类社会治安问题整治工作</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绩效目标：充分发挥检察机关在社会治理中的法治保障作用，坚持系统治理、依</w:t>
      </w:r>
      <w:r>
        <w:rPr>
          <w:rFonts w:hint="eastAsia" w:ascii="仿宋_GB2312" w:hAnsi="仿宋_GB2312" w:eastAsia="仿宋_GB2312" w:cs="仿宋_GB2312"/>
          <w:sz w:val="32"/>
          <w:szCs w:val="32"/>
        </w:rPr>
        <w:t>法治理、综合治理、源头治理，结合执法办案深入分析研判犯罪规律、特点和趋势，及时向高新区党工委、管委会和相关部门提出加强和改进社会管理、防范违法犯罪的检察建议，积极参与高新区党工委、管委会部署的各类社会治安问题专项整治工作，加强与其他政法综治部门和行政执法部门的协调配合，促进构建高新区立体化社会治安防控体系。充分发挥宽严相济等刑事政策在化解社会矛盾中的重要作用，正确把握法律政策界限和宽严尺度，切实做到该严则严、当宽则宽、宽严适度。充分运用刑事和解、简易程序、量刑建议和不批捕、不起诉、附条件不起诉等机制和措施，着力提升化解社会矛盾的能力，努力实现案结事了人和，促进社会和谐稳定。</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rPr>
        <w:t>绩效指标：</w:t>
      </w:r>
      <w:r>
        <w:rPr>
          <w:rFonts w:hint="eastAsia" w:ascii="仿宋_GB2312" w:hAnsi="仿宋_GB2312" w:eastAsia="仿宋_GB2312" w:cs="仿宋_GB2312"/>
          <w:b w:val="0"/>
          <w:bCs w:val="0"/>
          <w:sz w:val="32"/>
          <w:szCs w:val="32"/>
          <w:lang w:val="en-US" w:eastAsia="zh-CN"/>
        </w:rPr>
        <w:t>矛盾化解、犯罪预防、综合治理、和谐环境</w:t>
      </w:r>
    </w:p>
    <w:p>
      <w:pPr>
        <w:keepNext w:val="0"/>
        <w:keepLines w:val="0"/>
        <w:pageBreakBefore w:val="0"/>
        <w:widowControl w:val="0"/>
        <w:numPr>
          <w:ilvl w:val="0"/>
          <w:numId w:val="0"/>
        </w:numPr>
        <w:kinsoku/>
        <w:wordWrap/>
        <w:overflowPunct/>
        <w:topLinePunct w:val="0"/>
        <w:bidi w:val="0"/>
        <w:snapToGrid/>
        <w:spacing w:line="56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（四）持之以恒</w:t>
      </w:r>
      <w:r>
        <w:rPr>
          <w:rFonts w:hint="eastAsia" w:ascii="楷体_GB2312" w:hAnsi="楷体_GB2312" w:eastAsia="楷体_GB2312" w:cs="楷体_GB2312"/>
          <w:b w:val="0"/>
          <w:bCs w:val="0"/>
          <w:sz w:val="32"/>
          <w:szCs w:val="32"/>
        </w:rPr>
        <w:t>扫黑除恶</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绩效目标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坚持以人民为中心的发展思想，顺应新时代社会主要矛盾的变化，顺应人民群众对美好生活的期待，把打击锋芒对准群众反映最强烈、最深恶痛绝的各类黑恶势力犯罪，突出重点、精准施策、久久为功，以除恶务尽的实际行动和成果，不断增强人民群众的获得感、幸福感、安全感。</w:t>
      </w:r>
    </w:p>
    <w:p>
      <w:pPr>
        <w:keepNext w:val="0"/>
        <w:keepLines w:val="0"/>
        <w:pageBreakBefore w:val="0"/>
        <w:widowControl w:val="0"/>
        <w:kinsoku/>
        <w:wordWrap/>
        <w:overflowPunct/>
        <w:topLinePunct w:val="0"/>
        <w:bidi w:val="0"/>
        <w:snapToGrid/>
        <w:spacing w:line="560" w:lineRule="exact"/>
        <w:ind w:lef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在办案中深挖黑恶势力犯罪根源，剖析重点行业领域监管漏洞，及时预警预判，促进重点地区、行业和领域加强监督管理，从源头遏制黑恶势力滋生蔓延，</w:t>
      </w:r>
      <w:r>
        <w:rPr>
          <w:rFonts w:hint="eastAsia" w:ascii="仿宋_GB2312" w:hAnsi="仿宋_GB2312" w:eastAsia="仿宋_GB2312" w:cs="仿宋_GB2312"/>
          <w:b w:val="0"/>
          <w:bCs w:val="0"/>
          <w:sz w:val="32"/>
          <w:szCs w:val="32"/>
        </w:rPr>
        <w:t>实现社会治安生态根本好转，为全市经济社会发展提供良好环境和有力保障。</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绩效指标：</w:t>
      </w:r>
      <w:r>
        <w:rPr>
          <w:rFonts w:hint="eastAsia" w:ascii="仿宋_GB2312" w:hAnsi="仿宋_GB2312" w:eastAsia="仿宋_GB2312" w:cs="仿宋_GB2312"/>
          <w:b w:val="0"/>
          <w:bCs w:val="0"/>
          <w:sz w:val="32"/>
          <w:szCs w:val="32"/>
          <w:lang w:val="en-US" w:eastAsia="zh-CN"/>
        </w:rPr>
        <w:t>群众安全感、源头治理、经济发展保障</w:t>
      </w:r>
    </w:p>
    <w:p>
      <w:pPr>
        <w:keepNext w:val="0"/>
        <w:keepLines w:val="0"/>
        <w:pageBreakBefore w:val="0"/>
        <w:widowControl w:val="0"/>
        <w:numPr>
          <w:ilvl w:val="0"/>
          <w:numId w:val="0"/>
        </w:numPr>
        <w:kinsoku/>
        <w:wordWrap/>
        <w:overflowPunct/>
        <w:topLinePunct w:val="0"/>
        <w:bidi w:val="0"/>
        <w:snapToGrid/>
        <w:spacing w:line="560" w:lineRule="exact"/>
        <w:ind w:left="0"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w:t>
      </w:r>
      <w:r>
        <w:rPr>
          <w:rFonts w:hint="default" w:ascii="楷体_GB2312" w:hAnsi="楷体_GB2312" w:eastAsia="楷体_GB2312" w:cs="楷体_GB2312"/>
          <w:b w:val="0"/>
          <w:bCs w:val="0"/>
          <w:sz w:val="32"/>
          <w:szCs w:val="32"/>
          <w:lang w:val="en-US" w:eastAsia="zh-CN"/>
        </w:rPr>
        <w:t>强化法律监督。</w:t>
      </w:r>
    </w:p>
    <w:p>
      <w:pPr>
        <w:keepNext w:val="0"/>
        <w:keepLines w:val="0"/>
        <w:pageBreakBefore w:val="0"/>
        <w:widowControl w:val="0"/>
        <w:numPr>
          <w:ilvl w:val="0"/>
          <w:numId w:val="0"/>
        </w:numPr>
        <w:kinsoku/>
        <w:wordWrap/>
        <w:overflowPunct/>
        <w:topLinePunct w:val="0"/>
        <w:bidi w:val="0"/>
        <w:snapToGrid/>
        <w:spacing w:line="56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绩效指标：</w:t>
      </w:r>
      <w:r>
        <w:rPr>
          <w:rFonts w:hint="default" w:ascii="仿宋_GB2312" w:hAnsi="仿宋_GB2312" w:eastAsia="仿宋_GB2312" w:cs="仿宋_GB2312"/>
          <w:b w:val="0"/>
          <w:bCs w:val="0"/>
          <w:sz w:val="32"/>
          <w:szCs w:val="32"/>
          <w:lang w:val="en-US" w:eastAsia="zh-CN"/>
        </w:rPr>
        <w:t>按照“基层建设年”工作部署，细化法律监督，保障法律的执行效果。以问题为导向强化侦查监督。增强主动监督意识，组织专题学习，分解监督目标、指标到人，促进检察官主动开展侦查监督工作，提升侦查监督能力。以诉讼为中心强化审判监督。严把案件证据关、事实关、程序关、法律适用关，坚持指控犯罪与诉讼监督并重。以检查督导强化刑事执行监督。就疫情常态化期间，如何依托网络开展定期报到、学习帮教新方式与司法所工作人员进行了交流。加大财产刑执行监督力度，对发现执行不及时、执行不当等违法行为坚决予以纠正。以线索畅通强化公益诉讼工作。</w:t>
      </w:r>
      <w:r>
        <w:rPr>
          <w:rFonts w:hint="eastAsia" w:ascii="仿宋_GB2312" w:hAnsi="仿宋_GB2312" w:eastAsia="仿宋_GB2312" w:cs="仿宋_GB2312"/>
          <w:b w:val="0"/>
          <w:bCs w:val="0"/>
          <w:sz w:val="32"/>
          <w:szCs w:val="32"/>
          <w:lang w:val="en-US" w:eastAsia="zh-CN"/>
        </w:rPr>
        <w:t>院内各部门</w:t>
      </w:r>
      <w:r>
        <w:rPr>
          <w:rFonts w:hint="default" w:ascii="仿宋_GB2312" w:hAnsi="仿宋_GB2312" w:eastAsia="仿宋_GB2312" w:cs="仿宋_GB2312"/>
          <w:b w:val="0"/>
          <w:bCs w:val="0"/>
          <w:sz w:val="32"/>
          <w:szCs w:val="32"/>
          <w:lang w:val="en-US" w:eastAsia="zh-CN"/>
        </w:rPr>
        <w:t>移送涉及污染环境、食品安全、国有土地出让等问题的公益诉讼线索，丰富线索来源。</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绩效指标：</w:t>
      </w:r>
      <w:r>
        <w:rPr>
          <w:rFonts w:hint="eastAsia" w:ascii="仿宋_GB2312" w:hAnsi="仿宋_GB2312" w:eastAsia="仿宋_GB2312" w:cs="仿宋_GB2312"/>
          <w:b w:val="0"/>
          <w:bCs w:val="0"/>
          <w:sz w:val="32"/>
          <w:szCs w:val="32"/>
          <w:lang w:val="en-US" w:eastAsia="zh-CN"/>
        </w:rPr>
        <w:t>侦查监督、审判监督、刑事执行监督、公益诉讼</w:t>
      </w:r>
    </w:p>
    <w:p>
      <w:pPr>
        <w:keepNext w:val="0"/>
        <w:keepLines w:val="0"/>
        <w:pageBreakBefore w:val="0"/>
        <w:widowControl w:val="0"/>
        <w:numPr>
          <w:ilvl w:val="0"/>
          <w:numId w:val="0"/>
        </w:numPr>
        <w:kinsoku/>
        <w:wordWrap/>
        <w:overflowPunct/>
        <w:topLinePunct w:val="0"/>
        <w:bidi w:val="0"/>
        <w:snapToGrid/>
        <w:spacing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（六）认真落实一号检察建议</w:t>
      </w:r>
    </w:p>
    <w:p>
      <w:pPr>
        <w:keepNext w:val="0"/>
        <w:keepLines w:val="0"/>
        <w:pageBreakBefore w:val="0"/>
        <w:widowControl w:val="0"/>
        <w:numPr>
          <w:ilvl w:val="0"/>
          <w:numId w:val="0"/>
        </w:numPr>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rPr>
        <w:t>绩效指标</w:t>
      </w:r>
      <w:r>
        <w:rPr>
          <w:rFonts w:hint="eastAsia" w:ascii="仿宋_GB2312" w:hAnsi="仿宋_GB2312" w:eastAsia="仿宋_GB2312" w:cs="仿宋_GB2312"/>
          <w:b w:val="0"/>
          <w:bCs w:val="0"/>
          <w:sz w:val="32"/>
          <w:szCs w:val="32"/>
          <w:lang w:eastAsia="zh-CN"/>
        </w:rPr>
        <w:t>：</w:t>
      </w:r>
      <w:r>
        <w:rPr>
          <w:rFonts w:hint="eastAsia" w:ascii="仿宋_GB2312" w:hAnsi="仿宋" w:eastAsia="仿宋_GB2312"/>
          <w:b w:val="0"/>
          <w:bCs w:val="0"/>
          <w:sz w:val="32"/>
          <w:szCs w:val="28"/>
          <w:highlight w:val="none"/>
          <w:u w:val="none"/>
          <w:lang w:val="en-US" w:eastAsia="zh-CN"/>
        </w:rPr>
        <w:t>挂牌成立未成年人检察办公室。</w:t>
      </w:r>
      <w:r>
        <w:rPr>
          <w:rFonts w:hint="eastAsia" w:ascii="仿宋_GB2312" w:hAnsi="仿宋_GB2312" w:eastAsia="仿宋_GB2312" w:cs="仿宋_GB2312"/>
          <w:b w:val="0"/>
          <w:bCs w:val="0"/>
          <w:sz w:val="32"/>
          <w:szCs w:val="32"/>
          <w:lang w:val="en-US" w:eastAsia="zh-CN"/>
        </w:rPr>
        <w:t>以远程视频的方式开展了一次帮教活动。司法</w:t>
      </w:r>
      <w:r>
        <w:rPr>
          <w:rFonts w:hint="eastAsia" w:ascii="仿宋_GB2312" w:hAnsi="仿宋_GB2312" w:eastAsia="仿宋_GB2312" w:cs="仿宋_GB2312"/>
          <w:sz w:val="32"/>
          <w:szCs w:val="32"/>
          <w:lang w:val="en-US" w:eastAsia="zh-CN"/>
        </w:rPr>
        <w:t>社会服务中心根据社会调查掌握的情况，分析了犯罪原因并对涉罪未成年人提出帮教措施；心理咨询专家进行了心理测评和疏导，帮助减轻心理压力；人大代表、政协委员、人民监督员结合各自的生活、工作经历做了语重心长的劝导，真正做到了政治效果、法律效果、社会效果的统一</w:t>
      </w:r>
      <w:r>
        <w:rPr>
          <w:rFonts w:hint="eastAsia" w:hAnsi="仿宋_GB2312" w:cs="仿宋_GB2312"/>
          <w:sz w:val="32"/>
          <w:szCs w:val="32"/>
          <w:lang w:val="en-US" w:eastAsia="zh-CN"/>
        </w:rPr>
        <w:t>。</w:t>
      </w:r>
      <w:r>
        <w:rPr>
          <w:rFonts w:hint="eastAsia" w:ascii="仿宋" w:hAnsi="仿宋" w:eastAsia="仿宋" w:cs="仿宋"/>
          <w:sz w:val="32"/>
          <w:szCs w:val="32"/>
          <w:lang w:val="en-US" w:eastAsia="zh-CN"/>
        </w:rPr>
        <w:t>联合</w:t>
      </w:r>
      <w:r>
        <w:rPr>
          <w:rFonts w:hint="eastAsia" w:ascii="仿宋" w:hAnsi="仿宋" w:eastAsia="仿宋" w:cs="仿宋"/>
          <w:sz w:val="32"/>
          <w:szCs w:val="32"/>
        </w:rPr>
        <w:t>公安、妇联对辖区内酒店进行了现场查访，预防发生在旅馆、酒店内性侵未成年人的犯罪，把治理整顿旅馆业违规接纳未成年人专项行动要求落到实处。</w:t>
      </w:r>
      <w:r>
        <w:rPr>
          <w:rFonts w:hint="eastAsia" w:ascii="仿宋_GB2312" w:hAnsi="仿宋_GB2312" w:eastAsia="仿宋_GB2312" w:cs="仿宋_GB2312"/>
          <w:color w:val="000000"/>
          <w:sz w:val="32"/>
          <w:szCs w:val="32"/>
          <w:lang w:val="en-US" w:eastAsia="zh-CN"/>
        </w:rPr>
        <w:t>全面开展法治副校长深入校园普法宣教活动。员额检察官到辖区内学校进行普法宣教，集全院执法办案中坚力量，以深厚理论的功底和丰富的实践经验在未成年人司法实践和权益保护等方面持续发力。</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rPr>
        <w:t>绩效指标：</w:t>
      </w:r>
      <w:r>
        <w:rPr>
          <w:rFonts w:hint="eastAsia" w:ascii="仿宋_GB2312" w:hAnsi="仿宋_GB2312" w:eastAsia="仿宋_GB2312" w:cs="仿宋_GB2312"/>
          <w:b w:val="0"/>
          <w:bCs w:val="0"/>
          <w:sz w:val="32"/>
          <w:szCs w:val="32"/>
          <w:lang w:val="en-US" w:eastAsia="zh-CN"/>
        </w:rPr>
        <w:t>远程帮教、联合检查、送法进校园</w:t>
      </w:r>
    </w:p>
    <w:p>
      <w:pPr>
        <w:keepNext w:val="0"/>
        <w:keepLines w:val="0"/>
        <w:pageBreakBefore w:val="0"/>
        <w:widowControl w:val="0"/>
        <w:kinsoku/>
        <w:wordWrap/>
        <w:overflowPunct/>
        <w:topLinePunct w:val="0"/>
        <w:bidi w:val="0"/>
        <w:snapToGrid/>
        <w:spacing w:line="560" w:lineRule="exact"/>
        <w:ind w:left="0" w:firstLine="629"/>
        <w:textAlignment w:val="auto"/>
        <w:rPr>
          <w:rFonts w:hint="eastAsia" w:ascii="黑体" w:hAnsi="黑体" w:eastAsia="黑体" w:cs="黑体"/>
          <w:sz w:val="32"/>
          <w:szCs w:val="32"/>
        </w:rPr>
      </w:pPr>
      <w:r>
        <w:rPr>
          <w:rFonts w:hint="eastAsia" w:ascii="黑体" w:hAnsi="黑体" w:eastAsia="黑体" w:cs="黑体"/>
          <w:sz w:val="32"/>
          <w:szCs w:val="32"/>
        </w:rPr>
        <w:t>三、工作保障措施</w:t>
      </w:r>
    </w:p>
    <w:p>
      <w:pPr>
        <w:keepNext w:val="0"/>
        <w:keepLines w:val="0"/>
        <w:pageBreakBefore w:val="0"/>
        <w:widowControl w:val="0"/>
        <w:kinsoku/>
        <w:wordWrap/>
        <w:overflowPunct/>
        <w:topLinePunct w:val="0"/>
        <w:bidi w:val="0"/>
        <w:snapToGrid/>
        <w:spacing w:line="560" w:lineRule="exact"/>
        <w:ind w:left="0" w:firstLine="630"/>
        <w:textAlignment w:val="auto"/>
        <w:rPr>
          <w:rFonts w:hint="eastAsia" w:ascii="仿宋_GB2312" w:hAnsi="Times New Roman" w:eastAsia="仿宋_GB2312" w:cs="Times New Roman"/>
          <w:sz w:val="32"/>
          <w:szCs w:val="32"/>
        </w:rPr>
      </w:pPr>
      <w:r>
        <w:rPr>
          <w:rFonts w:hint="eastAsia" w:ascii="楷体_GB2312" w:hAnsi="楷体_GB2312" w:eastAsia="楷体_GB2312" w:cs="楷体_GB2312"/>
          <w:sz w:val="32"/>
          <w:szCs w:val="32"/>
          <w:lang w:val="en-US" w:eastAsia="zh-CN"/>
        </w:rPr>
        <w:t>（一）完善制度建设。</w:t>
      </w:r>
      <w:r>
        <w:rPr>
          <w:rFonts w:hint="eastAsia" w:ascii="仿宋_GB2312" w:hAnsi="Times New Roman" w:eastAsia="仿宋_GB2312" w:cs="Times New Roman"/>
          <w:sz w:val="32"/>
          <w:szCs w:val="32"/>
        </w:rPr>
        <w:t>包括制定完善预算绩效管理制度、资金管理办法、工作保障制度等，为全年预算绩效目标的实现奠定制度基础。</w:t>
      </w:r>
    </w:p>
    <w:p>
      <w:pPr>
        <w:keepNext w:val="0"/>
        <w:keepLines w:val="0"/>
        <w:pageBreakBefore w:val="0"/>
        <w:widowControl w:val="0"/>
        <w:kinsoku/>
        <w:wordWrap/>
        <w:overflowPunct/>
        <w:topLinePunct w:val="0"/>
        <w:bidi w:val="0"/>
        <w:snapToGrid/>
        <w:spacing w:line="560" w:lineRule="exact"/>
        <w:ind w:left="0" w:firstLine="627" w:firstLineChars="196"/>
        <w:textAlignment w:val="auto"/>
        <w:rPr>
          <w:rFonts w:hint="eastAsia" w:ascii="仿宋_GB2312" w:hAnsi="Times New Roman" w:eastAsia="仿宋_GB2312" w:cs="Times New Roman"/>
          <w:sz w:val="32"/>
          <w:szCs w:val="32"/>
        </w:rPr>
      </w:pPr>
      <w:r>
        <w:rPr>
          <w:rFonts w:hint="eastAsia" w:ascii="楷体_GB2312" w:hAnsi="楷体_GB2312" w:eastAsia="楷体_GB2312" w:cs="楷体_GB2312"/>
          <w:sz w:val="32"/>
          <w:szCs w:val="32"/>
          <w:lang w:val="en-US" w:eastAsia="zh-CN"/>
        </w:rPr>
        <w:t>（二）加强支出管理。</w:t>
      </w:r>
      <w:r>
        <w:rPr>
          <w:rFonts w:hint="eastAsia" w:ascii="仿宋_GB2312" w:hAnsi="Times New Roman" w:eastAsia="仿宋_GB2312" w:cs="Times New Roman"/>
          <w:sz w:val="32"/>
          <w:szCs w:val="32"/>
        </w:rPr>
        <w:t>通过优化支出结构、编细编实预算、加快履行政府采购手续、尽快启动项目、及时支付资金、6月底前细化代编预算、按规定及时下达资金等多种措施，确保支出进度达标。</w:t>
      </w:r>
    </w:p>
    <w:p>
      <w:pPr>
        <w:keepNext w:val="0"/>
        <w:keepLines w:val="0"/>
        <w:pageBreakBefore w:val="0"/>
        <w:widowControl w:val="0"/>
        <w:kinsoku/>
        <w:wordWrap/>
        <w:overflowPunct/>
        <w:topLinePunct w:val="0"/>
        <w:bidi w:val="0"/>
        <w:snapToGrid/>
        <w:spacing w:line="560" w:lineRule="exact"/>
        <w:ind w:left="0" w:firstLine="627" w:firstLineChars="196"/>
        <w:textAlignment w:val="auto"/>
        <w:rPr>
          <w:rFonts w:hint="eastAsia" w:ascii="仿宋_GB2312" w:hAnsi="Times New Roman" w:eastAsia="仿宋_GB2312" w:cs="Times New Roman"/>
          <w:sz w:val="32"/>
          <w:szCs w:val="32"/>
        </w:rPr>
      </w:pPr>
      <w:r>
        <w:rPr>
          <w:rFonts w:hint="eastAsia" w:ascii="楷体_GB2312" w:hAnsi="楷体_GB2312" w:eastAsia="楷体_GB2312" w:cs="楷体_GB2312"/>
          <w:sz w:val="32"/>
          <w:szCs w:val="32"/>
          <w:lang w:val="en-US" w:eastAsia="zh-CN"/>
        </w:rPr>
        <w:t>（三）加强绩效运行监控。</w:t>
      </w:r>
      <w:r>
        <w:rPr>
          <w:rFonts w:hint="eastAsia" w:ascii="仿宋_GB2312" w:hAnsi="Times New Roman" w:eastAsia="仿宋_GB2312" w:cs="Times New Roman"/>
          <w:sz w:val="32"/>
          <w:szCs w:val="32"/>
        </w:rPr>
        <w:t>按要求开展绩效运行监控，发现问题及时采取措施，确保绩效目标如期保质实现。</w:t>
      </w:r>
    </w:p>
    <w:p>
      <w:pPr>
        <w:keepNext w:val="0"/>
        <w:keepLines w:val="0"/>
        <w:pageBreakBefore w:val="0"/>
        <w:widowControl w:val="0"/>
        <w:kinsoku/>
        <w:wordWrap/>
        <w:overflowPunct/>
        <w:topLinePunct w:val="0"/>
        <w:bidi w:val="0"/>
        <w:snapToGrid/>
        <w:spacing w:line="560" w:lineRule="exact"/>
        <w:ind w:left="0" w:firstLine="627" w:firstLineChars="196"/>
        <w:textAlignment w:val="auto"/>
        <w:rPr>
          <w:rFonts w:hint="eastAsia" w:ascii="仿宋_GB2312" w:hAnsi="Times New Roman" w:eastAsia="仿宋_GB2312" w:cs="Times New Roman"/>
          <w:sz w:val="32"/>
          <w:szCs w:val="32"/>
        </w:rPr>
      </w:pPr>
      <w:r>
        <w:rPr>
          <w:rFonts w:hint="eastAsia" w:ascii="楷体_GB2312" w:hAnsi="楷体_GB2312" w:eastAsia="楷体_GB2312" w:cs="楷体_GB2312"/>
          <w:sz w:val="32"/>
          <w:szCs w:val="32"/>
          <w:lang w:val="en-US" w:eastAsia="zh-CN"/>
        </w:rPr>
        <w:t>（四）做好绩效自评。</w:t>
      </w:r>
      <w:r>
        <w:rPr>
          <w:rFonts w:hint="eastAsia" w:ascii="仿宋_GB2312" w:hAnsi="Times New Roman" w:eastAsia="仿宋_GB2312" w:cs="Times New Roman"/>
          <w:sz w:val="32"/>
          <w:szCs w:val="32"/>
        </w:rPr>
        <w:t>按要求开展上年度部门预算绩效自评和重点评价工作，对评价中发现的问题及时整改，调整优化支出结构，提高财政资金使用效益。</w:t>
      </w:r>
    </w:p>
    <w:p>
      <w:pPr>
        <w:keepNext w:val="0"/>
        <w:keepLines w:val="0"/>
        <w:pageBreakBefore w:val="0"/>
        <w:widowControl w:val="0"/>
        <w:kinsoku/>
        <w:wordWrap/>
        <w:overflowPunct/>
        <w:topLinePunct w:val="0"/>
        <w:bidi w:val="0"/>
        <w:snapToGrid/>
        <w:spacing w:line="560" w:lineRule="exact"/>
        <w:ind w:left="0" w:firstLine="630"/>
        <w:textAlignment w:val="auto"/>
        <w:rPr>
          <w:rFonts w:hint="eastAsia" w:ascii="仿宋_GB2312" w:hAnsi="Times New Roman" w:eastAsia="仿宋_GB2312" w:cs="Times New Roman"/>
          <w:sz w:val="32"/>
          <w:szCs w:val="32"/>
        </w:rPr>
      </w:pPr>
      <w:r>
        <w:rPr>
          <w:rFonts w:hint="eastAsia" w:ascii="楷体_GB2312" w:hAnsi="楷体_GB2312" w:eastAsia="楷体_GB2312" w:cs="楷体_GB2312"/>
          <w:sz w:val="32"/>
          <w:szCs w:val="32"/>
          <w:lang w:val="en-US" w:eastAsia="zh-CN"/>
        </w:rPr>
        <w:t>（五）规范财务资产管理。</w:t>
      </w:r>
      <w:r>
        <w:rPr>
          <w:rFonts w:hint="eastAsia" w:ascii="仿宋_GB2312" w:hAnsi="Times New Roman" w:eastAsia="仿宋_GB2312" w:cs="Times New Roman"/>
          <w:sz w:val="32"/>
          <w:szCs w:val="32"/>
        </w:rPr>
        <w:t>完善财务管理制度，严格审批程序，加强固定资产登记、使用和报废处置管理，做到支出合理，物尽其用。</w:t>
      </w:r>
    </w:p>
    <w:p>
      <w:pPr>
        <w:keepNext w:val="0"/>
        <w:keepLines w:val="0"/>
        <w:pageBreakBefore w:val="0"/>
        <w:widowControl w:val="0"/>
        <w:kinsoku/>
        <w:wordWrap/>
        <w:overflowPunct/>
        <w:topLinePunct w:val="0"/>
        <w:bidi w:val="0"/>
        <w:snapToGrid/>
        <w:spacing w:line="560" w:lineRule="exact"/>
        <w:ind w:left="0" w:firstLine="630"/>
        <w:textAlignment w:val="auto"/>
        <w:rPr>
          <w:rFonts w:hint="eastAsia" w:ascii="仿宋" w:hAnsi="仿宋" w:eastAsia="仿宋" w:cs="仿宋"/>
          <w:b/>
          <w:bCs/>
          <w:sz w:val="32"/>
          <w:szCs w:val="32"/>
        </w:rPr>
      </w:pPr>
      <w:r>
        <w:rPr>
          <w:rFonts w:hint="eastAsia" w:ascii="楷体_GB2312" w:hAnsi="楷体_GB2312" w:eastAsia="楷体_GB2312" w:cs="楷体_GB2312"/>
          <w:sz w:val="32"/>
          <w:szCs w:val="32"/>
          <w:lang w:val="en-US" w:eastAsia="zh-CN"/>
        </w:rPr>
        <w:t>（六）加强内部监督。</w:t>
      </w:r>
      <w:r>
        <w:rPr>
          <w:rFonts w:hint="eastAsia" w:ascii="仿宋_GB2312" w:hAnsi="Times New Roman" w:eastAsia="仿宋_GB2312" w:cs="Times New Roman"/>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kinsoku/>
        <w:wordWrap/>
        <w:overflowPunct/>
        <w:topLinePunct w:val="0"/>
        <w:bidi w:val="0"/>
        <w:snapToGrid/>
        <w:spacing w:line="560" w:lineRule="exact"/>
        <w:ind w:left="0"/>
        <w:jc w:val="left"/>
        <w:textAlignment w:val="auto"/>
        <w:rPr>
          <w:rFonts w:hint="eastAsia" w:ascii="方正小标宋_GBK" w:eastAsia="方正小标宋_GBK"/>
          <w:sz w:val="44"/>
          <w:szCs w:val="44"/>
        </w:rPr>
      </w:pPr>
      <w:r>
        <w:rPr>
          <w:rFonts w:hint="eastAsia" w:ascii="楷体_GB2312" w:hAnsi="楷体_GB2312" w:eastAsia="楷体_GB2312" w:cs="楷体_GB2312"/>
          <w:sz w:val="32"/>
          <w:szCs w:val="32"/>
          <w:lang w:val="en-US" w:eastAsia="zh-CN"/>
        </w:rPr>
        <w:t xml:space="preserve">   （七）加强宣传培训调研等</w:t>
      </w:r>
      <w:r>
        <w:rPr>
          <w:rFonts w:hint="eastAsia" w:ascii="楷体" w:hAnsi="楷体" w:eastAsia="楷体" w:cs="楷体"/>
          <w:sz w:val="32"/>
          <w:szCs w:val="32"/>
        </w:rPr>
        <w:t>。</w:t>
      </w:r>
      <w:r>
        <w:rPr>
          <w:rFonts w:hint="eastAsia" w:ascii="仿宋_GB2312" w:hAnsi="Times New Roman" w:eastAsia="仿宋_GB2312" w:cs="Times New Roman"/>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80" w:lineRule="exact"/>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办案业务经费</w:t>
      </w:r>
      <w:r>
        <w:rPr>
          <w:rFonts w:hint="eastAsia" w:ascii="方正小标宋简体" w:hAnsi="方正小标宋简体" w:eastAsia="方正小标宋简体" w:cs="方正小标宋简体"/>
          <w:sz w:val="44"/>
          <w:szCs w:val="44"/>
        </w:rPr>
        <w:t>项目绩效目标表</w:t>
      </w: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kern w:val="0"/>
                <w:sz w:val="20"/>
                <w:szCs w:val="20"/>
                <w:lang w:bidi="ar"/>
              </w:rPr>
            </w:pPr>
            <w:r>
              <w:rPr>
                <w:rFonts w:hint="eastAsia" w:asciiTheme="minorEastAsia" w:hAnsiTheme="minorEastAsia" w:eastAsiaTheme="minorEastAsia" w:cstheme="minorEastAsia"/>
                <w:b/>
                <w:color w:val="000000"/>
                <w:kern w:val="0"/>
                <w:sz w:val="20"/>
                <w:szCs w:val="20"/>
                <w:lang w:bidi="ar"/>
              </w:rPr>
              <w:t>项目</w:t>
            </w:r>
          </w:p>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color w:val="000000"/>
                <w:sz w:val="20"/>
                <w:szCs w:val="20"/>
                <w:lang w:val="en-US" w:eastAsia="zh-CN"/>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kern w:val="0"/>
                <w:sz w:val="20"/>
                <w:szCs w:val="20"/>
                <w:lang w:eastAsia="zh-CN"/>
              </w:rPr>
              <w:t>办案业务经费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b w:val="0"/>
                <w:bCs/>
                <w:color w:val="000000"/>
                <w:sz w:val="20"/>
                <w:szCs w:val="20"/>
                <w:lang w:val="en-US" w:eastAsia="zh-CN"/>
              </w:rPr>
            </w:pPr>
            <w:r>
              <w:rPr>
                <w:rFonts w:hint="eastAsia" w:asciiTheme="minorEastAsia" w:hAnsiTheme="minorEastAsia" w:eastAsiaTheme="minorEastAsia" w:cstheme="minorEastAsia"/>
                <w:b w:val="0"/>
                <w:bCs/>
                <w:color w:val="000000"/>
                <w:sz w:val="20"/>
                <w:szCs w:val="20"/>
                <w:lang w:val="en-US" w:eastAsia="zh-CN"/>
              </w:rPr>
              <w:t>50万元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b w:val="0"/>
                <w:bCs/>
                <w:color w:val="000000"/>
                <w:sz w:val="20"/>
                <w:szCs w:val="20"/>
                <w:lang w:val="en-US" w:eastAsia="zh-CN"/>
              </w:rPr>
            </w:pPr>
            <w:r>
              <w:rPr>
                <w:rFonts w:hint="eastAsia" w:asciiTheme="minorEastAsia" w:hAnsiTheme="minorEastAsia" w:eastAsiaTheme="minorEastAsia" w:cstheme="minorEastAsia"/>
                <w:b w:val="0"/>
                <w:bCs/>
                <w:color w:val="000000"/>
                <w:sz w:val="20"/>
                <w:szCs w:val="20"/>
                <w:lang w:val="en-US" w:eastAsia="zh-CN"/>
              </w:rPr>
              <w:t>50万元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kern w:val="0"/>
                <w:sz w:val="20"/>
                <w:szCs w:val="20"/>
                <w:lang w:bidi="ar"/>
              </w:rPr>
              <w:t xml:space="preserve">  </w:t>
            </w:r>
          </w:p>
        </w:tc>
      </w:tr>
      <w:tr>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主要用于检察日常工作开销、办公费、差旅费、印刷费、维修费、租赁费.</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lang w:val="en-US" w:eastAsia="zh-CN"/>
              </w:rPr>
            </w:pPr>
            <w:r>
              <w:rPr>
                <w:rFonts w:hint="eastAsia" w:asciiTheme="minorEastAsia" w:hAnsiTheme="minorEastAsia" w:eastAsiaTheme="minorEastAsia" w:cstheme="minorEastAsia"/>
                <w:b w:val="0"/>
                <w:bCs/>
                <w:color w:val="000000"/>
                <w:sz w:val="20"/>
                <w:szCs w:val="20"/>
                <w:lang w:val="en-US" w:eastAsia="zh-CN"/>
              </w:rPr>
              <w:t>25%</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50%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80%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日常工作、活动开销</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宣传工作、爱国教育活动</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一级指标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 xml:space="preserve">产出指标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开展宣传方式的品种或数量（次或种）</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p>
          <w:p>
            <w:pPr>
              <w:tabs>
                <w:tab w:val="left" w:pos="675"/>
              </w:tabs>
              <w:bidi w:val="0"/>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ab/>
            </w:r>
            <w:r>
              <w:rPr>
                <w:rFonts w:hint="eastAsia" w:asciiTheme="minorEastAsia" w:hAnsiTheme="minorEastAsia" w:eastAsiaTheme="minorEastAsia" w:cstheme="minorEastAsia"/>
                <w:kern w:val="2"/>
                <w:sz w:val="20"/>
                <w:szCs w:val="20"/>
                <w:lang w:val="en-US" w:eastAsia="zh-CN" w:bidi="ar-SA"/>
              </w:rPr>
              <w:t>反映开展对外宣传形式的多样性</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r>
              <w:rPr>
                <w:rFonts w:hint="eastAsia" w:asciiTheme="minorEastAsia" w:hAnsiTheme="minorEastAsia" w:eastAsiaTheme="minorEastAsia" w:cstheme="minorEastAsia"/>
                <w:color w:val="000000"/>
                <w:kern w:val="0"/>
                <w:sz w:val="20"/>
                <w:szCs w:val="20"/>
                <w:lang w:val="en-US" w:eastAsia="zh-CN" w:bidi="ar"/>
              </w:rPr>
              <w:t>60</w:t>
            </w:r>
            <w:r>
              <w:rPr>
                <w:rFonts w:hint="eastAsia" w:asciiTheme="minorEastAsia" w:hAnsiTheme="minorEastAsia" w:eastAsiaTheme="minorEastAsia" w:cstheme="minorEastAsia"/>
                <w:color w:val="000000"/>
                <w:kern w:val="0"/>
                <w:sz w:val="20"/>
                <w:szCs w:val="20"/>
                <w:lang w:bidi="ar"/>
              </w:rPr>
              <w:t>个</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政策规定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开展各项活动发放宣传品是否合格</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产品是否合格</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行业标准、合同约定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案件完结率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按照要求和计划完成案件</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≥60%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政策规定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开展活动花费是否符合市场价格</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价格是否超标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否</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p>
          <w:p>
            <w:pPr>
              <w:bidi w:val="0"/>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行业标准、合同约定、工作经验</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效果指标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kern w:val="0"/>
                <w:sz w:val="20"/>
                <w:szCs w:val="20"/>
                <w:lang w:eastAsia="zh-CN"/>
              </w:rPr>
              <w:t>工作开展的水平</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kern w:val="0"/>
                <w:sz w:val="20"/>
                <w:szCs w:val="20"/>
              </w:rPr>
              <w:t>水平是否提升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eastAsia="zh-CN"/>
              </w:rPr>
              <w:t>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爱国主义教育基地参观学习人次</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组织前往爱国主义教育基地参观的数量（人次）</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rPr>
              <w:t>≥45人次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上级文件</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b/>
                <w:color w:val="000000"/>
                <w:sz w:val="20"/>
                <w:szCs w:val="20"/>
              </w:rPr>
            </w:pPr>
            <w:r>
              <w:rPr>
                <w:rFonts w:hint="eastAsia" w:asciiTheme="minorEastAsia" w:hAnsiTheme="minorEastAsia" w:eastAsiaTheme="minorEastAsia" w:cstheme="minorEastAsia"/>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上访群众对上访事件处理结果的满意程度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上访群众满意度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rPr>
            </w:pPr>
            <w:r>
              <w:rPr>
                <w:rFonts w:hint="eastAsia" w:ascii="宋体" w:hAnsi="宋体" w:eastAsia="宋体" w:cs="宋体"/>
                <w:color w:val="000000"/>
                <w:sz w:val="20"/>
                <w:szCs w:val="20"/>
              </w:rPr>
              <w:t>≧</w:t>
            </w:r>
            <w:r>
              <w:rPr>
                <w:rFonts w:hint="eastAsia" w:ascii="宋体" w:hAnsi="宋体" w:cs="宋体"/>
                <w:color w:val="000000"/>
                <w:sz w:val="20"/>
                <w:szCs w:val="20"/>
                <w:lang w:val="en-US" w:eastAsia="zh-CN"/>
              </w:rPr>
              <w:t>8</w:t>
            </w:r>
            <w:bookmarkStart w:id="0" w:name="_GoBack"/>
            <w:bookmarkEnd w:id="0"/>
            <w:r>
              <w:rPr>
                <w:rFonts w:hint="eastAsia" w:asciiTheme="minorEastAsia" w:hAnsiTheme="minorEastAsia" w:eastAsiaTheme="minorEastAsia" w:cstheme="minorEastAsia"/>
                <w:color w:val="000000"/>
                <w:sz w:val="20"/>
                <w:szCs w:val="20"/>
              </w:rPr>
              <w:t>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历史经验</w:t>
            </w:r>
          </w:p>
        </w:tc>
      </w:tr>
    </w:tbl>
    <w:p>
      <w:pPr>
        <w:pStyle w:val="2"/>
        <w:rPr>
          <w:rFonts w:hint="eastAsia" w:eastAsia="宋体"/>
          <w:lang w:eastAsia="zh-CN"/>
        </w:rPr>
      </w:pPr>
    </w:p>
    <w:sectPr>
      <w:footerReference r:id="rId3" w:type="default"/>
      <w:pgSz w:w="11906" w:h="16838"/>
      <w:pgMar w:top="2098" w:right="1474" w:bottom="1984" w:left="1531" w:header="1559" w:footer="1559"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4F51F"/>
    <w:multiLevelType w:val="singleLevel"/>
    <w:tmpl w:val="54B4F51F"/>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OWQxN2NlYjRkM2Q4NWZiOWIwOGU1YjkxNTdlYTAifQ=="/>
  </w:docVars>
  <w:rsids>
    <w:rsidRoot w:val="00000000"/>
    <w:rsid w:val="000510B6"/>
    <w:rsid w:val="025B0500"/>
    <w:rsid w:val="02EB4F54"/>
    <w:rsid w:val="048E4DA8"/>
    <w:rsid w:val="092C62D3"/>
    <w:rsid w:val="0A634FF6"/>
    <w:rsid w:val="0A6F3A34"/>
    <w:rsid w:val="0A7C7BC8"/>
    <w:rsid w:val="0AB5604A"/>
    <w:rsid w:val="107A06E2"/>
    <w:rsid w:val="1198128F"/>
    <w:rsid w:val="11F13BBD"/>
    <w:rsid w:val="12A77B18"/>
    <w:rsid w:val="13944DC9"/>
    <w:rsid w:val="143F5C00"/>
    <w:rsid w:val="16F954E2"/>
    <w:rsid w:val="175E461B"/>
    <w:rsid w:val="187745F5"/>
    <w:rsid w:val="18A078D9"/>
    <w:rsid w:val="1CE820CD"/>
    <w:rsid w:val="1DC96C27"/>
    <w:rsid w:val="1E185370"/>
    <w:rsid w:val="1ED2232E"/>
    <w:rsid w:val="22CE6288"/>
    <w:rsid w:val="24625429"/>
    <w:rsid w:val="26172E9E"/>
    <w:rsid w:val="27FB0A2F"/>
    <w:rsid w:val="2B3C33BA"/>
    <w:rsid w:val="2BB91F9A"/>
    <w:rsid w:val="2F77157D"/>
    <w:rsid w:val="33146683"/>
    <w:rsid w:val="34ED6A76"/>
    <w:rsid w:val="37664265"/>
    <w:rsid w:val="39D060DB"/>
    <w:rsid w:val="3DE96B8D"/>
    <w:rsid w:val="405F537F"/>
    <w:rsid w:val="41F462F6"/>
    <w:rsid w:val="42637F6F"/>
    <w:rsid w:val="47C04666"/>
    <w:rsid w:val="497934ED"/>
    <w:rsid w:val="4BB55FCE"/>
    <w:rsid w:val="4E084912"/>
    <w:rsid w:val="4E0B3CE7"/>
    <w:rsid w:val="507E6DD5"/>
    <w:rsid w:val="50CE2E28"/>
    <w:rsid w:val="51941ADB"/>
    <w:rsid w:val="5209616E"/>
    <w:rsid w:val="553D5142"/>
    <w:rsid w:val="568C3813"/>
    <w:rsid w:val="56DA7B85"/>
    <w:rsid w:val="570A44BB"/>
    <w:rsid w:val="591B63F2"/>
    <w:rsid w:val="591E13E6"/>
    <w:rsid w:val="593973ED"/>
    <w:rsid w:val="5BBE65E4"/>
    <w:rsid w:val="5C9E7C16"/>
    <w:rsid w:val="6189397A"/>
    <w:rsid w:val="648670E6"/>
    <w:rsid w:val="650F28E8"/>
    <w:rsid w:val="659D30C0"/>
    <w:rsid w:val="65E41A61"/>
    <w:rsid w:val="66AC1D57"/>
    <w:rsid w:val="66C84DEF"/>
    <w:rsid w:val="692C1198"/>
    <w:rsid w:val="69685DB9"/>
    <w:rsid w:val="6B025725"/>
    <w:rsid w:val="6EDF489D"/>
    <w:rsid w:val="742C2D16"/>
    <w:rsid w:val="7963401A"/>
    <w:rsid w:val="7AFE2F4A"/>
    <w:rsid w:val="7B68758E"/>
    <w:rsid w:val="7C3F6AEB"/>
    <w:rsid w:val="7D3B6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ind w:firstLine="880" w:firstLineChars="200"/>
      <w:outlineLvl w:val="1"/>
    </w:pPr>
    <w:rPr>
      <w:rFonts w:ascii="Arial" w:hAnsi="Arial" w:eastAsia="楷体_GB2312" w:cs="Times New Roman"/>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spacing w:line="360" w:lineRule="auto"/>
      <w:ind w:firstLine="420"/>
    </w:pPr>
  </w:style>
  <w:style w:type="paragraph" w:styleId="6">
    <w:name w:val="Body Text Indent"/>
    <w:basedOn w:val="1"/>
    <w:qFormat/>
    <w:uiPriority w:val="0"/>
    <w:pPr>
      <w:ind w:firstLine="640" w:firstLineChars="200"/>
    </w:pPr>
    <w:rPr>
      <w:rFonts w:eastAsia="仿宋_GB2312"/>
      <w:sz w:val="32"/>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0"/>
    <w:pPr>
      <w:ind w:firstLine="420"/>
    </w:pPr>
  </w:style>
  <w:style w:type="character" w:customStyle="1" w:styleId="13">
    <w:name w:val="font31"/>
    <w:basedOn w:val="12"/>
    <w:qFormat/>
    <w:uiPriority w:val="0"/>
    <w:rPr>
      <w:rFonts w:hint="default" w:ascii="Arial" w:hAnsi="Arial" w:cs="Arial"/>
      <w:color w:val="000000"/>
      <w:sz w:val="18"/>
      <w:szCs w:val="18"/>
      <w:u w:val="none"/>
    </w:rPr>
  </w:style>
  <w:style w:type="character" w:customStyle="1" w:styleId="14">
    <w:name w:val="font21"/>
    <w:basedOn w:val="12"/>
    <w:qFormat/>
    <w:uiPriority w:val="0"/>
    <w:rPr>
      <w:rFonts w:hint="eastAsia" w:ascii="宋体" w:hAnsi="宋体" w:eastAsia="宋体" w:cs="宋体"/>
      <w:color w:val="000000"/>
      <w:sz w:val="18"/>
      <w:szCs w:val="18"/>
      <w:u w:val="none"/>
    </w:rPr>
  </w:style>
  <w:style w:type="character" w:customStyle="1" w:styleId="15">
    <w:name w:val="font11"/>
    <w:basedOn w:val="12"/>
    <w:qFormat/>
    <w:uiPriority w:val="0"/>
    <w:rPr>
      <w:rFonts w:hint="eastAsia" w:ascii="宋体" w:hAnsi="宋体" w:eastAsia="宋体" w:cs="宋体"/>
      <w:color w:val="000000"/>
      <w:sz w:val="21"/>
      <w:szCs w:val="21"/>
      <w:u w:val="none"/>
    </w:rPr>
  </w:style>
  <w:style w:type="character" w:customStyle="1" w:styleId="16">
    <w:name w:val="font01"/>
    <w:basedOn w:val="12"/>
    <w:qFormat/>
    <w:uiPriority w:val="0"/>
    <w:rPr>
      <w:rFonts w:hint="eastAsia" w:ascii="宋体" w:hAnsi="宋体" w:eastAsia="宋体" w:cs="宋体"/>
      <w:color w:val="000000"/>
      <w:sz w:val="21"/>
      <w:szCs w:val="21"/>
      <w:u w:val="none"/>
    </w:rPr>
  </w:style>
  <w:style w:type="character" w:customStyle="1" w:styleId="17">
    <w:name w:val="font4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000000"/>
      <w:sz w:val="22"/>
      <w:szCs w:val="22"/>
      <w:u w:val="none"/>
    </w:rPr>
  </w:style>
  <w:style w:type="character" w:customStyle="1" w:styleId="19">
    <w:name w:val="font101"/>
    <w:qFormat/>
    <w:uiPriority w:val="0"/>
    <w:rPr>
      <w:rFonts w:hint="eastAsia" w:ascii="宋体" w:hAnsi="宋体" w:eastAsia="宋体" w:cs="宋体"/>
      <w:b/>
      <w:color w:val="000000"/>
      <w:sz w:val="20"/>
      <w:szCs w:val="20"/>
      <w:u w:val="none"/>
    </w:rPr>
  </w:style>
  <w:style w:type="character" w:customStyle="1" w:styleId="20">
    <w:name w:val="font71"/>
    <w:qFormat/>
    <w:uiPriority w:val="0"/>
    <w:rPr>
      <w:rFonts w:hint="eastAsia" w:ascii="宋体" w:hAnsi="宋体" w:eastAsia="宋体" w:cs="宋体"/>
      <w:b/>
      <w:color w:val="000000"/>
      <w:sz w:val="20"/>
      <w:szCs w:val="20"/>
      <w:u w:val="none"/>
    </w:rPr>
  </w:style>
  <w:style w:type="character" w:customStyle="1" w:styleId="21">
    <w:name w:val="font12"/>
    <w:qFormat/>
    <w:uiPriority w:val="0"/>
    <w:rPr>
      <w:rFonts w:hint="eastAsia" w:ascii="宋体" w:hAnsi="宋体" w:eastAsia="宋体" w:cs="宋体"/>
      <w:b/>
      <w:color w:val="000000"/>
      <w:sz w:val="20"/>
      <w:szCs w:val="20"/>
      <w:u w:val="single"/>
    </w:rPr>
  </w:style>
  <w:style w:type="character" w:customStyle="1" w:styleId="22">
    <w:name w:val="font91"/>
    <w:qFormat/>
    <w:uiPriority w:val="0"/>
    <w:rPr>
      <w:rFonts w:hint="eastAsia" w:ascii="宋体" w:hAnsi="宋体" w:eastAsia="宋体" w:cs="宋体"/>
      <w:b/>
      <w:color w:val="000000"/>
      <w:sz w:val="20"/>
      <w:szCs w:val="20"/>
      <w:u w:val="single"/>
    </w:rPr>
  </w:style>
  <w:style w:type="character" w:customStyle="1" w:styleId="23">
    <w:name w:val="font81"/>
    <w:qFormat/>
    <w:uiPriority w:val="0"/>
    <w:rPr>
      <w:rFonts w:hint="eastAsia" w:ascii="宋体" w:hAnsi="宋体" w:eastAsia="宋体" w:cs="宋体"/>
      <w:b/>
      <w:color w:val="000000"/>
      <w:sz w:val="20"/>
      <w:szCs w:val="20"/>
      <w:u w:val="non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342</Pages>
  <Words>134396</Words>
  <Characters>140584</Characters>
  <Lines>0</Lines>
  <Paragraphs>0</Paragraphs>
  <TotalTime>1</TotalTime>
  <ScaleCrop>false</ScaleCrop>
  <LinksUpToDate>false</LinksUpToDate>
  <CharactersWithSpaces>141492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2022-01-07T06:35:00Z</dcterms:created>
  <dc:creator>Master</dc:creator>
  <cp:lastModifiedBy>Master</cp:lastModifiedBy>
  <dcterms:modified xsi:type="dcterms:W3CDTF">2023-01-04T03:16:12Z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3BB4AFF7F45547B098344109BE337D29</vt:lpwstr>
  </property>
</Properties>
</file>