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pacing w:line="240" w:lineRule="atLeast"/>
        <w:ind w:firstLineChars="1500" w:firstLine="4738"/>
        <w:jc w:val="both"/>
        <w:rPr>
          <w:rFonts w:ascii="仿宋" w:eastAsia="仿宋" w:cs="仿宋" w:hAnsi="仿宋" w:hint="eastAsia"/>
          <w:bCs/>
          <w:sz w:val="32"/>
          <w:szCs w:val="32"/>
          <w:highlight w:val="cyan"/>
        </w:rPr>
      </w:pPr>
      <w:r>
        <w:rPr>
          <w:rFonts w:ascii="仿宋" w:eastAsia="仿宋" w:cs="仿宋" w:hAnsi="仿宋" w:hint="eastAsia"/>
          <w:bCs/>
          <w:sz w:val="32"/>
          <w:szCs w:val="32"/>
        </w:rPr>
        <w:t>唐高行审环表〔2025〕</w:t>
      </w:r>
      <w:r>
        <w:rPr>
          <w:rFonts w:ascii="仿宋" w:eastAsia="仿宋" w:cs="仿宋" w:hAnsi="仿宋"/>
          <w:bCs/>
          <w:sz w:val="32"/>
          <w:szCs w:val="32"/>
        </w:rPr>
        <w:t>1</w:t>
      </w:r>
      <w:r>
        <w:rPr>
          <w:rFonts w:ascii="仿宋" w:eastAsia="仿宋" w:cs="仿宋" w:hAnsi="仿宋" w:hint="eastAsia"/>
          <w:bCs/>
          <w:sz w:val="32"/>
          <w:szCs w:val="32"/>
        </w:rPr>
        <w:t>号</w:t>
      </w:r>
    </w:p>
    <w:p>
      <w:pPr>
        <w:pStyle w:val="18"/>
        <w:spacing w:line="240" w:lineRule="atLeast"/>
        <w:ind w:firstLineChars="1700" w:firstLine="5370"/>
        <w:jc w:val="both"/>
        <w:rPr>
          <w:rFonts w:ascii="仿宋" w:eastAsia="仿宋" w:cs="仿宋" w:hAnsi="仿宋" w:hint="eastAsia"/>
          <w:bCs/>
          <w:sz w:val="32"/>
          <w:szCs w:val="32"/>
          <w:highlight w:val="none"/>
        </w:rPr>
      </w:pPr>
    </w:p>
    <w:p>
      <w:pPr>
        <w:pStyle w:val="25"/>
        <w:spacing w:line="560" w:lineRule="exact"/>
        <w:jc w:val="center"/>
        <w:rPr>
          <w:rFonts w:ascii="黑体" w:eastAsia="黑体" w:cs="黑体" w:hAnsi="黑体"/>
          <w:color w:val="auto"/>
          <w:w w:val="97"/>
          <w:sz w:val="44"/>
          <w:szCs w:val="44"/>
          <w:highlight w:val="none"/>
        </w:rPr>
      </w:pPr>
      <w:r>
        <w:rPr>
          <w:rFonts w:ascii="黑体" w:eastAsia="黑体" w:cs="黑体" w:hAnsi="黑体" w:hint="eastAsia"/>
          <w:color w:val="auto"/>
          <w:w w:val="97"/>
          <w:sz w:val="44"/>
          <w:szCs w:val="44"/>
          <w:highlight w:val="none"/>
        </w:rPr>
        <w:t>唐山高新技术产业开发区行政审批局</w:t>
      </w:r>
    </w:p>
    <w:p>
      <w:pPr>
        <w:pStyle w:val="18"/>
        <w:spacing w:line="600" w:lineRule="exact"/>
        <w:jc w:val="center"/>
        <w:rPr>
          <w:rFonts w:ascii="黑体" w:eastAsia="黑体" w:cs="黑体" w:hAnsi="黑体" w:hint="eastAsia"/>
          <w:color w:val="auto"/>
          <w:w w:val="97"/>
          <w:sz w:val="44"/>
          <w:szCs w:val="44"/>
          <w:highlight w:val="none"/>
        </w:rPr>
      </w:pPr>
      <w:r>
        <w:rPr>
          <w:rFonts w:ascii="黑体" w:eastAsia="黑体" w:cs="黑体" w:hAnsi="黑体" w:hint="eastAsia"/>
          <w:color w:val="auto"/>
          <w:w w:val="97"/>
          <w:sz w:val="44"/>
          <w:szCs w:val="44"/>
          <w:highlight w:val="none"/>
        </w:rPr>
        <w:t>关</w:t>
      </w:r>
      <w:r>
        <w:rPr>
          <w:rFonts w:ascii="黑体" w:eastAsia="黑体" w:cs="黑体" w:hAnsi="黑体" w:hint="eastAsia"/>
          <w:color w:val="auto"/>
          <w:w w:val="97"/>
          <w:kern w:val="0"/>
          <w:sz w:val="44"/>
          <w:szCs w:val="44"/>
          <w:lang w:val="en-US" w:eastAsia="zh-CN" w:bidi="ar-SA"/>
          <w:highlight w:val="none"/>
        </w:rPr>
        <w:t>于关东精密机械（唐山）有限公司工程机械结构件研发生产基地项目</w:t>
      </w:r>
      <w:r>
        <w:rPr>
          <w:rFonts w:ascii="黑体" w:eastAsia="黑体" w:cs="黑体" w:hAnsi="黑体" w:hint="eastAsia"/>
          <w:color w:val="auto"/>
          <w:w w:val="97"/>
          <w:sz w:val="44"/>
          <w:szCs w:val="44"/>
          <w:highlight w:val="none"/>
        </w:rPr>
        <w:t>环境影响报告</w:t>
      </w:r>
      <w:r>
        <w:rPr>
          <w:rFonts w:ascii="黑体" w:eastAsia="黑体" w:cs="黑体" w:hAnsi="黑体" w:hint="eastAsia"/>
          <w:color w:val="auto"/>
          <w:w w:val="97"/>
          <w:sz w:val="44"/>
          <w:szCs w:val="44"/>
          <w:lang w:val="en-US" w:eastAsia="zh-CN"/>
          <w:highlight w:val="none"/>
        </w:rPr>
        <w:t>表</w:t>
      </w:r>
      <w:r>
        <w:rPr>
          <w:rFonts w:ascii="黑体" w:eastAsia="黑体" w:cs="黑体" w:hAnsi="黑体" w:hint="eastAsia"/>
          <w:color w:val="auto"/>
          <w:w w:val="97"/>
          <w:sz w:val="44"/>
          <w:szCs w:val="44"/>
          <w:highlight w:val="none"/>
        </w:rPr>
        <w:t>的批复</w:t>
      </w:r>
    </w:p>
    <w:p>
      <w:pPr>
        <w:jc w:val="center"/>
        <w:rPr>
          <w:rFonts w:ascii="宋体"/>
          <w:color w:val="auto"/>
          <w:sz w:val="44"/>
          <w:szCs w:val="44"/>
          <w:highlight w:val="none"/>
        </w:rPr>
      </w:pPr>
    </w:p>
    <w:p>
      <w:pPr>
        <w:spacing w:line="520" w:lineRule="exact"/>
        <w:rPr>
          <w:rFonts w:ascii="仿宋" w:eastAsia="仿宋" w:cs="仿宋" w:hAnsi="仿宋" w:hint="eastAsia"/>
          <w:b w:val="0"/>
          <w:bCs/>
          <w:color w:val="auto"/>
          <w:sz w:val="32"/>
          <w:szCs w:val="32"/>
          <w:lang w:val="en-US" w:eastAsia="zh-CN"/>
          <w:highlight w:val="none"/>
        </w:rPr>
      </w:pPr>
      <w:r>
        <w:rPr>
          <w:rFonts w:ascii="仿宋" w:eastAsia="仿宋" w:cs="仿宋" w:hAnsi="仿宋" w:hint="eastAsia"/>
          <w:b w:val="0"/>
          <w:bCs/>
          <w:color w:val="auto"/>
          <w:sz w:val="32"/>
          <w:szCs w:val="32"/>
          <w:lang w:val="en-US" w:eastAsia="zh-CN"/>
          <w:highlight w:val="none"/>
        </w:rPr>
        <w:t>关东精密机械（唐山）有限公司：</w:t>
      </w:r>
    </w:p>
    <w:p>
      <w:pPr>
        <w:spacing w:line="520" w:lineRule="exact"/>
        <w:ind w:left="0" w:firstLineChars="200" w:firstLine="632"/>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val="en-US" w:eastAsia="zh-CN"/>
          <w:highlight w:val="none"/>
        </w:rPr>
        <w:t>你公司所报《关东精密机械（唐山）有限公司工程机械结构件研发生产基地项目》（</w:t>
      </w:r>
      <w:r>
        <w:rPr>
          <w:rFonts w:ascii="仿宋" w:eastAsia="仿宋" w:cs="仿宋" w:hAnsi="仿宋" w:hint="eastAsia"/>
          <w:b w:val="0"/>
          <w:bCs/>
          <w:color w:val="auto"/>
          <w:sz w:val="32"/>
          <w:szCs w:val="32"/>
          <w:lang w:eastAsia="zh-CN"/>
          <w:highlight w:val="none"/>
        </w:rPr>
        <w:t>以下简称《报告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w:t>
      </w:r>
      <w:r>
        <w:rPr>
          <w:rFonts w:ascii="仿宋" w:eastAsia="仿宋" w:cs="仿宋" w:hAnsi="仿宋" w:hint="eastAsia"/>
          <w:b w:val="0"/>
          <w:bCs/>
          <w:color w:val="auto"/>
          <w:sz w:val="32"/>
          <w:szCs w:val="32"/>
          <w:lang w:val="en-US" w:eastAsia="zh-CN"/>
          <w:highlight w:val="none"/>
        </w:rPr>
        <w:t>及</w:t>
      </w:r>
      <w:r>
        <w:rPr>
          <w:rFonts w:ascii="仿宋" w:eastAsia="仿宋" w:cs="仿宋" w:hAnsi="仿宋" w:hint="eastAsia"/>
          <w:b w:val="0"/>
          <w:bCs/>
          <w:color w:val="auto"/>
          <w:sz w:val="32"/>
          <w:szCs w:val="32"/>
          <w:lang w:eastAsia="zh-CN"/>
          <w:highlight w:val="none"/>
        </w:rPr>
        <w:t>审批申请</w:t>
      </w:r>
      <w:r>
        <w:rPr>
          <w:rFonts w:ascii="仿宋" w:eastAsia="仿宋" w:cs="仿宋" w:hAnsi="仿宋" w:hint="eastAsia"/>
          <w:b w:val="0"/>
          <w:bCs/>
          <w:color w:val="auto"/>
          <w:sz w:val="32"/>
          <w:szCs w:val="32"/>
          <w:lang w:val="en-US" w:eastAsia="zh-CN"/>
          <w:highlight w:val="none"/>
        </w:rPr>
        <w:t>等</w:t>
      </w:r>
      <w:r>
        <w:rPr>
          <w:rFonts w:ascii="仿宋" w:eastAsia="仿宋" w:cs="仿宋" w:hAnsi="仿宋" w:hint="eastAsia"/>
          <w:b w:val="0"/>
          <w:bCs/>
          <w:color w:val="auto"/>
          <w:sz w:val="32"/>
          <w:szCs w:val="32"/>
          <w:lang w:eastAsia="zh-CN"/>
          <w:highlight w:val="none"/>
        </w:rPr>
        <w:t>相关材料</w:t>
      </w:r>
      <w:r>
        <w:rPr>
          <w:rFonts w:ascii="仿宋" w:eastAsia="仿宋" w:cs="仿宋" w:hAnsi="仿宋" w:hint="eastAsia"/>
          <w:b w:val="0"/>
          <w:bCs/>
          <w:color w:val="auto"/>
          <w:sz w:val="32"/>
          <w:szCs w:val="32"/>
          <w:lang w:val="en-US" w:eastAsia="zh-CN"/>
          <w:highlight w:val="none"/>
        </w:rPr>
        <w:t>我局已</w:t>
      </w:r>
      <w:r>
        <w:rPr>
          <w:rFonts w:ascii="仿宋" w:eastAsia="仿宋" w:cs="仿宋" w:hAnsi="仿宋" w:hint="eastAsia"/>
          <w:b w:val="0"/>
          <w:bCs/>
          <w:color w:val="auto"/>
          <w:sz w:val="32"/>
          <w:szCs w:val="32"/>
          <w:lang w:eastAsia="zh-CN"/>
          <w:highlight w:val="none"/>
        </w:rPr>
        <w:t>收悉。根据《报告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结论、专家评审意见，结合工程环境影响特点，经研究，现批复如下：</w:t>
      </w:r>
    </w:p>
    <w:p>
      <w:pPr>
        <w:spacing w:line="520" w:lineRule="exact"/>
        <w:ind w:left="0" w:firstLineChars="200" w:firstLine="632"/>
        <w:rPr>
          <w:rFonts w:ascii="仿宋" w:eastAsia="仿宋" w:cs="仿宋" w:hAnsi="仿宋" w:hint="eastAsia"/>
          <w:b w:val="0"/>
          <w:bCs/>
          <w:color w:val="auto"/>
          <w:sz w:val="32"/>
          <w:szCs w:val="32"/>
          <w:lang w:val="en-US" w:eastAsia="zh-CN"/>
          <w:highlight w:val="none"/>
        </w:rPr>
      </w:pPr>
      <w:r>
        <w:rPr>
          <w:rFonts w:ascii="仿宋" w:eastAsia="仿宋" w:cs="仿宋" w:hAnsi="仿宋"/>
          <w:b w:val="0"/>
          <w:bCs/>
          <w:color w:val="auto"/>
          <w:sz w:val="32"/>
          <w:szCs w:val="32"/>
          <w:lang w:val="en-US" w:eastAsia="zh-CN"/>
          <w:highlight w:val="none"/>
        </w:rPr>
        <w:t>项目位于</w:t>
      </w:r>
      <w:r>
        <w:rPr>
          <w:rFonts w:ascii="仿宋" w:eastAsia="仿宋" w:cs="仿宋" w:hAnsi="仿宋" w:hint="eastAsia"/>
          <w:b w:val="0"/>
          <w:bCs/>
          <w:color w:val="auto"/>
          <w:sz w:val="32"/>
          <w:szCs w:val="32"/>
          <w:lang w:val="en-US" w:eastAsia="zh-CN"/>
          <w:highlight w:val="none"/>
        </w:rPr>
        <w:t>河北省唐山市高新技术开发区龙泽路西侧高新道南侧</w:t>
      </w:r>
      <w:r>
        <w:rPr>
          <w:rFonts w:ascii="仿宋" w:eastAsia="仿宋" w:cs="仿宋" w:hAnsi="仿宋"/>
          <w:b w:val="0"/>
          <w:bCs/>
          <w:color w:val="auto"/>
          <w:sz w:val="32"/>
          <w:szCs w:val="32"/>
          <w:lang w:val="en-US" w:eastAsia="zh-CN"/>
          <w:highlight w:val="none"/>
        </w:rPr>
        <w:t>，项目总投资</w:t>
      </w:r>
      <w:r>
        <w:rPr>
          <w:rFonts w:ascii="仿宋" w:eastAsia="仿宋" w:cs="仿宋" w:hAnsi="仿宋" w:hint="eastAsia"/>
          <w:b w:val="0"/>
          <w:bCs/>
          <w:color w:val="auto"/>
          <w:sz w:val="32"/>
          <w:szCs w:val="32"/>
          <w:lang w:val="en-US" w:eastAsia="zh-CN"/>
          <w:highlight w:val="none"/>
        </w:rPr>
        <w:t>13520</w:t>
      </w:r>
      <w:r>
        <w:rPr>
          <w:rFonts w:ascii="仿宋" w:eastAsia="仿宋" w:cs="仿宋" w:hAnsi="仿宋"/>
          <w:b w:val="0"/>
          <w:bCs/>
          <w:color w:val="auto"/>
          <w:sz w:val="32"/>
          <w:szCs w:val="32"/>
          <w:lang w:val="en-US" w:eastAsia="zh-CN"/>
          <w:highlight w:val="none"/>
        </w:rPr>
        <w:t>万元，其中环保投资</w:t>
      </w:r>
      <w:r>
        <w:rPr>
          <w:rFonts w:ascii="仿宋" w:eastAsia="仿宋" w:cs="仿宋" w:hAnsi="仿宋" w:hint="eastAsia"/>
          <w:b w:val="0"/>
          <w:bCs/>
          <w:color w:val="auto"/>
          <w:sz w:val="32"/>
          <w:szCs w:val="32"/>
          <w:lang w:val="en-US" w:eastAsia="zh-CN"/>
          <w:highlight w:val="none"/>
        </w:rPr>
        <w:t>800</w:t>
      </w:r>
      <w:r>
        <w:rPr>
          <w:rFonts w:ascii="仿宋" w:eastAsia="仿宋" w:cs="仿宋" w:hAnsi="仿宋"/>
          <w:b w:val="0"/>
          <w:bCs/>
          <w:color w:val="auto"/>
          <w:sz w:val="32"/>
          <w:szCs w:val="32"/>
          <w:lang w:val="en-US" w:eastAsia="zh-CN"/>
          <w:highlight w:val="none"/>
        </w:rPr>
        <w:t>万元。项目建成后</w:t>
      </w:r>
      <w:r>
        <w:rPr>
          <w:rFonts w:ascii="仿宋" w:eastAsia="仿宋" w:cs="仿宋" w:hAnsi="仿宋" w:hint="eastAsia"/>
          <w:b w:val="0"/>
          <w:bCs/>
          <w:color w:val="auto"/>
          <w:sz w:val="32"/>
          <w:szCs w:val="32"/>
          <w:lang w:val="en-US" w:eastAsia="zh-CN"/>
          <w:highlight w:val="none"/>
        </w:rPr>
        <w:t>1.5万台套工程机械焊接结构件</w:t>
      </w:r>
      <w:r>
        <w:rPr>
          <w:rFonts w:ascii="仿宋" w:eastAsia="仿宋" w:cs="仿宋" w:hAnsi="仿宋"/>
          <w:b w:val="0"/>
          <w:bCs/>
          <w:color w:val="auto"/>
          <w:sz w:val="32"/>
          <w:szCs w:val="32"/>
          <w:lang w:val="en-US" w:eastAsia="zh-CN"/>
          <w:highlight w:val="none"/>
        </w:rPr>
        <w:t>。</w:t>
      </w:r>
    </w:p>
    <w:p>
      <w:pPr>
        <w:spacing w:line="520" w:lineRule="exact"/>
        <w:ind w:left="0"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根据你公司所报《报告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》以及报告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Cs/>
          <w:color w:val="auto"/>
          <w:sz w:val="32"/>
          <w:szCs w:val="32"/>
          <w:lang w:val="en-US" w:eastAsia="zh-CN"/>
          <w:highlight w:val="none"/>
        </w:rPr>
        <w:t>技术评估</w:t>
      </w:r>
      <w:r>
        <w:rPr>
          <w:rFonts w:ascii="仿宋" w:eastAsia="仿宋" w:cs="仿宋" w:hAnsi="仿宋" w:hint="eastAsia"/>
          <w:bCs/>
          <w:color w:val="auto"/>
          <w:sz w:val="32"/>
          <w:szCs w:val="32"/>
          <w:highlight w:val="none"/>
        </w:rPr>
        <w:t>意见</w:t>
      </w:r>
      <w:r>
        <w:rPr>
          <w:rFonts w:ascii="仿宋" w:eastAsia="仿宋" w:cs="仿宋" w:hAnsi="仿宋" w:hint="eastAsia"/>
          <w:b w:val="0"/>
          <w:bCs/>
          <w:color w:val="auto"/>
          <w:sz w:val="32"/>
          <w:szCs w:val="32"/>
          <w:lang w:eastAsia="zh-CN"/>
          <w:highlight w:val="none"/>
        </w:rPr>
        <w:t>，</w:t>
      </w:r>
      <w:r>
        <w:rPr>
          <w:rFonts w:ascii="仿宋" w:eastAsia="仿宋" w:cs="仿宋" w:hAnsi="仿宋" w:hint="eastAsia"/>
          <w:b w:val="0"/>
          <w:bCs/>
          <w:color w:val="auto"/>
          <w:sz w:val="32"/>
          <w:szCs w:val="32"/>
          <w:highlight w:val="none"/>
        </w:rPr>
        <w:t>从环境保护角度分析，我局原则</w:t>
      </w:r>
      <w:r>
        <w:rPr>
          <w:rFonts w:ascii="仿宋" w:eastAsia="仿宋" w:cs="仿宋" w:hAnsi="仿宋" w:hint="eastAsia"/>
          <w:b w:val="0"/>
          <w:bCs/>
          <w:color w:val="auto"/>
          <w:sz w:val="32"/>
          <w:szCs w:val="32"/>
          <w:lang w:val="en-US" w:eastAsia="zh-CN"/>
          <w:highlight w:val="none"/>
        </w:rPr>
        <w:t>上</w:t>
      </w:r>
      <w:r>
        <w:rPr>
          <w:rFonts w:ascii="仿宋" w:eastAsia="仿宋" w:cs="仿宋" w:hAnsi="仿宋" w:hint="eastAsia"/>
          <w:b w:val="0"/>
          <w:bCs/>
          <w:color w:val="auto"/>
          <w:sz w:val="32"/>
          <w:szCs w:val="32"/>
          <w:highlight w:val="none"/>
        </w:rPr>
        <w:t>同意《报告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》结论。</w:t>
      </w:r>
    </w:p>
    <w:p>
      <w:pPr>
        <w:spacing w:line="520" w:lineRule="exact"/>
        <w:ind w:left="0"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lang w:eastAsia="zh-CN"/>
          <w:highlight w:val="none"/>
        </w:rPr>
        <w:t>一、</w:t>
      </w:r>
      <w:r>
        <w:rPr>
          <w:rFonts w:ascii="仿宋" w:eastAsia="仿宋" w:cs="仿宋" w:hAnsi="仿宋" w:hint="eastAsia"/>
          <w:b w:val="0"/>
          <w:bCs/>
          <w:color w:val="auto"/>
          <w:sz w:val="32"/>
          <w:szCs w:val="32"/>
          <w:highlight w:val="none"/>
        </w:rPr>
        <w:t>你公司须严格按照《报告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》所列建设项目的性质、规模、地点、生产工艺、环保措施及要</w:t>
      </w:r>
      <w:bookmarkStart w:id="0" w:name="_GoBack"/>
      <w:bookmarkEnd w:id="0"/>
      <w:r>
        <w:rPr>
          <w:rFonts w:ascii="仿宋" w:eastAsia="仿宋" w:cs="仿宋" w:hAnsi="仿宋" w:hint="eastAsia"/>
          <w:b w:val="0"/>
          <w:bCs/>
          <w:color w:val="auto"/>
          <w:sz w:val="32"/>
          <w:szCs w:val="32"/>
          <w:highlight w:val="none"/>
        </w:rPr>
        <w:t>求实施项目建设。</w:t>
      </w:r>
    </w:p>
    <w:p>
      <w:pPr>
        <w:spacing w:line="520" w:lineRule="exact"/>
        <w:ind w:left="0" w:firstLineChars="200" w:firstLine="632"/>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二、项目建设和运行过程中要认真落实《报告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》及相关</w:t>
      </w:r>
    </w:p>
    <w:p>
      <w:pPr>
        <w:spacing w:line="520" w:lineRule="exact"/>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的各项污染防治措施，</w:t>
      </w:r>
      <w:r>
        <w:rPr>
          <w:rFonts w:ascii="仿宋" w:eastAsia="仿宋" w:cs="仿宋" w:hAnsi="仿宋" w:hint="eastAsia"/>
          <w:b w:val="0"/>
          <w:bCs/>
          <w:color w:val="auto"/>
          <w:sz w:val="32"/>
          <w:szCs w:val="32"/>
          <w:lang w:val="en-US" w:eastAsia="zh-CN"/>
          <w:highlight w:val="none"/>
        </w:rPr>
        <w:t>并</w:t>
      </w:r>
      <w:r>
        <w:rPr>
          <w:rFonts w:ascii="仿宋" w:eastAsia="仿宋" w:cs="仿宋" w:hAnsi="仿宋" w:hint="eastAsia"/>
          <w:b w:val="0"/>
          <w:bCs/>
          <w:color w:val="auto"/>
          <w:sz w:val="32"/>
          <w:szCs w:val="32"/>
          <w:lang w:eastAsia="zh-CN"/>
          <w:highlight w:val="none"/>
        </w:rPr>
        <w:t>重点做好以下工作：</w:t>
      </w:r>
    </w:p>
    <w:p>
      <w:pPr>
        <w:keepNext w:val="0"/>
        <w:keepLines w:val="0"/>
        <w:widowControl/>
        <w:suppressLineNumbers w:val="0"/>
        <w:ind w:firstLineChars="200" w:firstLine="632"/>
        <w:jc w:val="left"/>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（一）加强施工期管理，严格按照《报告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》要求认真落实施工期各项污染防治措施，确保达到环保要求。</w:t>
      </w:r>
    </w:p>
    <w:p>
      <w:pPr>
        <w:keepNext w:val="0"/>
        <w:keepLines w:val="0"/>
        <w:widowControl/>
        <w:suppressLineNumbers w:val="0"/>
        <w:ind w:firstLineChars="200" w:firstLine="632"/>
        <w:jc w:val="left"/>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val="en-US" w:eastAsia="zh-CN"/>
          <w:highlight w:val="none"/>
        </w:rPr>
        <w:t>二</w:t>
      </w:r>
      <w:r>
        <w:rPr>
          <w:rFonts w:ascii="仿宋" w:eastAsia="仿宋" w:cs="仿宋" w:hAnsi="仿宋" w:hint="eastAsia"/>
          <w:b w:val="0"/>
          <w:bCs/>
          <w:color w:val="auto"/>
          <w:sz w:val="32"/>
          <w:szCs w:val="32"/>
          <w:highlight w:val="none"/>
        </w:rPr>
        <w:t>）严格落实水环境保护措施。</w:t>
      </w:r>
    </w:p>
    <w:p>
      <w:pPr>
        <w:keepNext w:val="0"/>
        <w:keepLines w:val="0"/>
        <w:widowControl/>
        <w:suppressLineNumbers w:val="0"/>
        <w:ind w:firstLineChars="200" w:firstLine="632"/>
        <w:jc w:val="left"/>
        <w:rPr>
          <w:rFonts w:ascii="仿宋" w:eastAsia="仿宋" w:cs="仿宋" w:hAnsi="仿宋"/>
          <w:b w:val="0"/>
          <w:bCs/>
          <w:color w:val="auto"/>
          <w:sz w:val="32"/>
          <w:szCs w:val="32"/>
          <w:lang w:val="en-US" w:eastAsia="zh-CN"/>
          <w:highlight w:val="none"/>
        </w:rPr>
      </w:pPr>
      <w:r>
        <w:rPr>
          <w:rFonts w:ascii="仿宋" w:eastAsia="仿宋" w:cs="仿宋" w:hAnsi="仿宋" w:hint="eastAsia"/>
          <w:b w:val="0"/>
          <w:bCs/>
          <w:color w:val="auto"/>
          <w:sz w:val="32"/>
          <w:szCs w:val="32"/>
          <w:lang w:val="en-US" w:eastAsia="zh-CN"/>
          <w:highlight w:val="none"/>
        </w:rPr>
        <w:t>本项目无生产废水产生</w:t>
      </w:r>
      <w:r>
        <w:rPr>
          <w:rFonts w:ascii="仿宋" w:eastAsia="仿宋" w:cs="仿宋" w:hAnsi="仿宋"/>
          <w:b w:val="0"/>
          <w:bCs/>
          <w:color w:val="auto"/>
          <w:sz w:val="32"/>
          <w:szCs w:val="32"/>
          <w:lang w:val="en-US" w:eastAsia="zh-CN"/>
          <w:highlight w:val="none"/>
        </w:rPr>
        <w:t>；生活污水经现有化粪池排入市政污水管网。</w:t>
      </w:r>
    </w:p>
    <w:p>
      <w:pPr>
        <w:keepNext w:val="0"/>
        <w:keepLines w:val="0"/>
        <w:widowControl/>
        <w:suppressLineNumbers w:val="0"/>
        <w:ind w:firstLineChars="200" w:firstLine="632"/>
        <w:jc w:val="left"/>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eastAsia="zh-CN"/>
          <w:highlight w:val="none"/>
        </w:rPr>
        <w:t>三</w:t>
      </w:r>
      <w:r>
        <w:rPr>
          <w:rFonts w:ascii="仿宋" w:eastAsia="仿宋" w:cs="仿宋" w:hAnsi="仿宋" w:hint="eastAsia"/>
          <w:b w:val="0"/>
          <w:bCs/>
          <w:color w:val="auto"/>
          <w:sz w:val="32"/>
          <w:szCs w:val="32"/>
          <w:highlight w:val="none"/>
        </w:rPr>
        <w:t>）严格落实</w:t>
      </w:r>
      <w:r>
        <w:rPr>
          <w:rFonts w:ascii="仿宋" w:eastAsia="仿宋" w:cs="仿宋" w:hAnsi="仿宋" w:hint="eastAsia"/>
          <w:b w:val="0"/>
          <w:bCs/>
          <w:color w:val="auto"/>
          <w:sz w:val="32"/>
          <w:szCs w:val="32"/>
          <w:lang w:val="en-US" w:eastAsia="zh-CN"/>
          <w:highlight w:val="none"/>
        </w:rPr>
        <w:t>大气</w:t>
      </w:r>
      <w:r>
        <w:rPr>
          <w:rFonts w:ascii="仿宋" w:eastAsia="仿宋" w:cs="仿宋" w:hAnsi="仿宋" w:hint="eastAsia"/>
          <w:b w:val="0"/>
          <w:bCs/>
          <w:color w:val="auto"/>
          <w:sz w:val="32"/>
          <w:szCs w:val="32"/>
          <w:highlight w:val="none"/>
        </w:rPr>
        <w:t>环境保护措施。</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b w:val="0"/>
          <w:bCs/>
          <w:color w:val="auto"/>
          <w:sz w:val="32"/>
          <w:szCs w:val="32"/>
          <w:lang w:val="en-US" w:eastAsia="zh-CN"/>
          <w:highlight w:val="none"/>
        </w:rPr>
      </w:pPr>
      <w:r>
        <w:rPr>
          <w:rFonts w:ascii="仿宋" w:eastAsia="仿宋" w:cs="仿宋" w:hAnsi="仿宋"/>
          <w:b w:val="0"/>
          <w:bCs/>
          <w:color w:val="auto"/>
          <w:sz w:val="32"/>
          <w:szCs w:val="32"/>
          <w:lang w:val="en-US" w:eastAsia="zh-CN"/>
          <w:highlight w:val="none"/>
        </w:rPr>
        <w:t>项目</w:t>
      </w:r>
      <w:r>
        <w:rPr>
          <w:rFonts w:ascii="仿宋" w:eastAsia="仿宋" w:cs="仿宋" w:hAnsi="仿宋" w:hint="eastAsia"/>
          <w:b w:val="0"/>
          <w:bCs/>
          <w:color w:val="auto"/>
          <w:sz w:val="32"/>
          <w:szCs w:val="32"/>
          <w:lang w:val="en-US" w:eastAsia="zh-CN"/>
          <w:highlight w:val="none"/>
        </w:rPr>
        <w:t>切割产生的</w:t>
      </w:r>
      <w:r>
        <w:rPr>
          <w:rFonts w:ascii="仿宋" w:eastAsia="仿宋" w:cs="仿宋" w:hAnsi="仿宋"/>
          <w:b w:val="0"/>
          <w:bCs/>
          <w:color w:val="auto"/>
          <w:sz w:val="32"/>
          <w:szCs w:val="32"/>
          <w:lang w:val="en-US" w:eastAsia="zh-CN"/>
          <w:highlight w:val="none"/>
        </w:rPr>
        <w:t>废气由</w:t>
      </w:r>
      <w:r>
        <w:rPr>
          <w:rFonts w:ascii="仿宋" w:eastAsia="仿宋" w:cs="仿宋" w:hAnsi="仿宋" w:hint="eastAsia"/>
          <w:b w:val="0"/>
          <w:bCs/>
          <w:color w:val="auto"/>
          <w:sz w:val="32"/>
          <w:szCs w:val="32"/>
          <w:lang w:val="en-US" w:eastAsia="zh-CN"/>
          <w:highlight w:val="none"/>
        </w:rPr>
        <w:t>脉冲布袋除尘器</w:t>
      </w:r>
      <w:r>
        <w:rPr>
          <w:rFonts w:ascii="仿宋" w:eastAsia="仿宋" w:cs="仿宋" w:hAnsi="仿宋"/>
          <w:b w:val="0"/>
          <w:bCs/>
          <w:color w:val="auto"/>
          <w:sz w:val="32"/>
          <w:szCs w:val="32"/>
          <w:lang w:val="en-US" w:eastAsia="zh-CN"/>
          <w:highlight w:val="none"/>
        </w:rPr>
        <w:t>处理后通过排气筒排放，</w:t>
      </w:r>
      <w:r>
        <w:rPr>
          <w:rFonts w:ascii="仿宋" w:eastAsia="仿宋" w:cs="仿宋" w:hAnsi="仿宋" w:hint="eastAsia"/>
          <w:b w:val="0"/>
          <w:bCs/>
          <w:color w:val="auto"/>
          <w:sz w:val="32"/>
          <w:szCs w:val="32"/>
          <w:lang w:val="en-US" w:eastAsia="zh-CN"/>
          <w:highlight w:val="none"/>
        </w:rPr>
        <w:t>颗粒物</w:t>
      </w:r>
      <w:r>
        <w:rPr>
          <w:rFonts w:ascii="仿宋" w:eastAsia="仿宋" w:cs="仿宋" w:hAnsi="仿宋"/>
          <w:b w:val="0"/>
          <w:bCs/>
          <w:color w:val="auto"/>
          <w:sz w:val="32"/>
          <w:szCs w:val="32"/>
          <w:lang w:val="en-US" w:eastAsia="zh-CN"/>
          <w:highlight w:val="none"/>
        </w:rPr>
        <w:t>有组织排放浓度满足《大气污染物综合排放标准》（GB16297-1996）</w:t>
      </w:r>
      <w:r>
        <w:rPr>
          <w:rFonts w:ascii="仿宋" w:eastAsia="仿宋" w:cs="仿宋" w:hAnsi="仿宋" w:hint="eastAsia"/>
          <w:b w:val="0"/>
          <w:bCs/>
          <w:color w:val="auto"/>
          <w:sz w:val="32"/>
          <w:szCs w:val="32"/>
          <w:lang w:val="en-US" w:eastAsia="zh-CN"/>
          <w:highlight w:val="none"/>
        </w:rPr>
        <w:t>表2限值要求，同时满足</w:t>
      </w:r>
      <w:r>
        <w:rPr>
          <w:rFonts w:ascii="仿宋" w:eastAsia="仿宋" w:cs="仿宋" w:hAnsi="仿宋"/>
          <w:b w:val="0"/>
          <w:bCs/>
          <w:color w:val="auto"/>
          <w:sz w:val="32"/>
          <w:szCs w:val="32"/>
          <w:lang w:val="en-US" w:eastAsia="zh-CN"/>
          <w:highlight w:val="none"/>
        </w:rPr>
        <w:t>《钢铁工业大气污染物超低排放标准》（DB13/2169-2018）表</w:t>
      </w:r>
      <w:r>
        <w:rPr>
          <w:rFonts w:ascii="仿宋" w:eastAsia="仿宋" w:cs="仿宋" w:hAnsi="仿宋" w:hint="eastAsia"/>
          <w:b w:val="0"/>
          <w:bCs/>
          <w:color w:val="auto"/>
          <w:sz w:val="32"/>
          <w:szCs w:val="32"/>
          <w:lang w:val="en-US" w:eastAsia="zh-CN"/>
          <w:highlight w:val="none"/>
        </w:rPr>
        <w:t>1</w:t>
      </w:r>
      <w:r>
        <w:rPr>
          <w:rFonts w:ascii="仿宋" w:eastAsia="仿宋" w:cs="仿宋" w:hAnsi="仿宋"/>
          <w:b w:val="0"/>
          <w:bCs/>
          <w:color w:val="auto"/>
          <w:sz w:val="32"/>
          <w:szCs w:val="32"/>
          <w:lang w:val="en-US" w:eastAsia="zh-CN"/>
          <w:highlight w:val="none"/>
        </w:rPr>
        <w:t>中排放限值要求</w:t>
      </w:r>
      <w:r>
        <w:rPr>
          <w:rFonts w:ascii="仿宋" w:eastAsia="仿宋" w:cs="仿宋" w:hAnsi="仿宋" w:hint="eastAsia"/>
          <w:b w:val="0"/>
          <w:bCs/>
          <w:color w:val="auto"/>
          <w:sz w:val="32"/>
          <w:szCs w:val="32"/>
          <w:lang w:val="en-US" w:eastAsia="zh-CN"/>
          <w:highlight w:val="none"/>
        </w:rPr>
        <w:t>。抛丸产生的废气及车间整体除尘由滤筒除尘器处理后通过排气筒排放，颗粒物有组织排放浓度满足《大气污染物综合排放标准》（GB16297-1996）表2限值要求，同时满足《钢铁工业大气污染物超低排放标准》（DB13/2169-2018）表1中排放限值要求。</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hint="eastAsia"/>
          <w:b w:val="0"/>
          <w:bCs/>
          <w:color w:val="auto"/>
          <w:sz w:val="32"/>
          <w:szCs w:val="32"/>
          <w:lang w:val="en-US" w:eastAsia="zh-CN"/>
          <w:highlight w:val="none"/>
        </w:rPr>
      </w:pPr>
      <w:r>
        <w:rPr>
          <w:rFonts w:ascii="仿宋" w:eastAsia="仿宋" w:cs="仿宋" w:hAnsi="仿宋" w:hint="eastAsia"/>
          <w:b w:val="0"/>
          <w:bCs/>
          <w:color w:val="auto"/>
          <w:sz w:val="32"/>
          <w:szCs w:val="32"/>
          <w:lang w:val="en-US" w:eastAsia="zh-CN"/>
          <w:highlight w:val="none"/>
        </w:rPr>
        <w:t>喷漆、烘干工序、打腻子产生的废气由干式过滤+分子筛转轮+RTO蓄热燃烧处理后通过排气筒排放，二氧化硫、氮氧化物有组织排放浓度及烟气黑度满足《工业炉窑大气污染物排放标准》(DB13/1640-2012）其他炉窑标准及《关于印发2019 年〈十项重点工作”工作方案〉的通知》（唐办发〔2019〕3号）中相关要求；颗粒物有组织排放浓度满足《大气污染物综合排放标准》（GB16297-1996）表2中排放限值要求；非甲烷总烃有组织排放浓度满足《工业企业挥发性有机物排放控制标准》（DB13/2322-2016）表1排放限值要求，并同时满足《重污染天气重点行业应急减排措施制定技术指南》（2021年修订版）-重污染天气重点行业绩效分级及减排措施-三十九、工业涂装-B级企业限值要求；苯乙烯满足《恶臭污染物排放标准》（GB14554-93）表2排放限值要求。</w:t>
      </w:r>
    </w:p>
    <w:p>
      <w:pPr>
        <w:pStyle w:val="16"/>
        <w:rPr>
          <w:rFonts w:ascii="仿宋" w:eastAsia="仿宋" w:cs="仿宋" w:hAnsi="仿宋"/>
          <w:b w:val="0"/>
          <w:bCs/>
          <w:color w:val="auto"/>
          <w:kern w:val="2"/>
          <w:sz w:val="32"/>
          <w:szCs w:val="32"/>
          <w:lang w:val="en-US" w:eastAsia="zh-CN" w:bidi="ar-SA"/>
          <w:highlight w:val="none"/>
        </w:rPr>
      </w:pPr>
      <w:r>
        <w:rPr>
          <w:rFonts w:ascii="仿宋" w:eastAsia="仿宋" w:cs="仿宋" w:hAnsi="仿宋"/>
          <w:b w:val="0"/>
          <w:bCs/>
          <w:color w:val="auto"/>
          <w:kern w:val="2"/>
          <w:sz w:val="32"/>
          <w:szCs w:val="32"/>
          <w:lang w:val="en-US" w:eastAsia="zh-CN" w:bidi="ar-SA"/>
          <w:highlight w:val="none"/>
        </w:rPr>
        <w:t>食堂油烟</w:t>
      </w:r>
      <w:r>
        <w:rPr>
          <w:rFonts w:ascii="仿宋" w:eastAsia="仿宋" w:cs="仿宋" w:hAnsi="仿宋" w:hint="eastAsia"/>
          <w:b w:val="0"/>
          <w:bCs/>
          <w:color w:val="auto"/>
          <w:kern w:val="2"/>
          <w:sz w:val="32"/>
          <w:szCs w:val="32"/>
          <w:lang w:val="en-US" w:eastAsia="zh-CN" w:bidi="ar-SA"/>
          <w:highlight w:val="none"/>
        </w:rPr>
        <w:t>有组织排放浓度满足</w:t>
      </w:r>
      <w:r>
        <w:rPr>
          <w:rFonts w:ascii="仿宋" w:eastAsia="仿宋" w:cs="仿宋" w:hAnsi="仿宋"/>
          <w:b w:val="0"/>
          <w:bCs/>
          <w:color w:val="auto"/>
          <w:kern w:val="2"/>
          <w:sz w:val="32"/>
          <w:szCs w:val="32"/>
          <w:lang w:val="en-US" w:eastAsia="zh-CN" w:bidi="ar-SA"/>
          <w:highlight w:val="none"/>
        </w:rPr>
        <w:t>《餐饮业大气污染物排放标准》（DB13/5808—2023）表</w:t>
      </w:r>
      <w:r>
        <w:rPr>
          <w:rFonts w:ascii="仿宋" w:eastAsia="仿宋" w:cs="仿宋" w:hAnsi="仿宋" w:hint="eastAsia"/>
          <w:b w:val="0"/>
          <w:bCs/>
          <w:color w:val="auto"/>
          <w:kern w:val="2"/>
          <w:sz w:val="32"/>
          <w:szCs w:val="32"/>
          <w:lang w:val="en-US" w:eastAsia="zh-CN" w:bidi="ar-SA"/>
          <w:highlight w:val="none"/>
        </w:rPr>
        <w:t>1</w:t>
      </w:r>
      <w:r>
        <w:rPr>
          <w:rFonts w:ascii="仿宋" w:eastAsia="仿宋" w:cs="仿宋" w:hAnsi="仿宋"/>
          <w:b w:val="0"/>
          <w:bCs/>
          <w:color w:val="auto"/>
          <w:kern w:val="2"/>
          <w:sz w:val="32"/>
          <w:szCs w:val="32"/>
          <w:lang w:val="en-US" w:eastAsia="zh-CN" w:bidi="ar-SA"/>
          <w:highlight w:val="none"/>
        </w:rPr>
        <w:t>排放限值要求。</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hint="eastAsia"/>
          <w:b w:val="0"/>
          <w:bCs/>
          <w:color w:val="auto"/>
          <w:sz w:val="32"/>
          <w:szCs w:val="32"/>
          <w:lang w:val="en-US" w:eastAsia="zh-CN"/>
          <w:highlight w:val="none"/>
        </w:rPr>
      </w:pPr>
      <w:r>
        <w:rPr>
          <w:rFonts w:ascii="仿宋" w:eastAsia="仿宋" w:cs="仿宋" w:hAnsi="仿宋" w:hint="eastAsia"/>
          <w:b w:val="0"/>
          <w:bCs/>
          <w:color w:val="auto"/>
          <w:sz w:val="32"/>
          <w:szCs w:val="32"/>
          <w:lang w:val="en-US" w:eastAsia="zh-CN"/>
          <w:highlight w:val="none"/>
        </w:rPr>
        <w:t>无组织废气在封闭式生产车间内无组织排放，打磨、焊接工序由焊烟净化器处理后无组织排放，生产车间设置车间整体除尘设施，颗粒物无组织排放浓度满足</w:t>
      </w:r>
      <w:r>
        <w:rPr>
          <w:rFonts w:ascii="仿宋" w:eastAsia="仿宋" w:cs="仿宋" w:hAnsi="仿宋"/>
          <w:b w:val="0"/>
          <w:bCs/>
          <w:color w:val="auto"/>
          <w:sz w:val="32"/>
          <w:szCs w:val="32"/>
          <w:lang w:val="en-US" w:eastAsia="zh-CN"/>
          <w:highlight w:val="none"/>
        </w:rPr>
        <w:t>《大气污染物综合排放标准》（GB16297-1996）表2</w:t>
      </w:r>
      <w:r>
        <w:rPr>
          <w:rFonts w:ascii="仿宋" w:eastAsia="仿宋" w:cs="仿宋" w:hAnsi="仿宋" w:hint="eastAsia"/>
          <w:b w:val="0"/>
          <w:bCs/>
          <w:color w:val="auto"/>
          <w:sz w:val="32"/>
          <w:szCs w:val="32"/>
          <w:lang w:val="en-US" w:eastAsia="zh-CN"/>
          <w:highlight w:val="none"/>
        </w:rPr>
        <w:t>中排放限值</w:t>
      </w:r>
      <w:r>
        <w:rPr>
          <w:rFonts w:ascii="仿宋" w:eastAsia="仿宋" w:cs="仿宋" w:hAnsi="仿宋"/>
          <w:b w:val="0"/>
          <w:bCs/>
          <w:color w:val="auto"/>
          <w:sz w:val="32"/>
          <w:szCs w:val="32"/>
          <w:lang w:val="en-US" w:eastAsia="zh-CN"/>
          <w:highlight w:val="none"/>
        </w:rPr>
        <w:t>要求，非甲烷总烃</w:t>
      </w:r>
      <w:r>
        <w:rPr>
          <w:rFonts w:ascii="仿宋" w:eastAsia="仿宋" w:cs="仿宋" w:hAnsi="仿宋" w:hint="eastAsia"/>
          <w:b w:val="0"/>
          <w:bCs/>
          <w:color w:val="auto"/>
          <w:sz w:val="32"/>
          <w:szCs w:val="32"/>
          <w:lang w:val="en-US" w:eastAsia="zh-CN"/>
          <w:highlight w:val="none"/>
        </w:rPr>
        <w:t>无组织排放浓度满足</w:t>
      </w:r>
      <w:r>
        <w:rPr>
          <w:rFonts w:ascii="仿宋" w:eastAsia="仿宋" w:cs="仿宋" w:hAnsi="仿宋"/>
          <w:b w:val="0"/>
          <w:bCs/>
          <w:color w:val="auto"/>
          <w:sz w:val="32"/>
          <w:szCs w:val="32"/>
          <w:lang w:val="en-US" w:eastAsia="zh-CN"/>
          <w:highlight w:val="none"/>
        </w:rPr>
        <w:t>《工业企业挥发性有机物排放控制标准》（DB13/2322-2016）</w:t>
      </w:r>
      <w:r>
        <w:rPr>
          <w:rFonts w:ascii="仿宋" w:eastAsia="仿宋" w:cs="仿宋" w:hAnsi="仿宋" w:hint="eastAsia"/>
          <w:b w:val="0"/>
          <w:bCs/>
          <w:color w:val="auto"/>
          <w:sz w:val="32"/>
          <w:szCs w:val="32"/>
          <w:lang w:val="en-US" w:eastAsia="zh-CN"/>
          <w:highlight w:val="none"/>
        </w:rPr>
        <w:t>及</w:t>
      </w:r>
      <w:r>
        <w:rPr>
          <w:rFonts w:ascii="仿宋" w:eastAsia="仿宋" w:cs="仿宋" w:hAnsi="仿宋"/>
          <w:b w:val="0"/>
          <w:bCs/>
          <w:color w:val="auto"/>
          <w:sz w:val="32"/>
          <w:szCs w:val="32"/>
          <w:lang w:val="en-US" w:eastAsia="zh-CN"/>
          <w:highlight w:val="none"/>
        </w:rPr>
        <w:t>《挥发性有机物无组织排放控制标准》（GB37822-2019）中</w:t>
      </w:r>
      <w:r>
        <w:rPr>
          <w:rFonts w:ascii="仿宋" w:eastAsia="仿宋" w:cs="仿宋" w:hAnsi="仿宋" w:hint="eastAsia"/>
          <w:b w:val="0"/>
          <w:bCs/>
          <w:color w:val="auto"/>
          <w:sz w:val="32"/>
          <w:szCs w:val="32"/>
          <w:lang w:val="en-US" w:eastAsia="zh-CN"/>
          <w:highlight w:val="none"/>
        </w:rPr>
        <w:t>排放限值要求，苯乙烯、臭气浓度无组织排放满足</w:t>
      </w:r>
      <w:r>
        <w:rPr>
          <w:rFonts w:ascii="仿宋" w:eastAsia="仿宋" w:cs="仿宋" w:hAnsi="仿宋"/>
          <w:b w:val="0"/>
          <w:bCs/>
          <w:color w:val="auto"/>
          <w:sz w:val="32"/>
          <w:szCs w:val="32"/>
          <w:lang w:val="en-US" w:eastAsia="zh-CN"/>
          <w:highlight w:val="none"/>
        </w:rPr>
        <w:t>《恶臭污染物排放标准》（GB14554-93）</w:t>
      </w:r>
      <w:r>
        <w:rPr>
          <w:rFonts w:ascii="仿宋" w:eastAsia="仿宋" w:cs="仿宋" w:hAnsi="仿宋" w:hint="eastAsia"/>
          <w:b w:val="0"/>
          <w:bCs/>
          <w:color w:val="auto"/>
          <w:sz w:val="32"/>
          <w:szCs w:val="32"/>
          <w:lang w:val="en-US" w:eastAsia="zh-CN"/>
          <w:highlight w:val="none"/>
        </w:rPr>
        <w:t>中排放限值要求。</w:t>
      </w:r>
    </w:p>
    <w:p>
      <w:pPr>
        <w:keepNext w:val="0"/>
        <w:keepLines w:val="0"/>
        <w:pageBreakBefore w:val="0"/>
        <w:widowControl/>
        <w:suppressLineNumbers w:val="0"/>
        <w:kinsoku/>
        <w:wordWrap/>
        <w:overflowPunct/>
        <w:topLinePunct w:val="0"/>
        <w:autoSpaceDE/>
        <w:autoSpaceDN/>
        <w:bidi w:val="0"/>
        <w:ind w:firstLineChars="200" w:firstLine="632"/>
        <w:jc w:val="both"/>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eastAsia="zh-CN"/>
          <w:highlight w:val="none"/>
        </w:rPr>
        <w:t>四</w:t>
      </w:r>
      <w:r>
        <w:rPr>
          <w:rFonts w:ascii="仿宋" w:eastAsia="仿宋" w:cs="仿宋" w:hAnsi="仿宋" w:hint="eastAsia"/>
          <w:b w:val="0"/>
          <w:bCs/>
          <w:color w:val="auto"/>
          <w:sz w:val="32"/>
          <w:szCs w:val="32"/>
          <w:highlight w:val="none"/>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b w:val="0"/>
          <w:bCs/>
          <w:color w:val="auto"/>
          <w:sz w:val="32"/>
          <w:szCs w:val="32"/>
          <w:lang w:val="en-US" w:eastAsia="zh-CN"/>
          <w:highlight w:val="none"/>
        </w:rPr>
      </w:pPr>
      <w:r>
        <w:rPr>
          <w:rFonts w:ascii="仿宋" w:eastAsia="仿宋" w:cs="仿宋" w:hAnsi="仿宋"/>
          <w:b w:val="0"/>
          <w:bCs/>
          <w:color w:val="auto"/>
          <w:sz w:val="32"/>
          <w:szCs w:val="32"/>
          <w:lang w:val="en-US" w:eastAsia="zh-CN"/>
          <w:highlight w:val="none"/>
        </w:rPr>
        <w:t>项目设备置于封闭生产车间内，设备基础加装减振垫，项目</w:t>
      </w:r>
      <w:r>
        <w:rPr>
          <w:rFonts w:ascii="仿宋" w:eastAsia="仿宋" w:cs="仿宋" w:hAnsi="仿宋" w:hint="eastAsia"/>
          <w:b w:val="0"/>
          <w:bCs/>
          <w:color w:val="auto"/>
          <w:sz w:val="32"/>
          <w:szCs w:val="32"/>
          <w:lang w:val="en-US" w:eastAsia="zh-CN"/>
          <w:highlight w:val="none"/>
        </w:rPr>
        <w:t>西、南</w:t>
      </w:r>
      <w:r>
        <w:rPr>
          <w:rFonts w:ascii="仿宋" w:eastAsia="仿宋" w:cs="仿宋" w:hAnsi="仿宋"/>
          <w:b w:val="0"/>
          <w:bCs/>
          <w:color w:val="auto"/>
          <w:sz w:val="32"/>
          <w:szCs w:val="32"/>
          <w:lang w:val="en-US" w:eastAsia="zh-CN"/>
          <w:highlight w:val="none"/>
        </w:rPr>
        <w:t>厂界外1m处噪声值满足《工业企业厂界环境噪声排放标准》(GB12348-2008)3类标准限值要求</w:t>
      </w:r>
      <w:r>
        <w:rPr>
          <w:rFonts w:ascii="仿宋" w:eastAsia="仿宋" w:cs="仿宋" w:hAnsi="仿宋" w:hint="eastAsia"/>
          <w:b w:val="0"/>
          <w:bCs/>
          <w:color w:val="auto"/>
          <w:sz w:val="32"/>
          <w:szCs w:val="32"/>
          <w:lang w:val="en-US" w:eastAsia="zh-CN"/>
          <w:highlight w:val="none"/>
        </w:rPr>
        <w:t>，东、北厂界</w:t>
      </w:r>
      <w:r>
        <w:rPr>
          <w:rFonts w:ascii="仿宋" w:eastAsia="仿宋" w:cs="仿宋" w:hAnsi="仿宋"/>
          <w:b w:val="0"/>
          <w:bCs/>
          <w:color w:val="auto"/>
          <w:sz w:val="32"/>
          <w:szCs w:val="32"/>
          <w:lang w:val="en-US" w:eastAsia="zh-CN"/>
          <w:highlight w:val="none"/>
        </w:rPr>
        <w:t>外1m处噪声值满足《工业企业厂界环境噪声排放标准》(GB12348-2008)</w:t>
      </w:r>
      <w:r>
        <w:rPr>
          <w:rFonts w:ascii="仿宋" w:eastAsia="仿宋" w:cs="仿宋" w:hAnsi="仿宋" w:hint="eastAsia"/>
          <w:b w:val="0"/>
          <w:bCs/>
          <w:color w:val="auto"/>
          <w:sz w:val="32"/>
          <w:szCs w:val="32"/>
          <w:lang w:val="en-US" w:eastAsia="zh-CN"/>
          <w:highlight w:val="none"/>
        </w:rPr>
        <w:t>4</w:t>
      </w:r>
      <w:r>
        <w:rPr>
          <w:rFonts w:ascii="仿宋" w:eastAsia="仿宋" w:cs="仿宋" w:hAnsi="仿宋"/>
          <w:b w:val="0"/>
          <w:bCs/>
          <w:color w:val="auto"/>
          <w:sz w:val="32"/>
          <w:szCs w:val="32"/>
          <w:lang w:val="en-US" w:eastAsia="zh-CN"/>
          <w:highlight w:val="none"/>
        </w:rPr>
        <w:t>类标准限值要求。</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lang w:val="en-US" w:eastAsia="zh-CN"/>
          <w:highlight w:val="none"/>
        </w:rPr>
        <w:t>（五）严格落</w:t>
      </w:r>
      <w:r>
        <w:rPr>
          <w:rFonts w:ascii="仿宋" w:eastAsia="仿宋" w:cs="仿宋" w:hAnsi="仿宋" w:hint="eastAsia"/>
          <w:b w:val="0"/>
          <w:bCs/>
          <w:color w:val="auto"/>
          <w:sz w:val="32"/>
          <w:szCs w:val="32"/>
          <w:highlight w:val="none"/>
        </w:rPr>
        <w:t>实固体废物污染防治措施。</w:t>
      </w:r>
    </w:p>
    <w:p>
      <w:pPr>
        <w:adjustRightInd w:val="0"/>
        <w:snapToGrid w:val="0"/>
        <w:spacing w:line="520" w:lineRule="exact"/>
        <w:ind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严格按照有关规定，对固体废物实施分类收集和处理、处置，做到资源化、减量化、无害化。一般固废妥善处理，最大限度回收利用，危险</w:t>
      </w:r>
      <w:r>
        <w:rPr>
          <w:rFonts w:ascii="仿宋" w:eastAsia="仿宋" w:cs="仿宋" w:hAnsi="仿宋" w:hint="eastAsia"/>
          <w:b w:val="0"/>
          <w:bCs/>
          <w:color w:val="auto"/>
          <w:sz w:val="32"/>
          <w:szCs w:val="32"/>
          <w:shd w:val="clear" w:color="auto" w:fill="FFFFFF"/>
          <w:highlight w:val="none"/>
        </w:rPr>
        <w:t>废物</w:t>
      </w:r>
      <w:r>
        <w:rPr>
          <w:rFonts w:ascii="仿宋" w:eastAsia="仿宋" w:cs="仿宋" w:hAnsi="仿宋" w:hint="eastAsia"/>
          <w:b w:val="0"/>
          <w:bCs/>
          <w:color w:val="auto"/>
          <w:sz w:val="32"/>
          <w:szCs w:val="32"/>
          <w:highlight w:val="none"/>
        </w:rPr>
        <w:t>按规定暂存，定期交有相应资质的危废处理单位处理。危险废物暂存间应满足《危险废物贮存污染控制标准》（GB18597-20</w:t>
      </w:r>
      <w:r>
        <w:rPr>
          <w:rFonts w:ascii="仿宋" w:eastAsia="仿宋" w:cs="仿宋" w:hAnsi="仿宋" w:hint="eastAsia"/>
          <w:b w:val="0"/>
          <w:bCs/>
          <w:color w:val="auto"/>
          <w:sz w:val="32"/>
          <w:szCs w:val="32"/>
          <w:lang w:val="en-US" w:eastAsia="zh-CN"/>
          <w:highlight w:val="none"/>
        </w:rPr>
        <w:t>23</w:t>
      </w:r>
      <w:r>
        <w:rPr>
          <w:rFonts w:ascii="仿宋" w:eastAsia="仿宋" w:cs="仿宋" w:hAnsi="仿宋" w:hint="eastAsia"/>
          <w:b w:val="0"/>
          <w:bCs/>
          <w:color w:val="auto"/>
          <w:sz w:val="32"/>
          <w:szCs w:val="32"/>
          <w:highlight w:val="none"/>
        </w:rPr>
        <w:t>）要求。</w:t>
      </w:r>
    </w:p>
    <w:p>
      <w:pPr>
        <w:adjustRightInd w:val="0"/>
        <w:snapToGrid w:val="0"/>
        <w:spacing w:line="520" w:lineRule="exact"/>
        <w:ind w:firstLineChars="200" w:firstLine="632"/>
        <w:rPr>
          <w:rFonts w:ascii="仿宋" w:eastAsia="仿宋" w:cs="仿宋" w:hAnsi="仿宋" w:hint="eastAsia"/>
          <w:b w:val="0"/>
          <w:bCs/>
          <w:color w:val="auto"/>
          <w:kern w:val="2"/>
          <w:sz w:val="32"/>
          <w:szCs w:val="32"/>
          <w:lang w:val="en-US" w:eastAsia="zh-CN" w:bidi="ar-SA"/>
          <w:highlight w:val="none"/>
        </w:rPr>
      </w:pPr>
      <w:r>
        <w:rPr>
          <w:rFonts w:ascii="仿宋" w:eastAsia="仿宋" w:cs="仿宋" w:hAnsi="仿宋" w:hint="eastAsia"/>
          <w:b w:val="0"/>
          <w:bCs/>
          <w:color w:val="auto"/>
          <w:kern w:val="2"/>
          <w:sz w:val="32"/>
          <w:szCs w:val="32"/>
          <w:lang w:val="en-US" w:eastAsia="zh-CN" w:bidi="ar-SA"/>
          <w:highlight w:val="none"/>
        </w:rPr>
        <w:t>（六）加强环境风险防范，落实环境风险应急措施。</w:t>
      </w:r>
    </w:p>
    <w:p>
      <w:pPr>
        <w:autoSpaceDE w:val="0"/>
        <w:autoSpaceDN w:val="0"/>
        <w:adjustRightInd w:val="0"/>
        <w:snapToGrid w:val="0"/>
        <w:spacing w:line="520" w:lineRule="exact"/>
        <w:ind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制定和完善突发环境事件应急预案，与当地政府应急预案做好衔接，按照规定报相关部门备案。配备必要的应急设备和物资，加大风险监测和监控力度，定期进行应急培训和演练，有效防范和应对环境风险。</w:t>
      </w:r>
    </w:p>
    <w:p>
      <w:pPr>
        <w:keepNext w:val="0"/>
        <w:keepLines w:val="0"/>
        <w:widowControl/>
        <w:suppressLineNumbers w:val="0"/>
        <w:ind w:firstLineChars="200" w:firstLine="632"/>
        <w:jc w:val="left"/>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三</w:t>
      </w:r>
      <w:r>
        <w:rPr>
          <w:rFonts w:ascii="仿宋" w:eastAsia="仿宋" w:cs="仿宋" w:hAnsi="仿宋" w:hint="eastAsia"/>
          <w:b w:val="0"/>
          <w:bCs/>
          <w:color w:val="auto"/>
          <w:sz w:val="32"/>
          <w:szCs w:val="32"/>
          <w:highlight w:val="none"/>
        </w:rPr>
        <w:t>、结合该报告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的计算，</w:t>
      </w:r>
      <w:r>
        <w:rPr>
          <w:rFonts w:ascii="仿宋" w:eastAsia="仿宋" w:cs="仿宋" w:hAnsi="仿宋" w:hint="eastAsia"/>
          <w:b w:val="0"/>
          <w:bCs/>
          <w:color w:val="auto"/>
          <w:sz w:val="32"/>
          <w:szCs w:val="32"/>
          <w:lang w:eastAsia="zh-CN"/>
          <w:highlight w:val="none"/>
        </w:rPr>
        <w:t>该项目</w:t>
      </w:r>
      <w:r>
        <w:rPr>
          <w:rFonts w:ascii="仿宋" w:eastAsia="仿宋" w:cs="仿宋" w:hAnsi="仿宋" w:hint="eastAsia"/>
          <w:b w:val="0"/>
          <w:bCs/>
          <w:color w:val="auto"/>
          <w:sz w:val="32"/>
          <w:szCs w:val="32"/>
          <w:highlight w:val="none"/>
        </w:rPr>
        <w:t>污染物排放总量指标为：</w:t>
      </w:r>
      <w:r>
        <w:rPr>
          <w:rFonts w:ascii="仿宋" w:eastAsia="仿宋" w:cs="仿宋" w:hAnsi="仿宋"/>
          <w:bCs/>
          <w:color w:val="auto"/>
          <w:kern w:val="2"/>
          <w:sz w:val="32"/>
          <w:szCs w:val="32"/>
          <w:lang w:val="en-US" w:eastAsia="zh-CN" w:bidi="ar-SA"/>
          <w:highlight w:val="none"/>
        </w:rPr>
        <w:t>COD</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0t/a</w:t>
      </w:r>
      <w:r>
        <w:rPr>
          <w:rFonts w:ascii="仿宋" w:eastAsia="仿宋" w:cs="仿宋" w:hAnsi="仿宋" w:hint="eastAsia"/>
          <w:bCs/>
          <w:color w:val="auto"/>
          <w:kern w:val="2"/>
          <w:sz w:val="32"/>
          <w:szCs w:val="32"/>
          <w:lang w:val="en-US" w:eastAsia="zh-CN" w:bidi="ar-SA"/>
          <w:highlight w:val="none"/>
        </w:rPr>
        <w:t>、氨氮：</w:t>
      </w:r>
      <w:r>
        <w:rPr>
          <w:rFonts w:ascii="仿宋" w:eastAsia="仿宋" w:cs="仿宋" w:hAnsi="仿宋"/>
          <w:bCs/>
          <w:color w:val="auto"/>
          <w:kern w:val="2"/>
          <w:sz w:val="32"/>
          <w:szCs w:val="32"/>
          <w:lang w:val="en-US" w:eastAsia="zh-CN" w:bidi="ar-SA"/>
          <w:highlight w:val="none"/>
        </w:rPr>
        <w:t>0t/a</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SO</w:t>
      </w:r>
      <w:r>
        <w:rPr>
          <w:rFonts w:ascii="仿宋" w:eastAsia="仿宋" w:cs="仿宋" w:hAnsi="仿宋"/>
          <w:bCs/>
          <w:color w:val="auto"/>
          <w:kern w:val="2"/>
          <w:sz w:val="32"/>
          <w:szCs w:val="32"/>
          <w:vertAlign w:val="subscript"/>
          <w:lang w:val="en-US" w:eastAsia="zh-CN" w:bidi="ar-SA"/>
          <w:highlight w:val="none"/>
        </w:rPr>
        <w:t>2</w:t>
      </w:r>
      <w:r>
        <w:rPr>
          <w:rFonts w:ascii="仿宋" w:eastAsia="仿宋" w:cs="仿宋" w:hAnsi="仿宋" w:hint="eastAsia"/>
          <w:bCs/>
          <w:color w:val="auto"/>
          <w:kern w:val="2"/>
          <w:sz w:val="32"/>
          <w:szCs w:val="32"/>
          <w:lang w:val="en-US" w:eastAsia="zh-CN" w:bidi="ar-SA"/>
          <w:highlight w:val="none"/>
        </w:rPr>
        <w:t>：0.934</w:t>
      </w:r>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NO</w:t>
      </w:r>
      <w:r>
        <w:rPr>
          <w:rFonts w:ascii="仿宋" w:eastAsia="仿宋" w:cs="仿宋" w:hAnsi="仿宋"/>
          <w:bCs/>
          <w:color w:val="auto"/>
          <w:kern w:val="2"/>
          <w:sz w:val="32"/>
          <w:szCs w:val="32"/>
          <w:vertAlign w:val="subscript"/>
          <w:lang w:val="en-US" w:eastAsia="zh-CN" w:bidi="ar-SA"/>
          <w:highlight w:val="none"/>
        </w:rPr>
        <w:t>x</w:t>
      </w:r>
      <w:r>
        <w:rPr>
          <w:rFonts w:ascii="仿宋" w:eastAsia="仿宋" w:cs="仿宋" w:hAnsi="仿宋" w:hint="eastAsia"/>
          <w:bCs/>
          <w:color w:val="auto"/>
          <w:kern w:val="2"/>
          <w:sz w:val="32"/>
          <w:szCs w:val="32"/>
          <w:lang w:val="en-US" w:eastAsia="zh-CN" w:bidi="ar-SA"/>
          <w:highlight w:val="none"/>
        </w:rPr>
        <w:t>：1.401</w:t>
      </w:r>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、颗粒物16.832t/a、非甲烷总烃13.720t/a。</w:t>
      </w:r>
    </w:p>
    <w:p>
      <w:pPr>
        <w:autoSpaceDE w:val="0"/>
        <w:autoSpaceDN w:val="0"/>
        <w:adjustRightInd w:val="0"/>
        <w:snapToGrid w:val="0"/>
        <w:spacing w:line="520" w:lineRule="exact"/>
        <w:ind w:firstLineChars="200" w:firstLine="632"/>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lang w:eastAsia="zh-CN"/>
          <w:highlight w:val="none"/>
        </w:rPr>
        <w:t>四</w:t>
      </w:r>
      <w:r>
        <w:rPr>
          <w:rFonts w:ascii="仿宋" w:eastAsia="仿宋" w:cs="仿宋" w:hAnsi="仿宋" w:hint="eastAsia"/>
          <w:b w:val="0"/>
          <w:bCs/>
          <w:color w:val="auto"/>
          <w:sz w:val="32"/>
          <w:szCs w:val="32"/>
          <w:highlight w:val="none"/>
        </w:rPr>
        <w:t>、严格落实各项建设项目环境管理要求</w:t>
      </w:r>
    </w:p>
    <w:p>
      <w:pPr>
        <w:autoSpaceDE w:val="0"/>
        <w:autoSpaceDN w:val="0"/>
        <w:adjustRightInd w:val="0"/>
        <w:snapToGrid w:val="0"/>
        <w:spacing w:line="520" w:lineRule="exact"/>
        <w:ind w:firstLineChars="198" w:firstLine="625"/>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（一）建立内部生态环境管理机构和制度，明确人员和生态环境保护职责。</w:t>
      </w:r>
    </w:p>
    <w:p>
      <w:pPr>
        <w:autoSpaceDE w:val="0"/>
        <w:autoSpaceDN w:val="0"/>
        <w:adjustRightInd w:val="0"/>
        <w:snapToGrid w:val="0"/>
        <w:spacing w:line="520" w:lineRule="exact"/>
        <w:ind w:firstLineChars="198" w:firstLine="625"/>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ascii="仿宋" w:eastAsia="仿宋" w:cs="仿宋" w:hAnsi="仿宋" w:hint="eastAsia"/>
          <w:b w:val="0"/>
          <w:bCs/>
          <w:color w:val="auto"/>
          <w:sz w:val="32"/>
          <w:szCs w:val="32"/>
          <w:lang w:val="en-US" w:eastAsia="zh-CN"/>
          <w:highlight w:val="none"/>
        </w:rPr>
        <w:t>向</w:t>
      </w:r>
      <w:r>
        <w:rPr>
          <w:rFonts w:ascii="仿宋" w:eastAsia="仿宋" w:cs="仿宋" w:hAnsi="仿宋" w:hint="eastAsia"/>
          <w:b w:val="0"/>
          <w:bCs/>
          <w:color w:val="auto"/>
          <w:sz w:val="32"/>
          <w:szCs w:val="32"/>
          <w:highlight w:val="none"/>
        </w:rPr>
        <w:t>我局重新报批或</w:t>
      </w:r>
      <w:r>
        <w:rPr>
          <w:rFonts w:ascii="仿宋" w:eastAsia="仿宋" w:cs="仿宋" w:hAnsi="仿宋" w:hint="eastAsia"/>
          <w:b w:val="0"/>
          <w:bCs/>
          <w:color w:val="auto"/>
          <w:sz w:val="32"/>
          <w:szCs w:val="32"/>
          <w:lang w:val="en-US" w:eastAsia="zh-CN"/>
          <w:highlight w:val="none"/>
        </w:rPr>
        <w:t>申请</w:t>
      </w:r>
      <w:r>
        <w:rPr>
          <w:rFonts w:ascii="仿宋" w:eastAsia="仿宋" w:cs="仿宋" w:hAnsi="仿宋" w:hint="eastAsia"/>
          <w:b w:val="0"/>
          <w:bCs/>
          <w:color w:val="auto"/>
          <w:sz w:val="32"/>
          <w:szCs w:val="32"/>
          <w:highlight w:val="none"/>
        </w:rPr>
        <w:t>重新审核该项目的环境影响报告表。</w:t>
      </w:r>
    </w:p>
    <w:p>
      <w:pPr>
        <w:pStyle w:val="16"/>
        <w:ind w:left="0" w:firstLineChars="200" w:firstLine="632"/>
        <w:rPr>
          <w:rFonts w:ascii="仿宋" w:eastAsia="仿宋" w:cs="仿宋" w:hAnsi="仿宋" w:hint="eastAsia"/>
          <w:bCs/>
          <w:color w:val="auto"/>
          <w:sz w:val="32"/>
          <w:szCs w:val="32"/>
          <w:u w:val="none"/>
          <w:lang w:eastAsia="zh-CN"/>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val="en-US" w:eastAsia="zh-CN"/>
          <w:highlight w:val="none"/>
        </w:rPr>
        <w:t>三</w:t>
      </w: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u w:val="none"/>
          <w:highlight w:val="none"/>
        </w:rPr>
        <w:t>建</w:t>
      </w:r>
      <w:r>
        <w:rPr>
          <w:rFonts w:ascii="仿宋" w:eastAsia="仿宋" w:cs="仿宋" w:hAnsi="仿宋" w:hint="eastAsia"/>
          <w:bCs/>
          <w:color w:val="auto"/>
          <w:sz w:val="32"/>
          <w:szCs w:val="32"/>
          <w:u w:val="none"/>
          <w:highlight w:val="none"/>
        </w:rPr>
        <w:t>设项目竣工后，建设单位按照</w:t>
      </w:r>
      <w:r>
        <w:rPr>
          <w:rFonts w:ascii="仿宋" w:eastAsia="仿宋" w:cs="仿宋" w:hAnsi="仿宋" w:hint="eastAsia"/>
          <w:bCs/>
          <w:color w:val="auto"/>
          <w:sz w:val="32"/>
          <w:szCs w:val="32"/>
          <w:u w:val="none"/>
          <w:lang w:eastAsia="zh-CN"/>
          <w:highlight w:val="none"/>
        </w:rPr>
        <w:t>有关规定要求</w:t>
      </w:r>
      <w:r>
        <w:rPr>
          <w:rFonts w:ascii="仿宋" w:eastAsia="仿宋" w:cs="仿宋" w:hAnsi="仿宋" w:hint="eastAsia"/>
          <w:bCs/>
          <w:color w:val="auto"/>
          <w:sz w:val="32"/>
          <w:szCs w:val="32"/>
          <w:u w:val="none"/>
          <w:highlight w:val="none"/>
        </w:rPr>
        <w:t>开展自主验收或委托第三方机构编写建设项目竣工环境保护验收报告，依法向社会公开</w:t>
      </w:r>
      <w:r>
        <w:rPr>
          <w:rFonts w:ascii="仿宋" w:eastAsia="仿宋" w:cs="仿宋" w:hAnsi="仿宋" w:hint="eastAsia"/>
          <w:bCs/>
          <w:color w:val="auto"/>
          <w:sz w:val="32"/>
          <w:szCs w:val="32"/>
          <w:u w:val="none"/>
          <w:lang w:eastAsia="zh-CN"/>
          <w:highlight w:val="none"/>
        </w:rPr>
        <w:t>。</w:t>
      </w:r>
    </w:p>
    <w:p>
      <w:pPr>
        <w:pStyle w:val="21"/>
        <w:rPr>
          <w:color w:val="auto"/>
          <w:lang w:val="en-US" w:eastAsia="zh-CN"/>
          <w:highlight w:val="cyan"/>
        </w:rPr>
      </w:pPr>
    </w:p>
    <w:p>
      <w:pPr>
        <w:spacing w:line="540" w:lineRule="exact"/>
        <w:ind w:firstLineChars="1600" w:firstLine="5054"/>
        <w:jc w:val="left"/>
        <w:rPr>
          <w:rFonts w:ascii="仿宋" w:eastAsia="仿宋" w:cs="??_GB2312" w:hAnsi="仿宋"/>
          <w:color w:val="auto"/>
          <w:sz w:val="32"/>
          <w:szCs w:val="32"/>
          <w:highlight w:val="none"/>
        </w:rPr>
      </w:pPr>
      <w:r>
        <w:rPr>
          <w:rFonts w:ascii="仿宋" w:eastAsia="仿宋" w:cs="宋体" w:hAnsi="仿宋" w:hint="eastAsia"/>
          <w:color w:val="auto"/>
          <w:sz w:val="32"/>
          <w:szCs w:val="32"/>
          <w:highlight w:val="none"/>
        </w:rPr>
        <w:t>唐山</w:t>
      </w:r>
      <w:r>
        <w:rPr>
          <w:rFonts w:ascii="仿宋" w:eastAsia="仿宋" w:cs="宋体" w:hAnsi="仿宋" w:hint="eastAsia"/>
          <w:color w:val="auto"/>
          <w:sz w:val="32"/>
          <w:szCs w:val="32"/>
          <w:lang w:eastAsia="zh-CN"/>
          <w:highlight w:val="none"/>
        </w:rPr>
        <w:t>高新区</w:t>
      </w:r>
      <w:r>
        <w:rPr>
          <w:rFonts w:ascii="仿宋" w:eastAsia="仿宋" w:cs="宋体" w:hAnsi="仿宋" w:hint="eastAsia"/>
          <w:color w:val="auto"/>
          <w:sz w:val="32"/>
          <w:szCs w:val="32"/>
          <w:highlight w:val="none"/>
        </w:rPr>
        <w:t>行政审批局</w:t>
      </w:r>
    </w:p>
    <w:p>
      <w:pPr>
        <w:spacing w:line="540" w:lineRule="exact"/>
        <w:ind w:firstLineChars="1700" w:firstLine="5370"/>
        <w:jc w:val="left"/>
        <w:rPr>
          <w:rFonts w:ascii="仿宋" w:eastAsia="仿宋" w:cs="宋体" w:hAnsi="仿宋" w:hint="eastAsia"/>
          <w:sz w:val="32"/>
          <w:szCs w:val="32"/>
          <w:highlight w:val="cyan"/>
        </w:rPr>
      </w:pPr>
      <w:r>
        <w:rPr>
          <w:rFonts w:ascii="仿宋" w:eastAsia="仿宋" w:cs="宋体" w:hAnsi="仿宋" w:hint="eastAsia"/>
          <w:sz w:val="32"/>
          <w:szCs w:val="32"/>
        </w:rPr>
        <w:t>202</w:t>
      </w:r>
      <w:r>
        <w:rPr>
          <w:rFonts w:ascii="仿宋" w:eastAsia="仿宋" w:cs="宋体" w:hAnsi="仿宋" w:hint="eastAsia"/>
          <w:sz w:val="32"/>
          <w:szCs w:val="32"/>
          <w:lang w:val="en-US" w:eastAsia="zh-CN"/>
        </w:rPr>
        <w:t>5</w:t>
      </w:r>
      <w:r>
        <w:rPr>
          <w:rFonts w:ascii="仿宋" w:eastAsia="仿宋" w:cs="宋体" w:hAnsi="仿宋" w:hint="eastAsia"/>
          <w:sz w:val="32"/>
          <w:szCs w:val="32"/>
        </w:rPr>
        <w:t>年</w:t>
      </w:r>
      <w:r>
        <w:rPr>
          <w:rFonts w:ascii="仿宋" w:eastAsia="仿宋" w:cs="宋体" w:hAnsi="仿宋"/>
          <w:sz w:val="32"/>
          <w:szCs w:val="32"/>
          <w:lang w:val="en-US" w:eastAsia="zh-CN"/>
        </w:rPr>
        <w:t>3</w:t>
      </w:r>
      <w:r>
        <w:rPr>
          <w:rFonts w:ascii="仿宋" w:eastAsia="仿宋" w:cs="宋体" w:hAnsi="仿宋" w:hint="eastAsia"/>
          <w:sz w:val="32"/>
          <w:szCs w:val="32"/>
        </w:rPr>
        <w:t>月</w:t>
      </w:r>
      <w:r>
        <w:rPr>
          <w:rFonts w:ascii="仿宋" w:eastAsia="仿宋" w:cs="宋体" w:hAnsi="仿宋"/>
          <w:sz w:val="32"/>
          <w:szCs w:val="32"/>
        </w:rPr>
        <w:t>5</w:t>
      </w:r>
      <w:r>
        <w:rPr>
          <w:rFonts w:ascii="仿宋" w:eastAsia="仿宋" w:cs="宋体" w:hAnsi="仿宋" w:hint="eastAsia"/>
          <w:sz w:val="32"/>
          <w:szCs w:val="32"/>
        </w:rPr>
        <w:t>日</w:t>
      </w:r>
    </w:p>
    <w:sectPr>
      <w:headerReference w:type="default" r:id="rId2"/>
      <w:headerReference w:type="first" r:id="rId3"/>
      <w:footerReference w:type="default" r:id="rId4"/>
      <w:footerReference w:type="even" r:id="rId5"/>
      <w:pgSz w:w="11906" w:h="16838"/>
      <w:pgMar w:top="2098" w:right="1474" w:bottom="1701" w:left="1474" w:header="851" w:footer="992" w:gutter="0"/>
      <w:cols w:num="1" w:space="72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0D"/>
    <w:family w:val="auto"/>
    <w:pitch w:val="variable"/>
    <w:sig w:usb0="00000003" w:usb1="288F0000" w:usb2="00000006" w:usb3="00000000" w:csb0="00040001" w:csb1="00000000"/>
  </w:font>
  <w:font w:name="??_GB2312">
    <w:altName w:val="Times New Roman"/>
    <w:panose1 w:val="00000000000000000000"/>
    <w:charset w:val="00"/>
    <w:family w:val="auto"/>
    <w:pitch w:val="variable"/>
    <w:sig w:usb0="00000000" w:usb1="00000000" w:usb2="00000000" w:usb3="00000000" w:csb0="00000001" w:csb1="00000000"/>
  </w:font>
  <w:font w:name="Times New Roman">
    <w:panose1 w:val="02020603050405020304"/>
    <w:charset w:val="A1"/>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Courier New">
    <w:panose1 w:val="02070309020205020404"/>
    <w:charset w:val="01"/>
    <w:family w:val="modern"/>
    <w:pitch w:val="variable"/>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both"/>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efaultTabStop w:val="420"/>
  <w:drawingGridHorizontalSpacing w:val="102"/>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WM1ZTQxMzYzZjY0OTUxZjljNDA5YzU2NjE0YmMxY2U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120" w:after="120" w:line="480" w:lineRule="exact"/>
      <w:outlineLvl w:val="1"/>
    </w:pPr>
    <w:rPr>
      <w:b/>
      <w:bCs/>
      <w:sz w:val="30"/>
      <w:szCs w:val="32"/>
    </w:rPr>
  </w:style>
  <w:style w:type="character" w:customStyle="1" w:styleId="2Char">
    <w:name w:val="heading 2 Char"/>
    <w:basedOn w:val="10"/>
    <w:link w:val="2"/>
    <w:rPr>
      <w:rFonts w:ascii="Times New Roman" w:eastAsia="宋体" w:cs="Times New Roman" w:hAnsi="Times New Roman"/>
      <w:b/>
      <w:bCs/>
      <w:kern w:val="2"/>
      <w:sz w:val="30"/>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paragraph" w:styleId="4">
    <w:name w:val="heading 4"/>
    <w:qFormat/>
    <w:basedOn w:val="15"/>
    <w:next w:val="16"/>
    <w:link w:val="4Char"/>
    <w:pPr>
      <w:keepNext/>
      <w:keepLines/>
      <w:spacing w:before="280" w:beforeAutospacing="0" w:after="290" w:afterAutospacing="0" w:line="372" w:lineRule="auto"/>
      <w:outlineLvl w:val="3"/>
    </w:pPr>
    <w:rPr>
      <w:rFonts w:ascii="Arial" w:eastAsia="黑体" w:hAnsi="Arial"/>
      <w:b/>
      <w:sz w:val="28"/>
    </w:rPr>
  </w:style>
  <w:style w:type="character" w:customStyle="1" w:styleId="4Char">
    <w:name w:val="heading 4 Char"/>
    <w:basedOn w:val="15Char"/>
    <w:link w:val="4"/>
    <w:rPr>
      <w:rFonts w:ascii="Arial" w:eastAsia="黑体" w:hAnsi="Arial"/>
      <w:b/>
      <w:sz w:val="28"/>
    </w:rPr>
  </w:style>
  <w:style w:type="character" w:default="1" w:styleId="10">
    <w:name w:val="Default Paragraph Font"/>
    <w:qFormat/>
  </w:style>
  <w:style w:type="paragraph" w:styleId="15">
    <w:name w:val="toc 4"/>
    <w:qFormat/>
    <w:basedOn w:val="0"/>
    <w:next w:val="0"/>
    <w:pPr>
      <w:ind w:leftChars="600" w:left="600"/>
    </w:pPr>
    <w:rPr>
      <w:szCs w:val="20"/>
    </w:rPr>
  </w:style>
  <w:style w:type="paragraph" w:styleId="16">
    <w:name w:val="Normal Indent"/>
    <w:qFormat/>
    <w:basedOn w:val="0"/>
    <w:next w:val="4"/>
    <w:pPr>
      <w:ind w:firstLineChars="200" w:firstLine="200"/>
    </w:pPr>
    <w:rPr>
      <w:szCs w:val="20"/>
    </w:rPr>
  </w:style>
  <w:style w:type="paragraph" w:styleId="17">
    <w:name w:val="Block Text"/>
    <w:qFormat/>
    <w:basedOn w:val="0"/>
    <w:next w:val="0"/>
    <w:pPr>
      <w:ind w:leftChars="700" w:left="700" w:rightChars="700" w:right="700"/>
    </w:pPr>
  </w:style>
  <w:style w:type="paragraph" w:styleId="18">
    <w:name w:val="Plain Text"/>
    <w:qFormat/>
    <w:basedOn w:val="0"/>
    <w:rPr>
      <w:rFonts w:ascii="宋体" w:cs="Courier New" w:hAnsi="Courier New"/>
      <w:szCs w:val="21"/>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toc 1"/>
    <w:qFormat/>
    <w:basedOn w:val="0"/>
    <w:next w:val="0"/>
    <w:pPr>
      <w:spacing w:line="360" w:lineRule="auto"/>
      <w:jc w:val="both"/>
    </w:pPr>
    <w:rPr>
      <w:rFonts w:ascii="Calibri" w:eastAsia="宋体" w:cs="Times New Roman" w:hAnsi="Calibri"/>
      <w:b/>
      <w:kern w:val="2"/>
      <w:sz w:val="24"/>
      <w:szCs w:val="24"/>
      <w:lang w:val="en-US" w:eastAsia="zh-CN" w:bidi="ar-SA"/>
    </w:rPr>
  </w:style>
  <w:style w:type="character" w:styleId="22">
    <w:name w:val="page number"/>
    <w:qFormat/>
    <w:rPr>
      <w:rFonts w:cs="Times New Roman"/>
    </w:rPr>
  </w:style>
  <w:style w:type="paragraph" w:customStyle="1" w:yozoId="4094" w:styleId="23">
    <w:name w:val="Char Char Char Char Char Char Char Char Char1 Char"/>
    <w:qFormat/>
    <w:basedOn w:val="0"/>
    <w:pPr>
      <w:spacing w:line="360" w:lineRule="auto"/>
      <w:ind w:firstLineChars="200" w:firstLine="200"/>
    </w:pPr>
    <w:rPr>
      <w:rFonts w:ascii="宋体" w:cs="宋体" w:hAnsi="宋体"/>
      <w:sz w:val="24"/>
    </w:rPr>
  </w:style>
  <w:style w:type="paragraph" w:customStyle="1" w:yozoId="4094" w:styleId="24">
    <w:name w:val="列出段落1"/>
    <w:qFormat/>
    <w:basedOn w:val="0"/>
    <w:pPr>
      <w:ind w:firstLineChars="200" w:firstLine="200"/>
    </w:pPr>
  </w:style>
  <w:style w:type="paragraph" w:customStyle="1" w:yozoId="4094" w:styleId="25">
    <w:name w:val="纯文本1"/>
    <w:qFormat/>
    <w:basedOn w:val="0"/>
    <w:rPr>
      <w:rFonts w:ascii="宋体" w:hAnsi="Courier New"/>
      <w:kern w:val="0"/>
      <w:sz w:val="2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C585D964-832A-47E9-A45F-EF13C7C9672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WPS_Yozo_Office9.0.5691.102ZH.HE16</Application>
  <Pages>4</Pages>
  <Words>0</Words>
  <Characters>1696</Characters>
  <Lines>0</Lines>
  <Paragraphs>34</Paragraphs>
  <CharactersWithSpaces>2262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NTKO</dc:creator>
  <cp:lastModifiedBy>Administrator</cp:lastModifiedBy>
  <cp:revision>2</cp:revision>
  <cp:lastPrinted>2021-09-09T03:18:00Z</cp:lastPrinted>
  <dcterms:created xsi:type="dcterms:W3CDTF">2021-05-11T06:06:00Z</dcterms:created>
  <dcterms:modified xsi:type="dcterms:W3CDTF">2025-03-03T07:54:58Z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9F56FF9F62CF49A9A8F6B7384AE2E627</vt:lpwstr>
  </property>
  <property fmtid="{D5CDD505-2E9C-101B-9397-08002B2CF9AE}" pid="4" name="KSOTemplateDocerSaveRecord">
    <vt:lpwstr>eyJoZGlkIjoiNzc4MzRhZGVmODBlMTBlYzEwODRlMmRjZWFmMDE2MjQiLCJ1c2VySWQiOiIzMzkzOTkyNTkifQ==</vt:lpwstr>
  </property>
</Properties>
</file>