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高新区纪工委</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3</w:t>
      </w:r>
      <w:r>
        <w:rPr>
          <w:rFonts w:hint="eastAsia" w:ascii="方正小标宋简体" w:hAnsi="方正小标宋简体" w:eastAsia="方正小标宋简体" w:cs="方正小标宋简体"/>
          <w:sz w:val="52"/>
          <w:szCs w:val="52"/>
        </w:rPr>
        <w:t>年部门预算绩效文本</w:t>
      </w:r>
    </w:p>
    <w:p>
      <w:pPr>
        <w:jc w:val="center"/>
        <w:rPr>
          <w:rFonts w:ascii="宋体" w:cs="宋体"/>
          <w:b/>
          <w:color w:val="000000"/>
          <w:sz w:val="72"/>
        </w:rPr>
      </w:pPr>
    </w:p>
    <w:p>
      <w:pPr>
        <w:jc w:val="center"/>
        <w:rPr>
          <w:rFonts w:ascii="楷体" w:hAnsi="楷体" w:eastAsia="楷体" w:cs="楷体"/>
          <w:b/>
          <w:color w:val="000000"/>
          <w:sz w:val="52"/>
        </w:rPr>
      </w:pPr>
    </w:p>
    <w:p>
      <w:pPr>
        <w:jc w:val="center"/>
        <w:rPr>
          <w:rFonts w:ascii="楷体" w:hAnsi="楷体" w:eastAsia="楷体" w:cs="楷体"/>
          <w:b/>
          <w:color w:val="000000"/>
          <w:sz w:val="52"/>
        </w:rPr>
      </w:pPr>
    </w:p>
    <w:p>
      <w:pPr>
        <w:jc w:val="center"/>
        <w:rPr>
          <w:rFonts w:ascii="楷体" w:hAnsi="楷体" w:eastAsia="楷体" w:cs="楷体"/>
          <w:b/>
          <w:color w:val="000000"/>
          <w:sz w:val="52"/>
        </w:rPr>
      </w:pPr>
    </w:p>
    <w:p>
      <w:pPr>
        <w:rPr>
          <w:rFonts w:hint="eastAsia" w:ascii="楷体" w:hAnsi="楷体" w:eastAsia="楷体" w:cs="楷体"/>
          <w:b/>
          <w:color w:val="000000"/>
          <w:sz w:val="52"/>
        </w:rPr>
      </w:pPr>
    </w:p>
    <w:p>
      <w:pPr>
        <w:rPr>
          <w:rFonts w:hint="eastAsia" w:ascii="楷体" w:hAnsi="楷体" w:eastAsia="楷体" w:cs="楷体"/>
          <w:b/>
          <w:color w:val="000000"/>
          <w:sz w:val="52"/>
        </w:rPr>
      </w:pPr>
    </w:p>
    <w:p>
      <w:pPr>
        <w:rPr>
          <w:rFonts w:hint="eastAsia" w:ascii="楷体" w:hAnsi="楷体" w:eastAsia="楷体" w:cs="楷体"/>
          <w:b/>
          <w:color w:val="000000"/>
          <w:sz w:val="52"/>
        </w:rPr>
      </w:pPr>
    </w:p>
    <w:p>
      <w:pPr>
        <w:rPr>
          <w:rFonts w:hint="eastAsia" w:ascii="楷体" w:hAnsi="楷体" w:eastAsia="楷体" w:cs="楷体"/>
          <w:b/>
          <w:color w:val="000000"/>
          <w:sz w:val="52"/>
        </w:rPr>
      </w:pPr>
    </w:p>
    <w:p>
      <w:pPr>
        <w:rPr>
          <w:rFonts w:hint="eastAsia" w:ascii="楷体" w:hAnsi="楷体" w:eastAsia="楷体" w:cs="楷体"/>
          <w:b/>
          <w:color w:val="000000"/>
          <w:sz w:val="52"/>
        </w:rPr>
      </w:pPr>
    </w:p>
    <w:p>
      <w:pPr>
        <w:jc w:val="center"/>
        <w:rPr>
          <w:rFonts w:ascii="方正小标宋简体" w:hAnsi="方正小标宋简体" w:eastAsia="方正小标宋简体" w:cs="方正小标宋简体"/>
          <w:sz w:val="44"/>
          <w:szCs w:val="44"/>
        </w:rPr>
      </w:pPr>
      <w:r>
        <w:rPr>
          <w:rFonts w:hint="eastAsia" w:ascii="楷体_GB2312" w:hAnsi="楷体_GB2312" w:eastAsia="楷体_GB2312" w:cs="楷体_GB2312"/>
          <w:bCs/>
          <w:sz w:val="32"/>
          <w:szCs w:val="32"/>
        </w:rPr>
        <w:t>高新区纪工委编制</w:t>
      </w:r>
      <w:r>
        <w:rPr>
          <w:rFonts w:ascii="楷体" w:hAnsi="楷体" w:eastAsia="楷体" w:cs="楷体"/>
          <w:b/>
          <w:color w:val="000000"/>
          <w:sz w:val="52"/>
        </w:rPr>
        <w:br w:type="page"/>
      </w: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年部门整体绩效目标</w:t>
      </w:r>
    </w:p>
    <w:p>
      <w:pPr>
        <w:spacing w:before="156" w:beforeLines="50" w:after="156" w:afterLines="50" w:line="580" w:lineRule="exact"/>
        <w:ind w:firstLine="629"/>
        <w:rPr>
          <w:rFonts w:hint="eastAsia" w:ascii="黑体" w:hAnsi="黑体" w:eastAsia="黑体" w:cs="黑体"/>
          <w:b w:val="0"/>
          <w:bCs w:val="0"/>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firstLine="629"/>
        <w:textAlignment w:val="auto"/>
        <w:rPr>
          <w:rFonts w:ascii="黑体" w:hAnsi="黑体" w:eastAsia="黑体" w:cs="黑体"/>
          <w:b w:val="0"/>
          <w:bCs w:val="0"/>
          <w:sz w:val="32"/>
          <w:szCs w:val="32"/>
        </w:rPr>
      </w:pPr>
      <w:r>
        <w:rPr>
          <w:rFonts w:hint="eastAsia" w:ascii="黑体" w:hAnsi="黑体" w:eastAsia="黑体" w:cs="黑体"/>
          <w:b w:val="0"/>
          <w:bCs w:val="0"/>
          <w:sz w:val="32"/>
          <w:szCs w:val="32"/>
        </w:rPr>
        <w:t>一、总体绩效目标</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left"/>
        <w:textAlignment w:val="auto"/>
        <w:rPr>
          <w:rFonts w:ascii="仿宋_GB2312" w:hAnsi="宋体" w:eastAsia="仿宋_GB2312" w:cs="宋体"/>
          <w:b w:val="0"/>
          <w:bCs w:val="0"/>
          <w:kern w:val="0"/>
          <w:sz w:val="32"/>
          <w:szCs w:val="32"/>
        </w:rPr>
      </w:pPr>
      <w:r>
        <w:rPr>
          <w:rFonts w:hint="eastAsia" w:ascii="仿宋_GB2312" w:hAnsi="宋体" w:eastAsia="仿宋_GB2312" w:cs="宋体"/>
          <w:b w:val="0"/>
          <w:bCs w:val="0"/>
          <w:kern w:val="0"/>
          <w:sz w:val="32"/>
          <w:szCs w:val="32"/>
        </w:rPr>
        <w:t>组织协调全区党风廉政建设和反腐败宣传教育工作，开展对党员、公务员的廉洁自律教育。对有关对象违反党纪政纪和违纪违法行为进行处理；组织协调案件查办工作</w:t>
      </w:r>
      <w:r>
        <w:rPr>
          <w:rFonts w:ascii="仿宋_GB2312" w:hAnsi="宋体" w:eastAsia="仿宋_GB2312" w:cs="宋体"/>
          <w:b w:val="0"/>
          <w:bCs w:val="0"/>
          <w:kern w:val="0"/>
          <w:sz w:val="32"/>
          <w:szCs w:val="32"/>
        </w:rPr>
        <w:t>;</w:t>
      </w:r>
      <w:r>
        <w:rPr>
          <w:rFonts w:hint="eastAsia" w:ascii="仿宋_GB2312" w:hAnsi="宋体" w:eastAsia="仿宋_GB2312" w:cs="宋体"/>
          <w:b w:val="0"/>
          <w:bCs w:val="0"/>
          <w:kern w:val="0"/>
          <w:sz w:val="32"/>
          <w:szCs w:val="32"/>
        </w:rPr>
        <w:t>承担县监察局的行政复议、行政应诉及有关条规的起草工作。宣传党的纪检工作方针、政策，教育纪检干部遵守和执行党章以及党内法规、党的路线方针政策和决议、国家法规等，全面提高纪检监察干部队伍素质。</w:t>
      </w:r>
    </w:p>
    <w:p>
      <w:pPr>
        <w:keepNext w:val="0"/>
        <w:keepLines w:val="0"/>
        <w:pageBreakBefore w:val="0"/>
        <w:kinsoku/>
        <w:wordWrap/>
        <w:overflowPunct/>
        <w:topLinePunct w:val="0"/>
        <w:autoSpaceDE/>
        <w:autoSpaceDN/>
        <w:bidi w:val="0"/>
        <w:adjustRightInd w:val="0"/>
        <w:snapToGrid w:val="0"/>
        <w:spacing w:line="560" w:lineRule="exact"/>
        <w:ind w:left="0" w:leftChars="0" w:firstLine="629"/>
        <w:textAlignment w:val="auto"/>
        <w:rPr>
          <w:rFonts w:ascii="黑体" w:hAnsi="黑体" w:eastAsia="黑体" w:cs="黑体"/>
          <w:b w:val="0"/>
          <w:bCs w:val="0"/>
          <w:sz w:val="32"/>
          <w:szCs w:val="32"/>
        </w:rPr>
      </w:pPr>
      <w:r>
        <w:rPr>
          <w:rFonts w:hint="eastAsia" w:ascii="黑体" w:hAnsi="黑体" w:eastAsia="黑体" w:cs="黑体"/>
          <w:b w:val="0"/>
          <w:bCs w:val="0"/>
          <w:sz w:val="32"/>
          <w:szCs w:val="32"/>
        </w:rPr>
        <w:t>二、分项绩效目标</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（一）调查、审查违纪违法案件</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绩效目标：按照中省市和高新区工作会议部署，持续加大查办腐败案件力度，重点解决群众身边的腐败问题和紧盯关键岗位和重点领域的违纪违法问题，营造良好的发展环境。</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绩效指标：在案件办理时限内结案，完成案件办结率的70%以上</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（二）党风廉政建设</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绩效目标：按照中省市和高新区工作会议部署，聚焦中心任务，坚持正确营造良好的发展环境。</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绩效指标：召开警示教育会议，加强宣传，上报宣传资料1份以上</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（三）监督检查及巡视督查</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绩效目标：充分调动全区机关干部职工干事创业激情，切实转变工作作风，打造敢于创新的纪检监察干部队伍</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绩效指标：监督检查工作作风，进行业务培训1次以上</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黑体" w:hAnsi="黑体" w:eastAsia="黑体" w:cs="黑体"/>
          <w:b w:val="0"/>
          <w:bCs w:val="0"/>
          <w:sz w:val="32"/>
          <w:szCs w:val="32"/>
        </w:rPr>
      </w:pPr>
      <w:r>
        <w:rPr>
          <w:rFonts w:hint="eastAsia" w:ascii="黑体" w:hAnsi="黑体" w:eastAsia="黑体" w:cs="黑体"/>
          <w:b w:val="0"/>
          <w:bCs w:val="0"/>
          <w:sz w:val="32"/>
          <w:szCs w:val="32"/>
        </w:rPr>
        <w:t>三、工作保障措施</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（一）完善制度建设。</w:t>
      </w:r>
    </w:p>
    <w:p>
      <w:pPr>
        <w:keepNext w:val="0"/>
        <w:keepLines w:val="0"/>
        <w:pageBreakBefore w:val="0"/>
        <w:kinsoku/>
        <w:wordWrap/>
        <w:overflowPunct/>
        <w:topLinePunct w:val="0"/>
        <w:autoSpaceDE/>
        <w:autoSpaceDN/>
        <w:bidi w:val="0"/>
        <w:adjustRightInd w:val="0"/>
        <w:snapToGrid w:val="0"/>
        <w:spacing w:line="560" w:lineRule="exact"/>
        <w:ind w:left="0" w:leftChars="0" w:firstLine="63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制定完善预算绩效管理制度、资金管理办法、工作保障制度等相关制度。</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（二）加强支出管理。</w:t>
      </w:r>
    </w:p>
    <w:p>
      <w:pPr>
        <w:keepNext w:val="0"/>
        <w:keepLines w:val="0"/>
        <w:pageBreakBefore w:val="0"/>
        <w:kinsoku/>
        <w:wordWrap/>
        <w:overflowPunct/>
        <w:topLinePunct w:val="0"/>
        <w:autoSpaceDE/>
        <w:autoSpaceDN/>
        <w:bidi w:val="0"/>
        <w:adjustRightInd w:val="0"/>
        <w:snapToGrid w:val="0"/>
        <w:spacing w:line="560" w:lineRule="exact"/>
        <w:ind w:left="0" w:leftChars="0" w:firstLine="63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严格执行预算，加强支出进度分析。加强支出进度分析，及时反映预算执行动态，确保财政预算支出进度顺利完成。加强预算执行的责任意识，强化财政资金使用，提高财政资金的效益性和安全性。加强预算支出执行动态。</w:t>
      </w:r>
    </w:p>
    <w:p>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textAlignment w:val="auto"/>
        <w:rPr>
          <w:rFonts w:ascii="楷体_GB2312" w:hAnsi="楷体_GB2312" w:eastAsia="楷体_GB2312" w:cs="楷体_GB2312"/>
          <w:b w:val="0"/>
          <w:bCs w:val="0"/>
          <w:szCs w:val="32"/>
        </w:rPr>
      </w:pPr>
      <w:r>
        <w:rPr>
          <w:rFonts w:hint="eastAsia" w:ascii="楷体_GB2312" w:hAnsi="楷体_GB2312" w:eastAsia="楷体_GB2312" w:cs="楷体_GB2312"/>
          <w:b w:val="0"/>
          <w:bCs w:val="0"/>
          <w:szCs w:val="32"/>
        </w:rPr>
        <w:t>（三）加强绩效运行监控</w:t>
      </w:r>
    </w:p>
    <w:p>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firstLineChars="0"/>
        <w:textAlignment w:val="auto"/>
        <w:rPr>
          <w:rFonts w:ascii="仿宋_GB2312" w:cs="仿宋_GB2312"/>
          <w:b w:val="0"/>
          <w:bCs w:val="0"/>
          <w:szCs w:val="32"/>
        </w:rPr>
      </w:pPr>
      <w:r>
        <w:rPr>
          <w:rFonts w:hint="eastAsia" w:ascii="仿宋_GB2312" w:hAnsi="仿宋_GB2312" w:cs="仿宋_GB2312"/>
          <w:b w:val="0"/>
          <w:bCs w:val="0"/>
          <w:szCs w:val="32"/>
        </w:rPr>
        <w:t>按照上级要求按季度开展绩效运行监控，掌握预算支出进度和项目实施情况，发现问题及时采取措施，确保绩效目标如期保质实现。</w:t>
      </w:r>
    </w:p>
    <w:p>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textAlignment w:val="auto"/>
        <w:rPr>
          <w:rFonts w:ascii="楷体_GB2312" w:hAnsi="楷体_GB2312" w:eastAsia="楷体_GB2312" w:cs="楷体_GB2312"/>
          <w:b w:val="0"/>
          <w:bCs w:val="0"/>
          <w:szCs w:val="32"/>
        </w:rPr>
      </w:pPr>
      <w:r>
        <w:rPr>
          <w:rFonts w:hint="eastAsia" w:ascii="楷体_GB2312" w:hAnsi="楷体_GB2312" w:eastAsia="楷体_GB2312" w:cs="楷体_GB2312"/>
          <w:b w:val="0"/>
          <w:bCs w:val="0"/>
          <w:szCs w:val="32"/>
        </w:rPr>
        <w:t>（四）做好绩效自评工作</w:t>
      </w:r>
    </w:p>
    <w:p>
      <w:pPr>
        <w:pStyle w:val="3"/>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ascii="仿宋_GB2312" w:cs="仿宋_GB2312"/>
          <w:b w:val="0"/>
          <w:bCs w:val="0"/>
          <w:szCs w:val="32"/>
        </w:rPr>
      </w:pPr>
      <w:r>
        <w:rPr>
          <w:rFonts w:ascii="楷体_GB2312" w:hAnsi="楷体_GB2312" w:eastAsia="楷体_GB2312" w:cs="楷体_GB2312"/>
          <w:b w:val="0"/>
          <w:bCs w:val="0"/>
          <w:szCs w:val="32"/>
        </w:rPr>
        <w:t xml:space="preserve">    </w:t>
      </w:r>
      <w:r>
        <w:rPr>
          <w:rFonts w:hint="eastAsia" w:ascii="仿宋_GB2312" w:hAnsi="仿宋_GB2312" w:cs="仿宋_GB2312"/>
          <w:b w:val="0"/>
          <w:bCs w:val="0"/>
          <w:szCs w:val="32"/>
        </w:rPr>
        <w:t>按要求开展上年度部门预算绩效自评工作，对自评中发现的问题及时整改，调整优化支出结构，提高财政资金使用效益。</w:t>
      </w:r>
    </w:p>
    <w:p>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textAlignment w:val="auto"/>
        <w:rPr>
          <w:rFonts w:ascii="楷体_GB2312" w:hAnsi="楷体_GB2312" w:eastAsia="楷体_GB2312" w:cs="楷体_GB2312"/>
          <w:b w:val="0"/>
          <w:bCs w:val="0"/>
          <w:szCs w:val="32"/>
        </w:rPr>
      </w:pPr>
      <w:r>
        <w:rPr>
          <w:rFonts w:hint="eastAsia" w:ascii="楷体_GB2312" w:hAnsi="楷体_GB2312" w:eastAsia="楷体_GB2312" w:cs="楷体_GB2312"/>
          <w:b w:val="0"/>
          <w:bCs w:val="0"/>
          <w:szCs w:val="32"/>
        </w:rPr>
        <w:t>（五）规范财务资金管理。</w:t>
      </w:r>
    </w:p>
    <w:p>
      <w:pPr>
        <w:pStyle w:val="3"/>
        <w:keepNext w:val="0"/>
        <w:keepLines w:val="0"/>
        <w:pageBreakBefore w:val="0"/>
        <w:kinsoku/>
        <w:wordWrap/>
        <w:overflowPunct/>
        <w:topLinePunct w:val="0"/>
        <w:autoSpaceDE/>
        <w:autoSpaceDN/>
        <w:bidi w:val="0"/>
        <w:adjustRightInd w:val="0"/>
        <w:snapToGrid w:val="0"/>
        <w:spacing w:line="560" w:lineRule="exact"/>
        <w:ind w:left="0" w:leftChars="0" w:firstLine="419" w:firstLineChars="131"/>
        <w:textAlignment w:val="auto"/>
        <w:rPr>
          <w:rFonts w:ascii="仿宋_GB2312" w:cs="仿宋_GB2312"/>
          <w:b w:val="0"/>
          <w:bCs w:val="0"/>
          <w:szCs w:val="32"/>
        </w:rPr>
      </w:pPr>
      <w:r>
        <w:rPr>
          <w:rFonts w:ascii="楷体_GB2312" w:hAnsi="楷体_GB2312" w:eastAsia="楷体_GB2312" w:cs="楷体_GB2312"/>
          <w:b w:val="0"/>
          <w:bCs w:val="0"/>
          <w:szCs w:val="32"/>
        </w:rPr>
        <w:t xml:space="preserve">  </w:t>
      </w:r>
      <w:r>
        <w:rPr>
          <w:rFonts w:hint="eastAsia" w:ascii="仿宋_GB2312" w:hAnsi="仿宋_GB2312" w:cs="仿宋_GB2312"/>
          <w:b w:val="0"/>
          <w:bCs w:val="0"/>
          <w:szCs w:val="32"/>
        </w:rPr>
        <w:t>完善财务管理制度，严格审批程序，做好固定资产登记、使用报废处置管理，做到支出合理，物尽其用。</w:t>
      </w:r>
    </w:p>
    <w:p>
      <w:pPr>
        <w:pStyle w:val="3"/>
        <w:keepNext w:val="0"/>
        <w:keepLines w:val="0"/>
        <w:pageBreakBefore w:val="0"/>
        <w:kinsoku/>
        <w:wordWrap/>
        <w:overflowPunct/>
        <w:topLinePunct w:val="0"/>
        <w:autoSpaceDE/>
        <w:autoSpaceDN/>
        <w:bidi w:val="0"/>
        <w:adjustRightInd w:val="0"/>
        <w:snapToGrid w:val="0"/>
        <w:spacing w:line="560" w:lineRule="exact"/>
        <w:ind w:left="0" w:leftChars="0" w:firstLine="640"/>
        <w:textAlignment w:val="auto"/>
        <w:rPr>
          <w:rFonts w:ascii="仿宋_GB2312" w:cs="仿宋_GB2312"/>
          <w:b w:val="0"/>
          <w:bCs w:val="0"/>
          <w:szCs w:val="32"/>
        </w:rPr>
      </w:pPr>
      <w:r>
        <w:rPr>
          <w:rFonts w:hint="eastAsia" w:ascii="楷体_GB2312" w:hAnsi="楷体_GB2312" w:eastAsia="楷体_GB2312" w:cs="楷体_GB2312"/>
          <w:b w:val="0"/>
          <w:bCs w:val="0"/>
          <w:szCs w:val="32"/>
        </w:rPr>
        <w:t>（六）加强内部监督。</w:t>
      </w:r>
    </w:p>
    <w:p>
      <w:pPr>
        <w:pStyle w:val="3"/>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ascii="仿宋_GB2312" w:cs="仿宋_GB2312"/>
          <w:b w:val="0"/>
          <w:bCs w:val="0"/>
          <w:szCs w:val="32"/>
        </w:rPr>
      </w:pPr>
      <w:r>
        <w:rPr>
          <w:rFonts w:ascii="仿宋_GB2312" w:hAnsi="仿宋_GB2312" w:cs="仿宋_GB2312"/>
          <w:b w:val="0"/>
          <w:bCs w:val="0"/>
          <w:szCs w:val="32"/>
        </w:rPr>
        <w:t xml:space="preserve">  </w:t>
      </w:r>
      <w:r>
        <w:rPr>
          <w:rFonts w:hint="eastAsia" w:ascii="仿宋_GB2312" w:hAnsi="仿宋_GB2312" w:cs="仿宋_GB2312"/>
          <w:b w:val="0"/>
          <w:bCs w:val="0"/>
          <w:szCs w:val="32"/>
        </w:rPr>
        <w:t>加强内部监督制度建设，做好内控工作，对项目绩效及资产处置工作进行督导，对会计资料进行内部审计，并配合做好</w:t>
      </w:r>
      <w:r>
        <w:rPr>
          <w:rFonts w:hint="eastAsia" w:ascii="楷体_GB2312" w:hAnsi="楷体_GB2312" w:eastAsia="楷体_GB2312" w:cs="楷体_GB2312"/>
          <w:b w:val="0"/>
          <w:bCs w:val="0"/>
          <w:szCs w:val="32"/>
        </w:rPr>
        <w:t>财政</w:t>
      </w:r>
      <w:r>
        <w:rPr>
          <w:rFonts w:hint="eastAsia" w:ascii="仿宋_GB2312" w:hAnsi="仿宋_GB2312" w:cs="仿宋_GB2312"/>
          <w:b w:val="0"/>
          <w:bCs w:val="0"/>
          <w:szCs w:val="32"/>
        </w:rPr>
        <w:t>监督等工作，确保财政资金安全有效。</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（七）加强宣传培训调研等。</w:t>
      </w:r>
      <w:r>
        <w:rPr>
          <w:rFonts w:hint="eastAsia" w:ascii="仿宋_GB2312" w:hAnsi="仿宋_GB2312" w:eastAsia="仿宋_GB2312" w:cs="仿宋_GB2312"/>
          <w:b w:val="0"/>
          <w:bCs w:val="0"/>
          <w:sz w:val="32"/>
          <w:szCs w:val="32"/>
        </w:rPr>
        <w:t>加强人员培训，提高本部门职工业务素质；加强调研，提出优化财政资金配置、提高资金使用效益的意见意见；加大宣传力度，强化预算绩效管理意识，促进预算绩效管理水平进一步提升。</w:t>
      </w:r>
    </w:p>
    <w:p>
      <w:pPr>
        <w:spacing w:line="580" w:lineRule="exact"/>
        <w:rPr>
          <w:rFonts w:eastAsia="方正仿宋_GBK"/>
          <w:sz w:val="32"/>
          <w:szCs w:val="32"/>
        </w:rPr>
      </w:pPr>
    </w:p>
    <w:p>
      <w:pPr>
        <w:spacing w:line="580" w:lineRule="exact"/>
        <w:rPr>
          <w:rFonts w:eastAsia="方正仿宋_GBK"/>
          <w:sz w:val="32"/>
          <w:szCs w:val="32"/>
        </w:rPr>
      </w:pPr>
    </w:p>
    <w:p>
      <w:pPr>
        <w:spacing w:line="580" w:lineRule="exact"/>
        <w:rPr>
          <w:rFonts w:eastAsia="方正仿宋_GBK"/>
          <w:sz w:val="32"/>
          <w:szCs w:val="32"/>
        </w:rPr>
      </w:pPr>
    </w:p>
    <w:p>
      <w:pPr>
        <w:spacing w:line="580" w:lineRule="exact"/>
        <w:rPr>
          <w:rFonts w:eastAsia="方正仿宋_GBK"/>
          <w:sz w:val="32"/>
          <w:szCs w:val="32"/>
        </w:rPr>
      </w:pPr>
    </w:p>
    <w:p>
      <w:pPr>
        <w:spacing w:line="580" w:lineRule="exact"/>
        <w:rPr>
          <w:rFonts w:eastAsia="方正仿宋_GBK"/>
          <w:sz w:val="32"/>
          <w:szCs w:val="32"/>
        </w:rPr>
      </w:pPr>
    </w:p>
    <w:p>
      <w:pPr>
        <w:spacing w:line="580" w:lineRule="exact"/>
        <w:rPr>
          <w:rFonts w:eastAsia="方正仿宋_GBK"/>
          <w:sz w:val="32"/>
          <w:szCs w:val="32"/>
        </w:rPr>
      </w:pPr>
    </w:p>
    <w:p>
      <w:pPr>
        <w:spacing w:line="580" w:lineRule="exact"/>
        <w:rPr>
          <w:rFonts w:eastAsia="方正仿宋_GBK"/>
          <w:sz w:val="32"/>
          <w:szCs w:val="32"/>
        </w:rPr>
      </w:pPr>
    </w:p>
    <w:p>
      <w:pPr>
        <w:spacing w:line="580" w:lineRule="exact"/>
        <w:rPr>
          <w:rFonts w:eastAsia="方正仿宋_GBK"/>
          <w:sz w:val="32"/>
          <w:szCs w:val="32"/>
        </w:rPr>
      </w:pPr>
    </w:p>
    <w:p>
      <w:pPr>
        <w:spacing w:line="580" w:lineRule="exact"/>
        <w:rPr>
          <w:rFonts w:eastAsia="方正仿宋_GBK"/>
          <w:sz w:val="32"/>
          <w:szCs w:val="32"/>
        </w:rPr>
      </w:pPr>
    </w:p>
    <w:p>
      <w:pPr>
        <w:spacing w:line="580" w:lineRule="exact"/>
        <w:rPr>
          <w:rFonts w:eastAsia="方正仿宋_GBK"/>
          <w:sz w:val="32"/>
          <w:szCs w:val="32"/>
        </w:rPr>
      </w:pPr>
    </w:p>
    <w:p>
      <w:pPr>
        <w:spacing w:line="580" w:lineRule="exact"/>
        <w:rPr>
          <w:rFonts w:eastAsia="方正仿宋_GBK"/>
          <w:sz w:val="32"/>
          <w:szCs w:val="32"/>
        </w:rPr>
      </w:pPr>
    </w:p>
    <w:p>
      <w:pPr>
        <w:spacing w:line="580" w:lineRule="exact"/>
        <w:rPr>
          <w:rFonts w:eastAsia="方正仿宋_GBK"/>
          <w:sz w:val="32"/>
          <w:szCs w:val="32"/>
        </w:rPr>
      </w:pPr>
    </w:p>
    <w:p>
      <w:pPr>
        <w:spacing w:line="580" w:lineRule="exact"/>
        <w:rPr>
          <w:rFonts w:eastAsia="方正仿宋_GBK"/>
          <w:sz w:val="32"/>
          <w:szCs w:val="32"/>
        </w:rPr>
      </w:pPr>
    </w:p>
    <w:p>
      <w:pPr>
        <w:spacing w:line="580" w:lineRule="exact"/>
        <w:rPr>
          <w:rFonts w:eastAsia="方正仿宋_GBK"/>
          <w:sz w:val="32"/>
          <w:szCs w:val="32"/>
        </w:rPr>
      </w:pPr>
    </w:p>
    <w:p>
      <w:pPr>
        <w:spacing w:line="580" w:lineRule="exact"/>
        <w:rPr>
          <w:rFonts w:eastAsia="方正仿宋_GBK"/>
          <w:sz w:val="32"/>
          <w:szCs w:val="32"/>
        </w:rPr>
      </w:pPr>
    </w:p>
    <w:p>
      <w:pPr>
        <w:spacing w:line="580" w:lineRule="exact"/>
        <w:rPr>
          <w:rFonts w:eastAsia="方正仿宋_GBK"/>
          <w:sz w:val="32"/>
          <w:szCs w:val="32"/>
        </w:rPr>
      </w:pPr>
    </w:p>
    <w:p>
      <w:pPr>
        <w:spacing w:line="580" w:lineRule="exact"/>
        <w:rPr>
          <w:rFonts w:eastAsia="方正仿宋_GBK"/>
          <w:sz w:val="32"/>
          <w:szCs w:val="32"/>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高新区廉政中心改造扩建项目绩效目标表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9079" w:type="dxa"/>
        <w:tblInd w:w="-127" w:type="dxa"/>
        <w:tblLayout w:type="fixed"/>
        <w:tblCellMar>
          <w:top w:w="15" w:type="dxa"/>
          <w:left w:w="15" w:type="dxa"/>
          <w:bottom w:w="15" w:type="dxa"/>
          <w:right w:w="15" w:type="dxa"/>
        </w:tblCellMar>
      </w:tblPr>
      <w:tblGrid>
        <w:gridCol w:w="775"/>
        <w:gridCol w:w="1106"/>
        <w:gridCol w:w="1315"/>
        <w:gridCol w:w="1442"/>
        <w:gridCol w:w="1078"/>
        <w:gridCol w:w="1423"/>
        <w:gridCol w:w="979"/>
        <w:gridCol w:w="961"/>
      </w:tblGrid>
      <w:tr>
        <w:tblPrEx>
          <w:tblCellMar>
            <w:top w:w="15" w:type="dxa"/>
            <w:left w:w="15" w:type="dxa"/>
            <w:bottom w:w="15" w:type="dxa"/>
            <w:right w:w="15" w:type="dxa"/>
          </w:tblCellMar>
        </w:tblPrEx>
        <w:trPr>
          <w:trHeight w:val="615" w:hRule="atLeast"/>
        </w:trPr>
        <w:tc>
          <w:tcPr>
            <w:tcW w:w="7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b/>
                <w:color w:val="000000"/>
                <w:kern w:val="0"/>
                <w:sz w:val="20"/>
                <w:szCs w:val="20"/>
              </w:rPr>
            </w:pPr>
            <w:r>
              <w:rPr>
                <w:rFonts w:hint="eastAsia" w:ascii="宋体" w:hAnsi="宋体" w:cs="宋体"/>
                <w:b/>
                <w:color w:val="000000"/>
                <w:kern w:val="0"/>
                <w:sz w:val="20"/>
                <w:szCs w:val="20"/>
              </w:rPr>
              <w:t>项目</w:t>
            </w:r>
          </w:p>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编码</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rPr>
              <w:t>项目名称</w:t>
            </w:r>
          </w:p>
        </w:tc>
        <w:tc>
          <w:tcPr>
            <w:tcW w:w="444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高新区廉政中心改造扩建</w:t>
            </w:r>
          </w:p>
        </w:tc>
      </w:tr>
      <w:tr>
        <w:tblPrEx>
          <w:tblCellMar>
            <w:top w:w="15" w:type="dxa"/>
            <w:left w:w="15" w:type="dxa"/>
            <w:bottom w:w="15" w:type="dxa"/>
            <w:right w:w="15" w:type="dxa"/>
          </w:tblCellMar>
        </w:tblPrEx>
        <w:trPr>
          <w:trHeight w:val="555" w:hRule="atLeast"/>
        </w:trPr>
        <w:tc>
          <w:tcPr>
            <w:tcW w:w="7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预算规模及资金用途</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rPr>
              <w:t xml:space="preserve">预算数    </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200万元</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200万元</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rPr>
              <w:t xml:space="preserve">  </w:t>
            </w:r>
          </w:p>
        </w:tc>
      </w:tr>
      <w:tr>
        <w:tblPrEx>
          <w:tblCellMar>
            <w:top w:w="15" w:type="dxa"/>
            <w:left w:w="15" w:type="dxa"/>
            <w:bottom w:w="15" w:type="dxa"/>
            <w:right w:w="15" w:type="dxa"/>
          </w:tblCellMar>
        </w:tblPrEx>
        <w:trPr>
          <w:trHeight w:val="397" w:hRule="atLeast"/>
        </w:trPr>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eastAsia="宋体" w:cs="宋体"/>
                <w:b w:val="0"/>
                <w:bCs/>
                <w:color w:val="000000"/>
                <w:sz w:val="20"/>
                <w:szCs w:val="20"/>
              </w:rPr>
              <w:t>1.对原高新区纪工委谈话点进行改造，增设5间谈话室，3间案情分析室，1间会议室，增设3间办公室，7间休息室，按键室；对谈话点原有监控、电力等设计进行改造；对原市政服务中心院内、原有库房及二楼进行改造；对原市政服务中心整体电力、空调进行升级。计划使用资金440.77万元。2.对改造后的高新区廉政中心采购相关办公设备，办公家具，计划29.91万元。</w:t>
            </w:r>
            <w:r>
              <w:rPr>
                <w:rFonts w:hint="eastAsia" w:ascii="宋体" w:hAnsi="宋体" w:cs="宋体"/>
                <w:b w:val="0"/>
                <w:bCs/>
                <w:color w:val="000000"/>
                <w:sz w:val="20"/>
                <w:szCs w:val="20"/>
                <w:lang w:eastAsia="zh-CN"/>
              </w:rPr>
              <w:t>本年度</w:t>
            </w:r>
            <w:r>
              <w:rPr>
                <w:rFonts w:hint="eastAsia" w:ascii="宋体" w:hAnsi="宋体" w:eastAsia="宋体" w:cs="宋体"/>
                <w:b w:val="0"/>
                <w:bCs/>
                <w:color w:val="000000"/>
                <w:sz w:val="20"/>
                <w:szCs w:val="20"/>
              </w:rPr>
              <w:t>安排进度款200万元</w:t>
            </w:r>
            <w:r>
              <w:rPr>
                <w:rFonts w:hint="eastAsia" w:ascii="宋体" w:hAnsi="宋体" w:cs="宋体"/>
                <w:b w:val="0"/>
                <w:bCs/>
                <w:color w:val="000000"/>
                <w:sz w:val="20"/>
                <w:szCs w:val="20"/>
                <w:lang w:eastAsia="zh-CN"/>
              </w:rPr>
              <w:t>。</w:t>
            </w:r>
          </w:p>
        </w:tc>
      </w:tr>
      <w:tr>
        <w:tblPrEx>
          <w:tblCellMar>
            <w:top w:w="15" w:type="dxa"/>
            <w:left w:w="15" w:type="dxa"/>
            <w:bottom w:w="15" w:type="dxa"/>
            <w:right w:w="15" w:type="dxa"/>
          </w:tblCellMar>
        </w:tblPrEx>
        <w:trPr>
          <w:trHeight w:val="615" w:hRule="atLeast"/>
        </w:trPr>
        <w:tc>
          <w:tcPr>
            <w:tcW w:w="7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资金支出计划（</w:t>
            </w:r>
            <w:r>
              <w:rPr>
                <w:rFonts w:ascii="宋体" w:hAnsi="宋体" w:cs="宋体"/>
                <w:b/>
                <w:color w:val="000000"/>
                <w:kern w:val="0"/>
                <w:sz w:val="20"/>
                <w:szCs w:val="20"/>
              </w:rPr>
              <w:t>%</w:t>
            </w:r>
            <w:r>
              <w:rPr>
                <w:rFonts w:hint="eastAsia" w:ascii="宋体" w:hAnsi="宋体" w:cs="宋体"/>
                <w:b/>
                <w:color w:val="000000"/>
                <w:kern w:val="0"/>
                <w:sz w:val="20"/>
                <w:szCs w:val="20"/>
              </w:rPr>
              <w:t>）</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rPr>
              <w:t>3月底</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rPr>
              <w:t>6月底</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rPr>
              <w:t>12月底</w:t>
            </w:r>
          </w:p>
        </w:tc>
      </w:tr>
      <w:tr>
        <w:tblPrEx>
          <w:tblCellMar>
            <w:top w:w="15" w:type="dxa"/>
            <w:left w:w="15" w:type="dxa"/>
            <w:bottom w:w="15" w:type="dxa"/>
            <w:right w:w="15" w:type="dxa"/>
          </w:tblCellMar>
        </w:tblPrEx>
        <w:trPr>
          <w:trHeight w:val="441" w:hRule="atLeast"/>
        </w:trPr>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25%</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50%</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75%</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r>
              <w:rPr>
                <w:rFonts w:hint="eastAsia" w:ascii="宋体" w:hAnsi="宋体" w:eastAsia="宋体" w:cs="宋体"/>
                <w:b w:val="0"/>
                <w:bCs/>
                <w:color w:val="000000"/>
                <w:sz w:val="20"/>
                <w:szCs w:val="20"/>
              </w:rPr>
              <w:t>100%</w:t>
            </w:r>
          </w:p>
        </w:tc>
      </w:tr>
      <w:tr>
        <w:tblPrEx>
          <w:tblCellMar>
            <w:top w:w="15" w:type="dxa"/>
            <w:left w:w="15" w:type="dxa"/>
            <w:bottom w:w="15" w:type="dxa"/>
            <w:right w:w="15" w:type="dxa"/>
          </w:tblCellMar>
        </w:tblPrEx>
        <w:trPr>
          <w:trHeight w:val="525" w:hRule="atLeast"/>
        </w:trPr>
        <w:tc>
          <w:tcPr>
            <w:tcW w:w="7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rPr>
            </w:pPr>
            <w:r>
              <w:rPr>
                <w:rFonts w:hint="eastAsia" w:ascii="宋体" w:hAnsi="宋体" w:cs="宋体"/>
                <w:b/>
                <w:color w:val="000000"/>
                <w:kern w:val="0"/>
                <w:sz w:val="20"/>
                <w:szCs w:val="20"/>
              </w:rPr>
              <w:t>绩效</w:t>
            </w:r>
          </w:p>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目标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rPr>
              <w:t>目标1</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cs="宋体"/>
                <w:b w:val="0"/>
                <w:bCs/>
                <w:color w:val="000000"/>
                <w:kern w:val="0"/>
                <w:sz w:val="20"/>
                <w:szCs w:val="20"/>
                <w:lang w:eastAsia="zh-CN"/>
              </w:rPr>
              <w:t>尽快完成谈话点的改造扩建工作，保证相关工作正常开展。</w:t>
            </w:r>
          </w:p>
        </w:tc>
      </w:tr>
      <w:tr>
        <w:tblPrEx>
          <w:tblCellMar>
            <w:top w:w="15" w:type="dxa"/>
            <w:left w:w="15" w:type="dxa"/>
            <w:bottom w:w="15" w:type="dxa"/>
            <w:right w:w="15" w:type="dxa"/>
          </w:tblCellMar>
        </w:tblPrEx>
        <w:trPr>
          <w:trHeight w:val="525" w:hRule="atLeast"/>
        </w:trPr>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rPr>
              <w:t>目标2</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eastAsia="zh-CN"/>
              </w:rPr>
            </w:pPr>
            <w:r>
              <w:rPr>
                <w:rFonts w:hint="eastAsia" w:ascii="宋体" w:hAnsi="宋体" w:cs="宋体"/>
                <w:b w:val="0"/>
                <w:bCs/>
                <w:color w:val="000000"/>
                <w:kern w:val="0"/>
                <w:sz w:val="20"/>
                <w:szCs w:val="20"/>
                <w:lang w:eastAsia="zh-CN"/>
              </w:rPr>
              <w:t>购置设备及办公家具必须进行严格验收并入库。</w:t>
            </w:r>
          </w:p>
        </w:tc>
      </w:tr>
      <w:tr>
        <w:tblPrEx>
          <w:tblCellMar>
            <w:top w:w="15" w:type="dxa"/>
            <w:left w:w="15" w:type="dxa"/>
            <w:bottom w:w="15" w:type="dxa"/>
            <w:right w:w="15" w:type="dxa"/>
          </w:tblCellMar>
        </w:tblPrEx>
        <w:trPr>
          <w:trHeight w:val="450" w:hRule="atLeast"/>
        </w:trPr>
        <w:tc>
          <w:tcPr>
            <w:tcW w:w="7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kern w:val="0"/>
                <w:sz w:val="20"/>
                <w:szCs w:val="20"/>
              </w:rPr>
            </w:pPr>
            <w:r>
              <w:rPr>
                <w:rFonts w:hint="eastAsia" w:ascii="黑体" w:hAnsi="宋体" w:eastAsia="黑体" w:cs="黑体"/>
                <w:b/>
                <w:color w:val="000000"/>
                <w:kern w:val="0"/>
                <w:sz w:val="20"/>
                <w:szCs w:val="20"/>
              </w:rPr>
              <w:t>一级</w:t>
            </w:r>
          </w:p>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指标</w:t>
            </w:r>
          </w:p>
        </w:tc>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20"/>
                <w:szCs w:val="20"/>
              </w:rPr>
            </w:pPr>
            <w:r>
              <w:rPr>
                <w:rFonts w:hint="eastAsia" w:ascii="宋体" w:hAnsi="宋体" w:eastAsia="宋体" w:cs="宋体"/>
                <w:b w:val="0"/>
                <w:bCs/>
                <w:color w:val="000000"/>
                <w:kern w:val="0"/>
                <w:sz w:val="20"/>
                <w:szCs w:val="20"/>
              </w:rPr>
              <w:t>指标值确定依据</w:t>
            </w:r>
          </w:p>
        </w:tc>
      </w:tr>
      <w:tr>
        <w:tblPrEx>
          <w:tblCellMar>
            <w:top w:w="15" w:type="dxa"/>
            <w:left w:w="15" w:type="dxa"/>
            <w:bottom w:w="15" w:type="dxa"/>
            <w:right w:w="15" w:type="dxa"/>
          </w:tblCellMar>
        </w:tblPrEx>
        <w:trPr>
          <w:trHeight w:val="312" w:hRule="atLeast"/>
        </w:trPr>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7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rPr>
            </w:pPr>
          </w:p>
        </w:tc>
      </w:tr>
      <w:tr>
        <w:tblPrEx>
          <w:tblCellMar>
            <w:top w:w="15" w:type="dxa"/>
            <w:left w:w="15" w:type="dxa"/>
            <w:bottom w:w="15" w:type="dxa"/>
            <w:right w:w="15" w:type="dxa"/>
          </w:tblCellMar>
        </w:tblPrEx>
        <w:trPr>
          <w:trHeight w:val="720" w:hRule="atLeast"/>
        </w:trPr>
        <w:tc>
          <w:tcPr>
            <w:tcW w:w="7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rPr>
            </w:pPr>
            <w:r>
              <w:rPr>
                <w:rFonts w:hint="eastAsia" w:ascii="宋体" w:hAnsi="宋体" w:cs="宋体"/>
                <w:b/>
                <w:color w:val="000000"/>
                <w:kern w:val="0"/>
                <w:sz w:val="20"/>
                <w:szCs w:val="20"/>
              </w:rPr>
              <w:t>产出</w:t>
            </w:r>
          </w:p>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指标</w:t>
            </w:r>
            <w:r>
              <w:rPr>
                <w:rFonts w:ascii="宋体" w:hAnsi="宋体" w:cs="宋体"/>
                <w:b/>
                <w:color w:val="000000"/>
                <w:kern w:val="0"/>
                <w:sz w:val="20"/>
                <w:szCs w:val="20"/>
              </w:rPr>
              <w:t xml:space="preserve"> </w:t>
            </w:r>
          </w:p>
        </w:tc>
        <w:tc>
          <w:tcPr>
            <w:tcW w:w="110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kern w:val="0"/>
                <w:sz w:val="20"/>
                <w:szCs w:val="20"/>
                <w:lang w:eastAsia="zh-CN"/>
              </w:rPr>
            </w:pPr>
            <w:r>
              <w:rPr>
                <w:rFonts w:hint="eastAsia" w:ascii="宋体" w:hAnsi="宋体" w:cs="宋体"/>
                <w:b w:val="0"/>
                <w:bCs/>
                <w:color w:val="000000"/>
                <w:kern w:val="0"/>
                <w:sz w:val="20"/>
                <w:szCs w:val="20"/>
                <w:lang w:eastAsia="zh-CN"/>
              </w:rPr>
              <w:t>增设房间数</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kern w:val="0"/>
                <w:sz w:val="20"/>
                <w:szCs w:val="20"/>
              </w:rPr>
            </w:pPr>
            <w:r>
              <w:rPr>
                <w:rFonts w:hint="eastAsia" w:ascii="宋体" w:hAnsi="宋体" w:cs="宋体"/>
                <w:b w:val="0"/>
                <w:bCs/>
                <w:color w:val="000000"/>
                <w:kern w:val="0"/>
                <w:sz w:val="20"/>
                <w:szCs w:val="20"/>
                <w:lang w:eastAsia="zh-CN"/>
              </w:rPr>
              <w:t>增设房间数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=19间</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工作计划</w:t>
            </w:r>
          </w:p>
        </w:tc>
      </w:tr>
      <w:tr>
        <w:tblPrEx>
          <w:tblCellMar>
            <w:top w:w="15" w:type="dxa"/>
            <w:left w:w="15" w:type="dxa"/>
            <w:bottom w:w="15" w:type="dxa"/>
            <w:right w:w="15" w:type="dxa"/>
          </w:tblCellMar>
        </w:tblPrEx>
        <w:trPr>
          <w:trHeight w:val="725" w:hRule="atLeast"/>
        </w:trPr>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kern w:val="0"/>
                <w:sz w:val="20"/>
                <w:szCs w:val="20"/>
                <w:lang w:eastAsia="zh-CN"/>
              </w:rPr>
            </w:pPr>
            <w:r>
              <w:rPr>
                <w:rFonts w:hint="eastAsia" w:ascii="宋体" w:hAnsi="宋体" w:cs="宋体"/>
                <w:b w:val="0"/>
                <w:bCs/>
                <w:color w:val="000000"/>
                <w:kern w:val="0"/>
                <w:sz w:val="20"/>
                <w:szCs w:val="20"/>
                <w:lang w:eastAsia="zh-CN"/>
              </w:rPr>
              <w:t>验收入库率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kern w:val="0"/>
                <w:sz w:val="20"/>
                <w:szCs w:val="20"/>
                <w:lang w:eastAsia="zh-CN"/>
              </w:rPr>
            </w:pPr>
            <w:r>
              <w:rPr>
                <w:rFonts w:hint="eastAsia" w:ascii="宋体" w:hAnsi="宋体" w:cs="宋体"/>
                <w:b w:val="0"/>
                <w:bCs/>
                <w:color w:val="000000"/>
                <w:kern w:val="0"/>
                <w:sz w:val="20"/>
                <w:szCs w:val="20"/>
                <w:lang w:eastAsia="zh-CN"/>
              </w:rPr>
              <w:t>购置设备及办公家具等验收入库率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=100%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工作计划</w:t>
            </w:r>
          </w:p>
        </w:tc>
      </w:tr>
      <w:tr>
        <w:tblPrEx>
          <w:tblCellMar>
            <w:top w:w="15" w:type="dxa"/>
            <w:left w:w="15" w:type="dxa"/>
            <w:bottom w:w="15" w:type="dxa"/>
            <w:right w:w="15" w:type="dxa"/>
          </w:tblCellMar>
        </w:tblPrEx>
        <w:trPr>
          <w:trHeight w:val="665" w:hRule="atLeast"/>
        </w:trPr>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kern w:val="0"/>
                <w:sz w:val="20"/>
                <w:szCs w:val="20"/>
                <w:lang w:eastAsia="zh-CN"/>
              </w:rPr>
            </w:pPr>
            <w:r>
              <w:rPr>
                <w:rFonts w:hint="eastAsia" w:ascii="宋体" w:hAnsi="宋体" w:cs="宋体"/>
                <w:b w:val="0"/>
                <w:bCs/>
                <w:color w:val="000000"/>
                <w:kern w:val="0"/>
                <w:sz w:val="20"/>
                <w:szCs w:val="20"/>
                <w:lang w:eastAsia="zh-CN"/>
              </w:rPr>
              <w:t>完成时限</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kern w:val="0"/>
                <w:sz w:val="20"/>
                <w:szCs w:val="20"/>
              </w:rPr>
            </w:pPr>
            <w:r>
              <w:rPr>
                <w:rFonts w:hint="eastAsia" w:ascii="宋体" w:hAnsi="宋体" w:cs="宋体"/>
                <w:b w:val="0"/>
                <w:bCs/>
                <w:color w:val="000000"/>
                <w:kern w:val="0"/>
                <w:sz w:val="20"/>
                <w:szCs w:val="20"/>
                <w:lang w:eastAsia="zh-CN"/>
              </w:rPr>
              <w:t>完成时限</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val="0"/>
                <w:bCs/>
                <w:color w:val="000000"/>
                <w:kern w:val="0"/>
                <w:sz w:val="20"/>
                <w:szCs w:val="20"/>
                <w:lang w:val="en-US" w:eastAsia="zh-CN"/>
              </w:rPr>
            </w:pPr>
            <w:r>
              <w:rPr>
                <w:rFonts w:hint="eastAsia" w:ascii="宋体" w:hAnsi="宋体" w:cs="宋体"/>
                <w:b w:val="0"/>
                <w:bCs/>
                <w:color w:val="000000"/>
                <w:kern w:val="0"/>
                <w:sz w:val="20"/>
                <w:szCs w:val="20"/>
                <w:lang w:val="en-US" w:eastAsia="zh-CN"/>
              </w:rPr>
              <w:t>12月底</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工作计划</w:t>
            </w:r>
          </w:p>
        </w:tc>
      </w:tr>
      <w:tr>
        <w:tblPrEx>
          <w:tblCellMar>
            <w:top w:w="15" w:type="dxa"/>
            <w:left w:w="15" w:type="dxa"/>
            <w:bottom w:w="15" w:type="dxa"/>
            <w:right w:w="15" w:type="dxa"/>
          </w:tblCellMar>
        </w:tblPrEx>
        <w:trPr>
          <w:trHeight w:val="675" w:hRule="atLeast"/>
        </w:trPr>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cs="宋体"/>
                <w:b/>
                <w:color w:val="000000"/>
                <w:sz w:val="20"/>
                <w:szCs w:val="20"/>
              </w:rPr>
            </w:pPr>
          </w:p>
        </w:tc>
        <w:tc>
          <w:tcPr>
            <w:tcW w:w="110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成本指标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kern w:val="0"/>
                <w:sz w:val="20"/>
                <w:szCs w:val="20"/>
                <w:lang w:eastAsia="zh-CN"/>
              </w:rPr>
            </w:pPr>
            <w:r>
              <w:rPr>
                <w:rFonts w:hint="eastAsia" w:ascii="宋体" w:hAnsi="宋体" w:cs="宋体"/>
                <w:b w:val="0"/>
                <w:bCs/>
                <w:color w:val="000000"/>
                <w:kern w:val="0"/>
                <w:sz w:val="20"/>
                <w:szCs w:val="20"/>
                <w:lang w:eastAsia="zh-CN"/>
              </w:rPr>
              <w:t>控制在预算内</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kern w:val="0"/>
                <w:sz w:val="20"/>
                <w:szCs w:val="20"/>
              </w:rPr>
            </w:pPr>
            <w:r>
              <w:rPr>
                <w:rFonts w:hint="eastAsia" w:ascii="宋体" w:hAnsi="宋体" w:cs="宋体"/>
                <w:b w:val="0"/>
                <w:bCs/>
                <w:color w:val="000000"/>
                <w:kern w:val="0"/>
                <w:sz w:val="20"/>
                <w:szCs w:val="20"/>
                <w:lang w:eastAsia="zh-CN"/>
              </w:rPr>
              <w:t>控制在预算内</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val="0"/>
                <w:bCs/>
                <w:color w:val="000000"/>
                <w:kern w:val="0"/>
                <w:sz w:val="20"/>
                <w:szCs w:val="20"/>
                <w:lang w:val="en-US" w:eastAsia="zh-CN"/>
              </w:rPr>
            </w:pPr>
            <w:r>
              <w:rPr>
                <w:rFonts w:hint="eastAsia" w:ascii="宋体" w:hAnsi="宋体" w:eastAsia="宋体" w:cs="宋体"/>
                <w:b w:val="0"/>
                <w:bCs/>
                <w:color w:val="000000"/>
                <w:kern w:val="0"/>
                <w:sz w:val="20"/>
                <w:szCs w:val="20"/>
                <w:lang w:val="en-US" w:eastAsia="zh-CN"/>
              </w:rPr>
              <w:t>≦</w:t>
            </w:r>
            <w:bookmarkStart w:id="0" w:name="_GoBack"/>
            <w:bookmarkEnd w:id="0"/>
            <w:r>
              <w:rPr>
                <w:rFonts w:hint="eastAsia" w:ascii="宋体" w:hAnsi="宋体" w:cs="宋体"/>
                <w:b w:val="0"/>
                <w:bCs/>
                <w:color w:val="000000"/>
                <w:kern w:val="0"/>
                <w:sz w:val="20"/>
                <w:szCs w:val="20"/>
                <w:lang w:val="en-US" w:eastAsia="zh-CN"/>
              </w:rPr>
              <w:t>200万元</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工作计划</w:t>
            </w:r>
          </w:p>
        </w:tc>
      </w:tr>
      <w:tr>
        <w:tblPrEx>
          <w:tblCellMar>
            <w:top w:w="15" w:type="dxa"/>
            <w:left w:w="15" w:type="dxa"/>
            <w:bottom w:w="15" w:type="dxa"/>
            <w:right w:w="15" w:type="dxa"/>
          </w:tblCellMar>
        </w:tblPrEx>
        <w:trPr>
          <w:trHeight w:val="970" w:hRule="atLeast"/>
        </w:trPr>
        <w:tc>
          <w:tcPr>
            <w:tcW w:w="77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rPr>
            </w:pPr>
            <w:r>
              <w:rPr>
                <w:rFonts w:hint="eastAsia" w:ascii="宋体" w:hAnsi="宋体" w:cs="宋体"/>
                <w:b/>
                <w:color w:val="000000"/>
                <w:kern w:val="0"/>
                <w:sz w:val="20"/>
                <w:szCs w:val="20"/>
              </w:rPr>
              <w:t>效果</w:t>
            </w:r>
          </w:p>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指标</w:t>
            </w:r>
          </w:p>
        </w:tc>
        <w:tc>
          <w:tcPr>
            <w:tcW w:w="110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可持续性影响</w:t>
            </w:r>
          </w:p>
        </w:tc>
        <w:tc>
          <w:tcPr>
            <w:tcW w:w="1315"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kern w:val="0"/>
                <w:sz w:val="20"/>
                <w:szCs w:val="20"/>
                <w:lang w:eastAsia="zh-CN"/>
              </w:rPr>
            </w:pPr>
            <w:r>
              <w:rPr>
                <w:rFonts w:hint="eastAsia" w:ascii="宋体" w:hAnsi="宋体" w:cs="宋体"/>
                <w:b w:val="0"/>
                <w:bCs/>
                <w:color w:val="000000"/>
                <w:kern w:val="0"/>
                <w:sz w:val="20"/>
                <w:szCs w:val="20"/>
                <w:lang w:eastAsia="zh-CN"/>
              </w:rPr>
              <w:t>纪检监察工作是否持续开展</w:t>
            </w:r>
          </w:p>
        </w:tc>
        <w:tc>
          <w:tcPr>
            <w:tcW w:w="3943" w:type="dxa"/>
            <w:gridSpan w:val="3"/>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kern w:val="0"/>
                <w:sz w:val="20"/>
                <w:szCs w:val="20"/>
              </w:rPr>
            </w:pPr>
            <w:r>
              <w:rPr>
                <w:rFonts w:hint="eastAsia" w:ascii="宋体" w:hAnsi="宋体" w:cs="宋体"/>
                <w:b w:val="0"/>
                <w:bCs/>
                <w:color w:val="000000"/>
                <w:kern w:val="0"/>
                <w:sz w:val="20"/>
                <w:szCs w:val="20"/>
                <w:lang w:eastAsia="zh-CN"/>
              </w:rPr>
              <w:t>纪检监察工作是否持续开展</w:t>
            </w:r>
          </w:p>
        </w:tc>
        <w:tc>
          <w:tcPr>
            <w:tcW w:w="97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是</w:t>
            </w:r>
          </w:p>
        </w:tc>
        <w:tc>
          <w:tcPr>
            <w:tcW w:w="961"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工作要求</w:t>
            </w:r>
          </w:p>
        </w:tc>
      </w:tr>
      <w:tr>
        <w:tblPrEx>
          <w:tblCellMar>
            <w:top w:w="15" w:type="dxa"/>
            <w:left w:w="15" w:type="dxa"/>
            <w:bottom w:w="15" w:type="dxa"/>
            <w:right w:w="15" w:type="dxa"/>
          </w:tblCellMar>
        </w:tblPrEx>
        <w:trPr>
          <w:trHeight w:val="990" w:hRule="atLeast"/>
        </w:trPr>
        <w:tc>
          <w:tcPr>
            <w:tcW w:w="7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满意度指标</w:t>
            </w:r>
          </w:p>
        </w:tc>
        <w:tc>
          <w:tcPr>
            <w:tcW w:w="1106"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kern w:val="0"/>
                <w:sz w:val="20"/>
                <w:szCs w:val="20"/>
              </w:rPr>
            </w:pPr>
            <w:r>
              <w:rPr>
                <w:rFonts w:hint="eastAsia" w:ascii="宋体" w:hAnsi="宋体" w:cs="宋体"/>
                <w:b w:val="0"/>
                <w:bCs/>
                <w:color w:val="000000"/>
                <w:kern w:val="0"/>
                <w:sz w:val="20"/>
                <w:szCs w:val="20"/>
                <w:lang w:eastAsia="zh-CN"/>
              </w:rPr>
              <w:t>涉及人员</w:t>
            </w:r>
            <w:r>
              <w:rPr>
                <w:rFonts w:hint="eastAsia" w:ascii="宋体" w:hAnsi="宋体" w:eastAsia="宋体" w:cs="宋体"/>
                <w:b w:val="0"/>
                <w:bCs/>
                <w:color w:val="000000"/>
                <w:kern w:val="0"/>
                <w:sz w:val="20"/>
                <w:szCs w:val="20"/>
              </w:rPr>
              <w:t>满意度(%)</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kern w:val="0"/>
                <w:sz w:val="20"/>
                <w:szCs w:val="20"/>
              </w:rPr>
            </w:pPr>
            <w:r>
              <w:rPr>
                <w:rFonts w:hint="eastAsia" w:ascii="宋体" w:hAnsi="宋体" w:cs="宋体"/>
                <w:b w:val="0"/>
                <w:bCs/>
                <w:color w:val="000000"/>
                <w:kern w:val="0"/>
                <w:sz w:val="20"/>
                <w:szCs w:val="20"/>
                <w:lang w:eastAsia="zh-CN"/>
              </w:rPr>
              <w:t>涉及人员</w:t>
            </w:r>
            <w:r>
              <w:rPr>
                <w:rFonts w:hint="eastAsia" w:ascii="宋体" w:hAnsi="宋体" w:eastAsia="宋体" w:cs="宋体"/>
                <w:b w:val="0"/>
                <w:bCs/>
                <w:color w:val="000000"/>
                <w:kern w:val="0"/>
                <w:sz w:val="20"/>
                <w:szCs w:val="20"/>
              </w:rPr>
              <w:t>满意度(%)</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工作经验</w:t>
            </w:r>
          </w:p>
        </w:tc>
      </w:tr>
    </w:tbl>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224083-F3F6-4361-9E2C-B0093F9A53D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99EBC498-2E12-4A15-AD50-211DC4BAAE78}"/>
  </w:font>
  <w:font w:name="仿宋_GB2312">
    <w:panose1 w:val="02010609030101010101"/>
    <w:charset w:val="86"/>
    <w:family w:val="modern"/>
    <w:pitch w:val="default"/>
    <w:sig w:usb0="00000001" w:usb1="080E0000" w:usb2="00000000" w:usb3="00000000" w:csb0="00040000" w:csb1="00000000"/>
    <w:embedRegular r:id="rId3" w:fontKey="{7F4A7577-998D-46AC-9264-023FD346645E}"/>
  </w:font>
  <w:font w:name="方正小标宋简体">
    <w:panose1 w:val="03000509000000000000"/>
    <w:charset w:val="86"/>
    <w:family w:val="script"/>
    <w:pitch w:val="default"/>
    <w:sig w:usb0="00000001" w:usb1="080E0000" w:usb2="00000000" w:usb3="00000000" w:csb0="00040000" w:csb1="00000000"/>
    <w:embedRegular r:id="rId4" w:fontKey="{EF2EE122-6077-4DDF-8E48-EE6A26239347}"/>
  </w:font>
  <w:font w:name="楷体">
    <w:panose1 w:val="02010609060101010101"/>
    <w:charset w:val="86"/>
    <w:family w:val="auto"/>
    <w:pitch w:val="default"/>
    <w:sig w:usb0="800002BF" w:usb1="38CF7CFA" w:usb2="00000016" w:usb3="00000000" w:csb0="00040001" w:csb1="00000000"/>
    <w:embedRegular r:id="rId5" w:fontKey="{2D1B5014-AC8D-4B9C-B857-EAB054CE4127}"/>
  </w:font>
  <w:font w:name="楷体_GB2312">
    <w:panose1 w:val="02010609030101010101"/>
    <w:charset w:val="86"/>
    <w:family w:val="modern"/>
    <w:pitch w:val="default"/>
    <w:sig w:usb0="00000001" w:usb1="080E0000" w:usb2="00000000" w:usb3="00000000" w:csb0="00040000" w:csb1="00000000"/>
    <w:embedRegular r:id="rId6" w:fontKey="{F8331596-F21C-4BCE-9E30-1B6A7B906356}"/>
  </w:font>
  <w:font w:name="方正仿宋_GBK">
    <w:panose1 w:val="02000000000000000000"/>
    <w:charset w:val="86"/>
    <w:family w:val="script"/>
    <w:pitch w:val="default"/>
    <w:sig w:usb0="00000000" w:usb1="00000000" w:usb2="00000000" w:usb3="00000000" w:csb0="00000000" w:csb1="00000000"/>
    <w:embedRegular r:id="rId7" w:fontKey="{27D6D839-7E53-4887-A130-B32AF445CFB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jZjk5NTE1Yzc3NmVhNWNkMjBjODQ1ZTFiM2JlM2QifQ=="/>
  </w:docVars>
  <w:rsids>
    <w:rsidRoot w:val="7B995944"/>
    <w:rsid w:val="098739A8"/>
    <w:rsid w:val="0CA57A5D"/>
    <w:rsid w:val="10A02829"/>
    <w:rsid w:val="2F003829"/>
    <w:rsid w:val="2FB27C17"/>
    <w:rsid w:val="71BB523B"/>
    <w:rsid w:val="7B9959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ind w:firstLine="640" w:firstLineChars="200"/>
    </w:pPr>
    <w:rPr>
      <w:rFonts w:eastAsia="仿宋_GB2312"/>
      <w:sz w:val="32"/>
    </w:rPr>
  </w:style>
  <w:style w:type="paragraph" w:styleId="3">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1428</Words>
  <Characters>1464</Characters>
  <Lines>0</Lines>
  <Paragraphs>0</Paragraphs>
  <TotalTime>5</TotalTime>
  <ScaleCrop>false</ScaleCrop>
  <LinksUpToDate>false</LinksUpToDate>
  <CharactersWithSpaces>1480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2021-12-27T03:04:00Z</dcterms:created>
  <dc:creator>zjh</dc:creator>
  <cp:lastModifiedBy>Master</cp:lastModifiedBy>
  <dcterms:modified xsi:type="dcterms:W3CDTF">2023-01-04T03:12:30Z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6F011E1726F74A04B59E7EC0D78BEAD4</vt:lpwstr>
  </property>
</Properties>
</file>