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after="0" w:line="560" w:lineRule="exact"/>
        <w:ind w:firstLine="880" w:firstLineChars="200"/>
        <w:jc w:val="center"/>
        <w:rPr>
          <w:rFonts w:ascii="黑体" w:eastAsia="黑体"/>
          <w:sz w:val="44"/>
          <w:szCs w:val="44"/>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rPr>
          <w:szCs w:val="22"/>
        </w:rPr>
      </w:pPr>
    </w:p>
    <w:p>
      <w:pPr>
        <w:keepNext w:val="0"/>
        <w:keepLines w:val="0"/>
        <w:pageBreakBefore w:val="0"/>
        <w:widowControl w:val="0"/>
        <w:kinsoku/>
        <w:wordWrap/>
        <w:overflowPunct/>
        <w:topLinePunct w:val="0"/>
        <w:bidi w:val="0"/>
        <w:adjustRightInd w:val="0"/>
        <w:snapToGrid w:val="0"/>
        <w:spacing w:after="0" w:line="560" w:lineRule="exact"/>
        <w:rPr>
          <w:szCs w:val="22"/>
        </w:rPr>
      </w:pPr>
    </w:p>
    <w:p>
      <w:pPr>
        <w:keepNext w:val="0"/>
        <w:keepLines w:val="0"/>
        <w:pageBreakBefore w:val="0"/>
        <w:widowControl w:val="0"/>
        <w:kinsoku/>
        <w:wordWrap/>
        <w:overflowPunct/>
        <w:topLinePunct w:val="0"/>
        <w:bidi w:val="0"/>
        <w:adjustRightInd w:val="0"/>
        <w:snapToGrid w:val="0"/>
        <w:spacing w:after="0" w:line="56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高新区农村工作服务中心</w:t>
      </w:r>
    </w:p>
    <w:p>
      <w:pPr>
        <w:keepNext w:val="0"/>
        <w:keepLines w:val="0"/>
        <w:pageBreakBefore w:val="0"/>
        <w:widowControl w:val="0"/>
        <w:kinsoku/>
        <w:wordWrap/>
        <w:overflowPunct/>
        <w:topLinePunct w:val="0"/>
        <w:bidi w:val="0"/>
        <w:adjustRightInd w:val="0"/>
        <w:snapToGrid w:val="0"/>
        <w:spacing w:after="0" w:line="56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年部门预算绩效文本</w:t>
      </w: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hint="eastAsia"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hint="eastAsia"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hint="eastAsia"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ind w:firstLine="440" w:firstLineChars="200"/>
        <w:jc w:val="center"/>
        <w:rPr>
          <w:rFonts w:ascii="方正仿宋_GBK" w:eastAsia="方正仿宋_GBK"/>
          <w:color w:val="auto"/>
          <w:szCs w:val="22"/>
          <w:highlight w:val="none"/>
        </w:rPr>
      </w:pPr>
    </w:p>
    <w:p>
      <w:pPr>
        <w:keepNext w:val="0"/>
        <w:keepLines w:val="0"/>
        <w:pageBreakBefore w:val="0"/>
        <w:widowControl w:val="0"/>
        <w:kinsoku/>
        <w:wordWrap/>
        <w:overflowPunct/>
        <w:topLinePunct w:val="0"/>
        <w:bidi w:val="0"/>
        <w:adjustRightInd w:val="0"/>
        <w:snapToGrid w:val="0"/>
        <w:spacing w:after="0" w:line="560" w:lineRule="exact"/>
        <w:jc w:val="center"/>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高新区农村工作服务中心编制</w:t>
      </w:r>
    </w:p>
    <w:p>
      <w:pPr>
        <w:pStyle w:val="2"/>
        <w:keepNext w:val="0"/>
        <w:keepLines w:val="0"/>
        <w:pageBreakBefore w:val="0"/>
        <w:widowControl w:val="0"/>
        <w:kinsoku/>
        <w:wordWrap/>
        <w:overflowPunct/>
        <w:topLinePunct w:val="0"/>
        <w:bidi w:val="0"/>
        <w:adjustRightInd w:val="0"/>
        <w:snapToGrid w:val="0"/>
        <w:spacing w:line="560" w:lineRule="exact"/>
        <w:rPr>
          <w:rFonts w:hint="eastAsia" w:ascii="楷体_GB2312" w:hAnsi="楷体_GB2312" w:eastAsia="楷体_GB2312" w:cs="楷体_GB2312"/>
          <w:bCs/>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楷体_GB2312" w:hAnsi="楷体_GB2312" w:eastAsia="楷体_GB2312" w:cs="楷体_GB2312"/>
          <w:bCs/>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楷体_GB2312" w:hAnsi="楷体_GB2312" w:eastAsia="楷体_GB2312" w:cs="楷体_GB2312"/>
          <w:bCs/>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楷体_GB2312" w:hAnsi="楷体_GB2312" w:eastAsia="楷体_GB2312" w:cs="楷体_GB2312"/>
          <w:bCs/>
          <w:color w:val="auto"/>
          <w:sz w:val="32"/>
          <w:szCs w:val="32"/>
          <w:highlight w:val="none"/>
        </w:rPr>
      </w:pPr>
    </w:p>
    <w:p>
      <w:pPr>
        <w:keepNext w:val="0"/>
        <w:keepLines w:val="0"/>
        <w:pageBreakBefore w:val="0"/>
        <w:widowControl w:val="0"/>
        <w:kinsoku/>
        <w:wordWrap/>
        <w:overflowPunct/>
        <w:topLinePunct w:val="0"/>
        <w:bidi w:val="0"/>
        <w:adjustRightInd w:val="0"/>
        <w:snapToGrid w:val="0"/>
        <w:spacing w:after="0" w:line="560" w:lineRule="exact"/>
        <w:jc w:val="center"/>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202</w:t>
      </w:r>
      <w:r>
        <w:rPr>
          <w:rFonts w:hint="eastAsia" w:ascii="方正小标宋简体" w:hAnsi="方正小标宋简体" w:eastAsia="方正小标宋简体" w:cs="方正小标宋简体"/>
          <w:color w:val="auto"/>
          <w:sz w:val="40"/>
          <w:szCs w:val="40"/>
          <w:highlight w:val="none"/>
          <w:lang w:val="en-US" w:eastAsia="zh-CN"/>
        </w:rPr>
        <w:t>3</w:t>
      </w:r>
      <w:r>
        <w:rPr>
          <w:rFonts w:hint="eastAsia" w:ascii="方正小标宋简体" w:hAnsi="方正小标宋简体" w:eastAsia="方正小标宋简体" w:cs="方正小标宋简体"/>
          <w:color w:val="auto"/>
          <w:sz w:val="40"/>
          <w:szCs w:val="40"/>
          <w:highlight w:val="none"/>
        </w:rPr>
        <w:t>年部门整体绩效目标</w:t>
      </w:r>
    </w:p>
    <w:p>
      <w:pPr>
        <w:pStyle w:val="2"/>
        <w:keepNext w:val="0"/>
        <w:keepLines w:val="0"/>
        <w:pageBreakBefore w:val="0"/>
        <w:widowControl w:val="0"/>
        <w:kinsoku/>
        <w:wordWrap/>
        <w:overflowPunct/>
        <w:topLinePunct w:val="0"/>
        <w:bidi w:val="0"/>
        <w:adjustRightInd w:val="0"/>
        <w:snapToGrid w:val="0"/>
        <w:spacing w:line="560" w:lineRule="exact"/>
        <w:textAlignment w:val="auto"/>
        <w:rPr>
          <w:rFonts w:hint="eastAsia"/>
        </w:rPr>
      </w:pPr>
    </w:p>
    <w:p>
      <w:pPr>
        <w:keepNext w:val="0"/>
        <w:keepLines w:val="0"/>
        <w:pageBreakBefore w:val="0"/>
        <w:widowControl w:val="0"/>
        <w:kinsoku/>
        <w:wordWrap/>
        <w:overflowPunct/>
        <w:topLinePunct w:val="0"/>
        <w:bidi w:val="0"/>
        <w:adjustRightInd w:val="0"/>
        <w:snapToGrid w:val="0"/>
        <w:spacing w:after="0" w:line="560" w:lineRule="exact"/>
        <w:ind w:firstLine="629"/>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一、总体绩效目标</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年度农村工作服务中心将</w:t>
      </w:r>
      <w:r>
        <w:rPr>
          <w:rFonts w:hint="eastAsia" w:ascii="仿宋_GB2312" w:hAnsi="仿宋_GB2312" w:eastAsia="仿宋_GB2312" w:cs="仿宋_GB2312"/>
          <w:color w:val="auto"/>
          <w:sz w:val="32"/>
          <w:szCs w:val="32"/>
          <w:highlight w:val="none"/>
          <w:lang w:val="zh-CN"/>
        </w:rPr>
        <w:t>继续加强和深化农村人居环境整治工作，全力推进乡村振兴“十百千”工程和美丽乡村建设，积极促进农村产业发展；</w:t>
      </w:r>
      <w:r>
        <w:rPr>
          <w:rFonts w:hint="eastAsia" w:ascii="仿宋_GB2312" w:hAnsi="仿宋_GB2312" w:eastAsia="仿宋_GB2312" w:cs="仿宋_GB2312"/>
          <w:color w:val="auto"/>
          <w:sz w:val="32"/>
          <w:szCs w:val="32"/>
          <w:highlight w:val="none"/>
        </w:rPr>
        <w:t>利用政策优势，</w:t>
      </w:r>
      <w:r>
        <w:rPr>
          <w:rFonts w:hint="eastAsia" w:ascii="仿宋_GB2312" w:hAnsi="仿宋_GB2312" w:eastAsia="仿宋_GB2312" w:cs="仿宋_GB2312"/>
          <w:color w:val="auto"/>
          <w:sz w:val="32"/>
          <w:szCs w:val="32"/>
          <w:highlight w:val="none"/>
          <w:lang w:val="zh-CN"/>
        </w:rPr>
        <w:t>招商农业项目，培育扶植龙头企业，</w:t>
      </w:r>
      <w:r>
        <w:rPr>
          <w:rFonts w:hint="eastAsia" w:ascii="仿宋_GB2312" w:hAnsi="仿宋_GB2312" w:eastAsia="仿宋_GB2312" w:cs="仿宋_GB2312"/>
          <w:color w:val="auto"/>
          <w:sz w:val="32"/>
          <w:szCs w:val="32"/>
          <w:highlight w:val="none"/>
        </w:rPr>
        <w:t>为我区“三农”事业的发展提供强劲牵引力；</w:t>
      </w:r>
      <w:r>
        <w:rPr>
          <w:rFonts w:hint="eastAsia" w:ascii="仿宋_GB2312" w:hAnsi="仿宋_GB2312" w:eastAsia="仿宋_GB2312" w:cs="仿宋_GB2312"/>
          <w:color w:val="auto"/>
          <w:sz w:val="32"/>
          <w:szCs w:val="32"/>
          <w:highlight w:val="none"/>
          <w:lang w:val="zh-CN"/>
        </w:rPr>
        <w:t>推进现代乡村治理体系的突破提升。加强农村基层组织和“一规五会”建设，特别是不断丰富和发挥村规民约和乡贤理事会作用，弘扬美德、引领新风、提升文明，不断积淀农村的文明底蕴，建设社会主义新农村；进一步巩固提升脱贫攻坚成果。精准落实各行业扶贫政策、落实好防止返贫动态监测和帮扶机制，强化责任落实、政策落实、工作落实和巩固成效，切实守住不发生规模性返贫底线，积极探索建立解决相对贫困长效机制推进全面脱贫与实施乡村振兴战略有效衔接，持续巩固脱贫成果；进一步抓好农村经营体制改革。做好农村土地承包经营权确权登记颁证扫尾工作；做好集体产权制度改革后续应用管理工作；做好</w:t>
      </w:r>
      <w:r>
        <w:rPr>
          <w:rFonts w:hint="eastAsia" w:ascii="仿宋_GB2312" w:hAnsi="仿宋_GB2312" w:eastAsia="仿宋_GB2312" w:cs="仿宋_GB2312"/>
          <w:color w:val="auto"/>
          <w:sz w:val="32"/>
          <w:szCs w:val="32"/>
          <w:highlight w:val="none"/>
        </w:rPr>
        <w:t>规范化、规模化土地流转监管工作；做好新型经营主体指导管理、培育扶持等方面的工作。</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二、分项绩效目标</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（一）乡村振兴</w:t>
      </w:r>
    </w:p>
    <w:p>
      <w:pPr>
        <w:keepNext w:val="0"/>
        <w:keepLines w:val="0"/>
        <w:pageBreakBefore w:val="0"/>
        <w:widowControl w:val="0"/>
        <w:numPr>
          <w:ilvl w:val="0"/>
          <w:numId w:val="0"/>
        </w:numPr>
        <w:kinsoku/>
        <w:wordWrap/>
        <w:overflowPunct/>
        <w:topLinePunct w:val="0"/>
        <w:bidi w:val="0"/>
        <w:adjustRightInd w:val="0"/>
        <w:snapToGrid w:val="0"/>
        <w:spacing w:after="0"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绩效目标：按照市级任务要求，结合我区实际，全力推进乡村振兴“十百千”工程和美丽乡村建设，持续巩固</w:t>
      </w:r>
      <w:r>
        <w:rPr>
          <w:rFonts w:hint="eastAsia" w:ascii="仿宋_GB2312" w:hAnsi="仿宋_GB2312" w:eastAsia="仿宋_GB2312" w:cs="仿宋_GB2312"/>
          <w:color w:val="000000"/>
          <w:sz w:val="32"/>
          <w:szCs w:val="32"/>
          <w:lang w:val="zh-CN"/>
        </w:rPr>
        <w:t>农村人居环境整治成效，提升基础设施、公共设施完善，村容村貌有效改善，发展农村示范产业。</w:t>
      </w:r>
    </w:p>
    <w:p>
      <w:pPr>
        <w:keepNext w:val="0"/>
        <w:keepLines w:val="0"/>
        <w:pageBreakBefore w:val="0"/>
        <w:widowControl w:val="0"/>
        <w:numPr>
          <w:ilvl w:val="0"/>
          <w:numId w:val="0"/>
        </w:numPr>
        <w:kinsoku/>
        <w:wordWrap/>
        <w:overflowPunct/>
        <w:topLinePunct w:val="0"/>
        <w:bidi w:val="0"/>
        <w:adjustRightInd w:val="0"/>
        <w:snapToGrid w:val="0"/>
        <w:spacing w:after="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绩效指标：</w:t>
      </w:r>
      <w:r>
        <w:rPr>
          <w:rFonts w:hint="eastAsia" w:ascii="仿宋_GB2312" w:hAnsi="仿宋_GB2312" w:eastAsia="仿宋_GB2312" w:cs="仿宋_GB2312"/>
          <w:color w:val="000000"/>
          <w:sz w:val="32"/>
          <w:szCs w:val="32"/>
          <w:lang w:val="en-US" w:eastAsia="zh-CN"/>
        </w:rPr>
        <w:t>新建乡村振兴示范区1个，美丽乡村2个，提升村10个，村庄基础设施、村容村貌明显提升，资金支出率达到100%，群众对乡村振兴工作满意程度达到90%以上。</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（二）农村公厕保洁管护</w:t>
      </w:r>
    </w:p>
    <w:p>
      <w:pPr>
        <w:keepNext w:val="0"/>
        <w:keepLines w:val="0"/>
        <w:pageBreakBefore w:val="0"/>
        <w:widowControl w:val="0"/>
        <w:numPr>
          <w:ilvl w:val="0"/>
          <w:numId w:val="0"/>
        </w:numPr>
        <w:kinsoku/>
        <w:wordWrap/>
        <w:overflowPunct/>
        <w:topLinePunct w:val="0"/>
        <w:bidi w:val="0"/>
        <w:adjustRightInd w:val="0"/>
        <w:snapToGrid w:val="0"/>
        <w:spacing w:after="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绩效目标：按照市级任务要求，结合我区实际，全对农村村委会、活动广场、中小学、集贸市场等公共场所公厕进行保洁、维护。</w:t>
      </w:r>
    </w:p>
    <w:p>
      <w:pPr>
        <w:pStyle w:val="2"/>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绩效指标：</w:t>
      </w:r>
      <w:r>
        <w:rPr>
          <w:rFonts w:hint="eastAsia" w:ascii="仿宋_GB2312" w:hAnsi="仿宋_GB2312" w:eastAsia="仿宋_GB2312" w:cs="仿宋_GB2312"/>
          <w:color w:val="000000"/>
          <w:sz w:val="32"/>
          <w:szCs w:val="32"/>
          <w:lang w:eastAsia="zh-CN"/>
        </w:rPr>
        <w:t>按照《关于建立健全农村厕所管护“五项机制”的指导意见》文件要求，</w:t>
      </w:r>
      <w:r>
        <w:rPr>
          <w:rFonts w:hint="eastAsia" w:ascii="仿宋_GB2312" w:hAnsi="仿宋_GB2312" w:eastAsia="仿宋_GB2312" w:cs="仿宋_GB2312"/>
          <w:color w:val="000000"/>
          <w:sz w:val="32"/>
          <w:szCs w:val="32"/>
          <w:lang w:val="en-US" w:eastAsia="zh-CN"/>
        </w:rPr>
        <w:t>基本建立农村厕所管护机制，管护公厕卫生，保持厕所干净整洁。</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（三）农机工作、农村产权、林地造林等工作</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绩效目标：继续实行</w:t>
      </w:r>
      <w:r>
        <w:rPr>
          <w:rFonts w:hint="eastAsia" w:ascii="仿宋_GB2312" w:hAnsi="仿宋_GB2312" w:eastAsia="仿宋_GB2312" w:cs="仿宋_GB2312"/>
          <w:color w:val="auto"/>
          <w:sz w:val="32"/>
          <w:szCs w:val="32"/>
          <w:highlight w:val="none"/>
          <w:lang w:eastAsia="zh-CN"/>
        </w:rPr>
        <w:t>农机购置补贴</w:t>
      </w:r>
      <w:r>
        <w:rPr>
          <w:rFonts w:hint="eastAsia" w:ascii="仿宋_GB2312" w:hAnsi="仿宋_GB2312" w:eastAsia="仿宋_GB2312" w:cs="仿宋_GB2312"/>
          <w:color w:val="auto"/>
          <w:sz w:val="32"/>
          <w:szCs w:val="32"/>
          <w:highlight w:val="none"/>
        </w:rPr>
        <w:t>政策，切实将补贴工作落到实处；完成辖区内农机监理职责内的工作；对辖区内符合条件的农户进行政策性农机保险补贴。完成当年深松任务，制定相关方案，做好宣传及质量验收、资金发放工作；完成</w:t>
      </w:r>
      <w:r>
        <w:rPr>
          <w:rFonts w:hint="eastAsia" w:ascii="仿宋_GB2312" w:hAnsi="仿宋_GB2312" w:eastAsia="仿宋_GB2312" w:cs="仿宋_GB2312"/>
          <w:color w:val="auto"/>
          <w:sz w:val="32"/>
          <w:szCs w:val="32"/>
          <w:highlight w:val="none"/>
          <w:lang w:val="en-US" w:eastAsia="zh-CN"/>
        </w:rPr>
        <w:t>土地确权错误证书修改打印</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构建权属清晰、权能完整、流转顺畅的农村集体产权制度改革。增加有林地面积，提高全区绿化水平和森林覆盖率，改善生态环境。</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绩效指标：</w:t>
      </w:r>
      <w:r>
        <w:rPr>
          <w:rFonts w:hint="eastAsia" w:ascii="仿宋_GB2312" w:hAnsi="仿宋_GB2312" w:eastAsia="仿宋_GB2312" w:cs="仿宋_GB2312"/>
          <w:color w:val="auto"/>
          <w:sz w:val="32"/>
          <w:szCs w:val="32"/>
          <w:highlight w:val="none"/>
          <w:lang w:eastAsia="zh-CN"/>
        </w:rPr>
        <w:t>当年享受补贴</w:t>
      </w:r>
      <w:r>
        <w:rPr>
          <w:rFonts w:hint="eastAsia" w:ascii="仿宋_GB2312" w:hAnsi="仿宋_GB2312" w:eastAsia="仿宋_GB2312" w:cs="仿宋_GB2312"/>
          <w:color w:val="auto"/>
          <w:sz w:val="32"/>
          <w:szCs w:val="32"/>
          <w:highlight w:val="none"/>
        </w:rPr>
        <w:t>农户资金发放率达到100%，</w:t>
      </w:r>
      <w:r>
        <w:rPr>
          <w:rFonts w:hint="eastAsia" w:ascii="仿宋_GB2312" w:hAnsi="仿宋_GB2312" w:eastAsia="仿宋_GB2312" w:cs="仿宋_GB2312"/>
          <w:color w:val="auto"/>
          <w:sz w:val="32"/>
          <w:szCs w:val="32"/>
          <w:highlight w:val="none"/>
          <w:lang w:eastAsia="zh-CN"/>
        </w:rPr>
        <w:t>受益</w:t>
      </w:r>
      <w:r>
        <w:rPr>
          <w:rFonts w:hint="eastAsia" w:ascii="仿宋_GB2312" w:hAnsi="仿宋_GB2312" w:eastAsia="仿宋_GB2312" w:cs="仿宋_GB2312"/>
          <w:color w:val="auto"/>
          <w:sz w:val="32"/>
          <w:szCs w:val="32"/>
          <w:highlight w:val="none"/>
        </w:rPr>
        <w:t>农户满意度达到90%以上，确保完成上级下达的造林计划任务，林地面积覆盖率达到</w:t>
      </w:r>
      <w:r>
        <w:rPr>
          <w:rFonts w:hint="eastAsia" w:ascii="仿宋_GB2312" w:hAnsi="仿宋_GB2312" w:eastAsia="仿宋_GB2312" w:cs="仿宋_GB2312"/>
          <w:color w:val="auto"/>
          <w:sz w:val="32"/>
          <w:szCs w:val="32"/>
          <w:highlight w:val="none"/>
          <w:lang w:eastAsia="zh-CN"/>
        </w:rPr>
        <w:t>市级要求标准</w:t>
      </w:r>
      <w:r>
        <w:rPr>
          <w:rFonts w:hint="eastAsia" w:ascii="仿宋_GB2312" w:hAnsi="仿宋_GB2312" w:eastAsia="仿宋_GB2312" w:cs="仿宋_GB2312"/>
          <w:color w:val="auto"/>
          <w:sz w:val="32"/>
          <w:szCs w:val="32"/>
          <w:highlight w:val="none"/>
        </w:rPr>
        <w:t>以上。</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四</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巩固拓展脱贫攻坚成果</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绩效目标：全面排查</w:t>
      </w:r>
      <w:r>
        <w:rPr>
          <w:rFonts w:hint="eastAsia" w:ascii="仿宋_GB2312" w:hAnsi="仿宋_GB2312" w:eastAsia="仿宋_GB2312" w:cs="仿宋_GB2312"/>
          <w:color w:val="auto"/>
          <w:sz w:val="32"/>
          <w:szCs w:val="32"/>
          <w:highlight w:val="none"/>
          <w:lang w:eastAsia="zh-CN"/>
        </w:rPr>
        <w:t>农村人口</w:t>
      </w:r>
      <w:r>
        <w:rPr>
          <w:rFonts w:hint="eastAsia" w:ascii="仿宋_GB2312" w:hAnsi="仿宋_GB2312" w:eastAsia="仿宋_GB2312" w:cs="仿宋_GB2312"/>
          <w:color w:val="auto"/>
          <w:sz w:val="32"/>
          <w:szCs w:val="32"/>
          <w:highlight w:val="none"/>
        </w:rPr>
        <w:t>吃、穿、住、学、医等实际困难，通过产业扶贫项目持续带动</w:t>
      </w:r>
      <w:r>
        <w:rPr>
          <w:rFonts w:hint="eastAsia" w:ascii="仿宋_GB2312" w:hAnsi="仿宋_GB2312" w:eastAsia="仿宋_GB2312" w:cs="仿宋_GB2312"/>
          <w:color w:val="auto"/>
          <w:sz w:val="32"/>
          <w:szCs w:val="32"/>
          <w:highlight w:val="none"/>
          <w:lang w:eastAsia="zh-CN"/>
        </w:rPr>
        <w:t>脱贫人口稳定</w:t>
      </w:r>
      <w:r>
        <w:rPr>
          <w:rFonts w:hint="eastAsia" w:ascii="仿宋_GB2312" w:hAnsi="仿宋_GB2312" w:eastAsia="仿宋_GB2312" w:cs="仿宋_GB2312"/>
          <w:color w:val="auto"/>
          <w:sz w:val="32"/>
          <w:szCs w:val="32"/>
          <w:highlight w:val="none"/>
        </w:rPr>
        <w:t>增收，落实好防止返贫动态监测和帮扶机制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zh-CN"/>
        </w:rPr>
        <w:t>强化责任落实、政策落实、工作落实和巩固成效，切实守住不发生规模性返贫底线。</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绩效指标：全区</w:t>
      </w:r>
      <w:r>
        <w:rPr>
          <w:rFonts w:hint="eastAsia" w:ascii="仿宋_GB2312" w:hAnsi="仿宋_GB2312" w:eastAsia="仿宋_GB2312" w:cs="仿宋_GB2312"/>
          <w:color w:val="auto"/>
          <w:sz w:val="32"/>
          <w:szCs w:val="32"/>
          <w:highlight w:val="none"/>
          <w:lang w:eastAsia="zh-CN"/>
        </w:rPr>
        <w:t>脱</w:t>
      </w:r>
      <w:r>
        <w:rPr>
          <w:rFonts w:hint="eastAsia" w:ascii="仿宋_GB2312" w:hAnsi="仿宋_GB2312" w:eastAsia="仿宋_GB2312" w:cs="仿宋_GB2312"/>
          <w:color w:val="auto"/>
          <w:sz w:val="32"/>
          <w:szCs w:val="32"/>
          <w:highlight w:val="none"/>
        </w:rPr>
        <w:t>贫户</w:t>
      </w:r>
      <w:r>
        <w:rPr>
          <w:rFonts w:hint="eastAsia" w:ascii="仿宋_GB2312" w:hAnsi="仿宋_GB2312" w:eastAsia="仿宋_GB2312" w:cs="仿宋_GB2312"/>
          <w:color w:val="auto"/>
          <w:sz w:val="32"/>
          <w:szCs w:val="32"/>
          <w:highlight w:val="none"/>
          <w:lang w:eastAsia="zh-CN"/>
        </w:rPr>
        <w:t>稳定增收</w:t>
      </w:r>
      <w:r>
        <w:rPr>
          <w:rFonts w:hint="eastAsia" w:ascii="仿宋_GB2312" w:hAnsi="仿宋_GB2312" w:eastAsia="仿宋_GB2312" w:cs="仿宋_GB2312"/>
          <w:color w:val="auto"/>
          <w:sz w:val="32"/>
          <w:szCs w:val="32"/>
          <w:highlight w:val="none"/>
        </w:rPr>
        <w:t>，贫困户满意度达到</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%以上。</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五</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农、林业发展</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绩效目标：做好果蔬种植环节农药残留的抽样检测工作。加强对农民技术员的监督管理。农作物重大病虫害防治、指导植物防疫体系建设，监测疫情、全区植保技术的指导和培训等。对农药、肥料、种子生产经营活动的监督检查及样品抽检。做好对农种植业进行技术指导及农业测产工作。保证全区林</w:t>
      </w:r>
      <w:r>
        <w:rPr>
          <w:rFonts w:hint="eastAsia" w:ascii="仿宋_GB2312" w:hAnsi="仿宋_GB2312" w:eastAsia="仿宋_GB2312" w:cs="仿宋_GB2312"/>
          <w:color w:val="auto"/>
          <w:sz w:val="32"/>
          <w:szCs w:val="32"/>
          <w:highlight w:val="none"/>
          <w:lang w:eastAsia="zh-CN"/>
        </w:rPr>
        <w:t>业工作</w:t>
      </w:r>
      <w:r>
        <w:rPr>
          <w:rFonts w:hint="eastAsia" w:ascii="仿宋_GB2312" w:hAnsi="仿宋_GB2312" w:eastAsia="仿宋_GB2312" w:cs="仿宋_GB2312"/>
          <w:color w:val="auto"/>
          <w:sz w:val="32"/>
          <w:szCs w:val="32"/>
          <w:highlight w:val="none"/>
        </w:rPr>
        <w:t>正常有序开展，</w:t>
      </w:r>
      <w:r>
        <w:rPr>
          <w:rFonts w:hint="eastAsia" w:ascii="仿宋_GB2312" w:hAnsi="仿宋_GB2312" w:eastAsia="仿宋_GB2312" w:cs="仿宋_GB2312"/>
          <w:color w:val="auto"/>
          <w:sz w:val="32"/>
          <w:szCs w:val="32"/>
          <w:highlight w:val="none"/>
          <w:lang w:eastAsia="zh-CN"/>
        </w:rPr>
        <w:t>完成市局交给的各项任务，包括</w:t>
      </w:r>
      <w:r>
        <w:rPr>
          <w:rFonts w:hint="eastAsia" w:ascii="仿宋_GB2312" w:hAnsi="仿宋_GB2312" w:eastAsia="仿宋_GB2312" w:cs="仿宋_GB2312"/>
          <w:color w:val="auto"/>
          <w:sz w:val="32"/>
          <w:szCs w:val="32"/>
          <w:highlight w:val="none"/>
          <w:lang w:val="en-US" w:eastAsia="zh-CN"/>
        </w:rPr>
        <w:t>2018年造林后期土地流转费用、2023年</w:t>
      </w:r>
      <w:r>
        <w:rPr>
          <w:rFonts w:hint="eastAsia" w:ascii="仿宋_GB2312" w:hAnsi="仿宋_GB2312" w:eastAsia="仿宋_GB2312" w:cs="仿宋_GB2312"/>
          <w:color w:val="auto"/>
          <w:sz w:val="32"/>
          <w:szCs w:val="32"/>
          <w:highlight w:val="none"/>
          <w:lang w:eastAsia="zh-CN"/>
        </w:rPr>
        <w:t>新造林及上图上表、森林抚育、林地督查、林保规划、外来入侵物种调查等林业</w:t>
      </w:r>
      <w:r>
        <w:rPr>
          <w:rFonts w:hint="eastAsia" w:ascii="仿宋_GB2312" w:hAnsi="仿宋_GB2312" w:eastAsia="仿宋_GB2312" w:cs="仿宋_GB2312"/>
          <w:color w:val="auto"/>
          <w:sz w:val="32"/>
          <w:szCs w:val="32"/>
          <w:highlight w:val="none"/>
        </w:rPr>
        <w:t>工作。积极开展林业有害生物的防治、检疫工作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绩效指标：废弃农膜回收率达到80%，农民技术员的误工补贴发放率达到100%，农作物重大病虫总体危害损失控制率在6%以内，农作物重大病虫害防控处置率达到85%以上，农药合格率达到100%。</w:t>
      </w:r>
      <w:r>
        <w:rPr>
          <w:rFonts w:hint="eastAsia" w:ascii="仿宋_GB2312" w:hAnsi="仿宋_GB2312" w:eastAsia="仿宋_GB2312" w:cs="仿宋_GB2312"/>
          <w:color w:val="auto"/>
          <w:sz w:val="32"/>
          <w:szCs w:val="32"/>
          <w:highlight w:val="none"/>
          <w:lang w:eastAsia="zh-CN"/>
        </w:rPr>
        <w:t>林业工作绩效指标：按时完成土地流转费用的发放，保证农户的满意度；保证生态环境改善，增加森林覆盖率，林业持续发生生态作用明显。</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六</w:t>
      </w:r>
      <w:r>
        <w:rPr>
          <w:rFonts w:hint="eastAsia" w:ascii="楷体_GB2312" w:hAnsi="楷体_GB2312" w:eastAsia="楷体_GB2312" w:cs="楷体_GB2312"/>
          <w:color w:val="auto"/>
          <w:sz w:val="32"/>
          <w:szCs w:val="32"/>
          <w:highlight w:val="none"/>
        </w:rPr>
        <w:t>）畜牧业</w:t>
      </w:r>
      <w:r>
        <w:rPr>
          <w:rFonts w:hint="eastAsia" w:ascii="楷体_GB2312" w:hAnsi="楷体_GB2312" w:eastAsia="楷体_GB2312" w:cs="楷体_GB2312"/>
          <w:color w:val="auto"/>
          <w:sz w:val="32"/>
          <w:szCs w:val="32"/>
          <w:highlight w:val="none"/>
          <w:lang w:val="en-US" w:eastAsia="zh-CN"/>
        </w:rPr>
        <w:t>发展及</w:t>
      </w:r>
      <w:r>
        <w:rPr>
          <w:rFonts w:hint="eastAsia" w:ascii="楷体_GB2312" w:hAnsi="楷体_GB2312" w:eastAsia="楷体_GB2312" w:cs="楷体_GB2312"/>
          <w:color w:val="auto"/>
          <w:sz w:val="32"/>
          <w:szCs w:val="32"/>
          <w:highlight w:val="none"/>
        </w:rPr>
        <w:t>公共服务</w:t>
      </w:r>
      <w:r>
        <w:rPr>
          <w:rFonts w:hint="eastAsia" w:ascii="楷体_GB2312" w:hAnsi="楷体_GB2312" w:eastAsia="楷体_GB2312" w:cs="楷体_GB2312"/>
          <w:color w:val="auto"/>
          <w:sz w:val="32"/>
          <w:szCs w:val="32"/>
          <w:highlight w:val="none"/>
          <w:lang w:val="en-US" w:eastAsia="zh-CN"/>
        </w:rPr>
        <w:t>提升</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目标：提高高产奶牛冻精细管的应用率，促进奶牛生产发展和农民致富增收。组织好本辖区内动物防控工作。确保本辖区内不发生重大农产品质量安全事故。加强村级防疫员的监督管理。严格按国家标准对饲养、屠宰、运输环境进行“瘦肉精”严格抽检。严格按国家标准进行病死猪无害化处理，严格进行消毒。</w:t>
      </w:r>
    </w:p>
    <w:p>
      <w:pPr>
        <w:keepNext w:val="0"/>
        <w:keepLines w:val="0"/>
        <w:pageBreakBefore w:val="0"/>
        <w:widowControl w:val="0"/>
        <w:kinsoku/>
        <w:wordWrap/>
        <w:overflowPunct/>
        <w:topLinePunct w:val="0"/>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绩效指标：奶牛产量提升8%以上，动物免疫抗体合格率达到75%以上，农产品检测合格率达到100%，村级防疫员培训率达到90%以上，瘦肉精抽检合格率达到100%，病死猪无害化处理率达到100%。</w:t>
      </w:r>
    </w:p>
    <w:p>
      <w:pPr>
        <w:keepNext w:val="0"/>
        <w:keepLines w:val="0"/>
        <w:pageBreakBefore w:val="0"/>
        <w:widowControl w:val="0"/>
        <w:kinsoku/>
        <w:wordWrap/>
        <w:overflowPunct/>
        <w:topLinePunct w:val="0"/>
        <w:bidi w:val="0"/>
        <w:adjustRightInd w:val="0"/>
        <w:snapToGrid w:val="0"/>
        <w:spacing w:after="0" w:line="560" w:lineRule="exact"/>
        <w:ind w:firstLine="629"/>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三、工作保障措施</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楷体_GB2312" w:hAnsi="仿宋" w:eastAsia="楷体_GB2312"/>
          <w:bCs/>
          <w:color w:val="auto"/>
          <w:sz w:val="32"/>
          <w:szCs w:val="32"/>
          <w:highlight w:val="none"/>
        </w:rPr>
      </w:pPr>
      <w:r>
        <w:rPr>
          <w:rFonts w:hint="eastAsia" w:ascii="楷体_GB2312" w:hAnsi="仿宋" w:eastAsia="楷体_GB2312"/>
          <w:bCs/>
          <w:color w:val="auto"/>
          <w:sz w:val="32"/>
          <w:szCs w:val="32"/>
          <w:highlight w:val="none"/>
        </w:rPr>
        <w:t>（一）完善制度建设。</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制定完善预算绩效管理制度、资金管理办法、工作保障制度等，为全年预算绩效目标的实现奠定制度基础。</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rPr>
      </w:pPr>
      <w:r>
        <w:rPr>
          <w:rFonts w:hint="eastAsia" w:ascii="楷体_GB2312" w:hAnsi="仿宋" w:eastAsia="楷体_GB2312"/>
          <w:bCs/>
          <w:color w:val="auto"/>
          <w:sz w:val="32"/>
          <w:szCs w:val="32"/>
          <w:highlight w:val="none"/>
        </w:rPr>
        <w:t>（二）加强支出管理。</w:t>
      </w:r>
      <w:r>
        <w:rPr>
          <w:rFonts w:hint="eastAsia" w:ascii="仿宋_GB2312" w:hAnsi="仿宋_GB2312" w:eastAsia="仿宋_GB2312" w:cs="仿宋_GB2312"/>
          <w:color w:val="auto"/>
          <w:sz w:val="32"/>
          <w:szCs w:val="32"/>
          <w:highlight w:val="none"/>
        </w:rPr>
        <w:t>通过优化支出结构、编细编实预算、加快履行政府采购手续、尽快启动项目、及时支付资金、6月底前细化代编预算、按规定及时下达资金等多种措施，确保支出进度达标。</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rPr>
      </w:pPr>
      <w:r>
        <w:rPr>
          <w:rFonts w:hint="eastAsia" w:ascii="楷体_GB2312" w:hAnsi="仿宋" w:eastAsia="楷体_GB2312"/>
          <w:bCs/>
          <w:color w:val="auto"/>
          <w:sz w:val="32"/>
          <w:szCs w:val="32"/>
          <w:highlight w:val="none"/>
        </w:rPr>
        <w:t>（三）加强绩效运行监控。</w:t>
      </w:r>
      <w:r>
        <w:rPr>
          <w:rFonts w:hint="eastAsia" w:ascii="仿宋_GB2312" w:hAnsi="仿宋_GB2312" w:eastAsia="仿宋_GB2312" w:cs="仿宋_GB2312"/>
          <w:color w:val="auto"/>
          <w:sz w:val="32"/>
          <w:szCs w:val="32"/>
          <w:highlight w:val="none"/>
        </w:rPr>
        <w:t>按要求开展绩效运行监控，发现问题及时采取措施，确保绩效目标如期保质实现。</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rPr>
      </w:pPr>
      <w:r>
        <w:rPr>
          <w:rFonts w:hint="eastAsia" w:ascii="楷体_GB2312" w:hAnsi="仿宋" w:eastAsia="楷体_GB2312"/>
          <w:bCs/>
          <w:color w:val="auto"/>
          <w:sz w:val="32"/>
          <w:szCs w:val="32"/>
          <w:highlight w:val="none"/>
        </w:rPr>
        <w:t>（四）做好绩效自评。</w:t>
      </w:r>
      <w:r>
        <w:rPr>
          <w:rFonts w:hint="eastAsia" w:ascii="仿宋_GB2312" w:hAnsi="仿宋_GB2312" w:eastAsia="仿宋_GB2312" w:cs="仿宋_GB2312"/>
          <w:color w:val="auto"/>
          <w:sz w:val="32"/>
          <w:szCs w:val="32"/>
          <w:highlight w:val="none"/>
        </w:rPr>
        <w:t>按要求开展上年度部门预算绩效自评和重点评价工作，对评价中发现的问题及时整改，调整优化支出结构，提高财政资金使用效益。</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rPr>
      </w:pPr>
      <w:r>
        <w:rPr>
          <w:rFonts w:hint="eastAsia" w:ascii="楷体_GB2312" w:hAnsi="仿宋" w:eastAsia="楷体_GB2312"/>
          <w:bCs/>
          <w:color w:val="auto"/>
          <w:sz w:val="32"/>
          <w:szCs w:val="32"/>
          <w:highlight w:val="none"/>
        </w:rPr>
        <w:t>（五）规范财务资产管理。</w:t>
      </w:r>
      <w:r>
        <w:rPr>
          <w:rFonts w:hint="eastAsia" w:ascii="仿宋_GB2312" w:hAnsi="仿宋_GB2312" w:eastAsia="仿宋_GB2312" w:cs="仿宋_GB2312"/>
          <w:color w:val="auto"/>
          <w:sz w:val="32"/>
          <w:szCs w:val="32"/>
          <w:highlight w:val="none"/>
        </w:rPr>
        <w:t>完善财务管理制度，严格审批程序，加强固定资产登记、使用和报废处置管理，做到支出合理，物尽其用。</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b/>
          <w:bCs/>
          <w:color w:val="auto"/>
          <w:sz w:val="32"/>
          <w:szCs w:val="32"/>
          <w:highlight w:val="none"/>
        </w:rPr>
      </w:pPr>
      <w:r>
        <w:rPr>
          <w:rFonts w:hint="eastAsia" w:ascii="楷体_GB2312" w:hAnsi="仿宋" w:eastAsia="楷体_GB2312"/>
          <w:bCs/>
          <w:color w:val="auto"/>
          <w:sz w:val="32"/>
          <w:szCs w:val="32"/>
          <w:highlight w:val="none"/>
        </w:rPr>
        <w:t>（六）加强内部监督。</w:t>
      </w:r>
      <w:r>
        <w:rPr>
          <w:rFonts w:hint="eastAsia" w:ascii="仿宋_GB2312" w:hAnsi="仿宋_GB2312" w:eastAsia="仿宋_GB2312" w:cs="仿宋_GB2312"/>
          <w:color w:val="auto"/>
          <w:sz w:val="32"/>
          <w:szCs w:val="32"/>
          <w:highlight w:val="none"/>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kinsoku/>
        <w:wordWrap/>
        <w:overflowPunct/>
        <w:topLinePunct w:val="0"/>
        <w:bidi w:val="0"/>
        <w:adjustRightInd w:val="0"/>
        <w:snapToGrid w:val="0"/>
        <w:spacing w:after="0" w:line="560" w:lineRule="exact"/>
        <w:ind w:firstLine="630"/>
        <w:textAlignment w:val="auto"/>
        <w:rPr>
          <w:rFonts w:hint="eastAsia" w:ascii="仿宋_GB2312" w:hAnsi="仿宋_GB2312" w:eastAsia="仿宋_GB2312" w:cs="仿宋_GB2312"/>
          <w:color w:val="auto"/>
          <w:sz w:val="32"/>
          <w:szCs w:val="32"/>
          <w:highlight w:val="none"/>
        </w:rPr>
      </w:pPr>
      <w:r>
        <w:rPr>
          <w:rFonts w:hint="eastAsia" w:ascii="楷体_GB2312" w:hAnsi="仿宋" w:eastAsia="楷体_GB2312"/>
          <w:bCs/>
          <w:color w:val="auto"/>
          <w:sz w:val="32"/>
          <w:szCs w:val="32"/>
          <w:highlight w:val="none"/>
        </w:rPr>
        <w:t>（七）加强宣传培训调研等。</w:t>
      </w:r>
      <w:r>
        <w:rPr>
          <w:rFonts w:hint="eastAsia" w:ascii="仿宋_GB2312" w:hAnsi="仿宋_GB2312" w:eastAsia="仿宋_GB2312" w:cs="仿宋_GB2312"/>
          <w:color w:val="auto"/>
          <w:sz w:val="32"/>
          <w:szCs w:val="32"/>
          <w:highlight w:val="none"/>
        </w:rPr>
        <w:t>加强人员培训，提高本部门职工业务素质；加强调研，提出优化财政资金配置、提高资金使用效益的意见意见；加大宣传力度，强化预算绩效管理意识，促进预算绩效管理水平进一步提升。</w:t>
      </w: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bidi w:val="0"/>
        <w:adjustRightInd w:val="0"/>
        <w:snapToGrid w:val="0"/>
        <w:spacing w:after="0" w:line="560" w:lineRule="exact"/>
        <w:jc w:val="center"/>
        <w:outlineLvl w:val="0"/>
        <w:rPr>
          <w:rFonts w:hint="eastAsia" w:ascii="方正小标宋简体" w:eastAsia="方正小标宋简体"/>
          <w:color w:val="auto"/>
          <w:sz w:val="40"/>
          <w:szCs w:val="40"/>
          <w:highlight w:val="none"/>
        </w:rPr>
      </w:pPr>
      <w:r>
        <w:rPr>
          <w:rFonts w:hint="eastAsia" w:ascii="方正小标宋简体" w:eastAsia="方正小标宋简体"/>
          <w:color w:val="auto"/>
          <w:sz w:val="40"/>
          <w:szCs w:val="40"/>
          <w:highlight w:val="none"/>
        </w:rPr>
        <w:t>区级衔接资金—产业发展（委托帮扶）</w:t>
      </w:r>
    </w:p>
    <w:p>
      <w:pPr>
        <w:keepNext w:val="0"/>
        <w:keepLines w:val="0"/>
        <w:pageBreakBefore w:val="0"/>
        <w:widowControl w:val="0"/>
        <w:kinsoku/>
        <w:wordWrap/>
        <w:overflowPunct/>
        <w:topLinePunct w:val="0"/>
        <w:bidi w:val="0"/>
        <w:adjustRightInd w:val="0"/>
        <w:snapToGrid w:val="0"/>
        <w:spacing w:after="0" w:line="560" w:lineRule="exact"/>
        <w:jc w:val="center"/>
        <w:outlineLvl w:val="0"/>
        <w:rPr>
          <w:rFonts w:ascii="方正小标宋简体" w:eastAsia="方正小标宋简体"/>
          <w:color w:val="auto"/>
          <w:sz w:val="40"/>
          <w:szCs w:val="40"/>
          <w:highlight w:val="none"/>
        </w:rPr>
      </w:pPr>
      <w:r>
        <w:rPr>
          <w:rFonts w:hint="eastAsia" w:ascii="方正小标宋简体" w:eastAsia="方正小标宋简体"/>
          <w:color w:val="auto"/>
          <w:sz w:val="40"/>
          <w:szCs w:val="40"/>
          <w:highlight w:val="none"/>
        </w:rPr>
        <w:t>项目</w:t>
      </w:r>
      <w:r>
        <w:rPr>
          <w:rFonts w:ascii="方正小标宋简体" w:eastAsia="方正小标宋简体"/>
          <w:color w:val="auto"/>
          <w:sz w:val="40"/>
          <w:szCs w:val="40"/>
          <w:highlight w:val="none"/>
        </w:rPr>
        <w:t>绩效</w:t>
      </w:r>
      <w:r>
        <w:rPr>
          <w:rFonts w:hint="eastAsia" w:ascii="方正小标宋简体" w:eastAsia="方正小标宋简体"/>
          <w:color w:val="auto"/>
          <w:sz w:val="40"/>
          <w:szCs w:val="40"/>
          <w:highlight w:val="none"/>
        </w:rPr>
        <w:t>目标</w:t>
      </w:r>
      <w:r>
        <w:rPr>
          <w:rFonts w:ascii="方正小标宋简体" w:eastAsia="方正小标宋简体"/>
          <w:color w:val="auto"/>
          <w:sz w:val="40"/>
          <w:szCs w:val="40"/>
          <w:highlight w:val="none"/>
        </w:rPr>
        <w:t>表</w:t>
      </w:r>
    </w:p>
    <w:tbl>
      <w:tblPr>
        <w:tblStyle w:val="3"/>
        <w:tblW w:w="8952" w:type="dxa"/>
        <w:jc w:val="center"/>
        <w:tblLayout w:type="fixed"/>
        <w:tblCellMar>
          <w:top w:w="15" w:type="dxa"/>
          <w:left w:w="15" w:type="dxa"/>
          <w:bottom w:w="15" w:type="dxa"/>
          <w:right w:w="15" w:type="dxa"/>
        </w:tblCellMar>
      </w:tblPr>
      <w:tblGrid>
        <w:gridCol w:w="1101"/>
        <w:gridCol w:w="653"/>
        <w:gridCol w:w="1522"/>
        <w:gridCol w:w="1433"/>
        <w:gridCol w:w="880"/>
        <w:gridCol w:w="1423"/>
        <w:gridCol w:w="979"/>
        <w:gridCol w:w="961"/>
      </w:tblGrid>
      <w:tr>
        <w:tblPrEx>
          <w:tblCellMar>
            <w:top w:w="15" w:type="dxa"/>
            <w:left w:w="15" w:type="dxa"/>
            <w:bottom w:w="15" w:type="dxa"/>
            <w:right w:w="15" w:type="dxa"/>
          </w:tblCellMar>
        </w:tblPrEx>
        <w:trPr>
          <w:trHeight w:val="771"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项目</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编码</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项目名称</w:t>
            </w:r>
          </w:p>
        </w:tc>
        <w:tc>
          <w:tcPr>
            <w:tcW w:w="424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区级衔接资金—产业发展项目（委托帮扶）</w:t>
            </w:r>
          </w:p>
        </w:tc>
      </w:tr>
      <w:tr>
        <w:tblPrEx>
          <w:tblCellMar>
            <w:top w:w="15" w:type="dxa"/>
            <w:left w:w="15" w:type="dxa"/>
            <w:bottom w:w="15" w:type="dxa"/>
            <w:right w:w="15" w:type="dxa"/>
          </w:tblCellMar>
        </w:tblPrEx>
        <w:trPr>
          <w:trHeight w:val="775" w:hRule="atLeast"/>
          <w:jc w:val="center"/>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预算规模及资金用途</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预算数</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val="en-US" w:eastAsia="zh-CN" w:bidi="ar"/>
              </w:rPr>
              <w:t>145</w:t>
            </w:r>
            <w:r>
              <w:rPr>
                <w:rFonts w:hint="eastAsia" w:asciiTheme="majorEastAsia" w:hAnsiTheme="majorEastAsia" w:eastAsiaTheme="majorEastAsia" w:cstheme="majorEastAsia"/>
                <w:b w:val="0"/>
                <w:bCs/>
                <w:color w:val="auto"/>
                <w:kern w:val="0"/>
                <w:sz w:val="20"/>
                <w:szCs w:val="20"/>
                <w:highlight w:val="none"/>
                <w:lang w:bidi="ar"/>
              </w:rPr>
              <w:t>万元</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其中：财政资金</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val="en-US" w:eastAsia="zh-CN" w:bidi="ar"/>
              </w:rPr>
              <w:t>145</w:t>
            </w:r>
            <w:r>
              <w:rPr>
                <w:rFonts w:hint="eastAsia" w:asciiTheme="majorEastAsia" w:hAnsiTheme="majorEastAsia" w:eastAsiaTheme="majorEastAsia" w:cstheme="majorEastAsia"/>
                <w:b w:val="0"/>
                <w:bCs/>
                <w:color w:val="auto"/>
                <w:kern w:val="0"/>
                <w:sz w:val="20"/>
                <w:szCs w:val="20"/>
                <w:highlight w:val="none"/>
                <w:lang w:bidi="ar"/>
              </w:rPr>
              <w:t>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p>
        </w:tc>
      </w:tr>
      <w:tr>
        <w:tblPrEx>
          <w:tblCellMar>
            <w:top w:w="15" w:type="dxa"/>
            <w:left w:w="15" w:type="dxa"/>
            <w:bottom w:w="15" w:type="dxa"/>
            <w:right w:w="15" w:type="dxa"/>
          </w:tblCellMar>
        </w:tblPrEx>
        <w:trPr>
          <w:trHeight w:val="600" w:hRule="atLeast"/>
          <w:jc w:val="center"/>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785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eastAsia="zh-CN" w:bidi="ar"/>
              </w:rPr>
            </w:pPr>
            <w:r>
              <w:rPr>
                <w:rFonts w:hint="eastAsia" w:asciiTheme="majorEastAsia" w:hAnsiTheme="majorEastAsia" w:eastAsiaTheme="majorEastAsia" w:cstheme="majorEastAsia"/>
                <w:b w:val="0"/>
                <w:bCs/>
                <w:color w:val="auto"/>
                <w:kern w:val="0"/>
                <w:sz w:val="20"/>
                <w:szCs w:val="20"/>
                <w:highlight w:val="none"/>
                <w:lang w:bidi="ar"/>
              </w:rPr>
              <w:t>通过委托帮扶的形式，实现建档立卡脱贫户稳定增收</w:t>
            </w:r>
            <w:r>
              <w:rPr>
                <w:rFonts w:hint="eastAsia" w:asciiTheme="majorEastAsia" w:hAnsiTheme="majorEastAsia" w:eastAsiaTheme="majorEastAsia" w:cstheme="majorEastAsia"/>
                <w:b w:val="0"/>
                <w:bCs/>
                <w:color w:val="auto"/>
                <w:kern w:val="0"/>
                <w:sz w:val="20"/>
                <w:szCs w:val="20"/>
                <w:highlight w:val="none"/>
                <w:lang w:eastAsia="zh-CN" w:bidi="ar"/>
              </w:rPr>
              <w:t>。</w:t>
            </w:r>
          </w:p>
        </w:tc>
      </w:tr>
      <w:tr>
        <w:tblPrEx>
          <w:tblCellMar>
            <w:top w:w="15" w:type="dxa"/>
            <w:left w:w="15" w:type="dxa"/>
            <w:bottom w:w="15" w:type="dxa"/>
            <w:right w:w="15" w:type="dxa"/>
          </w:tblCellMar>
        </w:tblPrEx>
        <w:trPr>
          <w:trHeight w:val="615" w:hRule="atLeast"/>
          <w:jc w:val="center"/>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资金支出计划（%）</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3月底</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6月底</w:t>
            </w:r>
          </w:p>
        </w:tc>
        <w:tc>
          <w:tcPr>
            <w:tcW w:w="2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12月底</w:t>
            </w:r>
          </w:p>
        </w:tc>
      </w:tr>
      <w:tr>
        <w:tblPrEx>
          <w:tblCellMar>
            <w:top w:w="15" w:type="dxa"/>
            <w:left w:w="15" w:type="dxa"/>
            <w:bottom w:w="15" w:type="dxa"/>
            <w:right w:w="15" w:type="dxa"/>
          </w:tblCellMar>
        </w:tblPrEx>
        <w:trPr>
          <w:trHeight w:val="528" w:hRule="atLeast"/>
          <w:jc w:val="center"/>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100%</w:t>
            </w:r>
          </w:p>
        </w:tc>
        <w:tc>
          <w:tcPr>
            <w:tcW w:w="2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100%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100%</w:t>
            </w:r>
          </w:p>
        </w:tc>
      </w:tr>
      <w:tr>
        <w:tblPrEx>
          <w:tblCellMar>
            <w:top w:w="15" w:type="dxa"/>
            <w:left w:w="15" w:type="dxa"/>
            <w:bottom w:w="15" w:type="dxa"/>
            <w:right w:w="15" w:type="dxa"/>
          </w:tblCellMar>
        </w:tblPrEx>
        <w:trPr>
          <w:trHeight w:val="703"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绩效</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目标</w:t>
            </w:r>
          </w:p>
        </w:tc>
        <w:tc>
          <w:tcPr>
            <w:tcW w:w="785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通过委托帮扶的形式，实现建档立卡贫困户稳定增收。</w:t>
            </w:r>
          </w:p>
        </w:tc>
      </w:tr>
      <w:tr>
        <w:tblPrEx>
          <w:tblCellMar>
            <w:top w:w="15" w:type="dxa"/>
            <w:left w:w="15" w:type="dxa"/>
            <w:bottom w:w="15" w:type="dxa"/>
            <w:right w:w="15" w:type="dxa"/>
          </w:tblCellMar>
        </w:tblPrEx>
        <w:trPr>
          <w:trHeight w:val="450" w:hRule="atLeast"/>
          <w:jc w:val="center"/>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一级</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指标</w:t>
            </w:r>
          </w:p>
        </w:tc>
        <w:tc>
          <w:tcPr>
            <w:tcW w:w="6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二级指标</w:t>
            </w:r>
          </w:p>
        </w:tc>
        <w:tc>
          <w:tcPr>
            <w:tcW w:w="15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三级指标</w:t>
            </w:r>
          </w:p>
        </w:tc>
        <w:tc>
          <w:tcPr>
            <w:tcW w:w="373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指标值确定依据</w:t>
            </w:r>
          </w:p>
        </w:tc>
      </w:tr>
      <w:tr>
        <w:tblPrEx>
          <w:tblCellMar>
            <w:top w:w="15" w:type="dxa"/>
            <w:left w:w="15" w:type="dxa"/>
            <w:bottom w:w="15" w:type="dxa"/>
            <w:right w:w="15" w:type="dxa"/>
          </w:tblCellMar>
        </w:tblPrEx>
        <w:trPr>
          <w:trHeight w:val="466" w:hRule="atLeast"/>
          <w:jc w:val="center"/>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p>
        </w:tc>
        <w:tc>
          <w:tcPr>
            <w:tcW w:w="15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p>
        </w:tc>
        <w:tc>
          <w:tcPr>
            <w:tcW w:w="373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p>
        </w:tc>
        <w:tc>
          <w:tcPr>
            <w:tcW w:w="97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p>
        </w:tc>
      </w:tr>
      <w:tr>
        <w:tblPrEx>
          <w:tblCellMar>
            <w:top w:w="15" w:type="dxa"/>
            <w:left w:w="15" w:type="dxa"/>
            <w:bottom w:w="15" w:type="dxa"/>
            <w:right w:w="15" w:type="dxa"/>
          </w:tblCellMar>
        </w:tblPrEx>
        <w:trPr>
          <w:trHeight w:val="539" w:hRule="atLeast"/>
          <w:jc w:val="center"/>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kern w:val="0"/>
                <w:sz w:val="20"/>
                <w:szCs w:val="20"/>
                <w:highlight w:val="none"/>
                <w:lang w:bidi="ar"/>
              </w:rPr>
              <w:t>产出指标</w:t>
            </w:r>
          </w:p>
        </w:tc>
        <w:tc>
          <w:tcPr>
            <w:tcW w:w="65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数量指标</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建档立卡</w:t>
            </w:r>
            <w:r>
              <w:rPr>
                <w:rFonts w:hint="eastAsia" w:asciiTheme="majorEastAsia" w:hAnsiTheme="majorEastAsia" w:eastAsiaTheme="majorEastAsia" w:cstheme="majorEastAsia"/>
                <w:b w:val="0"/>
                <w:bCs/>
                <w:color w:val="auto"/>
                <w:kern w:val="0"/>
                <w:sz w:val="20"/>
                <w:szCs w:val="20"/>
                <w:highlight w:val="none"/>
                <w:lang w:eastAsia="zh-CN" w:bidi="ar"/>
              </w:rPr>
              <w:t>脱贫人口</w:t>
            </w:r>
            <w:r>
              <w:rPr>
                <w:rFonts w:hint="eastAsia" w:asciiTheme="majorEastAsia" w:hAnsiTheme="majorEastAsia" w:eastAsiaTheme="majorEastAsia" w:cstheme="majorEastAsia"/>
                <w:b w:val="0"/>
                <w:bCs/>
                <w:color w:val="auto"/>
                <w:kern w:val="0"/>
                <w:sz w:val="20"/>
                <w:szCs w:val="20"/>
                <w:highlight w:val="none"/>
                <w:lang w:bidi="ar"/>
              </w:rPr>
              <w:t>增收</w:t>
            </w:r>
          </w:p>
        </w:tc>
        <w:tc>
          <w:tcPr>
            <w:tcW w:w="373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建档立卡</w:t>
            </w:r>
            <w:r>
              <w:rPr>
                <w:rFonts w:hint="eastAsia" w:asciiTheme="majorEastAsia" w:hAnsiTheme="majorEastAsia" w:eastAsiaTheme="majorEastAsia" w:cstheme="majorEastAsia"/>
                <w:b w:val="0"/>
                <w:bCs/>
                <w:color w:val="auto"/>
                <w:kern w:val="0"/>
                <w:sz w:val="20"/>
                <w:szCs w:val="20"/>
                <w:highlight w:val="none"/>
                <w:lang w:eastAsia="zh-CN" w:bidi="ar"/>
              </w:rPr>
              <w:t>脱贫户</w:t>
            </w:r>
            <w:r>
              <w:rPr>
                <w:rFonts w:hint="eastAsia" w:asciiTheme="majorEastAsia" w:hAnsiTheme="majorEastAsia" w:eastAsiaTheme="majorEastAsia" w:cstheme="majorEastAsia"/>
                <w:b w:val="0"/>
                <w:bCs/>
                <w:color w:val="auto"/>
                <w:kern w:val="0"/>
                <w:sz w:val="20"/>
                <w:szCs w:val="20"/>
                <w:highlight w:val="none"/>
                <w:lang w:bidi="ar"/>
              </w:rPr>
              <w:t>增收</w:t>
            </w:r>
            <w:r>
              <w:rPr>
                <w:rFonts w:hint="eastAsia" w:asciiTheme="majorEastAsia" w:hAnsiTheme="majorEastAsia" w:eastAsiaTheme="majorEastAsia" w:cstheme="majorEastAsia"/>
                <w:b w:val="0"/>
                <w:bCs/>
                <w:color w:val="auto"/>
                <w:kern w:val="0"/>
                <w:sz w:val="20"/>
                <w:szCs w:val="20"/>
                <w:highlight w:val="none"/>
                <w:lang w:eastAsia="zh-CN" w:bidi="ar"/>
              </w:rPr>
              <w:t>人</w:t>
            </w:r>
            <w:r>
              <w:rPr>
                <w:rFonts w:hint="eastAsia" w:asciiTheme="majorEastAsia" w:hAnsiTheme="majorEastAsia" w:eastAsiaTheme="majorEastAsia" w:cstheme="majorEastAsia"/>
                <w:b w:val="0"/>
                <w:bCs/>
                <w:color w:val="auto"/>
                <w:kern w:val="0"/>
                <w:sz w:val="20"/>
                <w:szCs w:val="20"/>
                <w:highlight w:val="none"/>
                <w:lang w:bidi="ar"/>
              </w:rPr>
              <w:t>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eastAsia="zh-CN" w:bidi="ar"/>
              </w:rPr>
            </w:pPr>
            <w:r>
              <w:rPr>
                <w:rFonts w:hint="eastAsia" w:asciiTheme="majorEastAsia" w:hAnsiTheme="majorEastAsia" w:eastAsiaTheme="majorEastAsia" w:cstheme="majorEastAsia"/>
                <w:b w:val="0"/>
                <w:bCs/>
                <w:color w:val="auto"/>
                <w:kern w:val="0"/>
                <w:sz w:val="20"/>
                <w:szCs w:val="20"/>
                <w:highlight w:val="none"/>
                <w:lang w:val="en-US" w:eastAsia="zh-CN" w:bidi="ar"/>
              </w:rPr>
              <w:t>126</w:t>
            </w:r>
            <w:r>
              <w:rPr>
                <w:rFonts w:hint="eastAsia" w:asciiTheme="majorEastAsia" w:hAnsiTheme="majorEastAsia" w:eastAsiaTheme="majorEastAsia" w:cstheme="majorEastAsia"/>
                <w:b w:val="0"/>
                <w:bCs/>
                <w:color w:val="auto"/>
                <w:kern w:val="0"/>
                <w:sz w:val="20"/>
                <w:szCs w:val="20"/>
                <w:highlight w:val="none"/>
                <w:lang w:eastAsia="zh-CN" w:bidi="ar"/>
              </w:rPr>
              <w:t>人</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383" w:hRule="atLeast"/>
          <w:jc w:val="center"/>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bCs/>
                <w:color w:val="auto"/>
                <w:sz w:val="20"/>
                <w:szCs w:val="20"/>
                <w:highlight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质量指标</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项目完成率</w:t>
            </w:r>
          </w:p>
        </w:tc>
        <w:tc>
          <w:tcPr>
            <w:tcW w:w="373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项目完成情况</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1172" w:hRule="atLeast"/>
          <w:jc w:val="center"/>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bCs/>
                <w:color w:val="auto"/>
                <w:sz w:val="20"/>
                <w:szCs w:val="20"/>
                <w:highlight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时效指标</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按照国家相关规定，按时完成当年扶贫工作</w:t>
            </w:r>
          </w:p>
        </w:tc>
        <w:tc>
          <w:tcPr>
            <w:tcW w:w="373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按照国家相关规定，按时完成当年扶贫工作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202</w:t>
            </w:r>
            <w:r>
              <w:rPr>
                <w:rFonts w:hint="eastAsia" w:asciiTheme="majorEastAsia" w:hAnsiTheme="majorEastAsia" w:eastAsiaTheme="majorEastAsia" w:cstheme="majorEastAsia"/>
                <w:b w:val="0"/>
                <w:bCs/>
                <w:color w:val="auto"/>
                <w:kern w:val="0"/>
                <w:sz w:val="20"/>
                <w:szCs w:val="20"/>
                <w:highlight w:val="none"/>
                <w:lang w:val="en-US" w:eastAsia="zh-CN" w:bidi="ar"/>
              </w:rPr>
              <w:t>3</w:t>
            </w:r>
            <w:r>
              <w:rPr>
                <w:rFonts w:hint="eastAsia" w:asciiTheme="majorEastAsia" w:hAnsiTheme="majorEastAsia" w:eastAsiaTheme="majorEastAsia" w:cstheme="majorEastAsia"/>
                <w:b w:val="0"/>
                <w:bCs/>
                <w:color w:val="auto"/>
                <w:kern w:val="0"/>
                <w:sz w:val="20"/>
                <w:szCs w:val="20"/>
                <w:highlight w:val="none"/>
                <w:lang w:bidi="ar"/>
              </w:rPr>
              <w:t>年12月底前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452" w:hRule="atLeast"/>
          <w:jc w:val="center"/>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bCs/>
                <w:color w:val="auto"/>
                <w:sz w:val="20"/>
                <w:szCs w:val="20"/>
                <w:highlight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成本指标</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每</w:t>
            </w:r>
            <w:r>
              <w:rPr>
                <w:rFonts w:hint="eastAsia" w:asciiTheme="majorEastAsia" w:hAnsiTheme="majorEastAsia" w:eastAsiaTheme="majorEastAsia" w:cstheme="majorEastAsia"/>
                <w:b w:val="0"/>
                <w:bCs/>
                <w:color w:val="auto"/>
                <w:kern w:val="0"/>
                <w:sz w:val="20"/>
                <w:szCs w:val="20"/>
                <w:highlight w:val="none"/>
                <w:lang w:eastAsia="zh-CN" w:bidi="ar"/>
              </w:rPr>
              <w:t>人</w:t>
            </w:r>
            <w:r>
              <w:rPr>
                <w:rFonts w:hint="eastAsia" w:asciiTheme="majorEastAsia" w:hAnsiTheme="majorEastAsia" w:eastAsiaTheme="majorEastAsia" w:cstheme="majorEastAsia"/>
                <w:b w:val="0"/>
                <w:bCs/>
                <w:color w:val="auto"/>
                <w:kern w:val="0"/>
                <w:sz w:val="20"/>
                <w:szCs w:val="20"/>
                <w:highlight w:val="none"/>
                <w:lang w:bidi="ar"/>
              </w:rPr>
              <w:t>投入金额</w:t>
            </w:r>
          </w:p>
        </w:tc>
        <w:tc>
          <w:tcPr>
            <w:tcW w:w="373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eastAsia="zh-CN" w:bidi="ar"/>
              </w:rPr>
            </w:pPr>
            <w:r>
              <w:rPr>
                <w:rFonts w:hint="eastAsia" w:asciiTheme="majorEastAsia" w:hAnsiTheme="majorEastAsia" w:eastAsiaTheme="majorEastAsia" w:cstheme="majorEastAsia"/>
                <w:b w:val="0"/>
                <w:bCs/>
                <w:color w:val="auto"/>
                <w:kern w:val="0"/>
                <w:sz w:val="20"/>
                <w:szCs w:val="20"/>
                <w:highlight w:val="none"/>
                <w:lang w:bidi="ar"/>
              </w:rPr>
              <w:t>按照</w:t>
            </w:r>
            <w:r>
              <w:rPr>
                <w:rFonts w:hint="eastAsia" w:asciiTheme="majorEastAsia" w:hAnsiTheme="majorEastAsia" w:eastAsiaTheme="majorEastAsia" w:cstheme="majorEastAsia"/>
                <w:b w:val="0"/>
                <w:bCs/>
                <w:color w:val="auto"/>
                <w:kern w:val="0"/>
                <w:sz w:val="20"/>
                <w:szCs w:val="20"/>
                <w:highlight w:val="none"/>
                <w:lang w:eastAsia="zh-CN" w:bidi="ar"/>
              </w:rPr>
              <w:t>差异化分配方案分配金额</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上级政策</w:t>
            </w:r>
          </w:p>
        </w:tc>
      </w:tr>
      <w:tr>
        <w:tblPrEx>
          <w:tblCellMar>
            <w:top w:w="15" w:type="dxa"/>
            <w:left w:w="15" w:type="dxa"/>
            <w:bottom w:w="15" w:type="dxa"/>
            <w:right w:w="15" w:type="dxa"/>
          </w:tblCellMar>
        </w:tblPrEx>
        <w:trPr>
          <w:trHeight w:val="809"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kern w:val="0"/>
                <w:sz w:val="20"/>
                <w:szCs w:val="20"/>
                <w:highlight w:val="none"/>
                <w:lang w:bidi="ar"/>
              </w:rPr>
              <w:t>效果指标</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社会效益指标</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有力推进我区脱贫攻坚工作</w:t>
            </w:r>
          </w:p>
        </w:tc>
        <w:tc>
          <w:tcPr>
            <w:tcW w:w="373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是否有力推进我区脱贫攻坚工作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上级政策要求</w:t>
            </w:r>
          </w:p>
        </w:tc>
      </w:tr>
      <w:tr>
        <w:tblPrEx>
          <w:tblCellMar>
            <w:top w:w="15" w:type="dxa"/>
            <w:left w:w="15" w:type="dxa"/>
            <w:bottom w:w="15" w:type="dxa"/>
            <w:right w:w="15" w:type="dxa"/>
          </w:tblCellMar>
        </w:tblPrEx>
        <w:trPr>
          <w:trHeight w:val="510"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kern w:val="0"/>
                <w:sz w:val="20"/>
                <w:szCs w:val="20"/>
                <w:highlight w:val="none"/>
                <w:lang w:bidi="ar"/>
              </w:rPr>
              <w:t>满意度指标</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服务对象满意度指标</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服务对象满意度指标</w:t>
            </w:r>
          </w:p>
        </w:tc>
        <w:tc>
          <w:tcPr>
            <w:tcW w:w="373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受调查的满意群众占调查总人数的比例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bidi="ar"/>
              </w:rPr>
            </w:pPr>
            <w:r>
              <w:rPr>
                <w:rFonts w:hint="eastAsia" w:asciiTheme="majorEastAsia" w:hAnsiTheme="majorEastAsia" w:eastAsiaTheme="majorEastAsia" w:cstheme="majorEastAsia"/>
                <w:b w:val="0"/>
                <w:bCs/>
                <w:color w:val="auto"/>
                <w:kern w:val="0"/>
                <w:sz w:val="20"/>
                <w:szCs w:val="20"/>
                <w:highlight w:val="none"/>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kern w:val="0"/>
                <w:sz w:val="20"/>
                <w:szCs w:val="20"/>
                <w:highlight w:val="none"/>
                <w:lang w:eastAsia="zh-CN" w:bidi="ar"/>
              </w:rPr>
            </w:pPr>
            <w:r>
              <w:rPr>
                <w:rFonts w:hint="eastAsia" w:asciiTheme="majorEastAsia" w:hAnsiTheme="majorEastAsia" w:eastAsiaTheme="majorEastAsia" w:cstheme="majorEastAsia"/>
                <w:b w:val="0"/>
                <w:bCs/>
                <w:color w:val="auto"/>
                <w:kern w:val="0"/>
                <w:sz w:val="20"/>
                <w:szCs w:val="20"/>
                <w:highlight w:val="none"/>
                <w:lang w:bidi="ar"/>
              </w:rPr>
              <w:t>工作</w:t>
            </w:r>
            <w:r>
              <w:rPr>
                <w:rFonts w:hint="eastAsia" w:asciiTheme="majorEastAsia" w:hAnsiTheme="majorEastAsia" w:eastAsiaTheme="majorEastAsia" w:cstheme="majorEastAsia"/>
                <w:b w:val="0"/>
                <w:bCs/>
                <w:color w:val="auto"/>
                <w:kern w:val="0"/>
                <w:sz w:val="20"/>
                <w:szCs w:val="20"/>
                <w:highlight w:val="none"/>
                <w:lang w:eastAsia="zh-CN" w:bidi="ar"/>
              </w:rPr>
              <w:t>经验</w:t>
            </w:r>
          </w:p>
        </w:tc>
      </w:tr>
    </w:tbl>
    <w:p>
      <w:pPr>
        <w:keepNext w:val="0"/>
        <w:keepLines w:val="0"/>
        <w:pageBreakBefore w:val="0"/>
        <w:widowControl w:val="0"/>
        <w:kinsoku/>
        <w:wordWrap/>
        <w:overflowPunct/>
        <w:topLinePunct w:val="0"/>
        <w:bidi w:val="0"/>
        <w:adjustRightInd w:val="0"/>
        <w:snapToGrid w:val="0"/>
        <w:spacing w:after="0" w:line="240" w:lineRule="auto"/>
        <w:rPr>
          <w:rFonts w:hint="eastAsia" w:eastAsia="方正仿宋_GBK"/>
          <w:color w:val="auto"/>
          <w:sz w:val="32"/>
          <w:szCs w:val="32"/>
          <w:highlight w:val="none"/>
        </w:rPr>
      </w:pPr>
    </w:p>
    <w:p>
      <w:pPr>
        <w:keepNext w:val="0"/>
        <w:keepLines w:val="0"/>
        <w:pageBreakBefore w:val="0"/>
        <w:widowControl w:val="0"/>
        <w:kinsoku/>
        <w:wordWrap/>
        <w:overflowPunct/>
        <w:topLinePunct w:val="0"/>
        <w:bidi w:val="0"/>
        <w:adjustRightInd w:val="0"/>
        <w:snapToGrid w:val="0"/>
        <w:spacing w:after="0" w:line="240" w:lineRule="auto"/>
        <w:rPr>
          <w:rFonts w:hint="eastAsia" w:eastAsia="方正仿宋_GBK"/>
          <w:color w:val="auto"/>
          <w:sz w:val="32"/>
          <w:szCs w:val="32"/>
          <w:highlight w:val="none"/>
        </w:rPr>
      </w:pPr>
    </w:p>
    <w:p>
      <w:pPr>
        <w:pStyle w:val="2"/>
        <w:rPr>
          <w:rFonts w:hint="eastAsia" w:eastAsia="方正仿宋_GBK"/>
          <w:color w:val="auto"/>
          <w:sz w:val="32"/>
          <w:szCs w:val="32"/>
          <w:highlight w:val="none"/>
        </w:rPr>
      </w:pPr>
    </w:p>
    <w:p>
      <w:pPr>
        <w:pStyle w:val="2"/>
        <w:rPr>
          <w:rFonts w:hint="eastAsia" w:eastAsia="方正仿宋_GBK"/>
          <w:color w:val="auto"/>
          <w:sz w:val="32"/>
          <w:szCs w:val="32"/>
          <w:highlight w:val="none"/>
        </w:rPr>
      </w:pPr>
    </w:p>
    <w:p>
      <w:pPr>
        <w:pStyle w:val="2"/>
        <w:rPr>
          <w:rFonts w:hint="eastAsia" w:eastAsia="方正仿宋_GBK"/>
          <w:color w:val="auto"/>
          <w:sz w:val="32"/>
          <w:szCs w:val="32"/>
          <w:highlight w:val="none"/>
        </w:rPr>
      </w:pP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rPr>
      </w:pP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植树造林及森林抚育经费项目</w:t>
      </w:r>
      <w:r>
        <w:rPr>
          <w:rFonts w:ascii="方正小标宋简体" w:eastAsia="方正小标宋简体"/>
          <w:color w:val="auto"/>
          <w:sz w:val="44"/>
          <w:szCs w:val="44"/>
          <w:highlight w:val="none"/>
        </w:rPr>
        <w:t>绩效</w:t>
      </w:r>
      <w:r>
        <w:rPr>
          <w:rFonts w:hint="eastAsia" w:ascii="方正小标宋简体" w:eastAsia="方正小标宋简体"/>
          <w:color w:val="auto"/>
          <w:sz w:val="44"/>
          <w:szCs w:val="44"/>
          <w:highlight w:val="none"/>
        </w:rPr>
        <w:t>目标</w:t>
      </w:r>
      <w:r>
        <w:rPr>
          <w:rFonts w:ascii="方正小标宋简体" w:eastAsia="方正小标宋简体"/>
          <w:color w:val="auto"/>
          <w:sz w:val="44"/>
          <w:szCs w:val="44"/>
          <w:highlight w:val="none"/>
        </w:rPr>
        <w:t>表</w:t>
      </w:r>
    </w:p>
    <w:tbl>
      <w:tblPr>
        <w:tblStyle w:val="3"/>
        <w:tblW w:w="0" w:type="auto"/>
        <w:jc w:val="center"/>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kern w:val="0"/>
                <w:sz w:val="20"/>
                <w:szCs w:val="20"/>
                <w:highlight w:val="none"/>
                <w:lang w:bidi="ar"/>
              </w:rPr>
            </w:pPr>
            <w:r>
              <w:rPr>
                <w:rFonts w:hint="eastAsia" w:ascii="宋体" w:hAnsi="宋体" w:cs="宋体"/>
                <w:b/>
                <w:color w:val="auto"/>
                <w:kern w:val="0"/>
                <w:sz w:val="20"/>
                <w:szCs w:val="20"/>
                <w:highlight w:val="none"/>
                <w:lang w:bidi="ar"/>
              </w:rPr>
              <w:t>项目</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adjustRightInd w:val="0"/>
              <w:snapToGrid w:val="0"/>
              <w:spacing w:after="0"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植树造林土地流转及抚育经费</w:t>
            </w:r>
          </w:p>
        </w:tc>
      </w:tr>
      <w:tr>
        <w:tblPrEx>
          <w:tblCellMar>
            <w:top w:w="15" w:type="dxa"/>
            <w:left w:w="15" w:type="dxa"/>
            <w:bottom w:w="15" w:type="dxa"/>
            <w:right w:w="15" w:type="dxa"/>
          </w:tblCellMar>
        </w:tblPrEx>
        <w:trPr>
          <w:trHeight w:val="55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val="en-US" w:eastAsia="zh-CN"/>
              </w:rPr>
              <w:t>593</w:t>
            </w:r>
            <w:r>
              <w:rPr>
                <w:rFonts w:hint="eastAsia" w:ascii="宋体" w:hAnsi="宋体" w:eastAsia="宋体" w:cs="宋体"/>
                <w:b w:val="0"/>
                <w:bCs/>
                <w:color w:val="auto"/>
                <w:sz w:val="20"/>
                <w:szCs w:val="20"/>
                <w:highlight w:val="none"/>
              </w:rPr>
              <w:t>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val="en-US" w:eastAsia="zh-CN"/>
              </w:rPr>
              <w:t>593</w:t>
            </w:r>
            <w:r>
              <w:rPr>
                <w:rFonts w:hint="eastAsia" w:ascii="宋体" w:hAnsi="宋体" w:eastAsia="宋体" w:cs="宋体"/>
                <w:b w:val="0"/>
                <w:bCs/>
                <w:color w:val="auto"/>
                <w:sz w:val="20"/>
                <w:szCs w:val="20"/>
                <w:highlight w:val="none"/>
              </w:rPr>
              <w:t>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p>
        </w:tc>
      </w:tr>
      <w:tr>
        <w:tblPrEx>
          <w:tblCellMar>
            <w:top w:w="15" w:type="dxa"/>
            <w:left w:w="15" w:type="dxa"/>
            <w:bottom w:w="15" w:type="dxa"/>
            <w:right w:w="15" w:type="dxa"/>
          </w:tblCellMar>
        </w:tblPrEx>
        <w:trPr>
          <w:trHeight w:val="60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cs="宋体"/>
                <w:b/>
                <w:color w:val="auto"/>
                <w:sz w:val="20"/>
                <w:szCs w:val="20"/>
                <w:highlight w:val="none"/>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default"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rPr>
              <w:t>1.森林抚育2000亩*50元=10万元（村安排人员实施，修枝、浇水等日常抚育）；2.土地流转费4300亩*1200元=516万元；3.上图上表、森林督查、</w:t>
            </w:r>
            <w:r>
              <w:rPr>
                <w:rFonts w:hint="eastAsia" w:ascii="宋体" w:hAnsi="宋体" w:eastAsia="宋体" w:cs="宋体"/>
                <w:b w:val="0"/>
                <w:bCs/>
                <w:color w:val="auto"/>
                <w:sz w:val="20"/>
                <w:szCs w:val="20"/>
                <w:highlight w:val="none"/>
                <w:lang w:eastAsia="zh-CN"/>
              </w:rPr>
              <w:t>林草湿地监测、</w:t>
            </w:r>
            <w:r>
              <w:rPr>
                <w:rFonts w:hint="eastAsia" w:ascii="宋体" w:hAnsi="宋体" w:eastAsia="宋体" w:cs="宋体"/>
                <w:b w:val="0"/>
                <w:bCs/>
                <w:color w:val="auto"/>
                <w:sz w:val="20"/>
                <w:szCs w:val="20"/>
                <w:highlight w:val="none"/>
              </w:rPr>
              <w:t>林木虫害防治</w:t>
            </w:r>
            <w:r>
              <w:rPr>
                <w:rFonts w:hint="eastAsia" w:ascii="宋体" w:hAnsi="宋体" w:eastAsia="宋体" w:cs="宋体"/>
                <w:b w:val="0"/>
                <w:bCs/>
                <w:color w:val="auto"/>
                <w:sz w:val="20"/>
                <w:szCs w:val="20"/>
                <w:highlight w:val="none"/>
                <w:lang w:val="en-US" w:eastAsia="zh-CN"/>
              </w:rPr>
              <w:t>10</w:t>
            </w:r>
            <w:r>
              <w:rPr>
                <w:rFonts w:hint="eastAsia" w:ascii="宋体" w:hAnsi="宋体" w:eastAsia="宋体" w:cs="宋体"/>
                <w:b w:val="0"/>
                <w:bCs/>
                <w:color w:val="auto"/>
                <w:sz w:val="20"/>
                <w:szCs w:val="20"/>
                <w:highlight w:val="none"/>
              </w:rPr>
              <w:t>万元</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lang w:val="en-US" w:eastAsia="zh-CN"/>
              </w:rPr>
              <w:t>4、按照《唐山市外来入侵物种普查方案》有关要求，需57.3万元林业调查普查项目11.5万元。5、按照《新一轮林地保护利用规划编制工作方案》用关要求，需开展林保规划，项目总投资62万元，已支付30%，2023年按照合同约定需支付尾款。</w:t>
            </w:r>
          </w:p>
        </w:tc>
      </w:tr>
      <w:tr>
        <w:tblPrEx>
          <w:tblCellMar>
            <w:top w:w="15" w:type="dxa"/>
            <w:left w:w="15" w:type="dxa"/>
            <w:bottom w:w="15" w:type="dxa"/>
            <w:right w:w="15" w:type="dxa"/>
          </w:tblCellMar>
        </w:tblPrEx>
        <w:trPr>
          <w:trHeight w:val="61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12月底</w:t>
            </w:r>
          </w:p>
        </w:tc>
      </w:tr>
      <w:tr>
        <w:tblPrEx>
          <w:tblCellMar>
            <w:top w:w="15" w:type="dxa"/>
            <w:left w:w="15" w:type="dxa"/>
            <w:bottom w:w="15" w:type="dxa"/>
            <w:right w:w="15" w:type="dxa"/>
          </w:tblCellMar>
        </w:tblPrEx>
        <w:trPr>
          <w:trHeight w:val="528"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cs="宋体"/>
                <w:b/>
                <w:color w:val="auto"/>
                <w:sz w:val="20"/>
                <w:szCs w:val="20"/>
                <w:highlight w:val="none"/>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val="en-US" w:eastAsia="zh-CN"/>
              </w:rPr>
              <w:t>0</w:t>
            </w:r>
            <w:r>
              <w:rPr>
                <w:rFonts w:hint="eastAsia" w:ascii="宋体" w:hAnsi="宋体" w:eastAsia="宋体" w:cs="宋体"/>
                <w:b w:val="0"/>
                <w:bCs/>
                <w:color w:val="auto"/>
                <w:sz w:val="20"/>
                <w:szCs w:val="20"/>
                <w:highlight w:val="none"/>
              </w:rPr>
              <w:t>%</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100%</w:t>
            </w:r>
          </w:p>
        </w:tc>
      </w:tr>
      <w:tr>
        <w:tblPrEx>
          <w:tblCellMar>
            <w:top w:w="15" w:type="dxa"/>
            <w:left w:w="15" w:type="dxa"/>
            <w:bottom w:w="15" w:type="dxa"/>
            <w:right w:w="15" w:type="dxa"/>
          </w:tblCellMar>
        </w:tblPrEx>
        <w:trPr>
          <w:trHeight w:val="52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kern w:val="0"/>
                <w:sz w:val="20"/>
                <w:szCs w:val="20"/>
                <w:highlight w:val="none"/>
                <w:lang w:bidi="ar"/>
              </w:rPr>
            </w:pPr>
            <w:r>
              <w:rPr>
                <w:rFonts w:hint="eastAsia" w:ascii="宋体" w:hAnsi="宋体" w:cs="宋体"/>
                <w:b/>
                <w:color w:val="auto"/>
                <w:kern w:val="0"/>
                <w:sz w:val="20"/>
                <w:szCs w:val="20"/>
                <w:highlight w:val="none"/>
                <w:lang w:bidi="ar"/>
              </w:rPr>
              <w:t>绩效</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rPr>
              <w:t>完成上级下发202</w:t>
            </w:r>
            <w:r>
              <w:rPr>
                <w:rFonts w:hint="eastAsia" w:ascii="宋体" w:hAnsi="宋体" w:eastAsia="宋体" w:cs="宋体"/>
                <w:b w:val="0"/>
                <w:bCs/>
                <w:color w:val="auto"/>
                <w:sz w:val="20"/>
                <w:szCs w:val="20"/>
                <w:highlight w:val="none"/>
                <w:lang w:val="en-US" w:eastAsia="zh-CN"/>
              </w:rPr>
              <w:t>3</w:t>
            </w:r>
            <w:r>
              <w:rPr>
                <w:rFonts w:hint="eastAsia" w:ascii="宋体" w:hAnsi="宋体" w:eastAsia="宋体" w:cs="宋体"/>
                <w:b w:val="0"/>
                <w:bCs/>
                <w:color w:val="auto"/>
                <w:sz w:val="20"/>
                <w:szCs w:val="20"/>
                <w:highlight w:val="none"/>
              </w:rPr>
              <w:t>年</w:t>
            </w:r>
            <w:r>
              <w:rPr>
                <w:rFonts w:hint="eastAsia" w:ascii="宋体" w:hAnsi="宋体" w:eastAsia="宋体" w:cs="宋体"/>
                <w:b w:val="0"/>
                <w:bCs/>
                <w:color w:val="auto"/>
                <w:sz w:val="20"/>
                <w:szCs w:val="20"/>
                <w:highlight w:val="none"/>
                <w:lang w:eastAsia="zh-CN"/>
              </w:rPr>
              <w:t>人工</w:t>
            </w:r>
            <w:r>
              <w:rPr>
                <w:rFonts w:hint="eastAsia" w:ascii="宋体" w:hAnsi="宋体" w:eastAsia="宋体" w:cs="宋体"/>
                <w:b w:val="0"/>
                <w:bCs/>
                <w:color w:val="auto"/>
                <w:sz w:val="20"/>
                <w:szCs w:val="20"/>
                <w:highlight w:val="none"/>
              </w:rPr>
              <w:t>造林</w:t>
            </w:r>
            <w:r>
              <w:rPr>
                <w:rFonts w:hint="eastAsia" w:ascii="宋体" w:hAnsi="宋体" w:eastAsia="宋体" w:cs="宋体"/>
                <w:b w:val="0"/>
                <w:bCs/>
                <w:color w:val="auto"/>
                <w:sz w:val="20"/>
                <w:szCs w:val="20"/>
                <w:highlight w:val="none"/>
                <w:lang w:eastAsia="zh-CN"/>
              </w:rPr>
              <w:t>及新造林上图上表任务及林地督查、外来入侵物种调查、病虫害防治、林保规划等其它林业工作</w:t>
            </w:r>
            <w:r>
              <w:rPr>
                <w:rFonts w:hint="eastAsia" w:ascii="宋体" w:hAnsi="宋体" w:cs="宋体"/>
                <w:b w:val="0"/>
                <w:bCs/>
                <w:color w:val="auto"/>
                <w:sz w:val="20"/>
                <w:szCs w:val="20"/>
                <w:highlight w:val="none"/>
                <w:lang w:eastAsia="zh-CN"/>
              </w:rPr>
              <w:t>。</w:t>
            </w:r>
          </w:p>
        </w:tc>
      </w:tr>
      <w:tr>
        <w:tblPrEx>
          <w:tblCellMar>
            <w:top w:w="15" w:type="dxa"/>
            <w:left w:w="15" w:type="dxa"/>
            <w:bottom w:w="15" w:type="dxa"/>
            <w:right w:w="15" w:type="dxa"/>
          </w:tblCellMar>
        </w:tblPrEx>
        <w:trPr>
          <w:trHeight w:val="525" w:hRule="atLeast"/>
          <w:jc w:val="center"/>
        </w:trPr>
        <w:tc>
          <w:tcPr>
            <w:tcW w:w="64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kern w:val="0"/>
                <w:sz w:val="20"/>
                <w:szCs w:val="20"/>
                <w:highlight w:val="none"/>
                <w:lang w:bidi="ar"/>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default" w:ascii="宋体" w:hAnsi="宋体" w:eastAsia="宋体" w:cs="宋体"/>
                <w:b w:val="0"/>
                <w:bCs/>
                <w:color w:val="auto"/>
                <w:kern w:val="0"/>
                <w:sz w:val="20"/>
                <w:szCs w:val="20"/>
                <w:highlight w:val="none"/>
                <w:lang w:val="en-US" w:eastAsia="zh-CN" w:bidi="ar"/>
              </w:rPr>
            </w:pPr>
            <w:r>
              <w:rPr>
                <w:rFonts w:hint="eastAsia" w:ascii="宋体" w:hAnsi="宋体" w:eastAsia="宋体" w:cs="宋体"/>
                <w:b w:val="0"/>
                <w:bCs/>
                <w:color w:val="auto"/>
                <w:kern w:val="0"/>
                <w:sz w:val="20"/>
                <w:szCs w:val="20"/>
                <w:highlight w:val="none"/>
                <w:lang w:eastAsia="zh-CN" w:bidi="ar"/>
              </w:rPr>
              <w:t>目标</w:t>
            </w:r>
            <w:r>
              <w:rPr>
                <w:rFonts w:hint="eastAsia" w:ascii="宋体" w:hAnsi="宋体" w:eastAsia="宋体" w:cs="宋体"/>
                <w:b w:val="0"/>
                <w:bCs/>
                <w:color w:val="auto"/>
                <w:kern w:val="0"/>
                <w:sz w:val="20"/>
                <w:szCs w:val="20"/>
                <w:highlight w:val="none"/>
                <w:lang w:val="en-US" w:eastAsia="zh-CN" w:bidi="ar"/>
              </w:rPr>
              <w:t>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default"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eastAsia="zh-CN"/>
              </w:rPr>
              <w:t>完成</w:t>
            </w:r>
            <w:r>
              <w:rPr>
                <w:rFonts w:hint="eastAsia" w:ascii="宋体" w:hAnsi="宋体" w:eastAsia="宋体" w:cs="宋体"/>
                <w:b w:val="0"/>
                <w:bCs/>
                <w:color w:val="auto"/>
                <w:sz w:val="20"/>
                <w:szCs w:val="20"/>
                <w:highlight w:val="none"/>
                <w:lang w:val="en-US" w:eastAsia="zh-CN"/>
              </w:rPr>
              <w:t>2023年森林抚育任务</w:t>
            </w:r>
            <w:r>
              <w:rPr>
                <w:rFonts w:hint="eastAsia" w:ascii="宋体" w:hAnsi="宋体" w:cs="宋体"/>
                <w:b w:val="0"/>
                <w:bCs/>
                <w:color w:val="auto"/>
                <w:sz w:val="20"/>
                <w:szCs w:val="20"/>
                <w:highlight w:val="none"/>
                <w:lang w:val="en-US" w:eastAsia="zh-CN"/>
              </w:rPr>
              <w:t>。</w:t>
            </w:r>
          </w:p>
        </w:tc>
      </w:tr>
      <w:tr>
        <w:tblPrEx>
          <w:tblCellMar>
            <w:top w:w="15" w:type="dxa"/>
            <w:left w:w="15" w:type="dxa"/>
            <w:bottom w:w="15" w:type="dxa"/>
            <w:right w:w="15" w:type="dxa"/>
          </w:tblCellMar>
        </w:tblPrEx>
        <w:trPr>
          <w:trHeight w:val="525"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cs="宋体"/>
                <w:b/>
                <w:color w:val="auto"/>
                <w:sz w:val="20"/>
                <w:szCs w:val="20"/>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kern w:val="0"/>
                <w:sz w:val="20"/>
                <w:szCs w:val="20"/>
                <w:highlight w:val="none"/>
                <w:lang w:bidi="ar"/>
              </w:rPr>
              <w:t>目标</w:t>
            </w:r>
            <w:r>
              <w:rPr>
                <w:rFonts w:hint="eastAsia" w:ascii="宋体" w:hAnsi="宋体" w:eastAsia="宋体" w:cs="宋体"/>
                <w:b w:val="0"/>
                <w:bCs/>
                <w:color w:val="auto"/>
                <w:kern w:val="0"/>
                <w:sz w:val="20"/>
                <w:szCs w:val="20"/>
                <w:highlight w:val="none"/>
                <w:lang w:val="en-US" w:eastAsia="zh-CN" w:bidi="ar"/>
              </w:rPr>
              <w:t>3</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rPr>
              <w:t>完成2018年造林202</w:t>
            </w:r>
            <w:r>
              <w:rPr>
                <w:rFonts w:hint="eastAsia" w:ascii="宋体" w:hAnsi="宋体" w:eastAsia="宋体" w:cs="宋体"/>
                <w:b w:val="0"/>
                <w:bCs/>
                <w:color w:val="auto"/>
                <w:sz w:val="20"/>
                <w:szCs w:val="20"/>
                <w:highlight w:val="none"/>
                <w:lang w:val="en-US" w:eastAsia="zh-CN"/>
              </w:rPr>
              <w:t>3</w:t>
            </w:r>
            <w:r>
              <w:rPr>
                <w:rFonts w:hint="eastAsia" w:ascii="宋体" w:hAnsi="宋体" w:eastAsia="宋体" w:cs="宋体"/>
                <w:b w:val="0"/>
                <w:bCs/>
                <w:color w:val="auto"/>
                <w:sz w:val="20"/>
                <w:szCs w:val="20"/>
                <w:highlight w:val="none"/>
              </w:rPr>
              <w:t>年土地流转费用的发放</w:t>
            </w:r>
            <w:r>
              <w:rPr>
                <w:rFonts w:hint="eastAsia" w:ascii="宋体" w:hAnsi="宋体" w:cs="宋体"/>
                <w:b w:val="0"/>
                <w:bCs/>
                <w:color w:val="auto"/>
                <w:sz w:val="20"/>
                <w:szCs w:val="20"/>
                <w:highlight w:val="none"/>
                <w:lang w:eastAsia="zh-CN"/>
              </w:rPr>
              <w:t>。</w:t>
            </w:r>
          </w:p>
        </w:tc>
      </w:tr>
      <w:tr>
        <w:tblPrEx>
          <w:tblCellMar>
            <w:top w:w="15" w:type="dxa"/>
            <w:left w:w="15" w:type="dxa"/>
            <w:bottom w:w="15" w:type="dxa"/>
            <w:right w:w="15" w:type="dxa"/>
          </w:tblCellMar>
        </w:tblPrEx>
        <w:trPr>
          <w:trHeight w:val="45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kern w:val="0"/>
                <w:sz w:val="20"/>
                <w:szCs w:val="20"/>
                <w:highlight w:val="none"/>
                <w:lang w:bidi="ar"/>
              </w:rPr>
            </w:pPr>
            <w:r>
              <w:rPr>
                <w:rFonts w:hint="eastAsia" w:ascii="宋体" w:hAnsi="宋体" w:cs="宋体"/>
                <w:b/>
                <w:color w:val="auto"/>
                <w:kern w:val="0"/>
                <w:sz w:val="20"/>
                <w:szCs w:val="20"/>
                <w:highlight w:val="none"/>
                <w:lang w:bidi="ar"/>
              </w:rPr>
              <w:t>一级</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ascii="黑体" w:hAnsi="宋体" w:eastAsia="黑体" w:cs="黑体"/>
                <w:b/>
                <w:color w:val="auto"/>
                <w:sz w:val="20"/>
                <w:szCs w:val="20"/>
                <w:highlight w:val="none"/>
              </w:rPr>
            </w:pPr>
            <w:r>
              <w:rPr>
                <w:rFonts w:hint="eastAsia" w:ascii="宋体" w:hAnsi="宋体" w:cs="宋体"/>
                <w:b/>
                <w:color w:val="auto"/>
                <w:kern w:val="0"/>
                <w:sz w:val="20"/>
                <w:szCs w:val="20"/>
                <w:highlight w:val="none"/>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指标值确定依据</w:t>
            </w:r>
          </w:p>
        </w:tc>
      </w:tr>
      <w:tr>
        <w:tblPrEx>
          <w:tblCellMar>
            <w:top w:w="15" w:type="dxa"/>
            <w:left w:w="15" w:type="dxa"/>
            <w:bottom w:w="15" w:type="dxa"/>
            <w:right w:w="15" w:type="dxa"/>
          </w:tblCellMar>
        </w:tblPrEx>
        <w:trPr>
          <w:trHeight w:val="31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黑体" w:hAnsi="宋体" w:eastAsia="黑体" w:cs="黑体"/>
                <w:b/>
                <w:color w:val="auto"/>
                <w:sz w:val="20"/>
                <w:szCs w:val="20"/>
                <w:highlight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p>
        </w:tc>
        <w:tc>
          <w:tcPr>
            <w:tcW w:w="97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eastAsia="宋体" w:cs="宋体"/>
                <w:b w:val="0"/>
                <w:bCs/>
                <w:color w:val="auto"/>
                <w:sz w:val="20"/>
                <w:szCs w:val="20"/>
                <w:highlight w:val="none"/>
              </w:rPr>
            </w:pPr>
          </w:p>
        </w:tc>
      </w:tr>
      <w:tr>
        <w:tblPrEx>
          <w:tblCellMar>
            <w:top w:w="15" w:type="dxa"/>
            <w:left w:w="15" w:type="dxa"/>
            <w:bottom w:w="15" w:type="dxa"/>
            <w:right w:w="15" w:type="dxa"/>
          </w:tblCellMar>
        </w:tblPrEx>
        <w:trPr>
          <w:trHeight w:val="539"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kern w:val="0"/>
                <w:sz w:val="20"/>
                <w:szCs w:val="20"/>
                <w:highlight w:val="none"/>
                <w:lang w:bidi="ar"/>
              </w:rPr>
            </w:pPr>
            <w:r>
              <w:rPr>
                <w:rFonts w:hint="eastAsia" w:ascii="宋体" w:hAnsi="宋体" w:cs="宋体"/>
                <w:b/>
                <w:color w:val="auto"/>
                <w:kern w:val="0"/>
                <w:sz w:val="20"/>
                <w:szCs w:val="20"/>
                <w:highlight w:val="none"/>
                <w:lang w:bidi="ar"/>
              </w:rPr>
              <w:t>产出</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完成镇办拨付数量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完成镇办土地流转费用拨付数量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3</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工作计划</w:t>
            </w:r>
          </w:p>
        </w:tc>
      </w:tr>
      <w:tr>
        <w:tblPrEx>
          <w:tblCellMar>
            <w:top w:w="15" w:type="dxa"/>
            <w:left w:w="15" w:type="dxa"/>
            <w:bottom w:w="15" w:type="dxa"/>
            <w:right w:w="15" w:type="dxa"/>
          </w:tblCellMar>
        </w:tblPrEx>
        <w:trPr>
          <w:trHeight w:val="45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cs="宋体"/>
                <w:b/>
                <w:color w:val="auto"/>
                <w:sz w:val="20"/>
                <w:szCs w:val="20"/>
                <w:highlight w:val="none"/>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资金全额拨付</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资金全额拨付</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val="en-US" w:eastAsia="zh-CN" w:bidi="ar"/>
              </w:rPr>
              <w:t>100</w:t>
            </w:r>
            <w:r>
              <w:rPr>
                <w:rFonts w:hint="eastAsia" w:ascii="宋体" w:hAnsi="宋体" w:eastAsia="宋体" w:cs="宋体"/>
                <w:b w:val="0"/>
                <w:bCs/>
                <w:color w:val="auto"/>
                <w:kern w:val="0"/>
                <w:sz w:val="20"/>
                <w:szCs w:val="20"/>
                <w:highlight w:val="none"/>
                <w:lang w:bidi="ar"/>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工作计划</w:t>
            </w:r>
          </w:p>
        </w:tc>
      </w:tr>
      <w:tr>
        <w:tblPrEx>
          <w:tblCellMar>
            <w:top w:w="15" w:type="dxa"/>
            <w:left w:w="15" w:type="dxa"/>
            <w:bottom w:w="15" w:type="dxa"/>
            <w:right w:w="15" w:type="dxa"/>
          </w:tblCellMar>
        </w:tblPrEx>
        <w:trPr>
          <w:trHeight w:val="51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sz w:val="20"/>
                <w:szCs w:val="20"/>
                <w:highlight w:val="none"/>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按时拨付</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按时完成资金拨付</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202</w:t>
            </w:r>
            <w:r>
              <w:rPr>
                <w:rFonts w:hint="eastAsia" w:ascii="宋体" w:hAnsi="宋体" w:eastAsia="宋体" w:cs="宋体"/>
                <w:b w:val="0"/>
                <w:bCs/>
                <w:color w:val="auto"/>
                <w:kern w:val="0"/>
                <w:sz w:val="20"/>
                <w:szCs w:val="20"/>
                <w:highlight w:val="none"/>
                <w:lang w:val="en-US" w:eastAsia="zh-CN" w:bidi="ar"/>
              </w:rPr>
              <w:t>3</w:t>
            </w:r>
            <w:r>
              <w:rPr>
                <w:rFonts w:hint="eastAsia" w:ascii="宋体" w:hAnsi="宋体" w:eastAsia="宋体" w:cs="宋体"/>
                <w:b w:val="0"/>
                <w:bCs/>
                <w:color w:val="auto"/>
                <w:kern w:val="0"/>
                <w:sz w:val="20"/>
                <w:szCs w:val="20"/>
                <w:highlight w:val="none"/>
                <w:lang w:bidi="ar"/>
              </w:rPr>
              <w:t>年12月</w:t>
            </w:r>
            <w:r>
              <w:rPr>
                <w:rFonts w:hint="eastAsia" w:ascii="宋体" w:hAnsi="宋体" w:eastAsia="宋体" w:cs="宋体"/>
                <w:b w:val="0"/>
                <w:bCs/>
                <w:color w:val="auto"/>
                <w:kern w:val="0"/>
                <w:sz w:val="20"/>
                <w:szCs w:val="20"/>
                <w:highlight w:val="none"/>
                <w:lang w:val="en-US" w:eastAsia="zh-CN" w:bidi="ar"/>
              </w:rPr>
              <w:t>31日</w:t>
            </w:r>
            <w:r>
              <w:rPr>
                <w:rFonts w:hint="eastAsia" w:ascii="宋体" w:hAnsi="宋体" w:eastAsia="宋体" w:cs="宋体"/>
                <w:b w:val="0"/>
                <w:bCs/>
                <w:color w:val="auto"/>
                <w:kern w:val="0"/>
                <w:sz w:val="20"/>
                <w:szCs w:val="20"/>
                <w:highlight w:val="none"/>
                <w:lang w:bidi="ar"/>
              </w:rPr>
              <w:t>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eastAsia="zh-CN" w:bidi="ar"/>
              </w:rPr>
              <w:t>工作</w:t>
            </w:r>
            <w:r>
              <w:rPr>
                <w:rFonts w:hint="eastAsia" w:ascii="宋体" w:hAnsi="宋体" w:eastAsia="宋体" w:cs="宋体"/>
                <w:b w:val="0"/>
                <w:bCs/>
                <w:color w:val="auto"/>
                <w:kern w:val="0"/>
                <w:sz w:val="20"/>
                <w:szCs w:val="20"/>
                <w:highlight w:val="none"/>
                <w:lang w:bidi="ar"/>
              </w:rPr>
              <w:t>计划</w:t>
            </w:r>
          </w:p>
        </w:tc>
      </w:tr>
      <w:tr>
        <w:tblPrEx>
          <w:tblCellMar>
            <w:top w:w="15" w:type="dxa"/>
            <w:left w:w="15" w:type="dxa"/>
            <w:bottom w:w="15" w:type="dxa"/>
            <w:right w:w="15" w:type="dxa"/>
          </w:tblCellMar>
        </w:tblPrEx>
        <w:trPr>
          <w:trHeight w:val="51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sz w:val="20"/>
                <w:szCs w:val="20"/>
                <w:highlight w:val="none"/>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kern w:val="0"/>
                <w:sz w:val="20"/>
                <w:szCs w:val="20"/>
                <w:highlight w:val="none"/>
                <w:lang w:bidi="ar"/>
              </w:rPr>
            </w:pPr>
            <w:r>
              <w:rPr>
                <w:rFonts w:hint="eastAsia" w:ascii="宋体" w:hAnsi="宋体" w:eastAsia="宋体" w:cs="宋体"/>
                <w:b w:val="0"/>
                <w:bCs/>
                <w:color w:val="auto"/>
                <w:kern w:val="0"/>
                <w:sz w:val="20"/>
                <w:szCs w:val="20"/>
                <w:highlight w:val="none"/>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kern w:val="0"/>
                <w:sz w:val="20"/>
                <w:szCs w:val="20"/>
                <w:highlight w:val="none"/>
                <w:lang w:eastAsia="zh-CN" w:bidi="ar"/>
              </w:rPr>
            </w:pPr>
            <w:r>
              <w:rPr>
                <w:rFonts w:hint="eastAsia" w:ascii="宋体" w:hAnsi="宋体" w:eastAsia="宋体" w:cs="宋体"/>
                <w:b w:val="0"/>
                <w:bCs/>
                <w:color w:val="auto"/>
                <w:kern w:val="0"/>
                <w:sz w:val="20"/>
                <w:szCs w:val="20"/>
                <w:highlight w:val="none"/>
                <w:lang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kern w:val="0"/>
                <w:sz w:val="20"/>
                <w:szCs w:val="20"/>
                <w:highlight w:val="none"/>
                <w:lang w:eastAsia="zh-CN" w:bidi="ar"/>
              </w:rPr>
            </w:pPr>
            <w:r>
              <w:rPr>
                <w:rFonts w:hint="eastAsia" w:ascii="宋体" w:hAnsi="宋体" w:eastAsia="宋体" w:cs="宋体"/>
                <w:b w:val="0"/>
                <w:bCs/>
                <w:color w:val="auto"/>
                <w:kern w:val="0"/>
                <w:sz w:val="20"/>
                <w:szCs w:val="20"/>
                <w:highlight w:val="none"/>
                <w:lang w:eastAsia="zh-CN" w:bidi="ar"/>
              </w:rPr>
              <w:t>项目资金完成情况站整体情况的比例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default" w:ascii="宋体" w:hAnsi="宋体" w:eastAsia="宋体" w:cs="宋体"/>
                <w:b w:val="0"/>
                <w:bCs/>
                <w:color w:val="auto"/>
                <w:kern w:val="0"/>
                <w:sz w:val="20"/>
                <w:szCs w:val="20"/>
                <w:highlight w:val="none"/>
                <w:lang w:val="en-US" w:eastAsia="zh-CN" w:bidi="ar"/>
              </w:rPr>
            </w:pPr>
            <w:r>
              <w:rPr>
                <w:rFonts w:hint="eastAsia" w:ascii="宋体" w:hAnsi="宋体" w:eastAsia="宋体" w:cs="宋体"/>
                <w:b w:val="0"/>
                <w:bCs/>
                <w:color w:val="auto"/>
                <w:kern w:val="0"/>
                <w:sz w:val="20"/>
                <w:szCs w:val="20"/>
                <w:highlight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kern w:val="0"/>
                <w:sz w:val="20"/>
                <w:szCs w:val="20"/>
                <w:highlight w:val="none"/>
                <w:lang w:bidi="ar"/>
              </w:rPr>
            </w:pPr>
            <w:r>
              <w:rPr>
                <w:rFonts w:hint="eastAsia" w:ascii="宋体" w:hAnsi="宋体" w:eastAsia="宋体" w:cs="宋体"/>
                <w:b w:val="0"/>
                <w:bCs/>
                <w:color w:val="auto"/>
                <w:kern w:val="0"/>
                <w:sz w:val="20"/>
                <w:szCs w:val="20"/>
                <w:highlight w:val="none"/>
                <w:lang w:eastAsia="zh-CN" w:bidi="ar"/>
              </w:rPr>
              <w:t>工作</w:t>
            </w:r>
            <w:r>
              <w:rPr>
                <w:rFonts w:hint="eastAsia" w:ascii="宋体" w:hAnsi="宋体" w:eastAsia="宋体" w:cs="宋体"/>
                <w:b w:val="0"/>
                <w:bCs/>
                <w:color w:val="auto"/>
                <w:kern w:val="0"/>
                <w:sz w:val="20"/>
                <w:szCs w:val="20"/>
                <w:highlight w:val="none"/>
                <w:lang w:bidi="ar"/>
              </w:rPr>
              <w:t>计划</w:t>
            </w:r>
          </w:p>
        </w:tc>
      </w:tr>
      <w:tr>
        <w:tblPrEx>
          <w:tblCellMar>
            <w:top w:w="15" w:type="dxa"/>
            <w:left w:w="15" w:type="dxa"/>
            <w:bottom w:w="15" w:type="dxa"/>
            <w:right w:w="15" w:type="dxa"/>
          </w:tblCellMar>
        </w:tblPrEx>
        <w:trPr>
          <w:trHeight w:val="510" w:hRule="atLeast"/>
          <w:jc w:val="center"/>
        </w:trPr>
        <w:tc>
          <w:tcPr>
            <w:tcW w:w="64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kern w:val="0"/>
                <w:sz w:val="20"/>
                <w:szCs w:val="20"/>
                <w:highlight w:val="none"/>
                <w:lang w:bidi="ar"/>
              </w:rPr>
            </w:pPr>
            <w:r>
              <w:rPr>
                <w:rFonts w:hint="eastAsia" w:ascii="宋体" w:hAnsi="宋体" w:cs="宋体"/>
                <w:b/>
                <w:color w:val="auto"/>
                <w:kern w:val="0"/>
                <w:sz w:val="20"/>
                <w:szCs w:val="20"/>
                <w:highlight w:val="none"/>
                <w:lang w:bidi="ar"/>
              </w:rPr>
              <w:t>效果</w:t>
            </w: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指标</w:t>
            </w: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kern w:val="0"/>
                <w:sz w:val="20"/>
                <w:szCs w:val="20"/>
                <w:highlight w:val="none"/>
                <w:lang w:eastAsia="zh-CN" w:bidi="ar"/>
              </w:rPr>
            </w:pPr>
            <w:r>
              <w:rPr>
                <w:rFonts w:hint="eastAsia" w:ascii="宋体" w:hAnsi="宋体" w:eastAsia="宋体" w:cs="宋体"/>
                <w:b w:val="0"/>
                <w:bCs/>
                <w:color w:val="auto"/>
                <w:kern w:val="0"/>
                <w:sz w:val="20"/>
                <w:szCs w:val="20"/>
                <w:highlight w:val="none"/>
                <w:lang w:eastAsia="zh-CN" w:bidi="ar"/>
              </w:rPr>
              <w:t>生态效益指标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kern w:val="0"/>
                <w:sz w:val="20"/>
                <w:szCs w:val="20"/>
                <w:highlight w:val="none"/>
                <w:lang w:eastAsia="zh-CN" w:bidi="ar"/>
              </w:rPr>
            </w:pPr>
            <w:r>
              <w:rPr>
                <w:rFonts w:hint="eastAsia" w:ascii="宋体" w:hAnsi="宋体" w:eastAsia="宋体" w:cs="宋体"/>
                <w:b w:val="0"/>
                <w:bCs/>
                <w:color w:val="auto"/>
                <w:kern w:val="0"/>
                <w:sz w:val="20"/>
                <w:szCs w:val="20"/>
                <w:highlight w:val="none"/>
                <w:lang w:eastAsia="zh-CN" w:bidi="ar"/>
              </w:rPr>
              <w:t>生态环境改善情况</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kern w:val="0"/>
                <w:sz w:val="20"/>
                <w:szCs w:val="20"/>
                <w:highlight w:val="none"/>
                <w:lang w:eastAsia="zh-CN" w:bidi="ar"/>
              </w:rPr>
            </w:pPr>
            <w:r>
              <w:rPr>
                <w:rFonts w:hint="eastAsia" w:ascii="宋体" w:hAnsi="宋体" w:eastAsia="宋体" w:cs="宋体"/>
                <w:b w:val="0"/>
                <w:bCs/>
                <w:color w:val="auto"/>
                <w:kern w:val="0"/>
                <w:sz w:val="20"/>
                <w:szCs w:val="20"/>
                <w:highlight w:val="none"/>
                <w:lang w:eastAsia="zh-CN" w:bidi="ar"/>
              </w:rPr>
              <w:t>是否增加森林覆盖率、减少水土流失</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kern w:val="0"/>
                <w:sz w:val="20"/>
                <w:szCs w:val="20"/>
                <w:highlight w:val="none"/>
                <w:lang w:eastAsia="zh-CN" w:bidi="ar"/>
              </w:rPr>
            </w:pPr>
            <w:r>
              <w:rPr>
                <w:rFonts w:hint="eastAsia" w:ascii="宋体" w:hAnsi="宋体" w:eastAsia="宋体" w:cs="宋体"/>
                <w:b w:val="0"/>
                <w:bCs/>
                <w:color w:val="auto"/>
                <w:kern w:val="0"/>
                <w:sz w:val="20"/>
                <w:szCs w:val="20"/>
                <w:highlight w:val="none"/>
                <w:lang w:eastAsia="zh-CN" w:bidi="ar"/>
              </w:rPr>
              <w:t>森林覆盖率是否增加</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kern w:val="0"/>
                <w:sz w:val="20"/>
                <w:szCs w:val="20"/>
                <w:highlight w:val="none"/>
                <w:lang w:eastAsia="zh-CN" w:bidi="ar"/>
              </w:rPr>
            </w:pPr>
            <w:r>
              <w:rPr>
                <w:rFonts w:hint="eastAsia" w:ascii="宋体" w:hAnsi="宋体" w:eastAsia="宋体" w:cs="宋体"/>
                <w:b w:val="0"/>
                <w:bCs/>
                <w:color w:val="auto"/>
                <w:kern w:val="0"/>
                <w:sz w:val="20"/>
                <w:szCs w:val="20"/>
                <w:highlight w:val="none"/>
                <w:lang w:eastAsia="zh-CN" w:bidi="ar"/>
              </w:rPr>
              <w:t>行业标准</w:t>
            </w:r>
          </w:p>
        </w:tc>
      </w:tr>
      <w:tr>
        <w:tblPrEx>
          <w:tblCellMar>
            <w:top w:w="15" w:type="dxa"/>
            <w:left w:w="15" w:type="dxa"/>
            <w:bottom w:w="15" w:type="dxa"/>
            <w:right w:w="15" w:type="dxa"/>
          </w:tblCellMar>
        </w:tblPrEx>
        <w:trPr>
          <w:trHeight w:val="510" w:hRule="atLeast"/>
          <w:jc w:val="center"/>
        </w:trPr>
        <w:tc>
          <w:tcPr>
            <w:tcW w:w="64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宋体" w:hAnsi="宋体" w:cs="宋体"/>
                <w:b/>
                <w:color w:val="auto"/>
                <w:sz w:val="20"/>
                <w:szCs w:val="20"/>
                <w:highlight w:val="none"/>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可持续影响指标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持续发生生态作用明显</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造林是否推进林业可持续发展</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推进可持续发展</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行业标准</w:t>
            </w:r>
          </w:p>
        </w:tc>
      </w:tr>
      <w:tr>
        <w:tblPrEx>
          <w:tblCellMar>
            <w:top w:w="15" w:type="dxa"/>
            <w:left w:w="15" w:type="dxa"/>
            <w:bottom w:w="15" w:type="dxa"/>
            <w:right w:w="15" w:type="dxa"/>
          </w:tblCellMar>
        </w:tblPrEx>
        <w:trPr>
          <w:trHeight w:val="72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kern w:val="0"/>
                <w:sz w:val="20"/>
                <w:szCs w:val="20"/>
                <w:highlight w:val="none"/>
                <w:lang w:eastAsia="zh-CN" w:bidi="ar"/>
              </w:rPr>
              <w:t>服务对象满意度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default" w:ascii="宋体" w:hAnsi="宋体" w:eastAsia="宋体" w:cs="宋体"/>
                <w:b w:val="0"/>
                <w:bCs/>
                <w:color w:val="auto"/>
                <w:sz w:val="20"/>
                <w:szCs w:val="20"/>
                <w:highlight w:val="none"/>
                <w:lang w:val="en-US" w:eastAsia="zh-CN"/>
              </w:rPr>
            </w:pPr>
            <w:r>
              <w:rPr>
                <w:rFonts w:hint="eastAsia" w:ascii="宋体" w:hAnsi="宋体" w:eastAsia="宋体" w:cs="宋体"/>
                <w:b w:val="0"/>
                <w:bCs/>
                <w:color w:val="auto"/>
                <w:kern w:val="0"/>
                <w:sz w:val="20"/>
                <w:szCs w:val="20"/>
                <w:highlight w:val="none"/>
                <w:lang w:bidi="ar"/>
              </w:rPr>
              <w:t>≥</w:t>
            </w:r>
            <w:r>
              <w:rPr>
                <w:rFonts w:hint="eastAsia" w:ascii="宋体" w:hAnsi="宋体" w:eastAsia="宋体" w:cs="宋体"/>
                <w:b w:val="0"/>
                <w:bCs/>
                <w:color w:val="auto"/>
                <w:kern w:val="0"/>
                <w:sz w:val="20"/>
                <w:szCs w:val="20"/>
                <w:highlight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kern w:val="0"/>
                <w:sz w:val="20"/>
                <w:szCs w:val="20"/>
                <w:highlight w:val="none"/>
                <w:lang w:bidi="ar"/>
              </w:rPr>
              <w:t>行业标准</w:t>
            </w:r>
          </w:p>
        </w:tc>
      </w:tr>
    </w:tbl>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rPr>
      </w:pP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rPr>
      </w:pP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rPr>
      </w:pP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lang w:eastAsia="zh-CN"/>
        </w:rPr>
      </w:pPr>
      <w:r>
        <w:rPr>
          <w:rFonts w:hint="eastAsia" w:ascii="方正小标宋简体" w:eastAsia="方正小标宋简体"/>
          <w:color w:val="auto"/>
          <w:sz w:val="44"/>
          <w:szCs w:val="44"/>
          <w:highlight w:val="none"/>
        </w:rPr>
        <w:t>乡村振兴</w:t>
      </w:r>
      <w:r>
        <w:rPr>
          <w:rFonts w:hint="eastAsia" w:ascii="方正小标宋简体" w:eastAsia="方正小标宋简体"/>
          <w:color w:val="auto"/>
          <w:sz w:val="44"/>
          <w:szCs w:val="44"/>
          <w:highlight w:val="none"/>
          <w:lang w:eastAsia="zh-CN"/>
        </w:rPr>
        <w:t>和农村人居环境整治资金</w:t>
      </w: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项目</w:t>
      </w:r>
      <w:r>
        <w:rPr>
          <w:rFonts w:ascii="方正小标宋简体" w:eastAsia="方正小标宋简体"/>
          <w:color w:val="auto"/>
          <w:sz w:val="44"/>
          <w:szCs w:val="44"/>
          <w:highlight w:val="none"/>
        </w:rPr>
        <w:t>绩效</w:t>
      </w:r>
      <w:r>
        <w:rPr>
          <w:rFonts w:hint="eastAsia" w:ascii="方正小标宋简体" w:eastAsia="方正小标宋简体"/>
          <w:color w:val="auto"/>
          <w:sz w:val="44"/>
          <w:szCs w:val="44"/>
          <w:highlight w:val="none"/>
        </w:rPr>
        <w:t>目标</w:t>
      </w:r>
      <w:r>
        <w:rPr>
          <w:rFonts w:ascii="方正小标宋简体" w:eastAsia="方正小标宋简体"/>
          <w:color w:val="auto"/>
          <w:sz w:val="44"/>
          <w:szCs w:val="44"/>
          <w:highlight w:val="none"/>
        </w:rPr>
        <w:t>表</w:t>
      </w:r>
    </w:p>
    <w:tbl>
      <w:tblPr>
        <w:tblStyle w:val="3"/>
        <w:tblW w:w="8952" w:type="dxa"/>
        <w:jc w:val="center"/>
        <w:tblLayout w:type="fixed"/>
        <w:tblCellMar>
          <w:top w:w="15" w:type="dxa"/>
          <w:left w:w="15" w:type="dxa"/>
          <w:bottom w:w="15" w:type="dxa"/>
          <w:right w:w="15" w:type="dxa"/>
        </w:tblCellMar>
      </w:tblPr>
      <w:tblGrid>
        <w:gridCol w:w="648"/>
        <w:gridCol w:w="1106"/>
        <w:gridCol w:w="1315"/>
        <w:gridCol w:w="837"/>
        <w:gridCol w:w="605"/>
        <w:gridCol w:w="1078"/>
        <w:gridCol w:w="1423"/>
        <w:gridCol w:w="979"/>
        <w:gridCol w:w="961"/>
      </w:tblGrid>
      <w:tr>
        <w:tblPrEx>
          <w:tblCellMar>
            <w:top w:w="15" w:type="dxa"/>
            <w:left w:w="15" w:type="dxa"/>
            <w:bottom w:w="15" w:type="dxa"/>
            <w:right w:w="15" w:type="dxa"/>
          </w:tblCellMar>
        </w:tblPrEx>
        <w:trPr>
          <w:trHeight w:val="9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项目</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sz w:val="20"/>
                <w:szCs w:val="20"/>
                <w:highlight w:val="none"/>
              </w:rPr>
              <w:t>乡村振兴</w:t>
            </w:r>
            <w:r>
              <w:rPr>
                <w:rFonts w:hint="eastAsia" w:asciiTheme="majorEastAsia" w:hAnsiTheme="majorEastAsia" w:eastAsiaTheme="majorEastAsia" w:cstheme="majorEastAsia"/>
                <w:b w:val="0"/>
                <w:bCs/>
                <w:color w:val="auto"/>
                <w:sz w:val="20"/>
                <w:szCs w:val="20"/>
                <w:highlight w:val="none"/>
                <w:lang w:eastAsia="zh-CN"/>
              </w:rPr>
              <w:t>和农村人居环境整治资金</w:t>
            </w:r>
          </w:p>
        </w:tc>
      </w:tr>
      <w:tr>
        <w:tblPrEx>
          <w:tblCellMar>
            <w:top w:w="15" w:type="dxa"/>
            <w:left w:w="15" w:type="dxa"/>
            <w:bottom w:w="15" w:type="dxa"/>
            <w:right w:w="15" w:type="dxa"/>
          </w:tblCellMar>
        </w:tblPrEx>
        <w:trPr>
          <w:trHeight w:val="55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val="en-US" w:eastAsia="zh-CN"/>
              </w:rPr>
              <w:t>340</w:t>
            </w:r>
            <w:r>
              <w:rPr>
                <w:rFonts w:hint="eastAsia" w:asciiTheme="majorEastAsia" w:hAnsiTheme="majorEastAsia" w:eastAsiaTheme="majorEastAsia" w:cstheme="majorEastAsia"/>
                <w:b w:val="0"/>
                <w:bCs/>
                <w:color w:val="auto"/>
                <w:sz w:val="20"/>
                <w:szCs w:val="20"/>
                <w:highlight w:val="none"/>
              </w:rPr>
              <w:t>万元</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val="en-US" w:eastAsia="zh-CN"/>
              </w:rPr>
              <w:t>340</w:t>
            </w:r>
            <w:r>
              <w:rPr>
                <w:rFonts w:hint="eastAsia" w:asciiTheme="majorEastAsia" w:hAnsiTheme="majorEastAsia" w:eastAsiaTheme="majorEastAsia" w:cstheme="majorEastAsia"/>
                <w:b w:val="0"/>
                <w:bCs/>
                <w:color w:val="auto"/>
                <w:sz w:val="20"/>
                <w:szCs w:val="20"/>
                <w:highlight w:val="none"/>
              </w:rPr>
              <w:t>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p>
        </w:tc>
      </w:tr>
      <w:tr>
        <w:tblPrEx>
          <w:tblCellMar>
            <w:top w:w="15" w:type="dxa"/>
            <w:left w:w="15" w:type="dxa"/>
            <w:bottom w:w="15" w:type="dxa"/>
            <w:right w:w="15" w:type="dxa"/>
          </w:tblCellMar>
        </w:tblPrEx>
        <w:trPr>
          <w:trHeight w:val="60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830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eastAsia="zh-CN"/>
              </w:rPr>
              <w:t>用于农村</w:t>
            </w:r>
            <w:r>
              <w:rPr>
                <w:rFonts w:hint="eastAsia" w:asciiTheme="majorEastAsia" w:hAnsiTheme="majorEastAsia" w:eastAsiaTheme="majorEastAsia" w:cstheme="majorEastAsia"/>
                <w:b w:val="0"/>
                <w:bCs/>
                <w:color w:val="auto"/>
                <w:sz w:val="20"/>
                <w:szCs w:val="20"/>
                <w:highlight w:val="none"/>
              </w:rPr>
              <w:t>基础设施提升、公共设施完善、村容村貌整治、农村产业发展、人居环境治理提升、人居环境观摩拉练</w:t>
            </w:r>
            <w:r>
              <w:rPr>
                <w:rFonts w:hint="eastAsia" w:asciiTheme="majorEastAsia" w:hAnsiTheme="majorEastAsia" w:eastAsiaTheme="majorEastAsia" w:cstheme="majorEastAsia"/>
                <w:b w:val="0"/>
                <w:bCs/>
                <w:color w:val="auto"/>
                <w:sz w:val="20"/>
                <w:szCs w:val="20"/>
                <w:highlight w:val="none"/>
                <w:lang w:eastAsia="zh-CN"/>
              </w:rPr>
              <w:t>、每年油葵两季种植和绿化养护及管网维护</w:t>
            </w:r>
            <w:r>
              <w:rPr>
                <w:rFonts w:hint="eastAsia" w:asciiTheme="majorEastAsia" w:hAnsiTheme="majorEastAsia" w:eastAsiaTheme="majorEastAsia" w:cstheme="majorEastAsia"/>
                <w:b w:val="0"/>
                <w:bCs/>
                <w:color w:val="auto"/>
                <w:sz w:val="20"/>
                <w:szCs w:val="20"/>
                <w:highlight w:val="none"/>
              </w:rPr>
              <w:t>等。</w:t>
            </w:r>
          </w:p>
        </w:tc>
      </w:tr>
      <w:tr>
        <w:tblPrEx>
          <w:tblCellMar>
            <w:top w:w="15" w:type="dxa"/>
            <w:left w:w="15" w:type="dxa"/>
            <w:bottom w:w="15" w:type="dxa"/>
            <w:right w:w="15" w:type="dxa"/>
          </w:tblCellMar>
        </w:tblPrEx>
        <w:trPr>
          <w:trHeight w:val="61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3月底</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12月底</w:t>
            </w:r>
          </w:p>
        </w:tc>
      </w:tr>
      <w:tr>
        <w:tblPrEx>
          <w:tblCellMar>
            <w:top w:w="15" w:type="dxa"/>
            <w:left w:w="15" w:type="dxa"/>
            <w:bottom w:w="15" w:type="dxa"/>
            <w:right w:w="15" w:type="dxa"/>
          </w:tblCellMar>
        </w:tblPrEx>
        <w:trPr>
          <w:trHeight w:val="528"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rPr>
              <w:t>0%</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rPr>
              <w:t>30%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rPr>
              <w:t>50%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rPr>
              <w:t>100%</w:t>
            </w:r>
          </w:p>
        </w:tc>
      </w:tr>
      <w:tr>
        <w:tblPrEx>
          <w:tblCellMar>
            <w:top w:w="15" w:type="dxa"/>
            <w:left w:w="15" w:type="dxa"/>
            <w:bottom w:w="15" w:type="dxa"/>
            <w:right w:w="15" w:type="dxa"/>
          </w:tblCellMar>
        </w:tblPrEx>
        <w:trPr>
          <w:trHeight w:val="52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绩效</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目标1</w:t>
            </w:r>
          </w:p>
        </w:tc>
        <w:tc>
          <w:tcPr>
            <w:tcW w:w="71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sz w:val="20"/>
                <w:szCs w:val="20"/>
                <w:highlight w:val="none"/>
              </w:rPr>
              <w:t>按照市级文件要求，建设乡村振兴示范区</w:t>
            </w:r>
            <w:r>
              <w:rPr>
                <w:rFonts w:hint="eastAsia" w:asciiTheme="majorEastAsia" w:hAnsiTheme="majorEastAsia" w:eastAsiaTheme="majorEastAsia" w:cstheme="majorEastAsia"/>
                <w:b w:val="0"/>
                <w:bCs/>
                <w:color w:val="auto"/>
                <w:sz w:val="20"/>
                <w:szCs w:val="20"/>
                <w:highlight w:val="none"/>
                <w:lang w:eastAsia="zh-CN"/>
              </w:rPr>
              <w:t>。</w:t>
            </w:r>
          </w:p>
        </w:tc>
      </w:tr>
      <w:tr>
        <w:tblPrEx>
          <w:tblCellMar>
            <w:top w:w="15" w:type="dxa"/>
            <w:left w:w="15" w:type="dxa"/>
            <w:bottom w:w="15" w:type="dxa"/>
            <w:right w:w="15" w:type="dxa"/>
          </w:tblCellMar>
        </w:tblPrEx>
        <w:trPr>
          <w:trHeight w:val="525"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目标2</w:t>
            </w:r>
          </w:p>
        </w:tc>
        <w:tc>
          <w:tcPr>
            <w:tcW w:w="71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sz w:val="20"/>
                <w:szCs w:val="20"/>
                <w:highlight w:val="none"/>
              </w:rPr>
              <w:t>按照市级文件要求，建设乡村振兴示范村</w:t>
            </w:r>
            <w:r>
              <w:rPr>
                <w:rFonts w:hint="eastAsia" w:asciiTheme="majorEastAsia" w:hAnsiTheme="majorEastAsia" w:eastAsiaTheme="majorEastAsia" w:cstheme="majorEastAsia"/>
                <w:b w:val="0"/>
                <w:bCs/>
                <w:color w:val="auto"/>
                <w:sz w:val="20"/>
                <w:szCs w:val="20"/>
                <w:highlight w:val="none"/>
                <w:lang w:eastAsia="zh-CN"/>
              </w:rPr>
              <w:t>。</w:t>
            </w:r>
          </w:p>
        </w:tc>
      </w:tr>
      <w:tr>
        <w:tblPrEx>
          <w:tblCellMar>
            <w:top w:w="15" w:type="dxa"/>
            <w:left w:w="15" w:type="dxa"/>
            <w:bottom w:w="15" w:type="dxa"/>
            <w:right w:w="15" w:type="dxa"/>
          </w:tblCellMar>
        </w:tblPrEx>
        <w:trPr>
          <w:trHeight w:val="45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一级</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二级指标</w:t>
            </w:r>
          </w:p>
        </w:tc>
        <w:tc>
          <w:tcPr>
            <w:tcW w:w="21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三级指标</w:t>
            </w:r>
          </w:p>
        </w:tc>
        <w:tc>
          <w:tcPr>
            <w:tcW w:w="310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指标值确定依据</w:t>
            </w:r>
          </w:p>
        </w:tc>
      </w:tr>
      <w:tr>
        <w:tblPrEx>
          <w:tblCellMar>
            <w:top w:w="15" w:type="dxa"/>
            <w:left w:w="15" w:type="dxa"/>
            <w:bottom w:w="15" w:type="dxa"/>
            <w:right w:w="15" w:type="dxa"/>
          </w:tblCellMar>
        </w:tblPrEx>
        <w:trPr>
          <w:trHeight w:val="31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21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310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97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r>
      <w:tr>
        <w:tblPrEx>
          <w:tblCellMar>
            <w:top w:w="15" w:type="dxa"/>
            <w:left w:w="15" w:type="dxa"/>
            <w:bottom w:w="15" w:type="dxa"/>
            <w:right w:w="15" w:type="dxa"/>
          </w:tblCellMar>
        </w:tblPrEx>
        <w:trPr>
          <w:trHeight w:val="103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产出</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数量指标</w:t>
            </w:r>
          </w:p>
        </w:tc>
        <w:tc>
          <w:tcPr>
            <w:tcW w:w="21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新增乡村振兴示范</w:t>
            </w:r>
            <w:r>
              <w:rPr>
                <w:rFonts w:hint="eastAsia" w:asciiTheme="majorEastAsia" w:hAnsiTheme="majorEastAsia" w:eastAsiaTheme="majorEastAsia" w:cstheme="majorEastAsia"/>
                <w:b w:val="0"/>
                <w:bCs/>
                <w:color w:val="auto"/>
                <w:kern w:val="0"/>
                <w:sz w:val="20"/>
                <w:szCs w:val="20"/>
                <w:highlight w:val="none"/>
                <w:lang w:eastAsia="zh-CN" w:bidi="ar"/>
              </w:rPr>
              <w:t>区</w:t>
            </w:r>
            <w:r>
              <w:rPr>
                <w:rFonts w:hint="eastAsia" w:asciiTheme="majorEastAsia" w:hAnsiTheme="majorEastAsia" w:eastAsiaTheme="majorEastAsia" w:cstheme="majorEastAsia"/>
                <w:b w:val="0"/>
                <w:bCs/>
                <w:color w:val="auto"/>
                <w:kern w:val="0"/>
                <w:sz w:val="20"/>
                <w:szCs w:val="20"/>
                <w:highlight w:val="none"/>
                <w:lang w:bidi="ar"/>
              </w:rPr>
              <w:t>数量</w:t>
            </w:r>
          </w:p>
        </w:tc>
        <w:tc>
          <w:tcPr>
            <w:tcW w:w="31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新增示范</w:t>
            </w:r>
            <w:r>
              <w:rPr>
                <w:rFonts w:hint="eastAsia" w:asciiTheme="majorEastAsia" w:hAnsiTheme="majorEastAsia" w:eastAsiaTheme="majorEastAsia" w:cstheme="majorEastAsia"/>
                <w:b w:val="0"/>
                <w:bCs/>
                <w:color w:val="auto"/>
                <w:kern w:val="0"/>
                <w:sz w:val="20"/>
                <w:szCs w:val="20"/>
                <w:highlight w:val="none"/>
                <w:lang w:eastAsia="zh-CN" w:bidi="ar"/>
              </w:rPr>
              <w:t>区</w:t>
            </w:r>
            <w:r>
              <w:rPr>
                <w:rFonts w:hint="eastAsia" w:asciiTheme="majorEastAsia" w:hAnsiTheme="majorEastAsia" w:eastAsiaTheme="majorEastAsia" w:cstheme="majorEastAsia"/>
                <w:b w:val="0"/>
                <w:bCs/>
                <w:color w:val="auto"/>
                <w:kern w:val="0"/>
                <w:sz w:val="20"/>
                <w:szCs w:val="20"/>
                <w:highlight w:val="none"/>
                <w:lang w:bidi="ar"/>
              </w:rPr>
              <w:t>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=1个</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383"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时效指标</w:t>
            </w:r>
          </w:p>
        </w:tc>
        <w:tc>
          <w:tcPr>
            <w:tcW w:w="21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在规定时间内下拨资金</w:t>
            </w:r>
          </w:p>
        </w:tc>
        <w:tc>
          <w:tcPr>
            <w:tcW w:w="31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在规定时间内，按照时间进度下拨奖补资金</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202</w:t>
            </w:r>
            <w:r>
              <w:rPr>
                <w:rFonts w:hint="eastAsia" w:asciiTheme="majorEastAsia" w:hAnsiTheme="majorEastAsia" w:eastAsiaTheme="majorEastAsia" w:cstheme="majorEastAsia"/>
                <w:b w:val="0"/>
                <w:bCs/>
                <w:color w:val="auto"/>
                <w:kern w:val="0"/>
                <w:sz w:val="20"/>
                <w:szCs w:val="20"/>
                <w:highlight w:val="none"/>
                <w:lang w:val="en-US" w:eastAsia="zh-CN" w:bidi="ar"/>
              </w:rPr>
              <w:t>3</w:t>
            </w:r>
            <w:r>
              <w:rPr>
                <w:rFonts w:hint="eastAsia" w:asciiTheme="majorEastAsia" w:hAnsiTheme="majorEastAsia" w:eastAsiaTheme="majorEastAsia" w:cstheme="majorEastAsia"/>
                <w:b w:val="0"/>
                <w:bCs/>
                <w:color w:val="auto"/>
                <w:kern w:val="0"/>
                <w:sz w:val="20"/>
                <w:szCs w:val="20"/>
                <w:highlight w:val="none"/>
                <w:lang w:bidi="ar"/>
              </w:rPr>
              <w:t>年12月底前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465"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成本指标</w:t>
            </w:r>
          </w:p>
        </w:tc>
        <w:tc>
          <w:tcPr>
            <w:tcW w:w="21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预算资金完成率</w:t>
            </w:r>
          </w:p>
        </w:tc>
        <w:tc>
          <w:tcPr>
            <w:tcW w:w="31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乡村振兴专项预算资金完成率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≥9</w:t>
            </w:r>
            <w:r>
              <w:rPr>
                <w:rFonts w:hint="eastAsia" w:asciiTheme="majorEastAsia" w:hAnsiTheme="majorEastAsia" w:eastAsiaTheme="majorEastAsia" w:cstheme="majorEastAsia"/>
                <w:b w:val="0"/>
                <w:bCs/>
                <w:color w:val="auto"/>
                <w:kern w:val="0"/>
                <w:sz w:val="20"/>
                <w:szCs w:val="20"/>
                <w:highlight w:val="none"/>
                <w:lang w:val="en-US" w:eastAsia="zh-CN" w:bidi="ar"/>
              </w:rPr>
              <w:t>5</w:t>
            </w:r>
            <w:r>
              <w:rPr>
                <w:rFonts w:hint="eastAsia" w:asciiTheme="majorEastAsia" w:hAnsiTheme="majorEastAsia" w:eastAsiaTheme="majorEastAsia" w:cstheme="majorEastAsia"/>
                <w:b w:val="0"/>
                <w:bCs/>
                <w:color w:val="auto"/>
                <w:kern w:val="0"/>
                <w:sz w:val="20"/>
                <w:szCs w:val="20"/>
                <w:highlight w:val="none"/>
                <w:lang w:bidi="ar"/>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1035"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质量指标</w:t>
            </w:r>
          </w:p>
        </w:tc>
        <w:tc>
          <w:tcPr>
            <w:tcW w:w="21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群众知晓率</w:t>
            </w:r>
          </w:p>
        </w:tc>
        <w:tc>
          <w:tcPr>
            <w:tcW w:w="31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群众对202</w:t>
            </w:r>
            <w:r>
              <w:rPr>
                <w:rFonts w:hint="eastAsia" w:asciiTheme="majorEastAsia" w:hAnsiTheme="majorEastAsia" w:eastAsiaTheme="majorEastAsia" w:cstheme="majorEastAsia"/>
                <w:b w:val="0"/>
                <w:bCs/>
                <w:color w:val="auto"/>
                <w:kern w:val="0"/>
                <w:sz w:val="20"/>
                <w:szCs w:val="20"/>
                <w:highlight w:val="none"/>
                <w:lang w:val="en-US" w:eastAsia="zh-CN" w:bidi="ar"/>
              </w:rPr>
              <w:t>2</w:t>
            </w:r>
            <w:r>
              <w:rPr>
                <w:rFonts w:hint="eastAsia" w:asciiTheme="majorEastAsia" w:hAnsiTheme="majorEastAsia" w:eastAsiaTheme="majorEastAsia" w:cstheme="majorEastAsia"/>
                <w:b w:val="0"/>
                <w:bCs/>
                <w:color w:val="auto"/>
                <w:kern w:val="0"/>
                <w:sz w:val="20"/>
                <w:szCs w:val="20"/>
                <w:highlight w:val="none"/>
                <w:lang w:bidi="ar"/>
              </w:rPr>
              <w:t>年乡村振兴战略政策的知晓率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510" w:hRule="atLeast"/>
          <w:jc w:val="center"/>
        </w:trPr>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效果</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指标</w:t>
            </w: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社会效益指标</w:t>
            </w:r>
          </w:p>
        </w:tc>
        <w:tc>
          <w:tcPr>
            <w:tcW w:w="21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发挥示范引领作用</w:t>
            </w:r>
          </w:p>
        </w:tc>
        <w:tc>
          <w:tcPr>
            <w:tcW w:w="31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是否挖掘、培育一批可复制可推广的典型做法和成功模式，起到引领作用</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72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服务对象满意度指标</w:t>
            </w:r>
          </w:p>
        </w:tc>
        <w:tc>
          <w:tcPr>
            <w:tcW w:w="21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群众对乡村振兴工作的满意程度</w:t>
            </w:r>
          </w:p>
        </w:tc>
        <w:tc>
          <w:tcPr>
            <w:tcW w:w="31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满意人数占调查总人数的比例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工作经验</w:t>
            </w:r>
          </w:p>
        </w:tc>
      </w:tr>
    </w:tbl>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lang w:eastAsia="zh-CN"/>
        </w:rPr>
      </w:pP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lang w:eastAsia="zh-CN"/>
        </w:rPr>
      </w:pP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lang w:eastAsia="zh-CN"/>
        </w:rPr>
      </w:pPr>
    </w:p>
    <w:p>
      <w:pPr>
        <w:keepNext w:val="0"/>
        <w:keepLines w:val="0"/>
        <w:pageBreakBefore w:val="0"/>
        <w:widowControl w:val="0"/>
        <w:kinsoku/>
        <w:wordWrap/>
        <w:overflowPunct/>
        <w:topLinePunct w:val="0"/>
        <w:bidi w:val="0"/>
        <w:adjustRightInd w:val="0"/>
        <w:snapToGrid w:val="0"/>
        <w:spacing w:after="0" w:line="240" w:lineRule="auto"/>
        <w:jc w:val="center"/>
        <w:rPr>
          <w:rFonts w:hint="eastAsia" w:ascii="方正小标宋简体" w:eastAsia="方正小标宋简体"/>
          <w:color w:val="auto"/>
          <w:sz w:val="44"/>
          <w:szCs w:val="44"/>
          <w:highlight w:val="none"/>
          <w:lang w:eastAsia="zh-CN"/>
        </w:rPr>
      </w:pPr>
    </w:p>
    <w:p>
      <w:pPr>
        <w:keepNext w:val="0"/>
        <w:keepLines w:val="0"/>
        <w:pageBreakBefore w:val="0"/>
        <w:widowControl w:val="0"/>
        <w:kinsoku/>
        <w:wordWrap/>
        <w:overflowPunct/>
        <w:topLinePunct w:val="0"/>
        <w:bidi w:val="0"/>
        <w:adjustRightInd w:val="0"/>
        <w:snapToGrid w:val="0"/>
        <w:spacing w:after="0" w:line="240" w:lineRule="auto"/>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lang w:eastAsia="zh-CN"/>
        </w:rPr>
        <w:t>农村公厕保洁管护</w:t>
      </w:r>
      <w:r>
        <w:rPr>
          <w:rFonts w:ascii="方正小标宋简体" w:eastAsia="方正小标宋简体"/>
          <w:color w:val="auto"/>
          <w:sz w:val="44"/>
          <w:szCs w:val="44"/>
          <w:highlight w:val="none"/>
        </w:rPr>
        <w:t>绩效</w:t>
      </w:r>
      <w:r>
        <w:rPr>
          <w:rFonts w:hint="eastAsia" w:ascii="方正小标宋简体" w:eastAsia="方正小标宋简体"/>
          <w:color w:val="auto"/>
          <w:sz w:val="44"/>
          <w:szCs w:val="44"/>
          <w:highlight w:val="none"/>
        </w:rPr>
        <w:t>目标</w:t>
      </w:r>
      <w:r>
        <w:rPr>
          <w:rFonts w:ascii="方正小标宋简体" w:eastAsia="方正小标宋简体"/>
          <w:color w:val="auto"/>
          <w:sz w:val="44"/>
          <w:szCs w:val="44"/>
          <w:highlight w:val="none"/>
        </w:rPr>
        <w:t>表</w:t>
      </w:r>
    </w:p>
    <w:p>
      <w:pPr>
        <w:pStyle w:val="2"/>
        <w:keepNext w:val="0"/>
        <w:keepLines w:val="0"/>
        <w:pageBreakBefore w:val="0"/>
        <w:widowControl w:val="0"/>
        <w:kinsoku/>
        <w:wordWrap/>
        <w:overflowPunct/>
        <w:topLinePunct w:val="0"/>
        <w:bidi w:val="0"/>
        <w:adjustRightInd w:val="0"/>
        <w:snapToGrid w:val="0"/>
        <w:spacing w:line="240" w:lineRule="auto"/>
        <w:rPr>
          <w:rFonts w:hint="eastAsia"/>
        </w:rPr>
      </w:pPr>
    </w:p>
    <w:tbl>
      <w:tblPr>
        <w:tblStyle w:val="3"/>
        <w:tblW w:w="8952" w:type="dxa"/>
        <w:jc w:val="center"/>
        <w:tblLayout w:type="fixed"/>
        <w:tblCellMar>
          <w:top w:w="15" w:type="dxa"/>
          <w:left w:w="15" w:type="dxa"/>
          <w:bottom w:w="15" w:type="dxa"/>
          <w:right w:w="15" w:type="dxa"/>
        </w:tblCellMar>
      </w:tblPr>
      <w:tblGrid>
        <w:gridCol w:w="648"/>
        <w:gridCol w:w="1106"/>
        <w:gridCol w:w="1315"/>
        <w:gridCol w:w="632"/>
        <w:gridCol w:w="810"/>
        <w:gridCol w:w="1078"/>
        <w:gridCol w:w="1423"/>
        <w:gridCol w:w="979"/>
        <w:gridCol w:w="961"/>
      </w:tblGrid>
      <w:tr>
        <w:tblPrEx>
          <w:tblCellMar>
            <w:top w:w="15" w:type="dxa"/>
            <w:left w:w="15" w:type="dxa"/>
            <w:bottom w:w="15" w:type="dxa"/>
            <w:right w:w="15" w:type="dxa"/>
          </w:tblCellMar>
        </w:tblPrEx>
        <w:trPr>
          <w:trHeight w:val="615"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项目</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sz w:val="20"/>
                <w:szCs w:val="20"/>
                <w:highlight w:val="none"/>
                <w:lang w:val="en-US" w:eastAsia="zh-CN"/>
              </w:rPr>
              <w:t>农村公厕保洁管护</w:t>
            </w:r>
          </w:p>
        </w:tc>
      </w:tr>
      <w:tr>
        <w:tblPrEx>
          <w:tblCellMar>
            <w:top w:w="15" w:type="dxa"/>
            <w:left w:w="15" w:type="dxa"/>
            <w:bottom w:w="15" w:type="dxa"/>
            <w:right w:w="15" w:type="dxa"/>
          </w:tblCellMar>
        </w:tblPrEx>
        <w:trPr>
          <w:trHeight w:val="55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val="en-US" w:eastAsia="zh-CN"/>
              </w:rPr>
              <w:t>81.6</w:t>
            </w:r>
            <w:r>
              <w:rPr>
                <w:rFonts w:hint="eastAsia" w:asciiTheme="majorEastAsia" w:hAnsiTheme="majorEastAsia" w:eastAsiaTheme="majorEastAsia" w:cstheme="majorEastAsia"/>
                <w:b w:val="0"/>
                <w:bCs/>
                <w:color w:val="auto"/>
                <w:sz w:val="20"/>
                <w:szCs w:val="20"/>
                <w:highlight w:val="none"/>
              </w:rPr>
              <w:t>万元</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val="en-US" w:eastAsia="zh-CN"/>
              </w:rPr>
              <w:t>81.6</w:t>
            </w:r>
            <w:r>
              <w:rPr>
                <w:rFonts w:hint="eastAsia" w:asciiTheme="majorEastAsia" w:hAnsiTheme="majorEastAsia" w:eastAsiaTheme="majorEastAsia" w:cstheme="majorEastAsia"/>
                <w:b w:val="0"/>
                <w:bCs/>
                <w:color w:val="auto"/>
                <w:sz w:val="20"/>
                <w:szCs w:val="20"/>
                <w:highlight w:val="none"/>
              </w:rPr>
              <w:t>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p>
        </w:tc>
      </w:tr>
      <w:tr>
        <w:tblPrEx>
          <w:tblCellMar>
            <w:top w:w="15" w:type="dxa"/>
            <w:left w:w="15" w:type="dxa"/>
            <w:bottom w:w="15" w:type="dxa"/>
            <w:right w:w="15" w:type="dxa"/>
          </w:tblCellMar>
        </w:tblPrEx>
        <w:trPr>
          <w:trHeight w:val="60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830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eastAsia="zh-CN"/>
              </w:rPr>
              <w:t>用于对农村村委会、活动广场、中小学、集贸市场等公共场所公厕进行保洁、维护</w:t>
            </w:r>
            <w:r>
              <w:rPr>
                <w:rFonts w:hint="eastAsia" w:asciiTheme="majorEastAsia" w:hAnsiTheme="majorEastAsia" w:eastAsiaTheme="majorEastAsia" w:cstheme="majorEastAsia"/>
                <w:b w:val="0"/>
                <w:bCs/>
                <w:color w:val="auto"/>
                <w:sz w:val="20"/>
                <w:szCs w:val="20"/>
                <w:highlight w:val="none"/>
              </w:rPr>
              <w:t>等。</w:t>
            </w:r>
          </w:p>
        </w:tc>
      </w:tr>
      <w:tr>
        <w:tblPrEx>
          <w:tblCellMar>
            <w:top w:w="15" w:type="dxa"/>
            <w:left w:w="15" w:type="dxa"/>
            <w:bottom w:w="15" w:type="dxa"/>
            <w:right w:w="15" w:type="dxa"/>
          </w:tblCellMar>
        </w:tblPrEx>
        <w:trPr>
          <w:trHeight w:val="61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3月底</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12月底</w:t>
            </w:r>
          </w:p>
        </w:tc>
      </w:tr>
      <w:tr>
        <w:tblPrEx>
          <w:tblCellMar>
            <w:top w:w="15" w:type="dxa"/>
            <w:left w:w="15" w:type="dxa"/>
            <w:bottom w:w="15" w:type="dxa"/>
            <w:right w:w="15" w:type="dxa"/>
          </w:tblCellMar>
        </w:tblPrEx>
        <w:trPr>
          <w:trHeight w:val="528"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val="en-US" w:eastAsia="zh-CN"/>
              </w:rPr>
              <w:t>25</w:t>
            </w:r>
            <w:r>
              <w:rPr>
                <w:rFonts w:hint="eastAsia" w:asciiTheme="majorEastAsia" w:hAnsiTheme="majorEastAsia" w:eastAsiaTheme="majorEastAsia" w:cstheme="majorEastAsia"/>
                <w:b w:val="0"/>
                <w:bCs/>
                <w:color w:val="auto"/>
                <w:sz w:val="20"/>
                <w:szCs w:val="20"/>
                <w:highlight w:val="none"/>
              </w:rPr>
              <w:t>%</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val="en-US" w:eastAsia="zh-CN"/>
              </w:rPr>
              <w:t>50</w:t>
            </w:r>
            <w:r>
              <w:rPr>
                <w:rFonts w:hint="eastAsia" w:asciiTheme="majorEastAsia" w:hAnsiTheme="majorEastAsia" w:eastAsiaTheme="majorEastAsia" w:cstheme="majorEastAsia"/>
                <w:b w:val="0"/>
                <w:bCs/>
                <w:color w:val="auto"/>
                <w:sz w:val="20"/>
                <w:szCs w:val="20"/>
                <w:highlight w:val="none"/>
              </w:rPr>
              <w:t>%</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val="en-US" w:eastAsia="zh-CN"/>
              </w:rPr>
              <w:t>75</w:t>
            </w:r>
            <w:r>
              <w:rPr>
                <w:rFonts w:hint="eastAsia" w:asciiTheme="majorEastAsia" w:hAnsiTheme="majorEastAsia" w:eastAsiaTheme="majorEastAsia" w:cstheme="majorEastAsia"/>
                <w:b w:val="0"/>
                <w:bCs/>
                <w:color w:val="auto"/>
                <w:sz w:val="20"/>
                <w:szCs w:val="20"/>
                <w:highlight w:val="none"/>
              </w:rPr>
              <w:t>%</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rPr>
              <w:t>100%</w:t>
            </w:r>
          </w:p>
        </w:tc>
      </w:tr>
      <w:tr>
        <w:tblPrEx>
          <w:tblCellMar>
            <w:top w:w="15" w:type="dxa"/>
            <w:left w:w="15" w:type="dxa"/>
            <w:bottom w:w="15" w:type="dxa"/>
            <w:right w:w="15" w:type="dxa"/>
          </w:tblCellMar>
        </w:tblPrEx>
        <w:trPr>
          <w:trHeight w:val="525"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绩效</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目标1</w:t>
            </w:r>
          </w:p>
        </w:tc>
        <w:tc>
          <w:tcPr>
            <w:tcW w:w="71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sz w:val="20"/>
                <w:szCs w:val="20"/>
                <w:highlight w:val="none"/>
              </w:rPr>
              <w:t>按照市级文件要求，基本建立农村厕所管护机制</w:t>
            </w:r>
            <w:r>
              <w:rPr>
                <w:rFonts w:hint="eastAsia" w:asciiTheme="majorEastAsia" w:hAnsiTheme="majorEastAsia" w:eastAsiaTheme="majorEastAsia" w:cstheme="majorEastAsia"/>
                <w:b w:val="0"/>
                <w:bCs/>
                <w:color w:val="auto"/>
                <w:sz w:val="20"/>
                <w:szCs w:val="20"/>
                <w:highlight w:val="none"/>
                <w:lang w:eastAsia="zh-CN"/>
              </w:rPr>
              <w:t>。</w:t>
            </w:r>
          </w:p>
        </w:tc>
      </w:tr>
      <w:tr>
        <w:tblPrEx>
          <w:tblCellMar>
            <w:top w:w="15" w:type="dxa"/>
            <w:left w:w="15" w:type="dxa"/>
            <w:bottom w:w="15" w:type="dxa"/>
            <w:right w:w="15" w:type="dxa"/>
          </w:tblCellMar>
        </w:tblPrEx>
        <w:trPr>
          <w:trHeight w:val="525"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目标2</w:t>
            </w:r>
          </w:p>
        </w:tc>
        <w:tc>
          <w:tcPr>
            <w:tcW w:w="71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sz w:val="20"/>
                <w:szCs w:val="20"/>
                <w:highlight w:val="none"/>
              </w:rPr>
              <w:t>管护公厕卫生，保持厕所干净整洁</w:t>
            </w:r>
            <w:r>
              <w:rPr>
                <w:rFonts w:hint="eastAsia" w:asciiTheme="majorEastAsia" w:hAnsiTheme="majorEastAsia" w:eastAsiaTheme="majorEastAsia" w:cstheme="majorEastAsia"/>
                <w:b w:val="0"/>
                <w:bCs/>
                <w:color w:val="auto"/>
                <w:sz w:val="20"/>
                <w:szCs w:val="20"/>
                <w:highlight w:val="none"/>
                <w:lang w:eastAsia="zh-CN"/>
              </w:rPr>
              <w:t>。</w:t>
            </w:r>
          </w:p>
        </w:tc>
      </w:tr>
      <w:tr>
        <w:tblPrEx>
          <w:tblCellMar>
            <w:top w:w="15" w:type="dxa"/>
            <w:left w:w="15" w:type="dxa"/>
            <w:bottom w:w="15" w:type="dxa"/>
            <w:right w:w="15" w:type="dxa"/>
          </w:tblCellMar>
        </w:tblPrEx>
        <w:trPr>
          <w:trHeight w:val="45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一级</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二级指标</w:t>
            </w:r>
          </w:p>
        </w:tc>
        <w:tc>
          <w:tcPr>
            <w:tcW w:w="194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三级指标</w:t>
            </w:r>
          </w:p>
        </w:tc>
        <w:tc>
          <w:tcPr>
            <w:tcW w:w="331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kern w:val="0"/>
                <w:sz w:val="20"/>
                <w:szCs w:val="20"/>
                <w:highlight w:val="none"/>
                <w:lang w:bidi="ar"/>
              </w:rPr>
              <w:t>指标值确定依据</w:t>
            </w:r>
          </w:p>
        </w:tc>
      </w:tr>
      <w:tr>
        <w:tblPrEx>
          <w:tblCellMar>
            <w:top w:w="15" w:type="dxa"/>
            <w:left w:w="15" w:type="dxa"/>
            <w:bottom w:w="15" w:type="dxa"/>
            <w:right w:w="15" w:type="dxa"/>
          </w:tblCellMar>
        </w:tblPrEx>
        <w:trPr>
          <w:trHeight w:val="31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194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331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97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val="0"/>
                <w:bCs/>
                <w:color w:val="auto"/>
                <w:sz w:val="20"/>
                <w:szCs w:val="20"/>
                <w:highlight w:val="none"/>
              </w:rPr>
            </w:pPr>
          </w:p>
        </w:tc>
      </w:tr>
      <w:tr>
        <w:tblPrEx>
          <w:tblCellMar>
            <w:top w:w="15" w:type="dxa"/>
            <w:left w:w="15" w:type="dxa"/>
            <w:bottom w:w="15" w:type="dxa"/>
            <w:right w:w="15" w:type="dxa"/>
          </w:tblCellMar>
        </w:tblPrEx>
        <w:trPr>
          <w:trHeight w:val="539"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产出</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数量指标</w:t>
            </w:r>
          </w:p>
        </w:tc>
        <w:tc>
          <w:tcPr>
            <w:tcW w:w="1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kern w:val="0"/>
                <w:sz w:val="20"/>
                <w:szCs w:val="20"/>
                <w:highlight w:val="none"/>
                <w:lang w:eastAsia="zh-CN" w:bidi="ar"/>
              </w:rPr>
              <w:t>管护数量</w:t>
            </w:r>
          </w:p>
        </w:tc>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eastAsia="zh-CN" w:bidi="ar"/>
              </w:rPr>
              <w:t>管护</w:t>
            </w:r>
            <w:r>
              <w:rPr>
                <w:rFonts w:hint="eastAsia" w:asciiTheme="majorEastAsia" w:hAnsiTheme="majorEastAsia" w:eastAsiaTheme="majorEastAsia" w:cstheme="majorEastAsia"/>
                <w:b w:val="0"/>
                <w:bCs/>
                <w:color w:val="auto"/>
                <w:kern w:val="0"/>
                <w:sz w:val="20"/>
                <w:szCs w:val="20"/>
                <w:highlight w:val="none"/>
                <w:lang w:bidi="ar"/>
              </w:rPr>
              <w:t>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lang w:val="en-US" w:eastAsia="zh-CN"/>
              </w:rPr>
            </w:pPr>
            <w:r>
              <w:rPr>
                <w:rFonts w:hint="eastAsia" w:asciiTheme="majorEastAsia" w:hAnsiTheme="majorEastAsia" w:eastAsiaTheme="majorEastAsia" w:cstheme="majorEastAsia"/>
                <w:b w:val="0"/>
                <w:bCs/>
                <w:color w:val="auto"/>
                <w:kern w:val="0"/>
                <w:sz w:val="20"/>
                <w:szCs w:val="20"/>
                <w:highlight w:val="none"/>
                <w:lang w:val="en-US" w:eastAsia="zh-CN" w:bidi="ar"/>
              </w:rPr>
              <w:t>80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kern w:val="0"/>
                <w:sz w:val="20"/>
                <w:szCs w:val="20"/>
                <w:highlight w:val="none"/>
                <w:lang w:eastAsia="zh-CN" w:bidi="ar"/>
              </w:rPr>
              <w:t>实施方案</w:t>
            </w:r>
          </w:p>
        </w:tc>
      </w:tr>
      <w:tr>
        <w:tblPrEx>
          <w:tblCellMar>
            <w:top w:w="15" w:type="dxa"/>
            <w:left w:w="15" w:type="dxa"/>
            <w:bottom w:w="15" w:type="dxa"/>
            <w:right w:w="15" w:type="dxa"/>
          </w:tblCellMar>
        </w:tblPrEx>
        <w:trPr>
          <w:trHeight w:val="383"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时效指标</w:t>
            </w:r>
          </w:p>
        </w:tc>
        <w:tc>
          <w:tcPr>
            <w:tcW w:w="1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在规定时间内下拨资金</w:t>
            </w:r>
          </w:p>
        </w:tc>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在规定时间内，按照时间进度下拨奖补资金</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202</w:t>
            </w:r>
            <w:r>
              <w:rPr>
                <w:rFonts w:hint="eastAsia" w:asciiTheme="majorEastAsia" w:hAnsiTheme="majorEastAsia" w:eastAsiaTheme="majorEastAsia" w:cstheme="majorEastAsia"/>
                <w:b w:val="0"/>
                <w:bCs/>
                <w:color w:val="auto"/>
                <w:kern w:val="0"/>
                <w:sz w:val="20"/>
                <w:szCs w:val="20"/>
                <w:highlight w:val="none"/>
                <w:lang w:val="en-US" w:eastAsia="zh-CN" w:bidi="ar"/>
              </w:rPr>
              <w:t>3</w:t>
            </w:r>
            <w:r>
              <w:rPr>
                <w:rFonts w:hint="eastAsia" w:asciiTheme="majorEastAsia" w:hAnsiTheme="majorEastAsia" w:eastAsiaTheme="majorEastAsia" w:cstheme="majorEastAsia"/>
                <w:b w:val="0"/>
                <w:bCs/>
                <w:color w:val="auto"/>
                <w:kern w:val="0"/>
                <w:sz w:val="20"/>
                <w:szCs w:val="20"/>
                <w:highlight w:val="none"/>
                <w:lang w:bidi="ar"/>
              </w:rPr>
              <w:t>年12月底前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465"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成本指标</w:t>
            </w:r>
          </w:p>
        </w:tc>
        <w:tc>
          <w:tcPr>
            <w:tcW w:w="1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预算资金完成率</w:t>
            </w:r>
          </w:p>
        </w:tc>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sz w:val="20"/>
                <w:szCs w:val="20"/>
                <w:highlight w:val="none"/>
                <w:lang w:val="en-US" w:eastAsia="zh-CN"/>
              </w:rPr>
              <w:t>农村公厕保洁管护</w:t>
            </w:r>
            <w:r>
              <w:rPr>
                <w:rFonts w:hint="eastAsia" w:asciiTheme="majorEastAsia" w:hAnsiTheme="majorEastAsia" w:eastAsiaTheme="majorEastAsia" w:cstheme="majorEastAsia"/>
                <w:b w:val="0"/>
                <w:bCs/>
                <w:color w:val="auto"/>
                <w:kern w:val="0"/>
                <w:sz w:val="20"/>
                <w:szCs w:val="20"/>
                <w:highlight w:val="none"/>
                <w:lang w:bidi="ar"/>
              </w:rPr>
              <w:t>专项预算资金完成率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≥9</w:t>
            </w:r>
            <w:r>
              <w:rPr>
                <w:rFonts w:hint="eastAsia" w:asciiTheme="majorEastAsia" w:hAnsiTheme="majorEastAsia" w:eastAsiaTheme="majorEastAsia" w:cstheme="majorEastAsia"/>
                <w:b w:val="0"/>
                <w:bCs/>
                <w:color w:val="auto"/>
                <w:kern w:val="0"/>
                <w:sz w:val="20"/>
                <w:szCs w:val="20"/>
                <w:highlight w:val="none"/>
                <w:lang w:val="en-US" w:eastAsia="zh-CN" w:bidi="ar"/>
              </w:rPr>
              <w:t>5</w:t>
            </w:r>
            <w:r>
              <w:rPr>
                <w:rFonts w:hint="eastAsia" w:asciiTheme="majorEastAsia" w:hAnsiTheme="majorEastAsia" w:eastAsiaTheme="majorEastAsia" w:cstheme="majorEastAsia"/>
                <w:b w:val="0"/>
                <w:bCs/>
                <w:color w:val="auto"/>
                <w:kern w:val="0"/>
                <w:sz w:val="20"/>
                <w:szCs w:val="20"/>
                <w:highlight w:val="none"/>
                <w:lang w:bidi="ar"/>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45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rPr>
                <w:rFonts w:hint="eastAsia" w:asciiTheme="majorEastAsia" w:hAnsiTheme="majorEastAsia" w:eastAsiaTheme="majorEastAsia" w:cstheme="majorEastAsia"/>
                <w:b/>
                <w:color w:val="auto"/>
                <w:sz w:val="20"/>
                <w:szCs w:val="20"/>
                <w:highlight w:val="none"/>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质量指标</w:t>
            </w:r>
          </w:p>
        </w:tc>
        <w:tc>
          <w:tcPr>
            <w:tcW w:w="1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群众知晓率</w:t>
            </w:r>
          </w:p>
        </w:tc>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群众对202</w:t>
            </w:r>
            <w:r>
              <w:rPr>
                <w:rFonts w:hint="eastAsia" w:asciiTheme="majorEastAsia" w:hAnsiTheme="majorEastAsia" w:eastAsiaTheme="majorEastAsia" w:cstheme="majorEastAsia"/>
                <w:b w:val="0"/>
                <w:bCs/>
                <w:color w:val="auto"/>
                <w:kern w:val="0"/>
                <w:sz w:val="20"/>
                <w:szCs w:val="20"/>
                <w:highlight w:val="none"/>
                <w:lang w:val="en-US" w:eastAsia="zh-CN" w:bidi="ar"/>
              </w:rPr>
              <w:t>2</w:t>
            </w:r>
            <w:r>
              <w:rPr>
                <w:rFonts w:hint="eastAsia" w:asciiTheme="majorEastAsia" w:hAnsiTheme="majorEastAsia" w:eastAsiaTheme="majorEastAsia" w:cstheme="majorEastAsia"/>
                <w:b w:val="0"/>
                <w:bCs/>
                <w:color w:val="auto"/>
                <w:kern w:val="0"/>
                <w:sz w:val="20"/>
                <w:szCs w:val="20"/>
                <w:highlight w:val="none"/>
                <w:lang w:bidi="ar"/>
              </w:rPr>
              <w:t>年乡村振兴战略政策的知晓率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510" w:hRule="atLeast"/>
          <w:jc w:val="center"/>
        </w:trPr>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kern w:val="0"/>
                <w:sz w:val="20"/>
                <w:szCs w:val="20"/>
                <w:highlight w:val="none"/>
                <w:lang w:bidi="ar"/>
              </w:rPr>
            </w:pPr>
            <w:r>
              <w:rPr>
                <w:rFonts w:hint="eastAsia" w:asciiTheme="majorEastAsia" w:hAnsiTheme="majorEastAsia" w:eastAsiaTheme="majorEastAsia" w:cstheme="majorEastAsia"/>
                <w:b/>
                <w:color w:val="auto"/>
                <w:kern w:val="0"/>
                <w:sz w:val="20"/>
                <w:szCs w:val="20"/>
                <w:highlight w:val="none"/>
                <w:lang w:bidi="ar"/>
              </w:rPr>
              <w:t>效果</w:t>
            </w:r>
          </w:p>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指标</w:t>
            </w:r>
          </w:p>
        </w:tc>
        <w:tc>
          <w:tcPr>
            <w:tcW w:w="110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eastAsia="zh-CN" w:bidi="ar"/>
              </w:rPr>
              <w:t>生态</w:t>
            </w:r>
            <w:r>
              <w:rPr>
                <w:rFonts w:hint="eastAsia" w:asciiTheme="majorEastAsia" w:hAnsiTheme="majorEastAsia" w:eastAsiaTheme="majorEastAsia" w:cstheme="majorEastAsia"/>
                <w:b w:val="0"/>
                <w:bCs/>
                <w:color w:val="auto"/>
                <w:kern w:val="0"/>
                <w:sz w:val="20"/>
                <w:szCs w:val="20"/>
                <w:highlight w:val="none"/>
                <w:lang w:bidi="ar"/>
              </w:rPr>
              <w:t>效益指标</w:t>
            </w:r>
          </w:p>
        </w:tc>
        <w:tc>
          <w:tcPr>
            <w:tcW w:w="1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sz w:val="20"/>
                <w:szCs w:val="20"/>
                <w:highlight w:val="none"/>
                <w:lang w:eastAsia="zh-CN"/>
              </w:rPr>
              <w:t>厕所卫生干净整洁</w:t>
            </w:r>
          </w:p>
        </w:tc>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lang w:eastAsia="zh-CN"/>
              </w:rPr>
            </w:pPr>
            <w:r>
              <w:rPr>
                <w:rFonts w:hint="eastAsia" w:asciiTheme="majorEastAsia" w:hAnsiTheme="majorEastAsia" w:eastAsiaTheme="majorEastAsia" w:cstheme="majorEastAsia"/>
                <w:b w:val="0"/>
                <w:bCs/>
                <w:color w:val="auto"/>
                <w:kern w:val="0"/>
                <w:sz w:val="20"/>
                <w:szCs w:val="20"/>
                <w:highlight w:val="none"/>
                <w:lang w:bidi="ar"/>
              </w:rPr>
              <w:t>是否</w:t>
            </w:r>
            <w:r>
              <w:rPr>
                <w:rFonts w:hint="eastAsia" w:asciiTheme="majorEastAsia" w:hAnsiTheme="majorEastAsia" w:eastAsiaTheme="majorEastAsia" w:cstheme="majorEastAsia"/>
                <w:b w:val="0"/>
                <w:bCs/>
                <w:color w:val="auto"/>
                <w:kern w:val="0"/>
                <w:sz w:val="20"/>
                <w:szCs w:val="20"/>
                <w:highlight w:val="none"/>
                <w:lang w:eastAsia="zh-CN" w:bidi="ar"/>
              </w:rPr>
              <w:t>达到干净整洁</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工作要求</w:t>
            </w:r>
          </w:p>
        </w:tc>
      </w:tr>
      <w:tr>
        <w:tblPrEx>
          <w:tblCellMar>
            <w:top w:w="15" w:type="dxa"/>
            <w:left w:w="15" w:type="dxa"/>
            <w:bottom w:w="15" w:type="dxa"/>
            <w:right w:w="15" w:type="dxa"/>
          </w:tblCellMar>
        </w:tblPrEx>
        <w:trPr>
          <w:trHeight w:val="72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color w:val="auto"/>
                <w:sz w:val="20"/>
                <w:szCs w:val="20"/>
                <w:highlight w:val="none"/>
              </w:rPr>
            </w:pPr>
            <w:r>
              <w:rPr>
                <w:rFonts w:hint="eastAsia" w:asciiTheme="majorEastAsia" w:hAnsiTheme="majorEastAsia" w:eastAsiaTheme="majorEastAsia" w:cstheme="majorEastAsia"/>
                <w:b/>
                <w:color w:val="auto"/>
                <w:kern w:val="0"/>
                <w:sz w:val="20"/>
                <w:szCs w:val="20"/>
                <w:highlight w:val="none"/>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服务对象满意度指标</w:t>
            </w:r>
          </w:p>
        </w:tc>
        <w:tc>
          <w:tcPr>
            <w:tcW w:w="1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群众对乡村振兴工作的满意程度</w:t>
            </w:r>
          </w:p>
        </w:tc>
        <w:tc>
          <w:tcPr>
            <w:tcW w:w="3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left"/>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满意人数占调查总人数的比例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center"/>
              <w:rPr>
                <w:rFonts w:hint="eastAsia" w:asciiTheme="majorEastAsia" w:hAnsiTheme="majorEastAsia" w:eastAsiaTheme="majorEastAsia" w:cstheme="majorEastAsia"/>
                <w:b w:val="0"/>
                <w:bCs/>
                <w:color w:val="auto"/>
                <w:sz w:val="20"/>
                <w:szCs w:val="20"/>
                <w:highlight w:val="none"/>
              </w:rPr>
            </w:pPr>
            <w:r>
              <w:rPr>
                <w:rFonts w:hint="eastAsia" w:asciiTheme="majorEastAsia" w:hAnsiTheme="majorEastAsia" w:eastAsiaTheme="majorEastAsia" w:cstheme="majorEastAsia"/>
                <w:b w:val="0"/>
                <w:bCs/>
                <w:color w:val="auto"/>
                <w:kern w:val="0"/>
                <w:sz w:val="20"/>
                <w:szCs w:val="20"/>
                <w:highlight w:val="none"/>
                <w:lang w:bidi="ar"/>
              </w:rPr>
              <w:t>工作经验</w:t>
            </w:r>
          </w:p>
        </w:tc>
      </w:tr>
    </w:tbl>
    <w:p>
      <w:pPr>
        <w:pStyle w:val="2"/>
        <w:keepNext w:val="0"/>
        <w:keepLines w:val="0"/>
        <w:pageBreakBefore w:val="0"/>
        <w:widowControl w:val="0"/>
        <w:kinsoku/>
        <w:wordWrap/>
        <w:overflowPunct/>
        <w:topLinePunct w:val="0"/>
        <w:bidi w:val="0"/>
        <w:adjustRightInd w:val="0"/>
        <w:snapToGrid w:val="0"/>
        <w:spacing w:line="560" w:lineRule="exact"/>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bidi w:val="0"/>
        <w:adjustRightInd w:val="0"/>
        <w:snapToGrid w:val="0"/>
        <w:spacing w:after="0" w:line="560" w:lineRule="exact"/>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12B6B51"/>
    <w:rsid w:val="07526436"/>
    <w:rsid w:val="383B411A"/>
    <w:rsid w:val="3E9E0D29"/>
    <w:rsid w:val="3FC80C52"/>
    <w:rsid w:val="41BC57B2"/>
    <w:rsid w:val="43643036"/>
    <w:rsid w:val="50947433"/>
    <w:rsid w:val="50985910"/>
    <w:rsid w:val="52C47165"/>
    <w:rsid w:val="54AA1FC6"/>
    <w:rsid w:val="62441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Master</cp:lastModifiedBy>
  <dcterms:modified xsi:type="dcterms:W3CDTF">2023-01-03T08:40:39Z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