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_GBK" w:hAnsi="方正小标宋_GBK" w:eastAsia="方正小标宋_GBK" w:cs="方正小标宋_GBK"/>
          <w:color w:val="auto"/>
          <w:sz w:val="30"/>
          <w:szCs w:val="30"/>
          <w:highlight w:val="none"/>
        </w:rPr>
      </w:pPr>
    </w:p>
    <w:p>
      <w:pPr>
        <w:rPr>
          <w:rFonts w:ascii="方正仿宋_GB2312" w:hAnsi="方正仿宋_GB2312" w:eastAsia="方正仿宋_GB2312" w:cs="方正仿宋_GB2312"/>
          <w:color w:val="auto"/>
          <w:sz w:val="36"/>
          <w:szCs w:val="36"/>
          <w:highlight w:val="none"/>
        </w:rPr>
      </w:pPr>
    </w:p>
    <w:p>
      <w:pPr>
        <w:rPr>
          <w:rFonts w:ascii="方正仿宋_GB2312" w:hAnsi="方正仿宋_GB2312" w:eastAsia="方正仿宋_GB2312" w:cs="方正仿宋_GB2312"/>
          <w:color w:val="auto"/>
          <w:sz w:val="36"/>
          <w:szCs w:val="36"/>
          <w:highlight w:val="none"/>
        </w:rPr>
      </w:pPr>
    </w:p>
    <w:p>
      <w:pPr>
        <w:rPr>
          <w:rFonts w:ascii="方正仿宋_GB2312" w:hAnsi="方正仿宋_GB2312" w:eastAsia="方正仿宋_GB2312" w:cs="方正仿宋_GB2312"/>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72"/>
          <w:szCs w:val="72"/>
          <w:highlight w:val="none"/>
        </w:rPr>
      </w:pPr>
      <w:r>
        <w:rPr>
          <w:rFonts w:hint="eastAsia"/>
          <w:b/>
          <w:bCs/>
          <w:color w:val="auto"/>
          <w:sz w:val="72"/>
          <w:szCs w:val="72"/>
          <w:highlight w:val="none"/>
        </w:rPr>
        <w:t>建设项目环境影响报告表</w:t>
      </w:r>
    </w:p>
    <w:p>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rPr>
          <w:rFonts w:hint="eastAsia" w:ascii="方正楷体_GB2312" w:eastAsia="方正楷体_GB2312"/>
          <w:bCs/>
          <w:color w:val="auto"/>
          <w:sz w:val="48"/>
          <w:szCs w:val="48"/>
          <w:highlight w:val="none"/>
        </w:rPr>
      </w:pPr>
      <w:r>
        <w:rPr>
          <w:rFonts w:hint="eastAsia" w:ascii="方正楷体_GB2312" w:eastAsia="方正楷体_GB2312"/>
          <w:bCs/>
          <w:color w:val="auto"/>
          <w:sz w:val="48"/>
          <w:szCs w:val="48"/>
          <w:highlight w:val="none"/>
        </w:rPr>
        <w:t>（污染影响类）</w:t>
      </w:r>
    </w:p>
    <w:p>
      <w:pPr>
        <w:adjustRightInd w:val="0"/>
        <w:snapToGrid w:val="0"/>
        <w:spacing w:line="288" w:lineRule="auto"/>
        <w:jc w:val="center"/>
        <w:outlineLvl w:val="9"/>
        <w:rPr>
          <w:rFonts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pStyle w:val="14"/>
        <w:rPr>
          <w:rFonts w:eastAsia="仿宋"/>
          <w:color w:val="auto"/>
          <w:sz w:val="44"/>
          <w:szCs w:val="44"/>
          <w:highlight w:val="none"/>
        </w:rPr>
      </w:pPr>
    </w:p>
    <w:p>
      <w:pPr>
        <w:rPr>
          <w:color w:val="auto"/>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keepNext w:val="0"/>
        <w:keepLines w:val="0"/>
        <w:pageBreakBefore w:val="0"/>
        <w:widowControl w:val="0"/>
        <w:kinsoku/>
        <w:wordWrap w:val="0"/>
        <w:overflowPunct/>
        <w:topLinePunct/>
        <w:autoSpaceDE/>
        <w:autoSpaceDN/>
        <w:bidi w:val="0"/>
        <w:adjustRightInd w:val="0"/>
        <w:snapToGrid w:val="0"/>
        <w:spacing w:line="288" w:lineRule="auto"/>
        <w:jc w:val="both"/>
        <w:textAlignment w:val="auto"/>
        <w:rPr>
          <w:rFonts w:hint="eastAsia" w:ascii="方正仿宋_GB2312" w:eastAsia="方正仿宋_GB2312"/>
          <w:color w:val="auto"/>
          <w:sz w:val="36"/>
          <w:szCs w:val="36"/>
          <w:highlight w:val="none"/>
          <w:u w:val="none"/>
          <w:lang w:val="en-US" w:eastAsia="zh-CN"/>
        </w:rPr>
      </w:pP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240" w:leftChars="100" w:firstLine="360" w:firstLineChars="100"/>
              <w:jc w:val="left"/>
              <w:textAlignment w:val="auto"/>
              <w:rPr>
                <w:rFonts w:hint="default" w:ascii="方正仿宋_GB2312" w:eastAsia="方正仿宋_GB2312"/>
                <w:color w:val="auto"/>
                <w:spacing w:val="20"/>
                <w:sz w:val="36"/>
                <w:szCs w:val="36"/>
                <w:highlight w:val="none"/>
                <w:u w:val="single"/>
                <w:lang w:val="en-US" w:eastAsia="zh-CN"/>
              </w:rPr>
            </w:pPr>
            <w:bookmarkStart w:id="0" w:name="_Hlk57884087"/>
            <w:r>
              <w:rPr>
                <w:rFonts w:hint="eastAsia" w:ascii="方正仿宋_GB2312" w:eastAsia="方正仿宋_GB2312"/>
                <w:color w:val="auto"/>
                <w:sz w:val="36"/>
                <w:szCs w:val="36"/>
                <w:highlight w:val="none"/>
                <w:u w:val="none"/>
              </w:rPr>
              <w:t>项目名称：</w:t>
            </w:r>
            <w:r>
              <w:rPr>
                <w:rFonts w:hint="eastAsia" w:ascii="方正仿宋_GB2312" w:eastAsia="方正仿宋_GB2312"/>
                <w:color w:val="auto"/>
                <w:sz w:val="36"/>
                <w:szCs w:val="36"/>
                <w:highlight w:val="none"/>
                <w:u w:val="single"/>
                <w:lang w:val="en-US" w:eastAsia="zh-CN"/>
              </w:rPr>
              <w:t xml:space="preserve">   </w:t>
            </w:r>
            <w:r>
              <w:rPr>
                <w:rFonts w:hint="eastAsia" w:ascii="方正仿宋_GB2312" w:eastAsia="方正仿宋_GB2312"/>
                <w:color w:val="auto"/>
                <w:spacing w:val="20"/>
                <w:sz w:val="36"/>
                <w:szCs w:val="36"/>
                <w:highlight w:val="none"/>
                <w:u w:val="single"/>
                <w:lang w:val="en-US" w:eastAsia="zh-CN"/>
              </w:rPr>
              <w:t xml:space="preserve">唐山锦鸿环保科技有限公司  </w:t>
            </w:r>
          </w:p>
          <w:p>
            <w:pPr>
              <w:keepNext w:val="0"/>
              <w:keepLines w:val="0"/>
              <w:pageBreakBefore w:val="0"/>
              <w:widowControl w:val="0"/>
              <w:kinsoku/>
              <w:wordWrap w:val="0"/>
              <w:overflowPunct/>
              <w:topLinePunct/>
              <w:autoSpaceDE/>
              <w:autoSpaceDN/>
              <w:bidi w:val="0"/>
              <w:adjustRightInd w:val="0"/>
              <w:snapToGrid w:val="0"/>
              <w:spacing w:line="288" w:lineRule="auto"/>
              <w:ind w:left="360" w:leftChars="150" w:firstLine="2160" w:firstLineChars="6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single"/>
                <w:lang w:val="en-US" w:eastAsia="zh-CN"/>
              </w:rPr>
              <w:t xml:space="preserve">  </w:t>
            </w:r>
            <w:r>
              <w:rPr>
                <w:rFonts w:hint="eastAsia" w:ascii="方正仿宋_GB2312" w:eastAsia="方正仿宋_GB2312"/>
                <w:color w:val="auto"/>
                <w:spacing w:val="20"/>
                <w:sz w:val="36"/>
                <w:szCs w:val="36"/>
                <w:highlight w:val="none"/>
                <w:u w:val="single"/>
                <w:lang w:val="en-US" w:eastAsia="zh-CN"/>
              </w:rPr>
              <w:t>建筑垃圾处理及综合利用项目</w:t>
            </w:r>
            <w:r>
              <w:rPr>
                <w:rFonts w:hint="eastAsia" w:ascii="方正仿宋_GB2312" w:eastAsia="方正仿宋_GB2312"/>
                <w:color w:val="auto"/>
                <w:sz w:val="36"/>
                <w:szCs w:val="36"/>
                <w:highlight w:val="none"/>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240" w:leftChars="100" w:firstLine="360" w:firstLineChars="1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none"/>
              </w:rPr>
              <w:t>建设单位（盖章）：</w:t>
            </w:r>
            <w:r>
              <w:rPr>
                <w:rFonts w:hint="eastAsia" w:ascii="方正仿宋_GB2312" w:eastAsia="方正仿宋_GB2312"/>
                <w:color w:val="auto"/>
                <w:spacing w:val="0"/>
                <w:sz w:val="36"/>
                <w:szCs w:val="36"/>
                <w:highlight w:val="none"/>
                <w:u w:val="single"/>
                <w:lang w:val="en-US" w:eastAsia="zh-CN"/>
              </w:rPr>
              <w:t>唐山锦鸿环保科技有限公司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22" w:type="dxa"/>
            <w:tcBorders>
              <w:tl2br w:val="nil"/>
              <w:tr2bl w:val="nil"/>
            </w:tcBorders>
            <w:vAlign w:val="center"/>
          </w:tcPr>
          <w:p>
            <w:pPr>
              <w:keepNext w:val="0"/>
              <w:keepLines w:val="0"/>
              <w:pageBreakBefore w:val="0"/>
              <w:widowControl w:val="0"/>
              <w:kinsoku/>
              <w:wordWrap w:val="0"/>
              <w:overflowPunct/>
              <w:topLinePunct/>
              <w:autoSpaceDE/>
              <w:autoSpaceDN/>
              <w:bidi w:val="0"/>
              <w:adjustRightInd w:val="0"/>
              <w:snapToGrid w:val="0"/>
              <w:spacing w:line="288" w:lineRule="auto"/>
              <w:ind w:left="240" w:leftChars="100" w:firstLine="360" w:firstLineChars="100"/>
              <w:jc w:val="left"/>
              <w:textAlignment w:val="auto"/>
              <w:rPr>
                <w:rFonts w:hint="default" w:ascii="方正仿宋_GB2312" w:eastAsia="方正仿宋_GB2312"/>
                <w:color w:val="auto"/>
                <w:sz w:val="36"/>
                <w:szCs w:val="36"/>
                <w:highlight w:val="none"/>
                <w:u w:val="none"/>
                <w:vertAlign w:val="baseline"/>
                <w:lang w:val="en-US"/>
              </w:rPr>
            </w:pPr>
            <w:r>
              <w:rPr>
                <w:rFonts w:hint="eastAsia" w:ascii="方正仿宋_GB2312" w:eastAsia="方正仿宋_GB2312"/>
                <w:color w:val="auto"/>
                <w:sz w:val="36"/>
                <w:szCs w:val="36"/>
                <w:highlight w:val="none"/>
                <w:u w:val="none"/>
              </w:rPr>
              <w:t>编制日期：</w:t>
            </w:r>
            <w:r>
              <w:rPr>
                <w:rFonts w:hint="eastAsia" w:ascii="方正仿宋_GB2312" w:eastAsia="方正仿宋_GB2312"/>
                <w:color w:val="auto"/>
                <w:sz w:val="36"/>
                <w:szCs w:val="36"/>
                <w:highlight w:val="none"/>
                <w:u w:val="single"/>
              </w:rPr>
              <w:t xml:space="preserve"> </w:t>
            </w:r>
            <w:r>
              <w:rPr>
                <w:rFonts w:ascii="方正仿宋_GB2312" w:eastAsia="方正仿宋_GB2312"/>
                <w:color w:val="auto"/>
                <w:sz w:val="36"/>
                <w:szCs w:val="36"/>
                <w:highlight w:val="none"/>
                <w:u w:val="single"/>
              </w:rPr>
              <w:t xml:space="preserve"> </w:t>
            </w:r>
            <w:r>
              <w:rPr>
                <w:rFonts w:hint="eastAsia" w:ascii="方正仿宋_GB2312" w:eastAsia="方正仿宋_GB2312"/>
                <w:color w:val="auto"/>
                <w:sz w:val="36"/>
                <w:szCs w:val="36"/>
                <w:highlight w:val="none"/>
                <w:u w:val="single"/>
                <w:lang w:val="en-US" w:eastAsia="zh-CN"/>
              </w:rPr>
              <w:t xml:space="preserve">        </w:t>
            </w:r>
            <w:r>
              <w:rPr>
                <w:rFonts w:hint="eastAsia" w:ascii="方正仿宋_GB2312" w:eastAsia="方正仿宋_GB2312"/>
                <w:color w:val="auto"/>
                <w:spacing w:val="0"/>
                <w:sz w:val="36"/>
                <w:szCs w:val="36"/>
                <w:highlight w:val="none"/>
                <w:u w:val="single"/>
                <w:lang w:val="en-US" w:eastAsia="zh-CN"/>
              </w:rPr>
              <w:t xml:space="preserve">  </w:t>
            </w:r>
            <w:r>
              <w:rPr>
                <w:rFonts w:hint="default" w:ascii="Times New Roman" w:hAnsi="Times New Roman" w:eastAsia="方正仿宋_GB2312" w:cs="Times New Roman"/>
                <w:color w:val="auto"/>
                <w:spacing w:val="0"/>
                <w:sz w:val="36"/>
                <w:szCs w:val="36"/>
                <w:highlight w:val="none"/>
                <w:u w:val="single"/>
                <w:lang w:val="en-US" w:eastAsia="zh-CN"/>
              </w:rPr>
              <w:t>202</w:t>
            </w:r>
            <w:r>
              <w:rPr>
                <w:rFonts w:hint="eastAsia" w:eastAsia="方正仿宋_GB2312" w:cs="Times New Roman"/>
                <w:color w:val="auto"/>
                <w:spacing w:val="0"/>
                <w:sz w:val="36"/>
                <w:szCs w:val="36"/>
                <w:highlight w:val="none"/>
                <w:u w:val="single"/>
                <w:lang w:val="en-US" w:eastAsia="zh-CN"/>
              </w:rPr>
              <w:t>3</w:t>
            </w:r>
            <w:r>
              <w:rPr>
                <w:rFonts w:hint="eastAsia" w:ascii="方正仿宋_GB2312" w:eastAsia="方正仿宋_GB2312"/>
                <w:color w:val="auto"/>
                <w:spacing w:val="0"/>
                <w:sz w:val="36"/>
                <w:szCs w:val="36"/>
                <w:highlight w:val="none"/>
                <w:u w:val="single"/>
                <w:lang w:val="en-US" w:eastAsia="zh-CN"/>
              </w:rPr>
              <w:t>年</w:t>
            </w:r>
            <w:r>
              <w:rPr>
                <w:rFonts w:hint="eastAsia" w:eastAsia="方正仿宋_GB2312" w:cs="Times New Roman"/>
                <w:color w:val="auto"/>
                <w:spacing w:val="0"/>
                <w:sz w:val="36"/>
                <w:szCs w:val="36"/>
                <w:highlight w:val="none"/>
                <w:u w:val="single"/>
                <w:lang w:val="en-US" w:eastAsia="zh-CN"/>
              </w:rPr>
              <w:t>07</w:t>
            </w:r>
            <w:r>
              <w:rPr>
                <w:rFonts w:hint="eastAsia" w:ascii="方正仿宋_GB2312" w:eastAsia="方正仿宋_GB2312"/>
                <w:color w:val="auto"/>
                <w:spacing w:val="0"/>
                <w:sz w:val="36"/>
                <w:szCs w:val="36"/>
                <w:highlight w:val="none"/>
                <w:u w:val="single"/>
                <w:lang w:val="en-US" w:eastAsia="zh-CN"/>
              </w:rPr>
              <w:t>月</w:t>
            </w:r>
            <w:r>
              <w:rPr>
                <w:rFonts w:hint="eastAsia" w:ascii="方正仿宋_GB2312" w:eastAsia="方正仿宋_GB2312"/>
                <w:color w:val="auto"/>
                <w:sz w:val="36"/>
                <w:szCs w:val="36"/>
                <w:highlight w:val="none"/>
                <w:u w:val="single"/>
                <w:lang w:val="en-US" w:eastAsia="zh-CN"/>
              </w:rPr>
              <w:t xml:space="preserve">         </w:t>
            </w:r>
          </w:p>
        </w:tc>
      </w:tr>
    </w:tbl>
    <w:p>
      <w:pPr>
        <w:keepNext w:val="0"/>
        <w:keepLines w:val="0"/>
        <w:pageBreakBefore w:val="0"/>
        <w:widowControl w:val="0"/>
        <w:kinsoku/>
        <w:wordWrap w:val="0"/>
        <w:overflowPunct/>
        <w:topLinePunct/>
        <w:autoSpaceDE/>
        <w:autoSpaceDN/>
        <w:bidi w:val="0"/>
        <w:adjustRightInd w:val="0"/>
        <w:snapToGrid w:val="0"/>
        <w:spacing w:line="288" w:lineRule="auto"/>
        <w:ind w:firstLine="1080" w:firstLineChars="300"/>
        <w:jc w:val="both"/>
        <w:textAlignment w:val="auto"/>
        <w:rPr>
          <w:rFonts w:hint="default" w:ascii="方正仿宋_GB2312" w:eastAsia="方正仿宋_GB2312"/>
          <w:color w:val="auto"/>
          <w:sz w:val="36"/>
          <w:szCs w:val="36"/>
          <w:highlight w:val="none"/>
          <w:u w:val="single"/>
          <w:lang w:val="en-US" w:eastAsia="zh-CN"/>
        </w:rPr>
      </w:pPr>
    </w:p>
    <w:p>
      <w:pPr>
        <w:adjustRightInd w:val="0"/>
        <w:snapToGrid w:val="0"/>
        <w:spacing w:line="288" w:lineRule="auto"/>
        <w:ind w:firstLine="1040"/>
        <w:rPr>
          <w:rFonts w:ascii="方正仿宋_GB2312" w:eastAsia="方正仿宋_GB2312"/>
          <w:color w:val="auto"/>
          <w:sz w:val="36"/>
          <w:szCs w:val="36"/>
          <w:highlight w:val="none"/>
        </w:rPr>
      </w:pPr>
    </w:p>
    <w:p>
      <w:pPr>
        <w:adjustRightInd w:val="0"/>
        <w:snapToGrid w:val="0"/>
        <w:spacing w:line="288" w:lineRule="auto"/>
        <w:rPr>
          <w:rFonts w:hint="eastAsia" w:ascii="方正仿宋_GB2312" w:eastAsia="方正仿宋_GB2312"/>
          <w:color w:val="auto"/>
          <w:sz w:val="36"/>
          <w:szCs w:val="36"/>
          <w:highlight w:val="none"/>
        </w:rPr>
      </w:pPr>
    </w:p>
    <w:bookmarkEnd w:id="0"/>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楷体_GB2312" w:hAnsi="方正楷体_GB2312" w:eastAsia="方正楷体_GB2312" w:cs="方正楷体_GB2312"/>
          <w:color w:val="auto"/>
          <w:sz w:val="36"/>
          <w:szCs w:val="36"/>
          <w:highlight w:val="none"/>
        </w:rPr>
      </w:pPr>
      <w:r>
        <w:rPr>
          <w:rFonts w:hint="eastAsia" w:ascii="方正楷体_GB2312" w:hAnsi="方正楷体_GB2312" w:eastAsia="方正楷体_GB2312" w:cs="方正楷体_GB2312"/>
          <w:color w:val="auto"/>
          <w:sz w:val="36"/>
          <w:szCs w:val="36"/>
          <w:highlight w:val="none"/>
        </w:rPr>
        <w:t>中华人民共和国生态环境部制</w:t>
      </w:r>
    </w:p>
    <w:p>
      <w:pPr>
        <w:rPr>
          <w:rFonts w:hint="eastAsia" w:ascii="方正楷体_GB2312" w:eastAsia="方正楷体_GB2312"/>
          <w:color w:val="auto"/>
          <w:sz w:val="36"/>
          <w:szCs w:val="36"/>
          <w:highlight w:val="none"/>
        </w:rPr>
      </w:pPr>
      <w:r>
        <w:rPr>
          <w:rFonts w:hint="eastAsia" w:ascii="方正楷体_GB2312" w:eastAsia="方正楷体_GB2312"/>
          <w:color w:val="auto"/>
          <w:sz w:val="36"/>
          <w:szCs w:val="36"/>
          <w:highlight w:val="none"/>
        </w:rPr>
        <w:br w:type="page"/>
      </w:r>
    </w:p>
    <w:p>
      <w:pPr>
        <w:adjustRightInd w:val="0"/>
        <w:snapToGrid w:val="0"/>
        <w:spacing w:line="288" w:lineRule="auto"/>
        <w:jc w:val="center"/>
        <w:rPr>
          <w:rFonts w:ascii="方正仿宋_GB2312" w:eastAsia="方正仿宋_GB2312"/>
          <w:color w:val="auto"/>
          <w:sz w:val="36"/>
          <w:szCs w:val="36"/>
          <w:highlight w:val="none"/>
        </w:rPr>
        <w:sectPr>
          <w:footerReference r:id="rId5" w:type="default"/>
          <w:footerReference r:id="rId6" w:type="even"/>
          <w:pgSz w:w="11906" w:h="16838"/>
          <w:pgMar w:top="1417" w:right="1247" w:bottom="1417"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r>
        <w:rPr>
          <w:rFonts w:ascii="方正仿宋_GB2312" w:eastAsia="方正仿宋_GB2312"/>
          <w:color w:val="auto"/>
          <w:sz w:val="36"/>
          <w:szCs w:val="36"/>
          <w:highlight w:val="none"/>
        </w:rPr>
        <w:br w:type="page"/>
      </w:r>
    </w:p>
    <w:sdt>
      <w:sdtPr>
        <w:rPr>
          <w:rFonts w:ascii="宋体" w:hAnsi="宋体" w:eastAsia="宋体" w:cs="Times New Roman"/>
          <w:color w:val="auto"/>
          <w:kern w:val="2"/>
          <w:sz w:val="28"/>
          <w:szCs w:val="36"/>
          <w:highlight w:val="none"/>
          <w:lang w:val="en-US" w:eastAsia="zh-CN" w:bidi="ar-SA"/>
        </w:rPr>
        <w:id w:val="147473289"/>
        <w15:color w:val="DBDBDB"/>
        <w:docPartObj>
          <w:docPartGallery w:val="Table of Contents"/>
          <w:docPartUnique/>
        </w:docPartObj>
      </w:sdtPr>
      <w:sdtEndPr>
        <w:rPr>
          <w:rFonts w:ascii="宋体" w:hAnsi="宋体" w:eastAsia="宋体" w:cs="Times New Roman"/>
          <w:color w:val="auto"/>
          <w:kern w:val="2"/>
          <w:sz w:val="28"/>
          <w:szCs w:val="36"/>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sz w:val="36"/>
              <w:szCs w:val="36"/>
              <w:highlight w:val="none"/>
            </w:rPr>
          </w:pPr>
          <w:r>
            <w:rPr>
              <w:rFonts w:ascii="宋体" w:hAnsi="宋体" w:eastAsia="宋体"/>
              <w:b w:val="0"/>
              <w:bCs w:val="0"/>
              <w:color w:val="auto"/>
              <w:sz w:val="28"/>
              <w:szCs w:val="36"/>
              <w:highlight w:val="none"/>
            </w:rPr>
            <w:t>目录</w:t>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_Toc22439 </w:instrText>
          </w:r>
          <w:r>
            <w:rPr>
              <w:color w:val="auto"/>
              <w:highlight w:val="none"/>
            </w:rPr>
            <w:fldChar w:fldCharType="separate"/>
          </w:r>
          <w:r>
            <w:rPr>
              <w:rFonts w:hint="eastAsia"/>
              <w:color w:val="auto"/>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_Toc22439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_Toc13373 </w:instrText>
          </w:r>
          <w:r>
            <w:rPr>
              <w:color w:val="auto"/>
              <w:highlight w:val="none"/>
            </w:rPr>
            <w:fldChar w:fldCharType="separate"/>
          </w:r>
          <w:r>
            <w:rPr>
              <w:rFonts w:hint="eastAsia"/>
              <w:color w:val="auto"/>
              <w:highlight w:val="none"/>
            </w:rPr>
            <w:t>二、建设项目工程分析</w:t>
          </w:r>
          <w:r>
            <w:rPr>
              <w:color w:val="auto"/>
              <w:highlight w:val="none"/>
            </w:rPr>
            <w:tab/>
          </w:r>
          <w:r>
            <w:rPr>
              <w:color w:val="auto"/>
              <w:highlight w:val="none"/>
            </w:rPr>
            <w:fldChar w:fldCharType="begin"/>
          </w:r>
          <w:r>
            <w:rPr>
              <w:color w:val="auto"/>
              <w:highlight w:val="none"/>
            </w:rPr>
            <w:instrText xml:space="preserve"> PAGEREF _Toc13373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_Toc4206 </w:instrText>
          </w:r>
          <w:r>
            <w:rPr>
              <w:color w:val="auto"/>
              <w:highlight w:val="none"/>
            </w:rPr>
            <w:fldChar w:fldCharType="separate"/>
          </w:r>
          <w:r>
            <w:rPr>
              <w:rFonts w:hint="eastAsia"/>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_Toc4206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_Toc20846 </w:instrText>
          </w:r>
          <w:r>
            <w:rPr>
              <w:color w:val="auto"/>
              <w:highlight w:val="none"/>
            </w:rPr>
            <w:fldChar w:fldCharType="separate"/>
          </w:r>
          <w:r>
            <w:rPr>
              <w:rFonts w:hint="eastAsia"/>
              <w:color w:val="auto"/>
              <w:highlight w:val="none"/>
            </w:rPr>
            <w:t>四、主要环境影响和保护措施</w:t>
          </w:r>
          <w:r>
            <w:rPr>
              <w:color w:val="auto"/>
              <w:highlight w:val="none"/>
            </w:rPr>
            <w:tab/>
          </w:r>
          <w:r>
            <w:rPr>
              <w:color w:val="auto"/>
              <w:highlight w:val="none"/>
            </w:rPr>
            <w:fldChar w:fldCharType="begin"/>
          </w:r>
          <w:r>
            <w:rPr>
              <w:color w:val="auto"/>
              <w:highlight w:val="none"/>
            </w:rPr>
            <w:instrText xml:space="preserve"> PAGEREF _Toc20846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_Toc19298 </w:instrText>
          </w:r>
          <w:r>
            <w:rPr>
              <w:color w:val="auto"/>
              <w:highlight w:val="none"/>
            </w:rPr>
            <w:fldChar w:fldCharType="separate"/>
          </w:r>
          <w:r>
            <w:rPr>
              <w:rFonts w:hint="eastAsia"/>
              <w:color w:val="auto"/>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_Toc19298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_Toc11672 </w:instrText>
          </w:r>
          <w:r>
            <w:rPr>
              <w:color w:val="auto"/>
              <w:highlight w:val="none"/>
            </w:rPr>
            <w:fldChar w:fldCharType="separate"/>
          </w:r>
          <w:r>
            <w:rPr>
              <w:rFonts w:hint="eastAsia"/>
              <w:color w:val="auto"/>
              <w:highlight w:val="none"/>
              <w:lang w:val="en-US" w:eastAsia="zh-CN"/>
            </w:rPr>
            <w:t>六、结论</w:t>
          </w:r>
          <w:r>
            <w:rPr>
              <w:color w:val="auto"/>
              <w:highlight w:val="none"/>
            </w:rPr>
            <w:tab/>
          </w:r>
          <w:r>
            <w:rPr>
              <w:color w:val="auto"/>
              <w:highlight w:val="none"/>
            </w:rPr>
            <w:fldChar w:fldCharType="begin"/>
          </w:r>
          <w:r>
            <w:rPr>
              <w:color w:val="auto"/>
              <w:highlight w:val="none"/>
            </w:rPr>
            <w:instrText xml:space="preserve"> PAGEREF _Toc11672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7"/>
            <w:keepNext w:val="0"/>
            <w:keepLines w:val="0"/>
            <w:pageBreakBefore w:val="0"/>
            <w:widowControl w:val="0"/>
            <w:tabs>
              <w:tab w:val="right" w:leader="dot" w:pos="9242"/>
            </w:tabs>
            <w:kinsoku/>
            <w:wordWrap/>
            <w:overflowPunct/>
            <w:topLinePunct w:val="0"/>
            <w:autoSpaceDE/>
            <w:autoSpaceDN/>
            <w:bidi w:val="0"/>
            <w:adjustRightInd/>
            <w:snapToGrid/>
            <w:spacing w:line="520" w:lineRule="exact"/>
            <w:textAlignment w:val="auto"/>
            <w:rPr>
              <w:color w:val="auto"/>
              <w:highlight w:val="none"/>
            </w:rPr>
          </w:pPr>
          <w:r>
            <w:rPr>
              <w:color w:val="auto"/>
              <w:highlight w:val="none"/>
            </w:rPr>
            <w:fldChar w:fldCharType="begin"/>
          </w:r>
          <w:r>
            <w:rPr>
              <w:color w:val="auto"/>
              <w:highlight w:val="none"/>
            </w:rPr>
            <w:instrText xml:space="preserve"> HYPERLINK \l _Toc16884 </w:instrText>
          </w:r>
          <w:r>
            <w:rPr>
              <w:color w:val="auto"/>
              <w:highlight w:val="none"/>
            </w:rPr>
            <w:fldChar w:fldCharType="separate"/>
          </w:r>
          <w:r>
            <w:rPr>
              <w:rFonts w:hint="eastAsia"/>
              <w:color w:val="auto"/>
              <w:highlight w:val="none"/>
            </w:rPr>
            <w:t>附表</w:t>
          </w:r>
          <w:r>
            <w:rPr>
              <w:color w:val="auto"/>
              <w:highlight w:val="none"/>
            </w:rPr>
            <w:tab/>
          </w:r>
          <w:r>
            <w:rPr>
              <w:color w:val="auto"/>
              <w:highlight w:val="none"/>
            </w:rPr>
            <w:fldChar w:fldCharType="begin"/>
          </w:r>
          <w:r>
            <w:rPr>
              <w:color w:val="auto"/>
              <w:highlight w:val="none"/>
            </w:rPr>
            <w:instrText xml:space="preserve"> PAGEREF _Toc16884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sdtContent>
    </w:sdt>
    <w:p>
      <w:pPr>
        <w:pStyle w:val="2"/>
        <w:bidi w:val="0"/>
        <w:rPr>
          <w:rFonts w:hint="eastAsia"/>
          <w:color w:val="auto"/>
          <w:highlight w:val="none"/>
        </w:rPr>
        <w:sectPr>
          <w:footerReference r:id="rId7"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bidi w:val="0"/>
        <w:rPr>
          <w:rFonts w:hint="eastAsia"/>
          <w:color w:val="auto"/>
          <w:highlight w:val="none"/>
        </w:rPr>
        <w:sectPr>
          <w:footerReference r:id="rId8"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 w:name="_Toc22439"/>
    </w:p>
    <w:p>
      <w:pPr>
        <w:pStyle w:val="2"/>
        <w:bidi w:val="0"/>
        <w:rPr>
          <w:rFonts w:hint="eastAsia" w:ascii="黑体" w:hAnsi="黑体" w:eastAsia="黑体"/>
          <w:snapToGrid w:val="0"/>
          <w:color w:val="auto"/>
          <w:szCs w:val="30"/>
          <w:highlight w:val="none"/>
        </w:rPr>
      </w:pPr>
      <w:r>
        <w:rPr>
          <w:rFonts w:hint="eastAsia"/>
          <w:color w:val="auto"/>
          <w:highlight w:val="none"/>
        </w:rPr>
        <w:t>一、建设项目基本情况</w:t>
      </w:r>
      <w:bookmarkEnd w:id="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71"/>
        <w:gridCol w:w="2018"/>
        <w:gridCol w:w="2168"/>
        <w:gridCol w:w="3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建设项目名称</w:t>
            </w:r>
          </w:p>
        </w:tc>
        <w:tc>
          <w:tcPr>
            <w:tcW w:w="7500" w:type="dxa"/>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唐山锦鸿环保科技有限公司建筑垃圾处理及综合利用项目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项目代码</w:t>
            </w:r>
          </w:p>
        </w:tc>
        <w:tc>
          <w:tcPr>
            <w:tcW w:w="7500" w:type="dxa"/>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2306-130273-89-05-486769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建设单位联系人</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lang w:val="en-US" w:eastAsia="zh-CN"/>
              </w:rPr>
            </w:pPr>
            <w:r>
              <w:rPr>
                <w:rFonts w:hint="eastAsia" w:cs="Times New Roman"/>
                <w:color w:val="auto"/>
                <w:kern w:val="24"/>
                <w:sz w:val="24"/>
                <w:szCs w:val="24"/>
                <w:highlight w:val="none"/>
                <w:lang w:val="en-US" w:eastAsia="zh-CN"/>
              </w:rPr>
              <w:t>郑帅</w:t>
            </w:r>
          </w:p>
        </w:tc>
        <w:tc>
          <w:tcPr>
            <w:tcW w:w="216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联系方式</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18903150720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建设地点</w:t>
            </w:r>
          </w:p>
        </w:tc>
        <w:tc>
          <w:tcPr>
            <w:tcW w:w="7500" w:type="dxa"/>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eastAsia="宋体"/>
                <w:color w:val="auto"/>
                <w:sz w:val="24"/>
                <w:szCs w:val="24"/>
                <w:highlight w:val="none"/>
                <w:lang w:val="en-US" w:eastAsia="zh-CN"/>
              </w:rPr>
            </w:pPr>
            <w:r>
              <w:rPr>
                <w:rFonts w:hint="eastAsia" w:cs="Times New Roman"/>
                <w:color w:val="auto"/>
                <w:kern w:val="0"/>
                <w:sz w:val="24"/>
                <w:szCs w:val="24"/>
                <w:highlight w:val="none"/>
                <w:lang w:val="en-US" w:eastAsia="zh-CN"/>
              </w:rPr>
              <w:t>唐山市高新区空港新城东南约353米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500" w:type="dxa"/>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东经：118°03'02.521"；北纬：39°42'16.914"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22"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国民经济</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行业类别</w:t>
            </w:r>
          </w:p>
        </w:tc>
        <w:tc>
          <w:tcPr>
            <w:tcW w:w="201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highlight w:val="none"/>
                <w:lang w:val="en-US" w:eastAsia="zh-CN"/>
              </w:rPr>
            </w:pPr>
            <w:r>
              <w:rPr>
                <w:rFonts w:hint="eastAsia" w:cs="Times New Roman"/>
                <w:color w:val="auto"/>
                <w:highlight w:val="none"/>
                <w:lang w:val="en-US" w:eastAsia="zh-CN"/>
              </w:rPr>
              <w:t>N7723固体废物治理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C3039其他建筑材料制造</w:t>
            </w:r>
          </w:p>
        </w:tc>
        <w:tc>
          <w:tcPr>
            <w:tcW w:w="216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ascii="Times New Roman" w:hAnsi="Times New Roman" w:cs="Times New Roman"/>
                <w:color w:val="auto"/>
                <w:sz w:val="24"/>
                <w:szCs w:val="24"/>
                <w:highlight w:val="none"/>
              </w:rPr>
            </w:pPr>
            <w:bookmarkStart w:id="2" w:name="_Hlk49843745"/>
            <w:r>
              <w:rPr>
                <w:rFonts w:hint="default" w:ascii="Times New Roman" w:hAnsi="Times New Roman" w:cs="Times New Roman"/>
                <w:color w:val="auto"/>
                <w:sz w:val="24"/>
                <w:szCs w:val="24"/>
                <w:highlight w:val="none"/>
              </w:rPr>
              <w:t>建设项目</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2"/>
          </w:p>
        </w:tc>
        <w:tc>
          <w:tcPr>
            <w:tcW w:w="331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四十七、生态保护和环境治理业</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103</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一般工业固体废物（含污水处理污泥）、建筑施工废弃物处置及综合利用</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其他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left"/>
              <w:textAlignment w:val="auto"/>
              <w:rPr>
                <w:rFonts w:hint="default" w:cs="Times New Roman"/>
                <w:color w:val="auto"/>
                <w:highlight w:val="none"/>
                <w:lang w:val="en-US" w:eastAsia="zh-CN"/>
              </w:rPr>
            </w:pPr>
            <w:r>
              <w:rPr>
                <w:rFonts w:hint="eastAsia" w:cs="Times New Roman"/>
                <w:color w:val="auto"/>
                <w:highlight w:val="none"/>
                <w:lang w:val="en-US" w:eastAsia="zh-CN"/>
              </w:rPr>
              <w:t>二十七、非金属矿物制品业30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56.砖瓦、石材等建筑材料制造303</w:t>
            </w:r>
            <w:r>
              <w:rPr>
                <w:rFonts w:hint="default" w:ascii="Times New Roman" w:hAnsi="Times New Roman" w:cs="Times New Roman"/>
                <w:color w:val="auto"/>
                <w:highlight w:val="none"/>
                <w:lang w:val="en-US" w:eastAsia="zh-CN"/>
              </w:rPr>
              <w:t>—</w:t>
            </w:r>
            <w:r>
              <w:rPr>
                <w:rFonts w:ascii="Helvetica" w:hAnsi="Helvetica" w:eastAsia="Helvetica" w:cs="Helvetica"/>
                <w:i w:val="0"/>
                <w:iCs w:val="0"/>
                <w:caps w:val="0"/>
                <w:color w:val="333333"/>
                <w:spacing w:val="0"/>
                <w:sz w:val="24"/>
                <w:szCs w:val="24"/>
                <w:shd w:val="clear" w:fill="FFFFFF"/>
              </w:rPr>
              <w:t>其</w:t>
            </w:r>
            <w:r>
              <w:rPr>
                <w:rFonts w:hint="default" w:ascii="Helvetica" w:hAnsi="Helvetica" w:eastAsia="Helvetica" w:cs="Helvetica"/>
                <w:i w:val="0"/>
                <w:iCs w:val="0"/>
                <w:caps w:val="0"/>
                <w:color w:val="333333"/>
                <w:spacing w:val="0"/>
                <w:sz w:val="24"/>
                <w:szCs w:val="24"/>
                <w:shd w:val="clear" w:fill="FFFFFF"/>
              </w:rPr>
              <w:t>他建筑材料制造（含干粉砂浆搅拌站）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b w:val="0"/>
                <w:bCs w:val="0"/>
                <w:color w:val="auto"/>
                <w:sz w:val="24"/>
                <w:szCs w:val="24"/>
                <w:highlight w:val="none"/>
              </w:rPr>
            </w:pPr>
            <w:r>
              <w:rPr>
                <w:rFonts w:hint="eastAsia"/>
                <w:b w:val="0"/>
                <w:bCs w:val="0"/>
                <w:color w:val="auto"/>
                <w:sz w:val="24"/>
                <w:szCs w:val="24"/>
                <w:highlight w:val="none"/>
              </w:rPr>
              <w:t>建设性质</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default" w:ascii="Times New Roman" w:hAnsi="Times New Roman" w:cs="Times New Roman"/>
                <w:b w:val="0"/>
                <w:bCs w:val="0"/>
                <w:color w:val="auto"/>
                <w:sz w:val="24"/>
                <w:szCs w:val="24"/>
                <w:highlight w:val="none"/>
              </w:rPr>
              <w:sym w:font="Wingdings" w:char="00FE"/>
            </w:r>
            <w:r>
              <w:rPr>
                <w:rFonts w:hint="eastAsia"/>
                <w:b w:val="0"/>
                <w:bCs w:val="0"/>
                <w:color w:val="auto"/>
                <w:sz w:val="24"/>
                <w:szCs w:val="24"/>
                <w:highlight w:val="none"/>
              </w:rPr>
              <w:t>新建（迁建）</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改建</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rFonts w:hint="eastAsia"/>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扩建</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技术改造</w:t>
            </w:r>
          </w:p>
        </w:tc>
        <w:tc>
          <w:tcPr>
            <w:tcW w:w="216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b w:val="0"/>
                <w:bCs w:val="0"/>
                <w:color w:val="auto"/>
                <w:sz w:val="24"/>
                <w:szCs w:val="24"/>
                <w:highlight w:val="none"/>
              </w:rPr>
            </w:pPr>
            <w:r>
              <w:rPr>
                <w:rFonts w:hint="eastAsia"/>
                <w:b w:val="0"/>
                <w:bCs w:val="0"/>
                <w:color w:val="auto"/>
                <w:sz w:val="24"/>
                <w:szCs w:val="24"/>
                <w:highlight w:val="none"/>
              </w:rPr>
              <w:t>建设项目</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b w:val="0"/>
                <w:bCs w:val="0"/>
                <w:color w:val="auto"/>
                <w:sz w:val="24"/>
                <w:szCs w:val="24"/>
                <w:highlight w:val="none"/>
              </w:rPr>
            </w:pPr>
            <w:r>
              <w:rPr>
                <w:rFonts w:hint="eastAsia"/>
                <w:b w:val="0"/>
                <w:bCs w:val="0"/>
                <w:color w:val="auto"/>
                <w:sz w:val="24"/>
                <w:szCs w:val="24"/>
                <w:highlight w:val="none"/>
              </w:rPr>
              <w:t>申报情形</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eastAsia"/>
                <w:b w:val="0"/>
                <w:bCs w:val="0"/>
                <w:color w:val="auto"/>
                <w:sz w:val="24"/>
                <w:szCs w:val="24"/>
                <w:highlight w:val="none"/>
              </w:rPr>
              <w:sym w:font="Wingdings" w:char="00FE"/>
            </w:r>
            <w:r>
              <w:rPr>
                <w:rFonts w:hint="eastAsia"/>
                <w:b w:val="0"/>
                <w:bCs w:val="0"/>
                <w:color w:val="auto"/>
                <w:sz w:val="24"/>
                <w:szCs w:val="24"/>
                <w:highlight w:val="none"/>
              </w:rPr>
              <w:t>首次申报项目</w:t>
            </w:r>
            <w:r>
              <w:rPr>
                <w:b w:val="0"/>
                <w:bCs w:val="0"/>
                <w:color w:val="auto"/>
                <w:sz w:val="24"/>
                <w:szCs w:val="24"/>
                <w:highlight w:val="none"/>
              </w:rPr>
              <w:t xml:space="preserve">             </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不予批准后再次申报项目</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超五年重新审核项目</w:t>
            </w:r>
            <w:r>
              <w:rPr>
                <w:b w:val="0"/>
                <w:bCs w:val="0"/>
                <w:color w:val="auto"/>
                <w:sz w:val="24"/>
                <w:szCs w:val="24"/>
                <w:highlight w:val="none"/>
              </w:rPr>
              <w:t xml:space="preserve">     </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b w:val="0"/>
                <w:bCs w:val="0"/>
                <w:color w:val="auto"/>
                <w:sz w:val="24"/>
                <w:szCs w:val="24"/>
                <w:highlight w:val="none"/>
              </w:rPr>
            </w:pPr>
            <w:r>
              <w:rPr>
                <w:rFonts w:hint="eastAsia"/>
                <w:b w:val="0"/>
                <w:bCs w:val="0"/>
                <w:color w:val="auto"/>
                <w:sz w:val="24"/>
                <w:szCs w:val="24"/>
                <w:highlight w:val="none"/>
              </w:rPr>
              <w:sym w:font="Wingdings" w:char="00A8"/>
            </w:r>
            <w:r>
              <w:rPr>
                <w:rFonts w:hint="eastAsia"/>
                <w:b w:val="0"/>
                <w:bCs w:val="0"/>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项目审批（核准</w:t>
            </w:r>
            <w:r>
              <w:rPr>
                <w:color w:val="auto"/>
                <w:sz w:val="24"/>
                <w:szCs w:val="24"/>
                <w:highlight w:val="none"/>
              </w:rPr>
              <w:t>/</w:t>
            </w:r>
            <w:r>
              <w:rPr>
                <w:rFonts w:hint="eastAsia"/>
                <w:color w:val="auto"/>
                <w:sz w:val="24"/>
                <w:szCs w:val="24"/>
                <w:highlight w:val="none"/>
              </w:rPr>
              <w:t>备案）部门（选填）</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唐山高新技术产业开发区行政审批局</w:t>
            </w:r>
          </w:p>
        </w:tc>
        <w:tc>
          <w:tcPr>
            <w:tcW w:w="216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项目审批（核准</w:t>
            </w:r>
            <w:r>
              <w:rPr>
                <w:color w:val="auto"/>
                <w:sz w:val="24"/>
                <w:szCs w:val="24"/>
                <w:highlight w:val="none"/>
              </w:rPr>
              <w:t>/</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备案）文号（选填）</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唐高备字[2023]35号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总投资（万元）</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500.00</w:t>
            </w:r>
          </w:p>
        </w:tc>
        <w:tc>
          <w:tcPr>
            <w:tcW w:w="2168"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环保投资（万元）</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4"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环保投资占比（</w:t>
            </w:r>
            <w:r>
              <w:rPr>
                <w:color w:val="auto"/>
                <w:sz w:val="24"/>
                <w:szCs w:val="24"/>
                <w:highlight w:val="none"/>
              </w:rPr>
              <w:t>%</w:t>
            </w:r>
            <w:r>
              <w:rPr>
                <w:rFonts w:hint="eastAsia"/>
                <w:color w:val="auto"/>
                <w:sz w:val="24"/>
                <w:szCs w:val="24"/>
                <w:highlight w:val="none"/>
              </w:rPr>
              <w:t>）</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6</w:t>
            </w:r>
          </w:p>
        </w:tc>
        <w:tc>
          <w:tcPr>
            <w:tcW w:w="2168"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施工工期</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1571"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是否开工建设</w:t>
            </w:r>
          </w:p>
        </w:tc>
        <w:tc>
          <w:tcPr>
            <w:tcW w:w="2018"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color w:val="auto"/>
                <w:sz w:val="24"/>
                <w:szCs w:val="24"/>
                <w:highlight w:val="none"/>
              </w:rPr>
            </w:pPr>
            <w:r>
              <w:rPr>
                <w:rFonts w:hint="eastAsia"/>
                <w:color w:val="auto"/>
                <w:sz w:val="24"/>
                <w:szCs w:val="24"/>
                <w:highlight w:val="none"/>
              </w:rPr>
              <w:sym w:font="Wingdings" w:char="00FE"/>
            </w:r>
            <w:r>
              <w:rPr>
                <w:rFonts w:hint="eastAsia"/>
                <w:color w:val="auto"/>
                <w:sz w:val="24"/>
                <w:szCs w:val="24"/>
                <w:highlight w:val="none"/>
              </w:rPr>
              <w:t>否</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jc w:val="left"/>
              <w:textAlignment w:val="auto"/>
              <w:rPr>
                <w:color w:val="auto"/>
                <w:sz w:val="24"/>
                <w:szCs w:val="24"/>
                <w:highlight w:val="none"/>
              </w:rPr>
            </w:pPr>
            <w:r>
              <w:rPr>
                <w:rFonts w:hint="eastAsia"/>
                <w:color w:val="auto"/>
                <w:sz w:val="24"/>
                <w:szCs w:val="24"/>
                <w:highlight w:val="none"/>
              </w:rPr>
              <w:sym w:font="Wingdings" w:char="00A8"/>
            </w:r>
            <w:r>
              <w:rPr>
                <w:rFonts w:hint="eastAsia"/>
                <w:color w:val="auto"/>
                <w:sz w:val="24"/>
                <w:szCs w:val="24"/>
                <w:highlight w:val="none"/>
              </w:rPr>
              <w:t>是：</w:t>
            </w:r>
            <w:r>
              <w:rPr>
                <w:rFonts w:hint="eastAsia"/>
                <w:color w:val="auto"/>
                <w:sz w:val="24"/>
                <w:szCs w:val="24"/>
                <w:highlight w:val="none"/>
                <w:u w:val="single"/>
                <w:lang w:val="en-US" w:eastAsia="zh-CN"/>
              </w:rPr>
              <w:t xml:space="preserve">              </w:t>
            </w:r>
            <w:r>
              <w:rPr>
                <w:rFonts w:hint="eastAsia"/>
                <w:color w:val="auto"/>
                <w:sz w:val="24"/>
                <w:szCs w:val="24"/>
                <w:highlight w:val="none"/>
              </w:rPr>
              <w:t xml:space="preserve">             </w:t>
            </w:r>
          </w:p>
        </w:tc>
        <w:tc>
          <w:tcPr>
            <w:tcW w:w="2168" w:type="dxa"/>
            <w:noWrap w:val="0"/>
            <w:tcMar>
              <w:top w:w="16" w:type="dxa"/>
              <w:left w:w="16" w:type="dxa"/>
              <w:right w:w="16"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color w:val="auto"/>
                <w:sz w:val="24"/>
                <w:szCs w:val="24"/>
                <w:highlight w:val="none"/>
              </w:rPr>
            </w:pPr>
            <w:r>
              <w:rPr>
                <w:rFonts w:hint="eastAsia"/>
                <w:color w:val="auto"/>
                <w:sz w:val="24"/>
                <w:szCs w:val="24"/>
                <w:highlight w:val="none"/>
              </w:rPr>
              <w:t>用地（用海）</w:t>
            </w:r>
          </w:p>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eastAsia"/>
                <w:color w:val="auto"/>
                <w:sz w:val="24"/>
                <w:szCs w:val="24"/>
                <w:highlight w:val="none"/>
              </w:rPr>
            </w:pPr>
            <w:r>
              <w:rPr>
                <w:rFonts w:hint="eastAsia"/>
                <w:color w:val="auto"/>
                <w:sz w:val="24"/>
                <w:szCs w:val="24"/>
                <w:highlight w:val="none"/>
              </w:rPr>
              <w:t>面积</w:t>
            </w:r>
            <w:r>
              <w:rPr>
                <w:rFonts w:hint="default"/>
                <w:color w:val="auto"/>
                <w:sz w:val="24"/>
                <w:szCs w:val="24"/>
                <w:highlight w:val="none"/>
              </w:rPr>
              <w:t>（m</w:t>
            </w:r>
            <w:r>
              <w:rPr>
                <w:rFonts w:hint="default"/>
                <w:color w:val="auto"/>
                <w:sz w:val="24"/>
                <w:szCs w:val="24"/>
                <w:highlight w:val="none"/>
                <w:vertAlign w:val="superscript"/>
              </w:rPr>
              <w:t>2</w:t>
            </w:r>
            <w:r>
              <w:rPr>
                <w:rFonts w:hint="default"/>
                <w:color w:val="auto"/>
                <w:sz w:val="24"/>
                <w:szCs w:val="24"/>
                <w:highlight w:val="none"/>
              </w:rPr>
              <w:t>）</w:t>
            </w:r>
          </w:p>
        </w:tc>
        <w:tc>
          <w:tcPr>
            <w:tcW w:w="3314"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textAlignment w:val="auto"/>
              <w:rPr>
                <w:rFonts w:hint="default" w:eastAsia="宋体"/>
                <w:color w:val="auto"/>
                <w:sz w:val="24"/>
                <w:szCs w:val="24"/>
                <w:highlight w:val="none"/>
                <w:vertAlign w:val="baseline"/>
                <w:lang w:val="en-US" w:eastAsia="zh-CN"/>
              </w:rPr>
            </w:pPr>
            <w:r>
              <w:rPr>
                <w:rFonts w:hint="eastAsia"/>
                <w:color w:val="auto"/>
                <w:sz w:val="24"/>
                <w:szCs w:val="24"/>
                <w:highlight w:val="none"/>
                <w:lang w:val="en-US" w:eastAsia="zh-CN"/>
              </w:rPr>
              <w:t>7000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1" w:type="dxa"/>
            <w:noWrap w:val="0"/>
            <w:vAlign w:val="center"/>
          </w:tcPr>
          <w:p>
            <w:pPr>
              <w:pStyle w:val="30"/>
              <w:bidi w:val="0"/>
              <w:rPr>
                <w:color w:val="auto"/>
                <w:sz w:val="24"/>
                <w:szCs w:val="24"/>
                <w:highlight w:val="none"/>
              </w:rPr>
            </w:pPr>
            <w:r>
              <w:rPr>
                <w:rFonts w:hint="eastAsia"/>
                <w:color w:val="auto"/>
                <w:sz w:val="24"/>
                <w:szCs w:val="24"/>
                <w:highlight w:val="none"/>
              </w:rPr>
              <w:t>专项评价设置情况</w:t>
            </w:r>
          </w:p>
        </w:tc>
        <w:tc>
          <w:tcPr>
            <w:tcW w:w="7500" w:type="dxa"/>
            <w:gridSpan w:val="3"/>
            <w:noWrap w:val="0"/>
            <w:vAlign w:val="center"/>
          </w:tcPr>
          <w:p>
            <w:pPr>
              <w:pStyle w:val="30"/>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color w:val="auto"/>
                <w:sz w:val="24"/>
                <w:szCs w:val="24"/>
                <w:highlight w:val="none"/>
                <w:lang w:val="en-US" w:eastAsia="zh-CN"/>
              </w:rPr>
            </w:pPr>
            <w:r>
              <w:rPr>
                <w:rFonts w:hint="eastAsia"/>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571" w:type="dxa"/>
            <w:noWrap w:val="0"/>
            <w:vAlign w:val="center"/>
          </w:tcPr>
          <w:p>
            <w:pPr>
              <w:pStyle w:val="30"/>
              <w:bidi w:val="0"/>
              <w:rPr>
                <w:rFonts w:hint="eastAsia"/>
                <w:color w:val="auto"/>
                <w:sz w:val="24"/>
                <w:szCs w:val="24"/>
                <w:highlight w:val="none"/>
              </w:rPr>
            </w:pPr>
            <w:r>
              <w:rPr>
                <w:rFonts w:hint="eastAsia"/>
                <w:color w:val="auto"/>
                <w:sz w:val="24"/>
                <w:szCs w:val="24"/>
                <w:highlight w:val="none"/>
              </w:rPr>
              <w:t>规划情况</w:t>
            </w:r>
          </w:p>
        </w:tc>
        <w:tc>
          <w:tcPr>
            <w:tcW w:w="7500" w:type="dxa"/>
            <w:gridSpan w:val="3"/>
            <w:noWrap w:val="0"/>
            <w:vAlign w:val="center"/>
          </w:tcPr>
          <w:p>
            <w:pPr>
              <w:bidi w:val="0"/>
              <w:rPr>
                <w:rFonts w:hint="eastAsia"/>
                <w:color w:val="auto"/>
                <w:highlight w:val="none"/>
                <w:lang w:val="en-US" w:eastAsia="zh-CN"/>
              </w:rPr>
            </w:pPr>
            <w:r>
              <w:rPr>
                <w:rFonts w:hint="default"/>
                <w:color w:val="auto"/>
                <w:highlight w:val="none"/>
                <w:lang w:val="en-US" w:eastAsia="zh-CN"/>
              </w:rPr>
              <w:t>唐山空港城开发区位于唐山市中心城区西北方向，距唐山市区约8公里，距高新区（行政区划）约10公里，距丰润城区20公里，距北京中心城区180公里。为适应环渤海地区新的发展形势和唐山城市长远发展需要，发挥空港城空中通道的优势，优化资源配置，协调城乡建设，实现社会、经济、人口、资源、环境的可持续发展，原唐山空港城开发区管理委员会组织编制了《唐山空港城开发区总体规划（2011-2020）》。为进一步落实该规划，规范空港开发区的规划建设管理，合理利用该区土地资源，管委会组织编制《唐山空港城开发区控制性详细规划》。2010年《唐山空港城起步区控制性详细规划环境影响报告书》通过了河北省环境保护厅的审查，并取得《关于唐山空港城起步区控制性详细规划环境影响报告书审查意见的函》（冀环评函[2010]635号），2016年6月被确立为省级经济开发区，名称定为唐山空港城临空经济开发区</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随着新一轮唐山市总体规划对园区提出更高的建设要求，为适应唐山高新区新的发展形势和未来发展需要，优化土地资源配置，加速城市化建设，实现社会、经济、人口、环境的可持续发展，2017年4月，唐山高新区管委会撤销河北唐山空港城临空经济开发区管理机构，将其并入唐山高新技术产业开发区管委会，并将空港城临空经济开发区更名为唐山高新区京唐智慧港（以下简称京唐智慧港）。为抢抓京津冀协同发展发展机遇，依托三女河机场、京唐城际铁路及高铁站点，借助高新区和唐山市中心城区的产业优势，京唐智慧港规划建设服务中心拟在唐山空港城起步区基础上进行扩区，重新调整规划，由原来5.27平方公里扩大为15平方公里（其中空港城起步区西南侧0.11平方公里的区域未在本次规划范围内），用于大力发展高新技术产业、现代服务业、现代物流业和现代化新型社区，建成以高新技术产业、现代物流业、现代服务业和现代化新型社区为主的产业示范区。规划期限为2020年</w:t>
            </w:r>
            <w:r>
              <w:rPr>
                <w:rFonts w:hint="eastAsia"/>
                <w:color w:val="auto"/>
                <w:highlight w:val="none"/>
                <w:lang w:val="en-US" w:eastAsia="zh-CN"/>
              </w:rPr>
              <w:t>-</w:t>
            </w:r>
            <w:r>
              <w:rPr>
                <w:rFonts w:hint="default"/>
                <w:color w:val="auto"/>
                <w:highlight w:val="none"/>
                <w:lang w:val="en-US" w:eastAsia="zh-CN"/>
              </w:rPr>
              <w:t>2035年，近期为2020-2025年，远期为2025-2035年。规划范围为</w:t>
            </w:r>
            <w:r>
              <w:rPr>
                <w:rFonts w:hint="eastAsia"/>
                <w:color w:val="auto"/>
                <w:highlight w:val="none"/>
                <w:lang w:val="en-US" w:eastAsia="zh-CN"/>
              </w:rPr>
              <w:t>北</w:t>
            </w:r>
            <w:r>
              <w:rPr>
                <w:rFonts w:hint="default"/>
                <w:color w:val="auto"/>
                <w:highlight w:val="none"/>
                <w:lang w:val="en-US" w:eastAsia="zh-CN"/>
              </w:rPr>
              <w:t>起滨河道，南至规划纬八路，西起规划经一路，东至规划经二十一路。2019年12月，京唐智慧港规划建设服务中心组织编制了《唐山高新区京唐智慧港总体规划（2020-2035年）》文本。</w:t>
            </w:r>
          </w:p>
          <w:p>
            <w:pPr>
              <w:bidi w:val="0"/>
              <w:rPr>
                <w:rFonts w:hint="default"/>
                <w:color w:val="auto"/>
                <w:highlight w:val="none"/>
                <w:lang w:val="en-US" w:eastAsia="zh-CN"/>
              </w:rPr>
            </w:pPr>
          </w:p>
          <w:p>
            <w:pPr>
              <w:bidi w:val="0"/>
              <w:ind w:left="0" w:leftChars="0" w:firstLine="0" w:firstLineChars="0"/>
              <w:rPr>
                <w:rFonts w:hint="eastAsia"/>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1" w:type="dxa"/>
            <w:noWrap w:val="0"/>
            <w:vAlign w:val="center"/>
          </w:tcPr>
          <w:p>
            <w:pPr>
              <w:pStyle w:val="30"/>
              <w:bidi w:val="0"/>
              <w:rPr>
                <w:rFonts w:hint="eastAsia"/>
                <w:color w:val="auto"/>
                <w:sz w:val="24"/>
                <w:szCs w:val="24"/>
                <w:highlight w:val="none"/>
              </w:rPr>
            </w:pPr>
            <w:r>
              <w:rPr>
                <w:rFonts w:hint="eastAsia"/>
                <w:color w:val="auto"/>
                <w:sz w:val="24"/>
                <w:szCs w:val="24"/>
                <w:highlight w:val="none"/>
              </w:rPr>
              <w:t>规划环境影响评价情况</w:t>
            </w:r>
          </w:p>
        </w:tc>
        <w:tc>
          <w:tcPr>
            <w:tcW w:w="7500" w:type="dxa"/>
            <w:gridSpan w:val="3"/>
            <w:noWrap w:val="0"/>
            <w:vAlign w:val="center"/>
          </w:tcPr>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default"/>
                <w:color w:val="auto"/>
                <w:highlight w:val="none"/>
                <w:lang w:val="en-US" w:eastAsia="zh-CN"/>
              </w:rPr>
              <w:t>规划环评名称：</w:t>
            </w:r>
            <w:r>
              <w:rPr>
                <w:rFonts w:hint="eastAsia"/>
                <w:color w:val="auto"/>
                <w:highlight w:val="none"/>
                <w:lang w:val="en-US" w:eastAsia="zh-CN"/>
              </w:rPr>
              <w:t>《唐山高新区京唐智慧港总体规划（</w:t>
            </w:r>
            <w:r>
              <w:rPr>
                <w:rFonts w:hint="default"/>
                <w:color w:val="auto"/>
                <w:highlight w:val="none"/>
                <w:lang w:val="en-US" w:eastAsia="zh-CN"/>
              </w:rPr>
              <w:t>2020-2035</w:t>
            </w:r>
            <w:r>
              <w:rPr>
                <w:rFonts w:hint="eastAsia"/>
                <w:color w:val="auto"/>
                <w:highlight w:val="none"/>
                <w:lang w:val="en-US" w:eastAsia="zh-CN"/>
              </w:rPr>
              <w:t>）环境影响报告书》</w:t>
            </w:r>
            <w:r>
              <w:rPr>
                <w:color w:val="auto"/>
                <w:highlight w:val="none"/>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highlight w:val="none"/>
                <w:lang w:val="en-US" w:eastAsia="zh-CN"/>
              </w:rPr>
            </w:pPr>
            <w:r>
              <w:rPr>
                <w:rFonts w:hint="default"/>
                <w:color w:val="auto"/>
                <w:highlight w:val="none"/>
                <w:lang w:val="en-US" w:eastAsia="zh-CN"/>
              </w:rPr>
              <w:t>召集审查机关：</w:t>
            </w:r>
            <w:r>
              <w:rPr>
                <w:rFonts w:hint="eastAsia"/>
                <w:color w:val="auto"/>
                <w:highlight w:val="none"/>
                <w:lang w:val="en-US" w:eastAsia="zh-CN"/>
              </w:rPr>
              <w:t>唐山市生态环境局</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Cs w:val="24"/>
                <w:highlight w:val="none"/>
                <w:lang w:val="en-US" w:eastAsia="zh-CN"/>
              </w:rPr>
            </w:pPr>
            <w:r>
              <w:rPr>
                <w:rFonts w:hint="default"/>
                <w:color w:val="auto"/>
                <w:highlight w:val="none"/>
                <w:lang w:val="en-US" w:eastAsia="zh-CN"/>
              </w:rPr>
              <w:t>审查文件名称及文号：《关于转送唐山高新区京唐智慧港总体规划（2020-2035）环境影响报告书审查意见的函》（唐环评函[2020]42号）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1571" w:type="dxa"/>
            <w:noWrap w:val="0"/>
            <w:vAlign w:val="center"/>
          </w:tcPr>
          <w:p>
            <w:pPr>
              <w:pStyle w:val="30"/>
              <w:bidi w:val="0"/>
              <w:rPr>
                <w:rFonts w:hint="eastAsia"/>
                <w:color w:val="auto"/>
                <w:sz w:val="24"/>
                <w:szCs w:val="24"/>
                <w:highlight w:val="none"/>
              </w:rPr>
            </w:pPr>
            <w:r>
              <w:rPr>
                <w:rFonts w:hint="eastAsia"/>
                <w:color w:val="auto"/>
                <w:sz w:val="24"/>
                <w:szCs w:val="24"/>
                <w:highlight w:val="none"/>
              </w:rPr>
              <w:t>规划及规划环境影响评价符合性分析</w:t>
            </w:r>
          </w:p>
        </w:tc>
        <w:tc>
          <w:tcPr>
            <w:tcW w:w="7500"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both"/>
              <w:textAlignment w:val="auto"/>
              <w:outlineLvl w:val="9"/>
              <w:rPr>
                <w:rFonts w:hint="default" w:ascii="Times New Roman" w:hAnsi="Times New Roman" w:eastAsia="宋体" w:cs="Times New Roman"/>
                <w:b/>
                <w:bCs/>
                <w:color w:val="auto"/>
                <w:kern w:val="0"/>
                <w:sz w:val="24"/>
                <w:szCs w:val="24"/>
                <w:highlight w:val="none"/>
                <w:shd w:val="clear" w:color="auto" w:fill="auto"/>
                <w:lang w:val="en-US" w:eastAsia="zh-CN"/>
              </w:rPr>
            </w:pPr>
            <w:r>
              <w:rPr>
                <w:rFonts w:hint="eastAsia" w:cs="Times New Roman"/>
                <w:b/>
                <w:bCs/>
                <w:color w:val="auto"/>
                <w:kern w:val="0"/>
                <w:sz w:val="24"/>
                <w:szCs w:val="24"/>
                <w:highlight w:val="none"/>
                <w:shd w:val="clear" w:color="auto" w:fill="auto"/>
                <w:lang w:val="en-US" w:eastAsia="zh-CN"/>
              </w:rPr>
              <w:t>1、与规划的符合性分析</w:t>
            </w:r>
          </w:p>
          <w:p>
            <w:pPr>
              <w:bidi w:val="0"/>
              <w:rPr>
                <w:rFonts w:hint="eastAsia"/>
                <w:color w:val="auto"/>
                <w:highlight w:val="none"/>
                <w:lang w:val="en-US"/>
              </w:rPr>
            </w:pPr>
            <w:r>
              <w:rPr>
                <w:rFonts w:hint="eastAsia"/>
                <w:b/>
                <w:bCs/>
                <w:color w:val="auto"/>
                <w:highlight w:val="none"/>
                <w:lang w:val="en-US"/>
              </w:rPr>
              <w:t>1.1京唐智慧港总体规划</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规划研究范围北起滨河道，南至规划纬八路，西起规划经一路，东至规划经二十一路，总面积1500公顷（共15km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），其中高新技术产业用地315公顷，现代物流业用地74公顷，公共服务设施用地302公顷，现代服务业用地167公顷，现代化新型社区用地642公顷。</w:t>
            </w:r>
          </w:p>
          <w:p>
            <w:pPr>
              <w:bidi w:val="0"/>
              <w:rPr>
                <w:rFonts w:hint="default"/>
                <w:color w:val="auto"/>
                <w:highlight w:val="none"/>
                <w:lang w:val="en-US" w:eastAsia="zh-CN"/>
              </w:rPr>
            </w:pPr>
            <w:r>
              <w:rPr>
                <w:rFonts w:hint="default"/>
                <w:color w:val="auto"/>
                <w:highlight w:val="none"/>
                <w:lang w:val="en-US" w:eastAsia="zh-CN"/>
              </w:rPr>
              <w:t>京唐智慧港规划产业中高新技术产业、现代物流业、现代服务业全部分布于产业区南部，产业区北部全部为现代新型社区。</w:t>
            </w:r>
          </w:p>
          <w:p>
            <w:pPr>
              <w:bidi w:val="0"/>
              <w:rPr>
                <w:rFonts w:hint="default"/>
                <w:color w:val="auto"/>
                <w:highlight w:val="none"/>
                <w:lang w:val="en-US" w:eastAsia="zh-CN"/>
              </w:rPr>
            </w:pPr>
            <w:r>
              <w:rPr>
                <w:rFonts w:hint="default"/>
                <w:color w:val="auto"/>
                <w:highlight w:val="none"/>
                <w:lang w:val="en-US" w:eastAsia="zh-CN"/>
              </w:rPr>
              <w:t>（1）规划结构</w:t>
            </w:r>
          </w:p>
          <w:p>
            <w:pPr>
              <w:bidi w:val="0"/>
              <w:rPr>
                <w:rFonts w:hint="default"/>
                <w:color w:val="auto"/>
                <w:highlight w:val="none"/>
                <w:lang w:val="en-US" w:eastAsia="zh-CN"/>
              </w:rPr>
            </w:pPr>
            <w:r>
              <w:rPr>
                <w:rFonts w:hint="eastAsia"/>
                <w:color w:val="auto"/>
                <w:highlight w:val="none"/>
                <w:lang w:val="en-US" w:eastAsia="zh-CN"/>
              </w:rPr>
              <w:t>（一）</w:t>
            </w:r>
            <w:r>
              <w:rPr>
                <w:rFonts w:hint="default"/>
                <w:color w:val="auto"/>
                <w:highlight w:val="none"/>
                <w:lang w:val="en-US" w:eastAsia="zh-CN"/>
              </w:rPr>
              <w:t>高新技术产业</w:t>
            </w:r>
          </w:p>
          <w:p>
            <w:pPr>
              <w:bidi w:val="0"/>
              <w:rPr>
                <w:rFonts w:hint="default"/>
                <w:color w:val="auto"/>
                <w:highlight w:val="none"/>
                <w:lang w:val="en-US" w:eastAsia="zh-CN"/>
              </w:rPr>
            </w:pPr>
            <w:r>
              <w:rPr>
                <w:rFonts w:hint="default"/>
                <w:color w:val="auto"/>
                <w:highlight w:val="none"/>
                <w:lang w:val="en-US" w:eastAsia="zh-CN"/>
              </w:rPr>
              <w:t>高新技术产业主要发展机器人产业，高端装备制造业，新材料产业，节能环保产业，新一代信息技术产业，新能源汽车产业，新能源产业，数字创意产业、生物技术研究与应用产业等。</w:t>
            </w:r>
          </w:p>
          <w:p>
            <w:pPr>
              <w:bidi w:val="0"/>
              <w:rPr>
                <w:rFonts w:hint="default"/>
                <w:color w:val="auto"/>
                <w:highlight w:val="none"/>
                <w:lang w:val="en-US" w:eastAsia="zh-CN"/>
              </w:rPr>
            </w:pPr>
            <w:r>
              <w:rPr>
                <w:rFonts w:hint="eastAsia"/>
                <w:color w:val="auto"/>
                <w:highlight w:val="none"/>
                <w:lang w:val="en-US" w:eastAsia="zh-CN"/>
              </w:rPr>
              <w:t>①</w:t>
            </w:r>
            <w:r>
              <w:rPr>
                <w:rFonts w:hint="default"/>
                <w:color w:val="auto"/>
                <w:highlight w:val="none"/>
                <w:lang w:val="en-US" w:eastAsia="zh-CN"/>
              </w:rPr>
              <w:t>机器人产业</w:t>
            </w:r>
          </w:p>
          <w:p>
            <w:pPr>
              <w:bidi w:val="0"/>
              <w:rPr>
                <w:rFonts w:hint="default"/>
                <w:color w:val="auto"/>
                <w:highlight w:val="none"/>
                <w:lang w:val="en-US" w:eastAsia="zh-CN"/>
              </w:rPr>
            </w:pPr>
            <w:r>
              <w:rPr>
                <w:rFonts w:hint="default"/>
                <w:color w:val="auto"/>
                <w:highlight w:val="none"/>
                <w:lang w:val="en-US" w:eastAsia="zh-CN"/>
              </w:rPr>
              <w:t>依托高新区机器人产业园区，围绕做大、做强、做优全国重要的特种机器人和智能机器人产业基地，进一步扩规模、补短板、延链条。以产业发展核心需求为导向，加强控制器、传感器等核心部件关键技术研发和生产，培育发展消防救援、空间作业、海洋、管道等特种机器人、无人机等智能工具。发展经济型机器人本体、伺服电机、减速器及系统等机器人核心部件，以及特种机器人和服务机器人；发展焊接、搬运、切割等工业机器人和矿用、军用、医疗、消防、水下等应用机器人，打造全产业链，拓宽应用领域。</w:t>
            </w:r>
          </w:p>
          <w:p>
            <w:pPr>
              <w:bidi w:val="0"/>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高端装备制造业</w:t>
            </w:r>
          </w:p>
          <w:p>
            <w:pPr>
              <w:bidi w:val="0"/>
              <w:rPr>
                <w:rFonts w:hint="default"/>
                <w:color w:val="auto"/>
                <w:highlight w:val="none"/>
                <w:lang w:val="en-US" w:eastAsia="zh-CN"/>
              </w:rPr>
            </w:pPr>
            <w:r>
              <w:rPr>
                <w:rFonts w:hint="default"/>
                <w:color w:val="auto"/>
                <w:highlight w:val="none"/>
                <w:lang w:val="en-US" w:eastAsia="zh-CN"/>
              </w:rPr>
              <w:t>依托高新区自身优势及现存产业基础，充分发挥唐山土地成本低、人力资源充足、能源供给充沛及投资环境好的优势，发展产品成本低、品质高、具有高附加值的高端装备制造业。重点发展通用设备制造、精密基础零部件装备、轨道交通装备、智能制造装备、航空装备、应急装备、智能印刷机械等产业。以高端化、精细化、智能化为发展方向，重点推进零部件及成套设备的智能化、集成化发展。</w:t>
            </w:r>
          </w:p>
          <w:p>
            <w:pPr>
              <w:bidi w:val="0"/>
              <w:rPr>
                <w:rFonts w:hint="default"/>
                <w:color w:val="auto"/>
                <w:highlight w:val="none"/>
                <w:lang w:val="en-US" w:eastAsia="zh-CN"/>
              </w:rPr>
            </w:pPr>
            <w:r>
              <w:rPr>
                <w:rFonts w:hint="eastAsia"/>
                <w:color w:val="auto"/>
                <w:highlight w:val="none"/>
                <w:lang w:val="en-US" w:eastAsia="zh-CN"/>
              </w:rPr>
              <w:t>③</w:t>
            </w:r>
            <w:r>
              <w:rPr>
                <w:rFonts w:hint="default"/>
                <w:color w:val="auto"/>
                <w:highlight w:val="none"/>
                <w:lang w:val="en-US" w:eastAsia="zh-CN"/>
              </w:rPr>
              <w:t>新材料产业</w:t>
            </w:r>
          </w:p>
          <w:p>
            <w:pPr>
              <w:bidi w:val="0"/>
              <w:rPr>
                <w:rFonts w:hint="default"/>
                <w:color w:val="auto"/>
                <w:highlight w:val="none"/>
                <w:lang w:val="en-US" w:eastAsia="zh-CN"/>
              </w:rPr>
            </w:pPr>
            <w:r>
              <w:rPr>
                <w:rFonts w:hint="default"/>
                <w:color w:val="auto"/>
                <w:highlight w:val="none"/>
                <w:lang w:val="en-US" w:eastAsia="zh-CN"/>
              </w:rPr>
              <w:t>主要发展特种金属、新型墙体、保温隔热、防水密封、石墨烯加工、化工新材料以及特种陶瓷产品等新材料产业，逐步形成特色产业聚集区。</w:t>
            </w:r>
          </w:p>
          <w:p>
            <w:pPr>
              <w:bidi w:val="0"/>
              <w:rPr>
                <w:rFonts w:hint="default"/>
                <w:color w:val="auto"/>
                <w:highlight w:val="none"/>
                <w:lang w:val="en-US" w:eastAsia="zh-CN"/>
              </w:rPr>
            </w:pPr>
            <w:r>
              <w:rPr>
                <w:rFonts w:hint="eastAsia"/>
                <w:color w:val="auto"/>
                <w:highlight w:val="none"/>
                <w:lang w:val="en-US" w:eastAsia="zh-CN"/>
              </w:rPr>
              <w:t>④</w:t>
            </w:r>
            <w:r>
              <w:rPr>
                <w:rFonts w:hint="default"/>
                <w:color w:val="auto"/>
                <w:highlight w:val="none"/>
                <w:lang w:val="en-US" w:eastAsia="zh-CN"/>
              </w:rPr>
              <w:t>节能环保产业</w:t>
            </w:r>
          </w:p>
          <w:p>
            <w:pPr>
              <w:bidi w:val="0"/>
              <w:rPr>
                <w:rFonts w:hint="default"/>
                <w:color w:val="auto"/>
                <w:highlight w:val="none"/>
                <w:lang w:val="en-US" w:eastAsia="zh-CN"/>
              </w:rPr>
            </w:pPr>
            <w:r>
              <w:rPr>
                <w:rFonts w:hint="default"/>
                <w:color w:val="auto"/>
                <w:highlight w:val="none"/>
                <w:lang w:val="en-US" w:eastAsia="zh-CN"/>
              </w:rPr>
              <w:t>以发展节能环保装备（产品）制造、高效节能、先进环保等产业为主要方向，逐步打造全产业链的特色产业聚集区。</w:t>
            </w:r>
          </w:p>
          <w:p>
            <w:pPr>
              <w:bidi w:val="0"/>
              <w:rPr>
                <w:rFonts w:hint="default"/>
                <w:color w:val="auto"/>
                <w:highlight w:val="none"/>
                <w:lang w:val="en-US" w:eastAsia="zh-CN"/>
              </w:rPr>
            </w:pPr>
            <w:r>
              <w:rPr>
                <w:rFonts w:hint="eastAsia"/>
                <w:color w:val="auto"/>
                <w:highlight w:val="none"/>
                <w:lang w:val="en-US" w:eastAsia="zh-CN"/>
              </w:rPr>
              <w:t>⑤</w:t>
            </w:r>
            <w:r>
              <w:rPr>
                <w:rFonts w:hint="default"/>
                <w:color w:val="auto"/>
                <w:highlight w:val="none"/>
                <w:lang w:val="en-US" w:eastAsia="zh-CN"/>
              </w:rPr>
              <w:t>新一代信息技术产业</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紧跟新一代信息技术发展热点，以服务唐山市传统产业改造升级为导向，抓住“京津冀大数据走廊”和“智慧唐山”的建设契机，重点发展电子核心产业，如电子信息产品制造、电子元器件、智能仪器仪表制造、软件研发等产业，新一代信息网络产业、新兴软件和新型信息技术服务等产业，以及互联网与云计算、大数据服务、人工智能等产业。不断完善软件园服务功能，为承接京津的对外技术转移提供载体，按照“以服务带动制造”的发展路径，把唐山高新区打造成为全市新一代信息技术产业高地，为唐山转型升级提供优质、全面的信息化服务。</w:t>
            </w:r>
          </w:p>
          <w:p>
            <w:pPr>
              <w:bidi w:val="0"/>
              <w:rPr>
                <w:rFonts w:hint="default"/>
                <w:color w:val="auto"/>
                <w:highlight w:val="none"/>
                <w:lang w:val="en-US" w:eastAsia="zh-CN"/>
              </w:rPr>
            </w:pPr>
            <w:r>
              <w:rPr>
                <w:rFonts w:hint="eastAsia"/>
                <w:color w:val="auto"/>
                <w:highlight w:val="none"/>
                <w:lang w:val="en-US" w:eastAsia="zh-CN"/>
              </w:rPr>
              <w:t>⑥</w:t>
            </w:r>
            <w:r>
              <w:rPr>
                <w:rFonts w:hint="default"/>
                <w:color w:val="auto"/>
                <w:highlight w:val="none"/>
                <w:lang w:val="en-US" w:eastAsia="zh-CN"/>
              </w:rPr>
              <w:t>新能源汽车产业</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紧跟国家战略导向，把握京津冀协同发展战略机遇，立足本地产业优势和消费需求，按照“零部件带整车”的发展路径，优先发展动力电池业、新能源整车制造及上、下游关键零部件配套产业。着力推动新能源汽车的集群式发展，培育打造唐山高新区新的经济增长点。</w:t>
            </w:r>
          </w:p>
          <w:p>
            <w:pPr>
              <w:bidi w:val="0"/>
              <w:rPr>
                <w:rFonts w:hint="default"/>
                <w:color w:val="auto"/>
                <w:highlight w:val="none"/>
                <w:lang w:val="en-US" w:eastAsia="zh-CN"/>
              </w:rPr>
            </w:pPr>
            <w:r>
              <w:rPr>
                <w:rFonts w:hint="eastAsia"/>
                <w:color w:val="auto"/>
                <w:highlight w:val="none"/>
                <w:lang w:val="en-US" w:eastAsia="zh-CN"/>
              </w:rPr>
              <w:t>⑦</w:t>
            </w:r>
            <w:r>
              <w:rPr>
                <w:rFonts w:hint="default"/>
                <w:color w:val="auto"/>
                <w:highlight w:val="none"/>
                <w:lang w:val="en-US" w:eastAsia="zh-CN"/>
              </w:rPr>
              <w:t>新能源产业</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按照“应用引领，产业延伸，技术驱动”思路，加快新能源发电项目落地实施，推动高效光伏发电产品等新兴能源发电产业化，利用传统基础材料研发生产新能源材料。</w:t>
            </w:r>
          </w:p>
          <w:p>
            <w:pPr>
              <w:bidi w:val="0"/>
              <w:rPr>
                <w:rFonts w:hint="default"/>
                <w:color w:val="auto"/>
                <w:highlight w:val="none"/>
                <w:lang w:val="en-US" w:eastAsia="zh-CN"/>
              </w:rPr>
            </w:pPr>
            <w:r>
              <w:rPr>
                <w:rFonts w:hint="eastAsia"/>
                <w:color w:val="auto"/>
                <w:highlight w:val="none"/>
                <w:lang w:val="en-US" w:eastAsia="zh-CN"/>
              </w:rPr>
              <w:t>⑧</w:t>
            </w:r>
            <w:r>
              <w:rPr>
                <w:rFonts w:hint="default"/>
                <w:color w:val="auto"/>
                <w:highlight w:val="none"/>
                <w:lang w:val="en-US" w:eastAsia="zh-CN"/>
              </w:rPr>
              <w:t>数字创意产业</w:t>
            </w:r>
          </w:p>
          <w:p>
            <w:pPr>
              <w:bidi w:val="0"/>
              <w:rPr>
                <w:rFonts w:hint="default"/>
                <w:color w:val="auto"/>
                <w:highlight w:val="none"/>
                <w:lang w:val="en-US" w:eastAsia="zh-CN"/>
              </w:rPr>
            </w:pPr>
            <w:r>
              <w:rPr>
                <w:rFonts w:hint="default"/>
                <w:color w:val="auto"/>
                <w:highlight w:val="none"/>
                <w:lang w:val="en-US" w:eastAsia="zh-CN"/>
              </w:rPr>
              <w:t>大力推进数字经济与文化产业融合发展，加强大数据、物联网、人工智能等技术在数字文化创意生产领域的应用，鼓励动漫游戏、网络视频、广播电视等软件开发应用，加快推进数字表演与仿真技术开发及产业化等项目；大力推进数字经济与设计行业相结合，以工业设计展、工业设计大赛、论坛等活动为载体，加强产品开发、视觉设计、策划创意向等数字化转型，促进个性化定制产业发展，加大数字创意产业项目和龙头企业引进力度，培育形成战略性新兴产业后发优势。</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⑨生物技术研究与应用产业</w:t>
            </w:r>
          </w:p>
          <w:p>
            <w:pPr>
              <w:bidi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将大力发展生物技术产业，是应用生物学和工程学的基本原理，利用生物体（包括微生物、动物细胞和植物细胞）或其组成部分（细胞器、酶等）来生产社会及工业所需物质，或为人类提供某种服务。该产业主要包括基因工程、细胞工程、蛋白质工程、酶工程以及生物工程等技术研究与应用，是利用生物转化特点生产工业产品，特别是用一般工程手段难以得到的新产品，改变现有工艺，解决长期被困扰的能源危机和环境污染两大棘手问题。积极探索发展从事与生物技术有关的应用研究、技术开发、生产管理和行政管理等工作的高级专门人才的培训和培养。</w:t>
            </w:r>
          </w:p>
          <w:p>
            <w:pPr>
              <w:bidi w:val="0"/>
              <w:rPr>
                <w:rFonts w:hint="default"/>
                <w:color w:val="auto"/>
                <w:highlight w:val="none"/>
                <w:lang w:val="en-US" w:eastAsia="zh-CN"/>
              </w:rPr>
            </w:pPr>
            <w:r>
              <w:rPr>
                <w:rFonts w:hint="eastAsia"/>
                <w:color w:val="auto"/>
                <w:highlight w:val="none"/>
                <w:lang w:val="en-US" w:eastAsia="zh-CN"/>
              </w:rPr>
              <w:t>（二）</w:t>
            </w:r>
            <w:r>
              <w:rPr>
                <w:rFonts w:hint="default"/>
                <w:color w:val="auto"/>
                <w:highlight w:val="none"/>
                <w:lang w:val="en-US" w:eastAsia="zh-CN"/>
              </w:rPr>
              <w:t>现代物流业</w:t>
            </w:r>
          </w:p>
          <w:p>
            <w:pPr>
              <w:bidi w:val="0"/>
              <w:rPr>
                <w:rFonts w:hint="default"/>
                <w:color w:val="auto"/>
                <w:highlight w:val="none"/>
                <w:lang w:val="en-US" w:eastAsia="zh-CN"/>
              </w:rPr>
            </w:pPr>
            <w:r>
              <w:rPr>
                <w:rFonts w:hint="default"/>
                <w:color w:val="auto"/>
                <w:highlight w:val="none"/>
                <w:lang w:val="en-US" w:eastAsia="zh-CN"/>
              </w:rPr>
              <w:t>产业园重点依托机场、高铁区位优势，重点构建依托唐山市“大产业”下的“大物流”运输体系，打造我国北方重要的现代综合物流枢纽。结合对区域布局中物流仓储用地布局，主要集中在园区西部，建设物流仓储用地相对集中，为未来建设保税物流园区创造条件。现代物流业主要发展供应链物流、仓储物流、数字化物流、保税物流、物流加工等产业。</w:t>
            </w:r>
          </w:p>
          <w:p>
            <w:pPr>
              <w:bidi w:val="0"/>
              <w:rPr>
                <w:rFonts w:hint="default"/>
                <w:color w:val="auto"/>
                <w:highlight w:val="none"/>
                <w:lang w:val="en-US" w:eastAsia="zh-CN"/>
              </w:rPr>
            </w:pPr>
            <w:r>
              <w:rPr>
                <w:rFonts w:hint="eastAsia"/>
                <w:color w:val="auto"/>
                <w:highlight w:val="none"/>
                <w:lang w:val="en-US" w:eastAsia="zh-CN"/>
              </w:rPr>
              <w:t>（三）现代服务业</w:t>
            </w:r>
          </w:p>
          <w:p>
            <w:pPr>
              <w:bidi w:val="0"/>
              <w:rPr>
                <w:rFonts w:hint="default"/>
                <w:color w:val="auto"/>
                <w:highlight w:val="none"/>
                <w:lang w:val="en-US" w:eastAsia="zh-CN"/>
              </w:rPr>
            </w:pPr>
            <w:r>
              <w:rPr>
                <w:rFonts w:hint="default"/>
                <w:color w:val="auto"/>
                <w:highlight w:val="none"/>
                <w:lang w:val="en-US" w:eastAsia="zh-CN"/>
              </w:rPr>
              <w:t>进一步优化高新区服务环境，推进教育、养老、医疗等社会服务型产业；发展生产装备检修服务、相关技术服务、科技中介、知识产权和标准化服务等；积极引进创业投资基金、天使投资、财产保险等现代金融服务业；鼓励发展创新创业孵化服务等。</w:t>
            </w:r>
          </w:p>
          <w:p>
            <w:pPr>
              <w:bidi w:val="0"/>
              <w:rPr>
                <w:rFonts w:hint="default"/>
                <w:color w:val="auto"/>
                <w:highlight w:val="none"/>
                <w:lang w:val="en-US" w:eastAsia="zh-CN"/>
              </w:rPr>
            </w:pPr>
            <w:r>
              <w:rPr>
                <w:rFonts w:hint="eastAsia"/>
                <w:color w:val="auto"/>
                <w:highlight w:val="none"/>
                <w:lang w:val="en-US" w:eastAsia="zh-CN"/>
              </w:rPr>
              <w:t>（四）</w:t>
            </w:r>
            <w:r>
              <w:rPr>
                <w:rFonts w:hint="default"/>
                <w:color w:val="auto"/>
                <w:highlight w:val="none"/>
                <w:lang w:val="en-US" w:eastAsia="zh-CN"/>
              </w:rPr>
              <w:t>现代化新型社区</w:t>
            </w:r>
          </w:p>
          <w:p>
            <w:pPr>
              <w:bidi w:val="0"/>
              <w:rPr>
                <w:rFonts w:hint="default"/>
                <w:color w:val="auto"/>
                <w:highlight w:val="none"/>
                <w:lang w:val="en-US" w:eastAsia="zh-CN"/>
              </w:rPr>
            </w:pPr>
            <w:r>
              <w:rPr>
                <w:rFonts w:hint="default"/>
                <w:color w:val="auto"/>
                <w:highlight w:val="none"/>
                <w:lang w:val="en-US" w:eastAsia="zh-CN"/>
              </w:rPr>
              <w:t>现代化新型社区是京唐智慧港生活配套组团之一，以居住、公服配套为主要功能。公服配套功能包括行政办公、文体、学校、养老医疗卫生、宗教、商服等。</w:t>
            </w:r>
          </w:p>
          <w:p>
            <w:pPr>
              <w:bidi w:val="0"/>
              <w:rPr>
                <w:rFonts w:hint="default"/>
                <w:color w:val="auto"/>
                <w:highlight w:val="none"/>
                <w:lang w:val="en-US" w:eastAsia="zh-CN"/>
              </w:rPr>
            </w:pPr>
            <w:r>
              <w:rPr>
                <w:rFonts w:hint="default"/>
                <w:color w:val="auto"/>
                <w:highlight w:val="none"/>
                <w:lang w:val="en-US" w:eastAsia="zh-CN"/>
              </w:rPr>
              <w:t>（2）规划期限</w:t>
            </w:r>
          </w:p>
          <w:p>
            <w:pPr>
              <w:bidi w:val="0"/>
              <w:rPr>
                <w:rFonts w:hint="default"/>
                <w:color w:val="auto"/>
                <w:highlight w:val="none"/>
                <w:lang w:val="en-US" w:eastAsia="zh-CN"/>
              </w:rPr>
            </w:pPr>
            <w:r>
              <w:rPr>
                <w:rFonts w:hint="default"/>
                <w:color w:val="auto"/>
                <w:highlight w:val="none"/>
                <w:lang w:val="en-US" w:eastAsia="zh-CN"/>
              </w:rPr>
              <w:t>规划期限为20</w:t>
            </w:r>
            <w:r>
              <w:rPr>
                <w:rFonts w:hint="eastAsia"/>
                <w:color w:val="auto"/>
                <w:highlight w:val="none"/>
                <w:lang w:val="en-US" w:eastAsia="zh-CN"/>
              </w:rPr>
              <w:t>20</w:t>
            </w:r>
            <w:r>
              <w:rPr>
                <w:rFonts w:hint="default"/>
                <w:color w:val="auto"/>
                <w:highlight w:val="none"/>
                <w:lang w:val="en-US" w:eastAsia="zh-CN"/>
              </w:rPr>
              <w:t>年－203</w:t>
            </w:r>
            <w:r>
              <w:rPr>
                <w:rFonts w:hint="eastAsia"/>
                <w:color w:val="auto"/>
                <w:highlight w:val="none"/>
                <w:lang w:val="en-US" w:eastAsia="zh-CN"/>
              </w:rPr>
              <w:t>5</w:t>
            </w:r>
            <w:r>
              <w:rPr>
                <w:rFonts w:hint="default"/>
                <w:color w:val="auto"/>
                <w:highlight w:val="none"/>
                <w:lang w:val="en-US" w:eastAsia="zh-CN"/>
              </w:rPr>
              <w:t>年。其中近期：20</w:t>
            </w:r>
            <w:r>
              <w:rPr>
                <w:rFonts w:hint="eastAsia"/>
                <w:color w:val="auto"/>
                <w:highlight w:val="none"/>
                <w:lang w:val="en-US" w:eastAsia="zh-CN"/>
              </w:rPr>
              <w:t>20</w:t>
            </w:r>
            <w:r>
              <w:rPr>
                <w:rFonts w:hint="default"/>
                <w:color w:val="auto"/>
                <w:highlight w:val="none"/>
                <w:lang w:val="en-US" w:eastAsia="zh-CN"/>
              </w:rPr>
              <w:t>年－202</w:t>
            </w:r>
            <w:r>
              <w:rPr>
                <w:rFonts w:hint="eastAsia"/>
                <w:color w:val="auto"/>
                <w:highlight w:val="none"/>
                <w:lang w:val="en-US" w:eastAsia="zh-CN"/>
              </w:rPr>
              <w:t>5</w:t>
            </w:r>
            <w:r>
              <w:rPr>
                <w:rFonts w:hint="default"/>
                <w:color w:val="auto"/>
                <w:highlight w:val="none"/>
                <w:lang w:val="en-US" w:eastAsia="zh-CN"/>
              </w:rPr>
              <w:t>年；远期：202</w:t>
            </w:r>
            <w:r>
              <w:rPr>
                <w:rFonts w:hint="eastAsia"/>
                <w:color w:val="auto"/>
                <w:highlight w:val="none"/>
                <w:lang w:val="en-US" w:eastAsia="zh-CN"/>
              </w:rPr>
              <w:t>5</w:t>
            </w:r>
            <w:r>
              <w:rPr>
                <w:rFonts w:hint="default"/>
                <w:color w:val="auto"/>
                <w:highlight w:val="none"/>
                <w:lang w:val="en-US" w:eastAsia="zh-CN"/>
              </w:rPr>
              <w:t>年－203</w:t>
            </w:r>
            <w:r>
              <w:rPr>
                <w:rFonts w:hint="eastAsia"/>
                <w:color w:val="auto"/>
                <w:highlight w:val="none"/>
                <w:lang w:val="en-US" w:eastAsia="zh-CN"/>
              </w:rPr>
              <w:t>5</w:t>
            </w:r>
            <w:r>
              <w:rPr>
                <w:rFonts w:hint="default"/>
                <w:color w:val="auto"/>
                <w:highlight w:val="none"/>
                <w:lang w:val="en-US" w:eastAsia="zh-CN"/>
              </w:rPr>
              <w:t>年。</w:t>
            </w:r>
          </w:p>
          <w:p>
            <w:pPr>
              <w:bidi w:val="0"/>
              <w:rPr>
                <w:rFonts w:hint="default"/>
                <w:color w:val="auto"/>
                <w:highlight w:val="none"/>
                <w:lang w:val="en-US" w:eastAsia="zh-CN"/>
              </w:rPr>
            </w:pPr>
            <w:r>
              <w:rPr>
                <w:rFonts w:hint="default"/>
                <w:color w:val="auto"/>
                <w:highlight w:val="none"/>
                <w:lang w:val="en-US" w:eastAsia="zh-CN"/>
              </w:rPr>
              <w:t>（3）规划范围及用地规模</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规划范围北起滨河道，南至规划纬八路，西起规划经一路，东至规划经二十一路，总面积1500公顷（共15km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（4）产业定位</w:t>
            </w:r>
          </w:p>
          <w:p>
            <w:pPr>
              <w:bidi w:val="0"/>
              <w:rPr>
                <w:rFonts w:hint="default" w:ascii="Times New Roman" w:hAnsi="Times New Roman" w:eastAsia="宋体"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唐山高新区京唐智慧港</w:t>
            </w:r>
            <w:r>
              <w:rPr>
                <w:rFonts w:hint="default" w:ascii="Times New Roman" w:hAnsi="Times New Roman" w:eastAsia="宋体" w:cs="Times New Roman"/>
                <w:color w:val="auto"/>
                <w:sz w:val="24"/>
                <w:szCs w:val="24"/>
                <w:highlight w:val="none"/>
                <w:lang w:val="en-US" w:eastAsia="zh-CN"/>
              </w:rPr>
              <w:t>产业体系为：高新技术产业、现代物流业、现代服务业和现代化新型社区。</w:t>
            </w:r>
          </w:p>
          <w:p>
            <w:pPr>
              <w:bidi w:val="0"/>
              <w:rPr>
                <w:rFonts w:hint="default"/>
                <w:color w:val="auto"/>
                <w:highlight w:val="none"/>
                <w:lang w:val="en-US" w:eastAsia="zh-CN"/>
              </w:rPr>
            </w:pPr>
            <w:r>
              <w:rPr>
                <w:rFonts w:hint="eastAsia"/>
                <w:color w:val="auto"/>
                <w:highlight w:val="none"/>
                <w:lang w:val="en-US" w:eastAsia="zh-CN"/>
              </w:rPr>
              <w:t>（5）规划发展定位</w:t>
            </w:r>
          </w:p>
          <w:p>
            <w:pPr>
              <w:bidi w:val="0"/>
              <w:rPr>
                <w:rFonts w:hint="eastAsia"/>
                <w:color w:val="auto"/>
                <w:highlight w:val="none"/>
                <w:lang w:val="en-US" w:eastAsia="zh-CN"/>
              </w:rPr>
            </w:pPr>
            <w:r>
              <w:rPr>
                <w:rFonts w:hint="default"/>
                <w:color w:val="auto"/>
                <w:highlight w:val="none"/>
                <w:lang w:val="en-US" w:eastAsia="zh-CN"/>
              </w:rPr>
              <w:t>京唐智慧港</w:t>
            </w:r>
            <w:r>
              <w:rPr>
                <w:rFonts w:hint="eastAsia"/>
                <w:color w:val="auto"/>
                <w:highlight w:val="none"/>
                <w:lang w:val="en-US" w:eastAsia="zh-CN"/>
              </w:rPr>
              <w:t>发展定位见下表。</w:t>
            </w:r>
          </w:p>
          <w:p>
            <w:pPr>
              <w:pStyle w:val="29"/>
              <w:bidi w:val="0"/>
              <w:rPr>
                <w:rFonts w:hint="default"/>
                <w:b/>
                <w:bCs/>
                <w:color w:val="auto"/>
                <w:szCs w:val="21"/>
                <w:highlight w:val="none"/>
                <w:lang w:val="en-US" w:eastAsia="zh-CN"/>
              </w:rPr>
            </w:pPr>
            <w:r>
              <w:rPr>
                <w:rFonts w:hint="eastAsia"/>
                <w:color w:val="auto"/>
                <w:highlight w:val="none"/>
                <w:lang w:val="en-US" w:eastAsia="zh-CN"/>
              </w:rPr>
              <w:t>表1  京唐智慧港发展定位一览表</w:t>
            </w:r>
          </w:p>
          <w:tbl>
            <w:tblPr>
              <w:tblStyle w:val="24"/>
              <w:tblW w:w="72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071"/>
              <w:gridCol w:w="2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功能区划</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规划</w:t>
                  </w:r>
                  <w:r>
                    <w:rPr>
                      <w:rFonts w:hint="eastAsia"/>
                      <w:color w:val="auto"/>
                      <w:highlight w:val="none"/>
                      <w:lang w:val="en-US" w:eastAsia="zh-CN"/>
                    </w:rPr>
                    <w:t>行业</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高新技术产业</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机器人产业、高端装备制造业、新材料产业、节能环保产业、新一代信息技术产业、新能源汽车产业、新能源产业、数字创意产业、生物技术研究与应用产业等</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分布于产业园南部区域的北部、中西部和东南部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现代物流业</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eastAsia="zh-CN"/>
                    </w:rPr>
                  </w:pPr>
                  <w:r>
                    <w:rPr>
                      <w:rFonts w:hint="default"/>
                      <w:color w:val="auto"/>
                      <w:highlight w:val="none"/>
                      <w:lang w:eastAsia="zh-CN"/>
                    </w:rPr>
                    <w:t>供应链物流、仓储物流、数字化物流、保税物流、物流加工等</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eastAsia="zh-CN"/>
                    </w:rPr>
                  </w:pPr>
                  <w:r>
                    <w:rPr>
                      <w:rFonts w:hint="default"/>
                      <w:color w:val="auto"/>
                      <w:highlight w:val="none"/>
                      <w:lang w:eastAsia="zh-CN"/>
                    </w:rPr>
                    <w:t>分布于产业园南部区域的西部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现代服务业</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生产装备检修服务，科技中介、知识产权和标准化服务，金融服务，创新创业孵化服务，教育、养老、医疗等社会服务型产业</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分布于产业园南部区域的中部和东北部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现代化新型社区</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以居住、公服配套为主要功能</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rPr>
                  </w:pPr>
                  <w:r>
                    <w:rPr>
                      <w:rFonts w:hint="default"/>
                      <w:color w:val="auto"/>
                      <w:highlight w:val="none"/>
                    </w:rPr>
                    <w:t>分布于产业园南部区域的南部和东部，以及产业园北部区域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15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公共设施</w:t>
                  </w:r>
                </w:p>
              </w:tc>
              <w:tc>
                <w:tcPr>
                  <w:tcW w:w="407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包括绿地、机场、高铁站、道路、供水、排水等</w:t>
                  </w:r>
                </w:p>
              </w:tc>
              <w:tc>
                <w:tcPr>
                  <w:tcW w:w="202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w:t>
                  </w:r>
                </w:p>
              </w:tc>
            </w:tr>
          </w:tbl>
          <w:p>
            <w:pPr>
              <w:bidi w:val="0"/>
              <w:rPr>
                <w:rFonts w:hint="default"/>
                <w:color w:val="auto"/>
                <w:highlight w:val="none"/>
                <w:lang w:val="en-US" w:eastAsia="zh-CN"/>
              </w:rPr>
            </w:pPr>
            <w:r>
              <w:rPr>
                <w:rFonts w:hint="default"/>
                <w:color w:val="auto"/>
                <w:highlight w:val="none"/>
                <w:lang w:eastAsia="zh-CN"/>
              </w:rPr>
              <w:t>本项目位于</w:t>
            </w:r>
            <w:r>
              <w:rPr>
                <w:rFonts w:hint="eastAsia"/>
                <w:color w:val="auto"/>
                <w:highlight w:val="none"/>
                <w:lang w:val="en-US" w:eastAsia="zh-CN"/>
              </w:rPr>
              <w:t>产业园区南部区域的东部</w:t>
            </w:r>
            <w:r>
              <w:rPr>
                <w:rFonts w:hint="default"/>
                <w:color w:val="auto"/>
                <w:highlight w:val="none"/>
                <w:lang w:eastAsia="zh-CN"/>
              </w:rPr>
              <w:t>，</w:t>
            </w:r>
            <w:r>
              <w:rPr>
                <w:rFonts w:hint="eastAsia"/>
                <w:color w:val="auto"/>
                <w:highlight w:val="none"/>
                <w:lang w:val="en-US" w:eastAsia="zh-CN"/>
              </w:rPr>
              <w:t>功能区划为现代化新型社区，规划行业为以居住、公服配套为主要功能。本项目主要对建筑垃圾进行处理，属于国民经济行业类别中的</w:t>
            </w:r>
            <w:r>
              <w:rPr>
                <w:rFonts w:hint="eastAsia" w:cs="Times New Roman"/>
                <w:color w:val="auto"/>
                <w:highlight w:val="none"/>
                <w:lang w:val="en-US" w:eastAsia="zh-CN"/>
              </w:rPr>
              <w:t>N7723固体废物治理业和，项目原料主要来源于园区基础设施建设、规划项目的厂房建设及村庄拆迁等产生的建设垃圾，本项目建成后可及时有效消纳园区发展过程产生的建筑垃圾，使园区内建筑垃圾可及时清运，减少堆存过程产生的扬尘污染；项目生产的石碴、再生细骨料主要用于园区内基础设施建设、规划项目的厂房建设及现代化新型社区建设，为园区提供公服配套服务。因此，本项目符合园区发展定位要求，符合园区规划。</w:t>
            </w:r>
          </w:p>
          <w:p>
            <w:pPr>
              <w:autoSpaceDE w:val="0"/>
              <w:autoSpaceDN w:val="0"/>
              <w:spacing w:line="480" w:lineRule="exact"/>
              <w:ind w:firstLine="482" w:firstLineChars="200"/>
              <w:jc w:val="left"/>
              <w:rPr>
                <w:rFonts w:hint="default" w:cs="Times New Roman"/>
                <w:smallCaps w:val="0"/>
                <w:color w:val="auto"/>
                <w:spacing w:val="0"/>
                <w:position w:val="0"/>
                <w:sz w:val="24"/>
                <w:szCs w:val="24"/>
                <w:highlight w:val="none"/>
                <w:lang w:val="en-US" w:bidi="zh-CN"/>
              </w:rPr>
            </w:pPr>
            <w:r>
              <w:rPr>
                <w:rFonts w:hint="eastAsia"/>
                <w:b/>
                <w:bCs/>
                <w:color w:val="auto"/>
                <w:highlight w:val="none"/>
                <w:lang w:val="en-US"/>
              </w:rPr>
              <w:t>1.</w:t>
            </w:r>
            <w:r>
              <w:rPr>
                <w:rFonts w:hint="eastAsia"/>
                <w:b/>
                <w:bCs/>
                <w:color w:val="auto"/>
                <w:highlight w:val="none"/>
                <w:lang w:val="en-US" w:eastAsia="zh-CN"/>
              </w:rPr>
              <w:t>2</w:t>
            </w:r>
            <w:r>
              <w:rPr>
                <w:rFonts w:hint="eastAsia"/>
                <w:b/>
                <w:bCs/>
                <w:color w:val="auto"/>
                <w:highlight w:val="none"/>
                <w:lang w:val="en-US"/>
              </w:rPr>
              <w:t>京唐智慧港</w:t>
            </w:r>
            <w:r>
              <w:rPr>
                <w:rFonts w:hint="eastAsia"/>
                <w:b/>
                <w:bCs/>
                <w:color w:val="auto"/>
                <w:highlight w:val="none"/>
                <w:lang w:val="en-US" w:eastAsia="zh-CN"/>
              </w:rPr>
              <w:t>基础设施</w:t>
            </w:r>
            <w:r>
              <w:rPr>
                <w:rFonts w:hint="eastAsia"/>
                <w:b/>
                <w:bCs/>
                <w:color w:val="auto"/>
                <w:highlight w:val="none"/>
                <w:lang w:val="en-US"/>
              </w:rPr>
              <w:t>规划</w:t>
            </w:r>
          </w:p>
          <w:p>
            <w:pPr>
              <w:bidi w:val="0"/>
              <w:rPr>
                <w:rFonts w:hint="default"/>
                <w:color w:val="auto"/>
                <w:highlight w:val="none"/>
                <w:lang w:val="en-US"/>
              </w:rPr>
            </w:pPr>
            <w:r>
              <w:rPr>
                <w:rFonts w:hint="eastAsia"/>
                <w:color w:val="auto"/>
                <w:highlight w:val="none"/>
                <w:lang w:val="en-US"/>
              </w:rPr>
              <w:t>1.给水工程规划</w:t>
            </w:r>
          </w:p>
          <w:p>
            <w:pPr>
              <w:bidi w:val="0"/>
              <w:rPr>
                <w:rFonts w:hint="default"/>
                <w:color w:val="auto"/>
                <w:highlight w:val="none"/>
                <w:lang w:val="en-US" w:eastAsia="zh-CN"/>
              </w:rPr>
            </w:pPr>
            <w:r>
              <w:rPr>
                <w:rFonts w:hint="default"/>
                <w:color w:val="auto"/>
                <w:highlight w:val="none"/>
                <w:lang w:val="en-US" w:eastAsia="zh-CN"/>
              </w:rPr>
              <w:t>（1）水源、水厂</w:t>
            </w:r>
          </w:p>
          <w:p>
            <w:pPr>
              <w:bidi w:val="0"/>
              <w:rPr>
                <w:rFonts w:hint="default" w:ascii="Times New Roman" w:hAnsi="Times New Roman" w:eastAsia="宋体" w:cs="Times New Roman"/>
                <w:color w:val="auto"/>
                <w:szCs w:val="24"/>
                <w:highlight w:val="none"/>
                <w:lang w:val="en-US" w:eastAsia="zh-CN"/>
              </w:rPr>
            </w:pPr>
            <w:r>
              <w:rPr>
                <w:rFonts w:hint="default"/>
                <w:color w:val="auto"/>
                <w:highlight w:val="none"/>
                <w:lang w:val="en-US" w:eastAsia="zh-CN"/>
              </w:rPr>
              <w:t>园区</w:t>
            </w:r>
            <w:r>
              <w:rPr>
                <w:rFonts w:hint="eastAsia"/>
                <w:color w:val="auto"/>
                <w:highlight w:val="none"/>
                <w:lang w:val="en-US" w:eastAsia="zh-CN"/>
              </w:rPr>
              <w:t>规划建设</w:t>
            </w:r>
            <w:r>
              <w:rPr>
                <w:rFonts w:hint="default"/>
                <w:color w:val="auto"/>
                <w:highlight w:val="none"/>
                <w:lang w:val="en-US" w:eastAsia="zh-CN"/>
              </w:rPr>
              <w:t>一座水厂，设计供水量1万立方米/日，建设6眼自备井，井深180m左右，目标取水层为第四系第Ⅲ含水组孔隙水。该水厂已于2017年9月完成了《唐山高新区空港城片区自来水厂工程水资源论证报告书》编制，于2017年8</w:t>
            </w:r>
            <w:r>
              <w:rPr>
                <w:rFonts w:hint="eastAsia"/>
                <w:color w:val="auto"/>
                <w:highlight w:val="none"/>
                <w:lang w:val="en-US" w:eastAsia="zh-CN"/>
              </w:rPr>
              <w:t>月</w:t>
            </w:r>
            <w:r>
              <w:rPr>
                <w:rFonts w:hint="default"/>
                <w:color w:val="auto"/>
                <w:highlight w:val="none"/>
                <w:lang w:val="en-US" w:eastAsia="zh-CN"/>
              </w:rPr>
              <w:t>完成审查。输水管由地表水厂经过加压输送至园区配水厂，水厂占地49033平方米。待该水厂供水能力不能满足园区</w:t>
            </w:r>
            <w:r>
              <w:rPr>
                <w:rFonts w:hint="eastAsia"/>
                <w:color w:val="auto"/>
                <w:highlight w:val="none"/>
                <w:lang w:val="en-US" w:eastAsia="zh-CN"/>
              </w:rPr>
              <w:t>用水量</w:t>
            </w:r>
            <w:r>
              <w:rPr>
                <w:rFonts w:hint="default"/>
                <w:color w:val="auto"/>
                <w:highlight w:val="none"/>
                <w:lang w:val="en-US" w:eastAsia="zh-CN"/>
              </w:rPr>
              <w:t>后，引入邱庄水库地表水供水</w:t>
            </w:r>
            <w:r>
              <w:rPr>
                <w:rFonts w:hint="default" w:ascii="Times New Roman" w:hAnsi="Times New Roman" w:eastAsia="宋体" w:cs="Times New Roman"/>
                <w:color w:val="auto"/>
                <w:szCs w:val="24"/>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（2）供水管网规划</w:t>
            </w:r>
          </w:p>
          <w:p>
            <w:pPr>
              <w:bidi w:val="0"/>
              <w:rPr>
                <w:rFonts w:hint="default"/>
                <w:color w:val="auto"/>
                <w:highlight w:val="none"/>
                <w:lang w:val="en-US" w:eastAsia="zh-CN"/>
              </w:rPr>
            </w:pPr>
            <w:r>
              <w:rPr>
                <w:rFonts w:hint="default"/>
                <w:color w:val="auto"/>
                <w:highlight w:val="none"/>
                <w:lang w:val="en-US" w:eastAsia="zh-CN"/>
              </w:rPr>
              <w:t>规划区供水管网形成环状与支状相结合的管网供水方式。规划区内给水干管沿规划道路敷设，以环状形式布置，管径DN800~DN1300。</w:t>
            </w:r>
          </w:p>
          <w:p>
            <w:pPr>
              <w:bidi w:val="0"/>
              <w:rPr>
                <w:rFonts w:hint="default"/>
                <w:color w:val="auto"/>
                <w:highlight w:val="none"/>
                <w:lang w:val="en-US" w:eastAsia="zh-CN"/>
              </w:rPr>
            </w:pPr>
            <w:r>
              <w:rPr>
                <w:rFonts w:hint="eastAsia"/>
                <w:color w:val="auto"/>
                <w:highlight w:val="none"/>
                <w:lang w:val="en-US" w:eastAsia="zh-CN"/>
              </w:rPr>
              <w:t>本项目用水由姚家庄供水井提供，可满足项目用水需求。</w:t>
            </w:r>
          </w:p>
          <w:p>
            <w:pPr>
              <w:bidi w:val="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污水工程</w:t>
            </w:r>
          </w:p>
          <w:p>
            <w:pPr>
              <w:bidi w:val="0"/>
              <w:rPr>
                <w:rFonts w:hint="default"/>
                <w:color w:val="auto"/>
                <w:highlight w:val="none"/>
                <w:lang w:val="en-US" w:eastAsia="zh-CN"/>
              </w:rPr>
            </w:pPr>
            <w:r>
              <w:rPr>
                <w:rFonts w:hint="default"/>
                <w:color w:val="auto"/>
                <w:highlight w:val="none"/>
                <w:lang w:val="en-US" w:eastAsia="zh-CN"/>
              </w:rPr>
              <w:t>（1）排水体制</w:t>
            </w:r>
          </w:p>
          <w:p>
            <w:pPr>
              <w:bidi w:val="0"/>
              <w:rPr>
                <w:rFonts w:hint="default"/>
                <w:color w:val="auto"/>
                <w:highlight w:val="none"/>
                <w:lang w:val="en-US" w:eastAsia="zh-CN"/>
              </w:rPr>
            </w:pPr>
            <w:r>
              <w:rPr>
                <w:rFonts w:hint="default"/>
                <w:color w:val="auto"/>
                <w:highlight w:val="none"/>
                <w:lang w:val="en-US" w:eastAsia="zh-CN"/>
              </w:rPr>
              <w:t>规划范围内排水实行雨污分流。规划区内沿路布置</w:t>
            </w:r>
            <w:r>
              <w:rPr>
                <w:rFonts w:hint="eastAsia"/>
                <w:color w:val="auto"/>
                <w:highlight w:val="none"/>
                <w:lang w:val="en-US" w:eastAsia="zh-CN"/>
              </w:rPr>
              <w:t>d</w:t>
            </w:r>
            <w:r>
              <w:rPr>
                <w:rFonts w:hint="default"/>
                <w:color w:val="auto"/>
                <w:highlight w:val="none"/>
                <w:lang w:val="en-US" w:eastAsia="zh-CN"/>
              </w:rPr>
              <w:t>300~</w:t>
            </w:r>
            <w:r>
              <w:rPr>
                <w:rFonts w:hint="eastAsia"/>
                <w:color w:val="auto"/>
                <w:highlight w:val="none"/>
                <w:lang w:val="en-US" w:eastAsia="zh-CN"/>
              </w:rPr>
              <w:t>d</w:t>
            </w:r>
            <w:r>
              <w:rPr>
                <w:rFonts w:hint="default"/>
                <w:color w:val="auto"/>
                <w:highlight w:val="none"/>
                <w:lang w:val="en-US" w:eastAsia="zh-CN"/>
              </w:rPr>
              <w:t>2600毫米的规划雨水管道，雨水排入泥河。</w:t>
            </w:r>
          </w:p>
          <w:p>
            <w:pPr>
              <w:bidi w:val="0"/>
              <w:rPr>
                <w:rFonts w:hint="default"/>
                <w:color w:val="auto"/>
                <w:highlight w:val="none"/>
                <w:lang w:val="en-US" w:eastAsia="zh-CN"/>
              </w:rPr>
            </w:pPr>
            <w:r>
              <w:rPr>
                <w:rFonts w:hint="default"/>
                <w:color w:val="auto"/>
                <w:highlight w:val="none"/>
                <w:lang w:val="en-US" w:eastAsia="zh-CN"/>
              </w:rPr>
              <w:t>污水通过内部处理设施处理后接入市政污水收集管网，纳入开发区污水处理厂进行深度处理。</w:t>
            </w:r>
          </w:p>
          <w:p>
            <w:pPr>
              <w:bidi w:val="0"/>
              <w:rPr>
                <w:rFonts w:hint="default"/>
                <w:color w:val="auto"/>
                <w:highlight w:val="none"/>
                <w:lang w:val="en-US" w:eastAsia="zh-CN"/>
              </w:rPr>
            </w:pPr>
            <w:r>
              <w:rPr>
                <w:rFonts w:hint="default"/>
                <w:color w:val="auto"/>
                <w:highlight w:val="none"/>
                <w:lang w:val="en-US" w:eastAsia="zh-CN"/>
              </w:rPr>
              <w:t>（2）污水处理厂</w:t>
            </w:r>
          </w:p>
          <w:p>
            <w:pPr>
              <w:bidi w:val="0"/>
              <w:rPr>
                <w:rFonts w:hint="default"/>
                <w:color w:val="auto"/>
                <w:highlight w:val="none"/>
                <w:lang w:val="en-US" w:eastAsia="zh-CN"/>
              </w:rPr>
            </w:pPr>
            <w:r>
              <w:rPr>
                <w:rFonts w:hint="default"/>
                <w:color w:val="auto"/>
                <w:highlight w:val="none"/>
                <w:lang w:val="en-US" w:eastAsia="zh-CN"/>
              </w:rPr>
              <w:t>唐山空港城开发区污水处理厂远期设计规模为10万立方米/日，计划分三期建设完成，现状已建成处理规模为1万立方米/日的污水处理厂，尾水排放标准为《城镇污水处理厂污染物排放标准》（GB18918-2002）一级A标准，排入泥河。</w:t>
            </w:r>
          </w:p>
          <w:p>
            <w:pPr>
              <w:bidi w:val="0"/>
              <w:rPr>
                <w:rFonts w:hint="default"/>
                <w:color w:val="auto"/>
                <w:highlight w:val="none"/>
                <w:lang w:val="en-US" w:eastAsia="zh-CN"/>
              </w:rPr>
            </w:pPr>
            <w:r>
              <w:rPr>
                <w:rFonts w:hint="default"/>
                <w:color w:val="auto"/>
                <w:highlight w:val="none"/>
                <w:lang w:val="en-US" w:eastAsia="zh-CN"/>
              </w:rPr>
              <w:t>中期扩建污水处理厂规模至6.15万立方米/日，远期扩建规模至10万立方米/日，污水处理规划用地15.05公顷。</w:t>
            </w:r>
          </w:p>
          <w:p>
            <w:pPr>
              <w:bidi w:val="0"/>
              <w:rPr>
                <w:rFonts w:hint="default"/>
                <w:color w:val="auto"/>
                <w:highlight w:val="none"/>
                <w:lang w:val="en-US" w:eastAsia="zh-CN"/>
              </w:rPr>
            </w:pPr>
            <w:r>
              <w:rPr>
                <w:rFonts w:hint="default"/>
                <w:color w:val="auto"/>
                <w:highlight w:val="none"/>
                <w:lang w:val="en-US" w:eastAsia="zh-CN"/>
              </w:rPr>
              <w:t>本规划范围内各个工业地块不单独设置污水处理厂，入区企业必须按照环保</w:t>
            </w:r>
            <w:r>
              <w:rPr>
                <w:rFonts w:hint="eastAsia" w:ascii="宋体" w:hAnsi="宋体" w:eastAsia="宋体" w:cs="宋体"/>
                <w:color w:val="auto"/>
                <w:highlight w:val="none"/>
                <w:lang w:val="en-US" w:eastAsia="zh-CN"/>
              </w:rPr>
              <w:t>“三同时”</w:t>
            </w:r>
            <w:r>
              <w:rPr>
                <w:rFonts w:hint="default"/>
                <w:color w:val="auto"/>
                <w:highlight w:val="none"/>
                <w:lang w:val="en-US" w:eastAsia="zh-CN"/>
              </w:rPr>
              <w:t>要求建设相应的污水处理设施（污水处理站），一般工业污水预处理后的尾水达到唐山空港城开发区污水处理厂接管标准后处理，最终排入泥河。</w:t>
            </w:r>
          </w:p>
          <w:p>
            <w:pPr>
              <w:bidi w:val="0"/>
              <w:rPr>
                <w:rFonts w:hint="default"/>
                <w:color w:val="auto"/>
                <w:highlight w:val="none"/>
                <w:lang w:val="en-US" w:eastAsia="zh-CN"/>
              </w:rPr>
            </w:pPr>
            <w:r>
              <w:rPr>
                <w:rFonts w:hint="default"/>
                <w:color w:val="auto"/>
                <w:highlight w:val="none"/>
                <w:lang w:val="en-US" w:eastAsia="zh-CN"/>
              </w:rPr>
              <w:t>（3）污水管网</w:t>
            </w:r>
          </w:p>
          <w:p>
            <w:pPr>
              <w:bidi w:val="0"/>
              <w:rPr>
                <w:rFonts w:hint="default"/>
                <w:color w:val="auto"/>
                <w:highlight w:val="none"/>
                <w:lang w:val="en-US" w:eastAsia="zh-CN"/>
              </w:rPr>
            </w:pPr>
            <w:r>
              <w:rPr>
                <w:rFonts w:hint="default"/>
                <w:color w:val="auto"/>
                <w:highlight w:val="none"/>
                <w:lang w:val="en-US" w:eastAsia="zh-CN"/>
              </w:rPr>
              <w:t>北部片区（机场路以北区域）污水干管，收集沿途污水，管径为400~800mm；南部片区（通州道以南区域）污水干管，收集沿途污水，管径为400~1000mm。污水沿污水主干管道最终流入污水处理厂。汇入污水处理厂处，管径为1200mm。</w:t>
            </w:r>
          </w:p>
          <w:p>
            <w:pPr>
              <w:bidi w:val="0"/>
              <w:rPr>
                <w:rFonts w:hint="default"/>
                <w:color w:val="auto"/>
                <w:highlight w:val="none"/>
                <w:lang w:val="en-US" w:eastAsia="zh-CN"/>
              </w:rPr>
            </w:pPr>
            <w:r>
              <w:rPr>
                <w:rFonts w:hint="default"/>
                <w:color w:val="auto"/>
                <w:highlight w:val="none"/>
                <w:lang w:val="en-US" w:eastAsia="zh-CN"/>
              </w:rPr>
              <w:t>污水管网系统由主干管、干管和分支管组成，布置时污水主干管及干管沿主干道路敷设，作为刚性控制条件；污水支管沿支路布置可作弹性调控。</w:t>
            </w:r>
          </w:p>
          <w:p>
            <w:pPr>
              <w:bidi w:val="0"/>
              <w:rPr>
                <w:rFonts w:hint="eastAsia"/>
                <w:color w:val="auto"/>
                <w:highlight w:val="none"/>
                <w:lang w:val="en-US" w:eastAsia="zh-CN"/>
              </w:rPr>
            </w:pPr>
            <w:r>
              <w:rPr>
                <w:rFonts w:hint="eastAsia"/>
                <w:color w:val="auto"/>
                <w:highlight w:val="none"/>
                <w:lang w:val="en-US" w:eastAsia="zh-CN"/>
              </w:rPr>
              <w:t>本项目生产废水（脱泥废水、筛分废水、脱水废水、再生细骨料堆存废水）沉淀澄清后回用于生产，不外排；洗车废水沉淀处理后，回用于洗车过程，不外排；职工生活污水泼洒地面抑尘，不外排。</w:t>
            </w:r>
          </w:p>
          <w:p>
            <w:pPr>
              <w:bidi w:val="0"/>
              <w:rPr>
                <w:rFonts w:hint="eastAsia"/>
                <w:color w:val="auto"/>
                <w:highlight w:val="none"/>
                <w:lang w:val="en-US" w:eastAsia="zh-CN"/>
              </w:rPr>
            </w:pPr>
            <w:r>
              <w:rPr>
                <w:rFonts w:hint="eastAsia"/>
                <w:color w:val="auto"/>
                <w:highlight w:val="none"/>
                <w:lang w:val="en-US" w:eastAsia="zh-CN"/>
              </w:rPr>
              <w:t>3.供热工程</w:t>
            </w:r>
          </w:p>
          <w:p>
            <w:pPr>
              <w:bidi w:val="0"/>
              <w:rPr>
                <w:rFonts w:hint="eastAsia"/>
                <w:color w:val="auto"/>
                <w:highlight w:val="none"/>
              </w:rPr>
            </w:pPr>
            <w:r>
              <w:rPr>
                <w:rFonts w:hint="eastAsia"/>
                <w:color w:val="auto"/>
                <w:highlight w:val="none"/>
              </w:rPr>
              <w:t>规划区内供热总负荷为260兆瓦。园区供暖制冷主要分集中供暖制冷和电空调两种方式。生产工艺供热不进行集中供热，需企业采用天然气、电能等清洁能源自行解决。</w:t>
            </w:r>
          </w:p>
          <w:p>
            <w:pPr>
              <w:bidi w:val="0"/>
              <w:rPr>
                <w:rFonts w:hint="eastAsia"/>
                <w:color w:val="auto"/>
                <w:highlight w:val="none"/>
              </w:rPr>
            </w:pPr>
            <w:r>
              <w:rPr>
                <w:rFonts w:hint="eastAsia"/>
                <w:color w:val="auto"/>
                <w:highlight w:val="none"/>
              </w:rPr>
              <w:t>规划区使用区域燃气锅炉供热，规划供热管道沿市政道路敷设，主要采用埋地敷设，部分地区可采用低支架架空敷设。</w:t>
            </w:r>
          </w:p>
          <w:p>
            <w:pPr>
              <w:bidi w:val="0"/>
              <w:rPr>
                <w:rFonts w:hint="eastAsia"/>
                <w:color w:val="auto"/>
                <w:highlight w:val="none"/>
                <w:lang w:val="en-US" w:eastAsia="zh-CN"/>
              </w:rPr>
            </w:pPr>
            <w:r>
              <w:rPr>
                <w:rFonts w:hint="eastAsia"/>
                <w:color w:val="auto"/>
                <w:highlight w:val="none"/>
                <w:lang w:val="en-US" w:eastAsia="zh-CN"/>
              </w:rPr>
              <w:t>本项目生产过程不用热，生产车间不设取暖设施，办公区供暖采用单体空调，以电为能源。</w:t>
            </w:r>
          </w:p>
          <w:p>
            <w:pPr>
              <w:bidi w:val="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供电规划</w:t>
            </w:r>
          </w:p>
          <w:p>
            <w:pPr>
              <w:bidi w:val="0"/>
              <w:rPr>
                <w:rFonts w:hint="default"/>
                <w:color w:val="auto"/>
                <w:highlight w:val="none"/>
                <w:lang w:val="en-US" w:eastAsia="zh-CN"/>
              </w:rPr>
            </w:pPr>
            <w:r>
              <w:rPr>
                <w:rFonts w:hint="default"/>
                <w:color w:val="auto"/>
                <w:highlight w:val="none"/>
                <w:lang w:val="en-US" w:eastAsia="zh-CN"/>
              </w:rPr>
              <w:t>规划区电力总负荷为408兆瓦。规划区建设一座110千伏变电站，规模可选用2×5万千伏，占地8993平方米。上级电源来自和平（丰登坞）220kV变电站提供。</w:t>
            </w:r>
          </w:p>
          <w:p>
            <w:pPr>
              <w:bidi w:val="0"/>
              <w:rPr>
                <w:rFonts w:hint="default"/>
                <w:color w:val="auto"/>
                <w:highlight w:val="none"/>
                <w:lang w:val="en-US" w:eastAsia="zh-CN"/>
              </w:rPr>
            </w:pPr>
            <w:r>
              <w:rPr>
                <w:rFonts w:hint="default"/>
                <w:color w:val="auto"/>
                <w:highlight w:val="none"/>
                <w:lang w:val="en-US" w:eastAsia="zh-CN"/>
              </w:rPr>
              <w:t>规划10kV电力线路根据规划路网采用地下敷设方式，要简捷合理，避免拉线过长</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本项目用电由园区电网供给，可满足用电需求。</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val="en-US" w:eastAsia="zh-CN"/>
              </w:rPr>
              <w:t>本项目与规划环境影响评价结论的符合性分析</w:t>
            </w:r>
          </w:p>
          <w:p>
            <w:pPr>
              <w:bidi w:val="0"/>
              <w:rPr>
                <w:rFonts w:hint="default"/>
                <w:color w:val="auto"/>
                <w:highlight w:val="none"/>
                <w:lang w:val="en-US" w:eastAsia="zh-CN"/>
              </w:rPr>
            </w:pPr>
            <w:r>
              <w:rPr>
                <w:rFonts w:hint="default"/>
                <w:color w:val="auto"/>
                <w:highlight w:val="none"/>
                <w:lang w:val="en-US" w:eastAsia="zh-CN"/>
              </w:rPr>
              <w:t>根据</w:t>
            </w:r>
            <w:r>
              <w:rPr>
                <w:rFonts w:hint="eastAsia"/>
                <w:color w:val="auto"/>
                <w:highlight w:val="none"/>
                <w:lang w:val="en-US" w:eastAsia="zh-CN"/>
              </w:rPr>
              <w:t>《唐山高新区京唐智慧港总体规划（2020-2035）环境影响报告书》</w:t>
            </w:r>
            <w:r>
              <w:rPr>
                <w:rFonts w:hint="default"/>
                <w:color w:val="auto"/>
                <w:highlight w:val="none"/>
                <w:lang w:val="en-US" w:eastAsia="zh-CN"/>
              </w:rPr>
              <w:t>可知，项目所在园区的规划环境影响评价的结论为</w:t>
            </w:r>
            <w:r>
              <w:rPr>
                <w:rFonts w:hint="eastAsia"/>
                <w:color w:val="auto"/>
                <w:highlight w:val="none"/>
                <w:lang w:val="en-US" w:eastAsia="zh-CN"/>
              </w:rPr>
              <w:t>“</w:t>
            </w:r>
            <w:r>
              <w:rPr>
                <w:rFonts w:hint="default"/>
                <w:color w:val="auto"/>
                <w:highlight w:val="none"/>
                <w:lang w:val="en-US" w:eastAsia="zh-CN"/>
              </w:rPr>
              <w:t>综上所述，在落实本规划环评提出的规划优化调整建议和环境影响减缓措施后，京唐智慧港规划与上层规划、相关环境保护规划以及其他规划基本协调，京唐智慧港发展目标、空间布局、产业定位等不存在重大环境影响。根据本规划环评报告提出的优化调整建议对规划相关内容进行调整、并严格落实本评价提出的优化调整建议、各项环境影响减缓措施后，该规划在环境保护方面是可行的</w:t>
            </w:r>
            <w:r>
              <w:rPr>
                <w:rFonts w:hint="eastAsia"/>
                <w:color w:val="auto"/>
                <w:highlight w:val="none"/>
                <w:lang w:val="en-US" w:eastAsia="zh-CN"/>
              </w:rPr>
              <w:t>”。</w:t>
            </w:r>
          </w:p>
          <w:p>
            <w:pPr>
              <w:bidi w:val="0"/>
              <w:rPr>
                <w:rFonts w:hint="default" w:ascii="Times New Roman" w:hAnsi="Times New Roman" w:eastAsia="宋体" w:cs="Times New Roman"/>
                <w:color w:val="auto"/>
                <w:sz w:val="24"/>
                <w:szCs w:val="24"/>
                <w:highlight w:val="none"/>
                <w:lang w:val="en-US" w:eastAsia="zh-CN"/>
              </w:rPr>
            </w:pPr>
            <w:r>
              <w:rPr>
                <w:rFonts w:hint="eastAsia"/>
                <w:color w:val="auto"/>
                <w:highlight w:val="none"/>
                <w:lang w:val="en-US" w:eastAsia="zh-CN"/>
              </w:rPr>
              <w:t>本项目主要对建筑垃圾进行处理，属于国民经济行业类别中的</w:t>
            </w:r>
            <w:r>
              <w:rPr>
                <w:rFonts w:hint="eastAsia" w:cs="Times New Roman"/>
                <w:color w:val="auto"/>
                <w:highlight w:val="none"/>
                <w:lang w:val="en-US" w:eastAsia="zh-CN"/>
              </w:rPr>
              <w:t>N7723固体废物治理业和C3039其他建筑材料制造业，项目原料主要来源于园区基础设施建设、规划项目的厂房建设及村庄拆迁等产生的建设垃圾，本项目建成后可及时有效消纳园区发展过程产生的建筑垃圾，使园区内建筑垃圾可及时清运，减少堆存过程产生的扬尘污染；项目生产的石碴、再生细骨料主要用于园区内基础设施建设、规划项目的厂房建设及现代化新型社区建设，为园区提供公服配套服务。项目的建设符合园区发展定位要求，符合园区规划。本项目采取合理有效的污染防治措施，</w:t>
            </w:r>
            <w:r>
              <w:rPr>
                <w:rFonts w:ascii="Times New Roman" w:hAnsi="Times New Roman" w:eastAsia="宋体" w:cs="Times New Roman"/>
                <w:color w:val="auto"/>
                <w:kern w:val="24"/>
                <w:sz w:val="24"/>
                <w:highlight w:val="none"/>
                <w:lang w:val="zh-CN"/>
              </w:rPr>
              <w:t>项目的</w:t>
            </w:r>
            <w:r>
              <w:rPr>
                <w:rFonts w:hint="eastAsia" w:cs="Times New Roman"/>
                <w:color w:val="auto"/>
                <w:kern w:val="24"/>
                <w:sz w:val="24"/>
                <w:highlight w:val="none"/>
                <w:lang w:val="en-US" w:eastAsia="zh-CN"/>
              </w:rPr>
              <w:t>实施对周边环境的影响较小</w:t>
            </w:r>
            <w:r>
              <w:rPr>
                <w:rFonts w:hint="eastAsia" w:cs="Times New Roman"/>
                <w:color w:val="auto"/>
                <w:highlight w:val="none"/>
                <w:lang w:val="en-US" w:eastAsia="zh-CN"/>
              </w:rPr>
              <w:t>，因此，本项目符合规划环境影响评价结论的要求。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3</w:t>
            </w:r>
            <w:r>
              <w:rPr>
                <w:rFonts w:hint="eastAsia" w:ascii="Times New Roman" w:eastAsia="宋体"/>
                <w:b/>
                <w:bCs/>
                <w:color w:val="auto"/>
                <w:highlight w:val="none"/>
                <w:lang w:val="en-US" w:eastAsia="zh-CN"/>
              </w:rPr>
              <w:t>、规划环评对</w:t>
            </w:r>
            <w:r>
              <w:rPr>
                <w:b/>
                <w:bCs/>
                <w:color w:val="auto"/>
                <w:highlight w:val="none"/>
              </w:rPr>
              <w:t>入区项目环境影响评价的要求</w:t>
            </w:r>
            <w:r>
              <w:rPr>
                <w:rFonts w:hint="eastAsia" w:ascii="Times New Roman" w:eastAsia="宋体"/>
                <w:b/>
                <w:bCs/>
                <w:color w:val="auto"/>
                <w:highlight w:val="none"/>
                <w:lang w:val="en-US" w:eastAsia="zh-CN"/>
              </w:rPr>
              <w:t>符合性分析</w:t>
            </w:r>
          </w:p>
          <w:p>
            <w:pPr>
              <w:bidi w:val="0"/>
              <w:rPr>
                <w:rFonts w:hint="eastAsia"/>
                <w:color w:val="auto"/>
                <w:highlight w:val="none"/>
                <w:lang w:val="en-US" w:eastAsia="zh-CN"/>
              </w:rPr>
            </w:pPr>
            <w:r>
              <w:rPr>
                <w:rFonts w:hint="eastAsia"/>
                <w:color w:val="auto"/>
                <w:highlight w:val="none"/>
                <w:lang w:val="en-US" w:eastAsia="zh-CN"/>
              </w:rPr>
              <w:t>根据《唐山高新区京唐智慧港总体规划（2020-2035）环境影响报告书》</w:t>
            </w:r>
            <w:r>
              <w:rPr>
                <w:rFonts w:hint="default"/>
                <w:color w:val="auto"/>
                <w:highlight w:val="none"/>
                <w:lang w:val="en-US" w:eastAsia="zh-CN"/>
              </w:rPr>
              <w:t>可知</w:t>
            </w:r>
            <w:r>
              <w:rPr>
                <w:rFonts w:hint="eastAsia"/>
                <w:color w:val="auto"/>
                <w:highlight w:val="none"/>
                <w:lang w:val="en-US" w:eastAsia="zh-CN"/>
              </w:rPr>
              <w:t>，规划环评对入区项目要求为“入区项目必须满足《产业结构调整指导目录（2019年本）》、《外商投资准入特别管理措施（负面清单）（2019年版）》、《河北省工业和信息产业结构调整指导目录（2012年本）》及其修改通知等国家、地方的法律、法规、政策。禁止建设排放致癌、致畸、致突变物质和恶臭气体的项目；禁止生产方式落后、高能耗、严重浪费资源和污染环境的项目，严格控制有严重污染的项目；禁止无法达到国家、地方规定的环境保护标准的项目进区”。</w:t>
            </w:r>
          </w:p>
          <w:p>
            <w:pPr>
              <w:bidi w:val="0"/>
              <w:rPr>
                <w:rFonts w:hint="default"/>
                <w:color w:val="auto"/>
                <w:highlight w:val="none"/>
                <w:lang w:val="en-US" w:eastAsia="zh-CN"/>
              </w:rPr>
            </w:pPr>
            <w:r>
              <w:rPr>
                <w:rFonts w:hint="eastAsia"/>
                <w:color w:val="auto"/>
                <w:highlight w:val="none"/>
                <w:lang w:val="en-US" w:eastAsia="zh-CN"/>
              </w:rPr>
              <w:t>本项目满足《产业结构调整指导目录（2019年本）》（2021年修订）、《外商投资准入特别管理措施（负面清单）（2019年版）》、《河北省工业和信息产业结构调整指导目录（2012年本）》及其修改通知等国家、地方的法律、法规、政策；不涉及致癌、致畸、致突变物质和恶臭气体排放；不属于生产方式落后、高能耗、严重浪费资源和污染环境的项目；颗粒物排放可满足国家、地方规定的环境保护标准。因此，本项目的建设符合规划环评对入区项目环境影响评价的要求。</w:t>
            </w:r>
          </w:p>
          <w:p>
            <w:pPr>
              <w:keepNext w:val="0"/>
              <w:keepLines w:val="0"/>
              <w:pageBreakBefore w:val="0"/>
              <w:widowControl w:val="0"/>
              <w:kinsoku/>
              <w:wordWrap/>
              <w:overflowPunct/>
              <w:topLinePunct w:val="0"/>
              <w:autoSpaceDE w:val="0"/>
              <w:autoSpaceDN w:val="0"/>
              <w:bidi w:val="0"/>
              <w:adjustRightInd w:val="0"/>
              <w:snapToGrid w:val="0"/>
              <w:spacing w:line="480" w:lineRule="exact"/>
              <w:ind w:left="0" w:leftChars="0" w:firstLine="0" w:firstLineChars="0"/>
              <w:jc w:val="left"/>
              <w:textAlignment w:val="auto"/>
              <w:rPr>
                <w:rFonts w:hint="default"/>
                <w:b/>
                <w:bCs/>
                <w:color w:val="auto"/>
                <w:highlight w:val="none"/>
                <w:lang w:val="en-US" w:eastAsia="zh-CN"/>
              </w:rPr>
            </w:pPr>
            <w:r>
              <w:rPr>
                <w:rFonts w:hint="eastAsia"/>
                <w:b/>
                <w:bCs/>
                <w:color w:val="auto"/>
                <w:highlight w:val="none"/>
                <w:lang w:val="en-US" w:eastAsia="zh-CN"/>
              </w:rPr>
              <w:t>4</w:t>
            </w:r>
            <w:r>
              <w:rPr>
                <w:rFonts w:hint="eastAsia" w:ascii="Times New Roman" w:eastAsia="宋体"/>
                <w:b/>
                <w:bCs/>
                <w:color w:val="auto"/>
                <w:highlight w:val="none"/>
                <w:lang w:val="en-US" w:eastAsia="zh-CN"/>
              </w:rPr>
              <w:t>、与规划环境影响评价审查意见符合性分析</w:t>
            </w:r>
          </w:p>
          <w:p>
            <w:pPr>
              <w:bidi w:val="0"/>
              <w:rPr>
                <w:rFonts w:hint="eastAsia"/>
                <w:color w:val="auto"/>
                <w:highlight w:val="none"/>
                <w:lang w:eastAsia="zh-CN"/>
              </w:rPr>
            </w:pPr>
            <w:r>
              <w:rPr>
                <w:rFonts w:hint="eastAsia"/>
                <w:color w:val="auto"/>
                <w:highlight w:val="none"/>
                <w:lang w:val="en-US" w:eastAsia="zh-CN"/>
              </w:rPr>
              <w:t>根据唐山市生态环境局《关于转送唐山高新区京唐智慧港总体规划（2020-2035）环境影响报告书审查意见的函》（唐环评函[2020]42号），本项目与</w:t>
            </w:r>
            <w:r>
              <w:rPr>
                <w:rFonts w:hint="eastAsia"/>
                <w:color w:val="auto"/>
                <w:highlight w:val="none"/>
                <w:lang w:eastAsia="zh-CN"/>
              </w:rPr>
              <w:t>规划环评审查意见的符合性分析详见下表。</w:t>
            </w:r>
          </w:p>
          <w:p>
            <w:pPr>
              <w:spacing w:line="480" w:lineRule="exact"/>
              <w:jc w:val="center"/>
              <w:rPr>
                <w:rFonts w:hint="default" w:ascii="Times New Roman" w:hAnsi="Times New Roman" w:eastAsia="宋体" w:cs="Times New Roman"/>
                <w:b/>
                <w:bCs/>
                <w:color w:val="auto"/>
                <w:sz w:val="21"/>
                <w:szCs w:val="21"/>
                <w:highlight w:val="none"/>
              </w:rPr>
            </w:pPr>
          </w:p>
          <w:p>
            <w:pPr>
              <w:spacing w:line="480" w:lineRule="exact"/>
              <w:jc w:val="center"/>
              <w:rPr>
                <w:rFonts w:hint="default" w:ascii="Times New Roman" w:hAnsi="Times New Roman" w:eastAsia="宋体" w:cs="Times New Roman"/>
                <w:b/>
                <w:bCs/>
                <w:color w:val="auto"/>
                <w:sz w:val="21"/>
                <w:szCs w:val="21"/>
                <w:highlight w:val="none"/>
              </w:rPr>
            </w:pPr>
          </w:p>
          <w:p>
            <w:pPr>
              <w:spacing w:line="480" w:lineRule="exact"/>
              <w:jc w:val="center"/>
              <w:rPr>
                <w:rFonts w:hint="default" w:ascii="Times New Roman" w:hAnsi="Times New Roman" w:eastAsia="宋体" w:cs="Times New Roman"/>
                <w:b/>
                <w:bCs/>
                <w:color w:val="auto"/>
                <w:sz w:val="21"/>
                <w:szCs w:val="21"/>
                <w:highlight w:val="none"/>
              </w:rPr>
            </w:pPr>
          </w:p>
          <w:p>
            <w:pPr>
              <w:spacing w:line="480" w:lineRule="exac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本项目与</w:t>
            </w:r>
            <w:r>
              <w:rPr>
                <w:rFonts w:hint="default" w:ascii="Times New Roman" w:hAnsi="Times New Roman" w:eastAsia="宋体" w:cs="Times New Roman"/>
                <w:b/>
                <w:bCs/>
                <w:color w:val="auto"/>
                <w:sz w:val="21"/>
                <w:szCs w:val="21"/>
                <w:highlight w:val="none"/>
                <w:lang w:val="en-US" w:eastAsia="zh-CN"/>
              </w:rPr>
              <w:t xml:space="preserve">规划环评审查意见符合性一览表   </w:t>
            </w:r>
          </w:p>
          <w:tbl>
            <w:tblPr>
              <w:tblStyle w:val="23"/>
              <w:tblW w:w="731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8"/>
              <w:gridCol w:w="3703"/>
              <w:gridCol w:w="2585"/>
              <w:gridCol w:w="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9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序号</w:t>
                  </w:r>
                </w:p>
              </w:tc>
              <w:tc>
                <w:tcPr>
                  <w:tcW w:w="3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规划环评审查意见</w:t>
                  </w:r>
                </w:p>
              </w:tc>
              <w:tc>
                <w:tcPr>
                  <w:tcW w:w="25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本项目情况</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72" w:leftChars="-30" w:right="-72" w:rightChars="-3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22" w:hRule="atLeast"/>
                <w:jc w:val="center"/>
              </w:trPr>
              <w:tc>
                <w:tcPr>
                  <w:tcW w:w="298" w:type="dxa"/>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强化循环经济和低碳经济理念，贯彻清洁生产、达标排放、总量控制原则，坚持工业区建设与环境建设同步规划、同步实施、同步发展。结合当地区域经济、社会和资源环境状况，以推进生态质量改善及推动产业转型升级为目标，在环境保护与发展中贯彻保护优先的要求。</w:t>
                  </w:r>
                </w:p>
              </w:tc>
              <w:tc>
                <w:tcPr>
                  <w:tcW w:w="25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本项目污染物达标排放，进行总量控制；本项目采取合理有效的污染防治措施，对周边环境的影响较小</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298" w:type="dxa"/>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加强环境准入，推动产业转型升级和绿色发展。入区企业应符合《产业结构调整指导目录（2019年本）》、《河北省新增限制和淘汰类产业目录（2015年版）》等文件规定要求，严格落实环评报告中的空间管控和环境准入清单要求。</w:t>
                  </w:r>
                </w:p>
              </w:tc>
              <w:tc>
                <w:tcPr>
                  <w:tcW w:w="25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本</w:t>
                  </w:r>
                  <w:r>
                    <w:rPr>
                      <w:rFonts w:hint="eastAsia" w:ascii="Times New Roman" w:hAnsi="Times New Roman" w:eastAsia="宋体" w:cs="Times New Roman"/>
                      <w:color w:val="auto"/>
                      <w:kern w:val="0"/>
                      <w:sz w:val="21"/>
                      <w:szCs w:val="21"/>
                      <w:highlight w:val="none"/>
                      <w:lang w:val="en-US" w:eastAsia="zh-CN" w:bidi="ar-SA"/>
                    </w:rPr>
                    <w:t>项目不在</w:t>
                  </w:r>
                  <w:r>
                    <w:rPr>
                      <w:rFonts w:hint="default" w:ascii="Times New Roman" w:hAnsi="Times New Roman" w:eastAsia="宋体" w:cs="Times New Roman"/>
                      <w:color w:val="auto"/>
                      <w:sz w:val="21"/>
                      <w:szCs w:val="21"/>
                      <w:highlight w:val="none"/>
                      <w:lang w:val="en-US" w:eastAsia="zh-CN"/>
                    </w:rPr>
                    <w:t>《产业结构调整指导目录（2019年本）》（2021年修订）</w:t>
                  </w:r>
                  <w:r>
                    <w:rPr>
                      <w:rFonts w:hint="eastAsia" w:ascii="Times New Roman" w:hAnsi="Times New Roman" w:eastAsia="宋体" w:cs="Times New Roman"/>
                      <w:color w:val="auto"/>
                      <w:sz w:val="21"/>
                      <w:szCs w:val="21"/>
                      <w:highlight w:val="none"/>
                      <w:lang w:val="en-US" w:eastAsia="zh-CN"/>
                    </w:rPr>
                    <w:t>和《河北省新增限制和淘汰类产业目录（2015年本）》中限制类和淘汰类之列，</w:t>
                  </w:r>
                  <w:r>
                    <w:rPr>
                      <w:rFonts w:hint="default" w:ascii="Times New Roman" w:hAnsi="Times New Roman" w:eastAsia="宋体" w:cs="Times New Roman"/>
                      <w:color w:val="auto"/>
                      <w:sz w:val="21"/>
                      <w:szCs w:val="21"/>
                      <w:highlight w:val="none"/>
                      <w:vertAlign w:val="baseline"/>
                      <w:lang w:val="zh-CN" w:eastAsia="zh-CN"/>
                    </w:rPr>
                    <w:t>严格落实</w:t>
                  </w:r>
                  <w:r>
                    <w:rPr>
                      <w:rFonts w:hint="default" w:ascii="Times New Roman" w:hAnsi="Times New Roman" w:eastAsia="宋体" w:cs="Times New Roman"/>
                      <w:color w:val="auto"/>
                      <w:kern w:val="0"/>
                      <w:sz w:val="21"/>
                      <w:szCs w:val="21"/>
                      <w:highlight w:val="none"/>
                      <w:lang w:val="en-US" w:eastAsia="zh-CN" w:bidi="ar-SA"/>
                    </w:rPr>
                    <w:t>环评报告中</w:t>
                  </w:r>
                  <w:r>
                    <w:rPr>
                      <w:rFonts w:hint="eastAsia" w:ascii="Times New Roman" w:hAnsi="Times New Roman" w:eastAsia="宋体" w:cs="Times New Roman"/>
                      <w:color w:val="auto"/>
                      <w:kern w:val="0"/>
                      <w:sz w:val="21"/>
                      <w:szCs w:val="21"/>
                      <w:highlight w:val="none"/>
                      <w:lang w:val="en-US" w:eastAsia="zh-CN" w:bidi="ar-SA"/>
                    </w:rPr>
                    <w:t>的</w:t>
                  </w:r>
                  <w:r>
                    <w:rPr>
                      <w:rFonts w:hint="default" w:ascii="Times New Roman" w:hAnsi="Times New Roman" w:eastAsia="宋体" w:cs="Times New Roman"/>
                      <w:color w:val="auto"/>
                      <w:kern w:val="0"/>
                      <w:sz w:val="21"/>
                      <w:szCs w:val="21"/>
                      <w:highlight w:val="none"/>
                      <w:lang w:val="en-US" w:eastAsia="zh-CN" w:bidi="ar-SA"/>
                    </w:rPr>
                    <w:t>空间管控和</w:t>
                  </w:r>
                  <w:r>
                    <w:rPr>
                      <w:rFonts w:hint="eastAsia" w:ascii="Times New Roman" w:hAnsi="Times New Roman" w:eastAsia="宋体" w:cs="Times New Roman"/>
                      <w:color w:val="auto"/>
                      <w:kern w:val="0"/>
                      <w:sz w:val="21"/>
                      <w:szCs w:val="21"/>
                      <w:highlight w:val="none"/>
                      <w:lang w:val="en-US" w:eastAsia="zh-CN" w:bidi="ar-SA"/>
                    </w:rPr>
                    <w:t>环境准入</w:t>
                  </w:r>
                  <w:r>
                    <w:rPr>
                      <w:rFonts w:hint="default" w:ascii="Times New Roman" w:hAnsi="Times New Roman" w:eastAsia="宋体" w:cs="Times New Roman"/>
                      <w:color w:val="auto"/>
                      <w:kern w:val="0"/>
                      <w:sz w:val="21"/>
                      <w:szCs w:val="21"/>
                      <w:highlight w:val="none"/>
                      <w:lang w:val="en-US" w:eastAsia="zh-CN" w:bidi="ar-SA"/>
                    </w:rPr>
                    <w:t>清单要求</w:t>
                  </w:r>
                  <w:r>
                    <w:rPr>
                      <w:rFonts w:hint="eastAsia" w:ascii="Times New Roman" w:hAnsi="Times New Roman" w:eastAsia="宋体" w:cs="Times New Roman"/>
                      <w:color w:val="auto"/>
                      <w:sz w:val="21"/>
                      <w:szCs w:val="21"/>
                      <w:highlight w:val="none"/>
                      <w:vertAlign w:val="baseline"/>
                      <w:lang w:val="en-US" w:eastAsia="zh-CN"/>
                    </w:rPr>
                    <w:t>。</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30" w:hRule="atLeast"/>
                <w:jc w:val="center"/>
              </w:trPr>
              <w:tc>
                <w:tcPr>
                  <w:tcW w:w="298" w:type="dxa"/>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加强空间管控，优化生产空间。控制工业区边界外居民点向工业区方向发展，确保工业区内企业与敏感点保持足够的环境防护距离，减少突发事件可能对居民区产生的影响。工业区内建设禁止占用行洪河道、防护绿地等。</w:t>
                  </w:r>
                </w:p>
              </w:tc>
              <w:tc>
                <w:tcPr>
                  <w:tcW w:w="25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本项目与</w:t>
                  </w:r>
                  <w:r>
                    <w:rPr>
                      <w:rFonts w:hint="default" w:ascii="Times New Roman" w:hAnsi="Times New Roman" w:eastAsia="宋体" w:cs="Times New Roman"/>
                      <w:color w:val="auto"/>
                      <w:kern w:val="0"/>
                      <w:sz w:val="21"/>
                      <w:szCs w:val="21"/>
                      <w:highlight w:val="none"/>
                      <w:lang w:val="en-US" w:eastAsia="zh-CN" w:bidi="ar"/>
                    </w:rPr>
                    <w:t>敏感点保持足够的环境防护距离</w:t>
                  </w:r>
                  <w:r>
                    <w:rPr>
                      <w:rFonts w:hint="eastAsia" w:ascii="Times New Roman" w:hAnsi="Times New Roman" w:eastAsia="宋体" w:cs="Times New Roman"/>
                      <w:color w:val="auto"/>
                      <w:kern w:val="0"/>
                      <w:sz w:val="21"/>
                      <w:szCs w:val="21"/>
                      <w:highlight w:val="none"/>
                      <w:lang w:val="en-US" w:eastAsia="zh-CN" w:bidi="ar"/>
                    </w:rPr>
                    <w:t>，采取风险防范措施，突发事件不会对居民区产生影响。</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3" w:hRule="atLeast"/>
                <w:jc w:val="center"/>
              </w:trPr>
              <w:tc>
                <w:tcPr>
                  <w:tcW w:w="298" w:type="dxa"/>
                  <w:noWrap w:val="0"/>
                  <w:vAlign w:val="center"/>
                </w:tcPr>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370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加强规划环评与项目环评联动，切实发挥规划和项目环评预防环境污染和生态破坏的作用。建设项目环评文件应落实规划环评提出的各项要求，区域环境概况、选址符合性分析、环境管理与环境质量监测内容可适当简化；重点开展工程分析、环保措施的可行性论证，并关注工业区基础设施保障能力，强化环境监测和环境保护相关措施的落实。</w:t>
                  </w:r>
                </w:p>
              </w:tc>
              <w:tc>
                <w:tcPr>
                  <w:tcW w:w="258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本项目进行了</w:t>
                  </w:r>
                  <w:r>
                    <w:rPr>
                      <w:rFonts w:hint="default" w:ascii="Times New Roman" w:hAnsi="Times New Roman" w:eastAsia="宋体" w:cs="Times New Roman"/>
                      <w:color w:val="auto"/>
                      <w:kern w:val="0"/>
                      <w:sz w:val="21"/>
                      <w:szCs w:val="21"/>
                      <w:highlight w:val="none"/>
                      <w:lang w:val="en-US" w:eastAsia="zh-CN" w:bidi="ar-SA"/>
                    </w:rPr>
                    <w:t>工程分析，环保措施的可行性论证</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sz w:val="21"/>
                      <w:szCs w:val="21"/>
                      <w:highlight w:val="none"/>
                      <w:vertAlign w:val="baseline"/>
                      <w:lang w:val="en-US" w:eastAsia="zh-CN"/>
                    </w:rPr>
                    <w:t>制定了自行监测计划，</w:t>
                  </w:r>
                  <w:r>
                    <w:rPr>
                      <w:rFonts w:hint="eastAsia" w:ascii="Times New Roman" w:hAnsi="Times New Roman" w:eastAsia="宋体" w:cs="Times New Roman"/>
                      <w:color w:val="auto"/>
                      <w:sz w:val="21"/>
                      <w:szCs w:val="21"/>
                      <w:highlight w:val="none"/>
                      <w:vertAlign w:val="baseline"/>
                      <w:lang w:eastAsia="zh-CN"/>
                    </w:rPr>
                    <w:t>落实了相关要求。</w:t>
                  </w:r>
                </w:p>
              </w:tc>
              <w:tc>
                <w:tcPr>
                  <w:tcW w:w="72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w:t>
                  </w:r>
                </w:p>
              </w:tc>
            </w:tr>
          </w:tbl>
          <w:p>
            <w:pPr>
              <w:bidi w:val="0"/>
              <w:rPr>
                <w:rFonts w:hint="eastAsia"/>
                <w:color w:val="auto"/>
                <w:highlight w:val="none"/>
                <w:lang w:val="en-US" w:eastAsia="zh-CN"/>
              </w:rPr>
            </w:pPr>
            <w:r>
              <w:rPr>
                <w:rFonts w:hint="eastAsia"/>
                <w:color w:val="auto"/>
                <w:highlight w:val="none"/>
                <w:lang w:val="en-US" w:eastAsia="zh-CN"/>
              </w:rPr>
              <w:t>由上表可知，本项目的建设符合《关于转送唐山高新区京唐智慧港总体规划（2020-2035）环境影响报告书审查意见的函》（唐环评函[2020]42号）要求。</w:t>
            </w:r>
          </w:p>
          <w:p>
            <w:pPr>
              <w:bidi w:val="0"/>
              <w:rPr>
                <w:rFonts w:hint="eastAsia"/>
                <w:color w:val="auto"/>
                <w:highlight w:val="none"/>
                <w:lang w:val="en-US" w:eastAsia="zh-CN"/>
              </w:rPr>
            </w:pPr>
          </w:p>
          <w:p>
            <w:pPr>
              <w:bidi w:val="0"/>
              <w:rPr>
                <w:rFonts w:hint="default"/>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7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其他符合性分析</w:t>
            </w:r>
          </w:p>
        </w:tc>
        <w:tc>
          <w:tcPr>
            <w:tcW w:w="7500" w:type="dxa"/>
            <w:gridSpan w:val="3"/>
            <w:noWrap w:val="0"/>
            <w:vAlign w:val="center"/>
          </w:tcPr>
          <w:p>
            <w:pPr>
              <w:pStyle w:val="20"/>
              <w:keepNext w:val="0"/>
              <w:keepLines w:val="0"/>
              <w:pageBreakBefore w:val="0"/>
              <w:widowControl w:val="0"/>
              <w:suppressLineNumbers w:val="0"/>
              <w:kinsoku/>
              <w:wordWrap/>
              <w:overflowPunct/>
              <w:topLinePunct w:val="0"/>
              <w:bidi w:val="0"/>
              <w:snapToGrid/>
              <w:spacing w:before="0" w:beforeAutospacing="0" w:after="0" w:afterAutospacing="0" w:line="480" w:lineRule="exact"/>
              <w:ind w:left="0" w:leftChars="0" w:right="0" w:firstLine="0" w:firstLineChars="0"/>
              <w:jc w:val="both"/>
              <w:textAlignment w:val="auto"/>
              <w:rPr>
                <w:rFonts w:hint="default" w:ascii="Times New Roman" w:hAnsi="Times New Roman" w:cs="Times New Roman"/>
                <w:b/>
                <w:bCs w:val="0"/>
                <w:color w:val="auto"/>
                <w:sz w:val="24"/>
                <w:szCs w:val="24"/>
                <w:highlight w:val="none"/>
              </w:rPr>
            </w:pPr>
            <w:r>
              <w:rPr>
                <w:rFonts w:hint="eastAsia" w:ascii="Times New Roman" w:hAnsi="Times New Roman" w:cs="Times New Roman"/>
                <w:b/>
                <w:bCs w:val="0"/>
                <w:color w:val="auto"/>
                <w:kern w:val="2"/>
                <w:sz w:val="24"/>
                <w:szCs w:val="24"/>
                <w:highlight w:val="none"/>
                <w:lang w:val="en-US" w:eastAsia="zh-CN" w:bidi="ar"/>
              </w:rPr>
              <w:t>1、产业政策</w:t>
            </w:r>
            <w:r>
              <w:rPr>
                <w:rFonts w:hint="default" w:ascii="Times New Roman" w:hAnsi="Times New Roman" w:cs="Times New Roman"/>
                <w:b/>
                <w:bCs w:val="0"/>
                <w:color w:val="auto"/>
                <w:kern w:val="2"/>
                <w:sz w:val="24"/>
                <w:szCs w:val="24"/>
                <w:highlight w:val="none"/>
                <w:lang w:bidi="ar"/>
              </w:rPr>
              <w:t>相符性分析</w:t>
            </w:r>
          </w:p>
          <w:p>
            <w:pPr>
              <w:keepNext w:val="0"/>
              <w:keepLines w:val="0"/>
              <w:pageBreakBefore w:val="0"/>
              <w:widowControl w:val="0"/>
              <w:tabs>
                <w:tab w:val="left" w:pos="3150"/>
              </w:tabs>
              <w:kinsoku/>
              <w:wordWrap/>
              <w:overflowPunct/>
              <w:topLinePunct w:val="0"/>
              <w:bidi w:val="0"/>
              <w:spacing w:line="480" w:lineRule="exact"/>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color w:val="auto"/>
                <w:sz w:val="24"/>
                <w:highlight w:val="none"/>
              </w:rPr>
              <w:t>本项目</w:t>
            </w:r>
            <w:r>
              <w:rPr>
                <w:rFonts w:ascii="Times New Roman" w:hAnsi="Times New Roman" w:eastAsia="宋体" w:cs="Times New Roman"/>
                <w:color w:val="auto"/>
                <w:sz w:val="24"/>
                <w:highlight w:val="none"/>
              </w:rPr>
              <w:t>不</w:t>
            </w:r>
            <w:r>
              <w:rPr>
                <w:rFonts w:hint="eastAsia" w:ascii="Times New Roman" w:hAnsi="Times New Roman" w:eastAsia="宋体" w:cs="Times New Roman"/>
                <w:color w:val="auto"/>
                <w:sz w:val="24"/>
                <w:highlight w:val="none"/>
                <w:lang w:val="en-US" w:eastAsia="zh-CN"/>
              </w:rPr>
              <w:t>属于</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河北省禁止投资的产业目录（2014年版）</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中禁止投资的产业项目；不属于《市场准入负面清单（202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年版）》中禁止类项目；</w:t>
            </w:r>
            <w:r>
              <w:rPr>
                <w:rFonts w:hint="eastAsia" w:cs="Times New Roman"/>
                <w:color w:val="auto"/>
                <w:sz w:val="24"/>
                <w:highlight w:val="none"/>
                <w:lang w:val="en-US" w:eastAsia="zh-CN"/>
              </w:rPr>
              <w:t>属于</w:t>
            </w:r>
            <w:r>
              <w:rPr>
                <w:rFonts w:ascii="Times New Roman" w:hAnsi="Times New Roman" w:eastAsia="宋体" w:cs="Times New Roman"/>
                <w:color w:val="auto"/>
                <w:sz w:val="24"/>
                <w:highlight w:val="none"/>
              </w:rPr>
              <w:t>《产业结构调整指导目录（201</w:t>
            </w:r>
            <w:r>
              <w:rPr>
                <w:rFonts w:hint="eastAsia" w:ascii="Times New Roman" w:hAnsi="Times New Roman" w:eastAsia="宋体" w:cs="Times New Roman"/>
                <w:color w:val="auto"/>
                <w:sz w:val="24"/>
                <w:highlight w:val="none"/>
              </w:rPr>
              <w:t>9</w:t>
            </w:r>
            <w:r>
              <w:rPr>
                <w:rFonts w:ascii="Times New Roman" w:hAnsi="Times New Roman" w:eastAsia="宋体" w:cs="Times New Roman"/>
                <w:color w:val="auto"/>
                <w:sz w:val="24"/>
                <w:highlight w:val="none"/>
              </w:rPr>
              <w:t>年本）》</w:t>
            </w:r>
            <w:r>
              <w:rPr>
                <w:rFonts w:hint="eastAsia" w:cs="Times New Roman"/>
                <w:color w:val="auto"/>
                <w:sz w:val="24"/>
                <w:highlight w:val="none"/>
                <w:lang w:eastAsia="zh-CN"/>
              </w:rPr>
              <w:t>（</w:t>
            </w:r>
            <w:r>
              <w:rPr>
                <w:rFonts w:hint="eastAsia" w:cs="Times New Roman"/>
                <w:color w:val="auto"/>
                <w:sz w:val="24"/>
                <w:highlight w:val="none"/>
                <w:lang w:val="en-US" w:eastAsia="zh-CN"/>
              </w:rPr>
              <w:t>2021年修订</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鼓励类</w:t>
            </w:r>
            <w:r>
              <w:rPr>
                <w:rFonts w:hint="eastAsia" w:cs="Times New Roman"/>
                <w:color w:val="auto"/>
                <w:sz w:val="24"/>
                <w:highlight w:val="none"/>
                <w:lang w:val="en-US" w:eastAsia="zh-CN"/>
              </w:rPr>
              <w:t>四十三、环境保护与资源节约综合利用中“三废”综合利用与治理技术、装备和过程</w:t>
            </w:r>
            <w:r>
              <w:rPr>
                <w:rFonts w:hint="eastAsia" w:ascii="Times New Roman" w:hAnsi="Times New Roman" w:eastAsia="宋体" w:cs="Times New Roman"/>
                <w:color w:val="auto"/>
                <w:sz w:val="24"/>
                <w:highlight w:val="none"/>
                <w:lang w:val="en-US" w:eastAsia="zh-CN"/>
              </w:rPr>
              <w:t>项目</w:t>
            </w:r>
            <w:r>
              <w:rPr>
                <w:rFonts w:ascii="Times New Roman" w:hAnsi="Times New Roman" w:eastAsia="宋体" w:cs="Times New Roman"/>
                <w:color w:val="auto"/>
                <w:sz w:val="24"/>
                <w:highlight w:val="none"/>
              </w:rPr>
              <w:t>，同时不在《河北省新增限制和淘汰类产业目录》</w:t>
            </w:r>
            <w:r>
              <w:rPr>
                <w:rFonts w:hint="eastAsia" w:cs="Times New Roman"/>
                <w:color w:val="auto"/>
                <w:sz w:val="24"/>
                <w:highlight w:val="none"/>
                <w:lang w:eastAsia="zh-CN"/>
              </w:rPr>
              <w:t>（</w:t>
            </w:r>
            <w:r>
              <w:rPr>
                <w:rFonts w:hint="eastAsia" w:cs="Times New Roman"/>
                <w:color w:val="auto"/>
                <w:sz w:val="24"/>
                <w:highlight w:val="none"/>
                <w:lang w:val="en-US" w:eastAsia="zh-CN"/>
              </w:rPr>
              <w:t>2015年版</w:t>
            </w:r>
            <w:r>
              <w:rPr>
                <w:rFonts w:hint="eastAsia" w:cs="Times New Roman"/>
                <w:color w:val="auto"/>
                <w:sz w:val="24"/>
                <w:highlight w:val="none"/>
                <w:lang w:eastAsia="zh-CN"/>
              </w:rPr>
              <w:t>）</w:t>
            </w:r>
            <w:r>
              <w:rPr>
                <w:rFonts w:ascii="Times New Roman" w:hAnsi="Times New Roman" w:eastAsia="宋体" w:cs="Times New Roman"/>
                <w:color w:val="auto"/>
                <w:sz w:val="24"/>
                <w:highlight w:val="none"/>
              </w:rPr>
              <w:t>之内</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并</w:t>
            </w:r>
            <w:r>
              <w:rPr>
                <w:rFonts w:hint="eastAsia" w:ascii="Times New Roman" w:eastAsia="宋体"/>
                <w:color w:val="auto"/>
                <w:sz w:val="24"/>
                <w:szCs w:val="24"/>
                <w:highlight w:val="none"/>
                <w:lang w:val="en-US" w:eastAsia="zh-CN"/>
              </w:rPr>
              <w:t>且本项目已通过</w:t>
            </w:r>
            <w:r>
              <w:rPr>
                <w:rFonts w:hint="eastAsia"/>
                <w:color w:val="auto"/>
                <w:sz w:val="24"/>
                <w:szCs w:val="24"/>
                <w:highlight w:val="none"/>
                <w:lang w:val="en-US" w:eastAsia="zh-CN"/>
              </w:rPr>
              <w:t>唐山高新技术产业开发区行政审批局</w:t>
            </w:r>
            <w:r>
              <w:rPr>
                <w:rFonts w:hint="eastAsia" w:ascii="Times New Roman" w:eastAsia="宋体"/>
                <w:color w:val="auto"/>
                <w:sz w:val="24"/>
                <w:szCs w:val="24"/>
                <w:highlight w:val="none"/>
                <w:lang w:val="en-US" w:eastAsia="zh-CN"/>
              </w:rPr>
              <w:t>备案（</w:t>
            </w:r>
            <w:r>
              <w:rPr>
                <w:rFonts w:hint="eastAsia"/>
                <w:color w:val="auto"/>
                <w:sz w:val="24"/>
                <w:szCs w:val="24"/>
                <w:highlight w:val="none"/>
                <w:lang w:val="en-US" w:eastAsia="zh-CN"/>
              </w:rPr>
              <w:t>唐高备字[2023]35号</w:t>
            </w:r>
            <w:r>
              <w:rPr>
                <w:rFonts w:hint="eastAsia" w:ascii="Times New Roman" w:eastAsia="宋体"/>
                <w:color w:val="auto"/>
                <w:sz w:val="24"/>
                <w:szCs w:val="24"/>
                <w:highlight w:val="none"/>
                <w:lang w:val="en-US" w:eastAsia="zh-CN"/>
              </w:rPr>
              <w:t>），因此，本项目符合国家</w:t>
            </w:r>
            <w:r>
              <w:rPr>
                <w:rFonts w:hint="eastAsia"/>
                <w:color w:val="auto"/>
                <w:sz w:val="24"/>
                <w:szCs w:val="24"/>
                <w:highlight w:val="none"/>
                <w:lang w:val="en-US" w:eastAsia="zh-CN"/>
              </w:rPr>
              <w:t>及地方</w:t>
            </w:r>
            <w:r>
              <w:rPr>
                <w:rFonts w:hint="eastAsia" w:ascii="Times New Roman" w:eastAsia="宋体"/>
                <w:color w:val="auto"/>
                <w:sz w:val="24"/>
                <w:szCs w:val="24"/>
                <w:highlight w:val="none"/>
                <w:lang w:val="en-US" w:eastAsia="zh-CN"/>
              </w:rPr>
              <w:t>产业政策。</w:t>
            </w:r>
          </w:p>
          <w:p>
            <w:pPr>
              <w:numPr>
                <w:ilvl w:val="0"/>
                <w:numId w:val="0"/>
              </w:numPr>
              <w:ind w:leftChars="0"/>
              <w:rPr>
                <w:rFonts w:hint="default" w:ascii="Times New Roman" w:hAnsi="Times New Roman" w:cs="Times New Roman"/>
                <w:b/>
                <w:bCs/>
                <w:smallCaps w:val="0"/>
                <w:color w:val="auto"/>
                <w:spacing w:val="0"/>
                <w:position w:val="0"/>
                <w:sz w:val="24"/>
                <w:szCs w:val="24"/>
                <w:highlight w:val="none"/>
                <w:lang w:val="en-US" w:eastAsia="zh-CN"/>
              </w:rPr>
            </w:pPr>
            <w:r>
              <w:rPr>
                <w:rFonts w:hint="eastAsia" w:ascii="Times New Roman" w:hAnsi="Times New Roman" w:cs="Times New Roman"/>
                <w:b/>
                <w:bCs/>
                <w:smallCaps w:val="0"/>
                <w:color w:val="auto"/>
                <w:spacing w:val="0"/>
                <w:position w:val="0"/>
                <w:sz w:val="24"/>
                <w:szCs w:val="24"/>
                <w:highlight w:val="none"/>
                <w:lang w:val="en-US" w:eastAsia="zh-CN"/>
              </w:rPr>
              <w:t>2、</w:t>
            </w:r>
            <w:r>
              <w:rPr>
                <w:rFonts w:hint="eastAsia" w:cs="Times New Roman"/>
                <w:b/>
                <w:bCs/>
                <w:smallCaps w:val="0"/>
                <w:color w:val="auto"/>
                <w:spacing w:val="0"/>
                <w:position w:val="0"/>
                <w:sz w:val="24"/>
                <w:szCs w:val="24"/>
                <w:highlight w:val="none"/>
                <w:lang w:val="en-US" w:eastAsia="zh-CN"/>
              </w:rPr>
              <w:t>项目选址合理性分析</w:t>
            </w:r>
          </w:p>
          <w:p>
            <w:pPr>
              <w:bidi w:val="0"/>
              <w:rPr>
                <w:rFonts w:hint="default"/>
                <w:color w:val="auto"/>
                <w:highlight w:val="none"/>
                <w:lang w:val="en-US" w:eastAsia="zh-CN"/>
              </w:rPr>
            </w:pPr>
            <w:r>
              <w:rPr>
                <w:rFonts w:hint="eastAsia"/>
                <w:color w:val="auto"/>
                <w:highlight w:val="none"/>
                <w:lang w:val="zh-CN"/>
              </w:rPr>
              <w:t>（</w:t>
            </w:r>
            <w:r>
              <w:rPr>
                <w:rFonts w:hint="eastAsia"/>
                <w:color w:val="auto"/>
                <w:highlight w:val="none"/>
                <w:lang w:val="en-US" w:eastAsia="zh-CN"/>
              </w:rPr>
              <w:t>1</w:t>
            </w:r>
            <w:r>
              <w:rPr>
                <w:rFonts w:hint="eastAsia"/>
                <w:color w:val="auto"/>
                <w:highlight w:val="none"/>
                <w:lang w:val="zh-CN"/>
              </w:rPr>
              <w:t>）</w:t>
            </w:r>
            <w:r>
              <w:rPr>
                <w:rFonts w:hint="eastAsia"/>
                <w:color w:val="auto"/>
                <w:highlight w:val="none"/>
                <w:lang w:val="en-US" w:eastAsia="zh-CN"/>
              </w:rPr>
              <w:t>规划符合性分析</w:t>
            </w:r>
          </w:p>
          <w:p>
            <w:pPr>
              <w:bidi w:val="0"/>
              <w:rPr>
                <w:rFonts w:hint="default" w:ascii="Times New Roman" w:hAnsi="Times New Roman" w:eastAsia="宋体" w:cs="Times New Roman"/>
                <w:color w:val="auto"/>
                <w:sz w:val="24"/>
                <w:szCs w:val="24"/>
                <w:highlight w:val="none"/>
                <w:lang w:val="en-US"/>
              </w:rPr>
            </w:pPr>
            <w:r>
              <w:rPr>
                <w:rFonts w:hint="eastAsia"/>
                <w:color w:val="auto"/>
                <w:highlight w:val="none"/>
                <w:lang w:val="en-US" w:eastAsia="zh-CN"/>
              </w:rPr>
              <w:t>本项目</w:t>
            </w:r>
            <w:r>
              <w:rPr>
                <w:rFonts w:hint="eastAsia" w:cs="Times New Roman"/>
                <w:color w:val="auto"/>
                <w:kern w:val="0"/>
                <w:sz w:val="24"/>
                <w:szCs w:val="24"/>
                <w:highlight w:val="none"/>
                <w:lang w:val="en-US" w:eastAsia="zh-CN"/>
              </w:rPr>
              <w:t>租赁唐山景益通用设备制造设备有限公司厂房及空地进行建设，根据建设单位提供土地证（冀（2023）高新区不动产权第0000157号）可知，本项目用地性质为工业用地，符合用地性质。</w:t>
            </w:r>
            <w:r>
              <w:rPr>
                <w:rFonts w:hint="default"/>
                <w:color w:val="auto"/>
                <w:highlight w:val="none"/>
                <w:lang w:eastAsia="zh-CN"/>
              </w:rPr>
              <w:t>本项目位于</w:t>
            </w:r>
            <w:r>
              <w:rPr>
                <w:rFonts w:hint="eastAsia"/>
                <w:color w:val="auto"/>
                <w:highlight w:val="none"/>
                <w:lang w:val="en-US" w:eastAsia="zh-CN"/>
              </w:rPr>
              <w:t>产业园区南部区域的东部</w:t>
            </w:r>
            <w:r>
              <w:rPr>
                <w:rFonts w:hint="default"/>
                <w:color w:val="auto"/>
                <w:highlight w:val="none"/>
                <w:lang w:eastAsia="zh-CN"/>
              </w:rPr>
              <w:t>，</w:t>
            </w:r>
            <w:r>
              <w:rPr>
                <w:rFonts w:hint="eastAsia"/>
                <w:color w:val="auto"/>
                <w:highlight w:val="none"/>
                <w:lang w:val="en-US" w:eastAsia="zh-CN"/>
              </w:rPr>
              <w:t>功能区划为现代化新型社区，规划行业为以居住、公服配套为主要功能。本项目主要对建筑垃圾进行处理，属于国民经济行业类别中的N7723固体废物治理业和</w:t>
            </w:r>
            <w:r>
              <w:rPr>
                <w:rFonts w:hint="eastAsia" w:cs="Times New Roman"/>
                <w:color w:val="auto"/>
                <w:highlight w:val="none"/>
                <w:lang w:val="en-US" w:eastAsia="zh-CN"/>
              </w:rPr>
              <w:t>C3039其他建筑材料制造业</w:t>
            </w:r>
            <w:r>
              <w:rPr>
                <w:rFonts w:hint="eastAsia"/>
                <w:color w:val="auto"/>
                <w:highlight w:val="none"/>
                <w:lang w:val="en-US" w:eastAsia="zh-CN"/>
              </w:rPr>
              <w:t>，项目原料主要来源于园区基础设施建设、规划项目的厂房建设及村庄拆迁等产生的建设垃圾，本项目建成后可及时有效消纳园区发展过程产生的建筑垃圾，使园区内建筑垃圾可及时清运，减少堆存过程产生的扬尘污染；项目生产的石碴、再生细骨料主要用于园区内基础设施建设、规划项目的厂房建设及现代化新型社区建设，为园区提供公服配套服务。因此，本项目符合园区发展定位要求，符合园区规划。</w:t>
            </w:r>
          </w:p>
          <w:p>
            <w:pPr>
              <w:bidi w:val="0"/>
              <w:rPr>
                <w:rFonts w:hint="default"/>
                <w:color w:val="auto"/>
                <w:highlight w:val="none"/>
                <w:lang w:val="en-US" w:eastAsia="zh-CN"/>
              </w:rPr>
            </w:pPr>
            <w:r>
              <w:rPr>
                <w:rFonts w:hint="eastAsia"/>
                <w:color w:val="auto"/>
                <w:highlight w:val="none"/>
                <w:lang w:val="zh-CN"/>
              </w:rPr>
              <w:t>（</w:t>
            </w:r>
            <w:r>
              <w:rPr>
                <w:rFonts w:hint="eastAsia"/>
                <w:color w:val="auto"/>
                <w:highlight w:val="none"/>
                <w:lang w:val="en-US" w:eastAsia="zh-CN"/>
              </w:rPr>
              <w:t>2</w:t>
            </w:r>
            <w:r>
              <w:rPr>
                <w:rFonts w:hint="eastAsia"/>
                <w:color w:val="auto"/>
                <w:highlight w:val="none"/>
                <w:lang w:val="zh-CN"/>
              </w:rPr>
              <w:t>）</w:t>
            </w:r>
            <w:r>
              <w:rPr>
                <w:rFonts w:hint="eastAsia"/>
                <w:color w:val="auto"/>
                <w:highlight w:val="none"/>
                <w:lang w:val="en-US" w:eastAsia="zh-CN"/>
              </w:rPr>
              <w:t>选址符合性分析</w:t>
            </w:r>
          </w:p>
          <w:p>
            <w:pPr>
              <w:bidi w:val="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val="zh-CN"/>
              </w:rPr>
              <w:t>项目所在区域环境空气质量执行《环境空气质量标准》（GB3095-2012）中二级标准及其修改单；声环境质量执行《声环境质量标准》（GB3096-2008）</w:t>
            </w:r>
            <w:r>
              <w:rPr>
                <w:rFonts w:hint="eastAsia" w:cs="Times New Roman"/>
                <w:color w:val="auto"/>
                <w:sz w:val="24"/>
                <w:szCs w:val="24"/>
                <w:highlight w:val="none"/>
                <w:lang w:val="en-US" w:eastAsia="zh-CN"/>
              </w:rPr>
              <w:t>2</w:t>
            </w:r>
            <w:r>
              <w:rPr>
                <w:rFonts w:ascii="Times New Roman" w:hAnsi="Times New Roman" w:eastAsia="宋体" w:cs="Times New Roman"/>
                <w:color w:val="auto"/>
                <w:sz w:val="24"/>
                <w:szCs w:val="24"/>
                <w:highlight w:val="none"/>
                <w:lang w:val="zh-CN"/>
              </w:rPr>
              <w:t>类区标准。</w:t>
            </w:r>
            <w:r>
              <w:rPr>
                <w:rFonts w:ascii="Times New Roman" w:hAnsi="Times New Roman" w:eastAsia="宋体" w:cs="Times New Roman"/>
                <w:color w:val="auto"/>
                <w:sz w:val="24"/>
                <w:szCs w:val="24"/>
                <w:highlight w:val="none"/>
              </w:rPr>
              <w:t>项目所在区域环境空气属于不达标区，根据</w:t>
            </w:r>
            <w:r>
              <w:rPr>
                <w:rFonts w:hint="eastAsia" w:cs="Times New Roman"/>
                <w:color w:val="auto"/>
                <w:sz w:val="24"/>
                <w:szCs w:val="24"/>
                <w:highlight w:val="none"/>
                <w:lang w:eastAsia="zh-CN"/>
              </w:rPr>
              <w:t>《京津冀及周边地区、汾渭平原2020—2021年秋冬季大气污染综合治理攻坚行动方案》、《唐山市2023年第一季度大气污染综合治理工作方案》</w:t>
            </w:r>
            <w:r>
              <w:rPr>
                <w:rFonts w:hint="default" w:ascii="Times New Roman" w:hAnsi="Times New Roman" w:eastAsia="宋体" w:cs="Times New Roman"/>
                <w:color w:val="auto"/>
                <w:sz w:val="24"/>
                <w:szCs w:val="24"/>
                <w:highlight w:val="none"/>
                <w:lang w:val="en-US" w:eastAsia="zh-CN"/>
              </w:rPr>
              <w:t>可知，按照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分级、分类、分区域、分气象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原则，实施精准治理、精细管控，做到问题、时间、区位、对象和措施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五个精准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，推动大气环境质量持续有效改善，项目所在区域空气质量将会逐步得到改善</w:t>
            </w:r>
            <w:r>
              <w:rPr>
                <w:rFonts w:hint="default" w:ascii="Times New Roman" w:hAnsi="Times New Roman" w:eastAsia="宋体" w:cs="Times New Roman"/>
                <w:color w:val="auto"/>
                <w:kern w:val="0"/>
                <w:sz w:val="24"/>
                <w:szCs w:val="24"/>
                <w:highlight w:val="none"/>
              </w:rPr>
              <w:t>。</w:t>
            </w:r>
          </w:p>
          <w:p>
            <w:pPr>
              <w:bidi w:val="0"/>
              <w:rPr>
                <w:rFonts w:hint="default"/>
                <w:color w:val="auto"/>
                <w:highlight w:val="none"/>
                <w:lang w:val="en-US" w:eastAsia="zh-CN"/>
              </w:rPr>
            </w:pPr>
            <w:r>
              <w:rPr>
                <w:rFonts w:hint="eastAsia"/>
                <w:color w:val="auto"/>
                <w:highlight w:val="none"/>
                <w:lang w:val="en-US" w:eastAsia="zh-CN"/>
              </w:rPr>
              <w:t>本</w:t>
            </w:r>
            <w:r>
              <w:rPr>
                <w:rFonts w:hint="default"/>
                <w:color w:val="auto"/>
                <w:highlight w:val="none"/>
                <w:lang w:val="en-US" w:eastAsia="zh-CN"/>
              </w:rPr>
              <w:t>项目不在河北省生态保护红线区范围内，评价范围内无自然保护区、重点文物、风景名胜等需特殊保护区域，</w:t>
            </w:r>
            <w:r>
              <w:rPr>
                <w:rFonts w:hint="eastAsia"/>
                <w:color w:val="auto"/>
                <w:highlight w:val="none"/>
                <w:lang w:val="en-US" w:eastAsia="zh-CN"/>
              </w:rPr>
              <w:t>项目厂界外500m范围内的大气环境保护目标为西侧125m处的三女河敬老院，西北侧130m、西南侧275m处的姚家庄回迁区（在建），245m处的港东铭郡小区，东北侧265m处的姚家庄村居民区，东南侧160m处的杨信庄村居民区</w:t>
            </w:r>
            <w:r>
              <w:rPr>
                <w:rFonts w:hint="eastAsia"/>
                <w:color w:val="auto"/>
                <w:highlight w:val="none"/>
                <w:lang w:eastAsia="zh-CN"/>
              </w:rPr>
              <w:t>。</w:t>
            </w:r>
            <w:r>
              <w:rPr>
                <w:color w:val="auto"/>
                <w:highlight w:val="none"/>
                <w:lang w:val="zh-CN"/>
              </w:rPr>
              <w:t>采取环评提出的各项</w:t>
            </w:r>
            <w:r>
              <w:rPr>
                <w:rFonts w:hint="eastAsia"/>
                <w:color w:val="auto"/>
                <w:highlight w:val="none"/>
                <w:lang w:val="en-US" w:eastAsia="zh-CN"/>
              </w:rPr>
              <w:t>污染防治</w:t>
            </w:r>
            <w:r>
              <w:rPr>
                <w:color w:val="auto"/>
                <w:highlight w:val="none"/>
                <w:lang w:val="zh-CN"/>
              </w:rPr>
              <w:t>措施</w:t>
            </w:r>
            <w:r>
              <w:rPr>
                <w:rFonts w:hint="eastAsia"/>
                <w:color w:val="auto"/>
                <w:highlight w:val="none"/>
                <w:lang w:val="en-US" w:eastAsia="zh-CN"/>
              </w:rPr>
              <w:t>后</w:t>
            </w:r>
            <w:r>
              <w:rPr>
                <w:color w:val="auto"/>
                <w:highlight w:val="none"/>
                <w:lang w:val="zh-CN"/>
              </w:rPr>
              <w:t>，项目的实施不会对</w:t>
            </w:r>
            <w:r>
              <w:rPr>
                <w:rFonts w:hint="eastAsia"/>
                <w:color w:val="auto"/>
                <w:highlight w:val="none"/>
                <w:lang w:val="en-US" w:eastAsia="zh-CN"/>
              </w:rPr>
              <w:t>环境保护目标</w:t>
            </w:r>
            <w:r>
              <w:rPr>
                <w:color w:val="auto"/>
                <w:highlight w:val="none"/>
                <w:lang w:val="zh-CN"/>
              </w:rPr>
              <w:t>产生影响</w:t>
            </w:r>
            <w:r>
              <w:rPr>
                <w:color w:val="auto"/>
                <w:highlight w:val="none"/>
              </w:rPr>
              <w:t>。</w:t>
            </w:r>
            <w:r>
              <w:rPr>
                <w:rFonts w:hint="eastAsia"/>
                <w:color w:val="auto"/>
                <w:highlight w:val="none"/>
                <w:lang w:val="en-US" w:eastAsia="zh-CN"/>
              </w:rPr>
              <w:t>因此，本项目选址合理。</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ascii="Times New Roman" w:eastAsia="宋体"/>
                <w:b/>
                <w:bCs/>
                <w:color w:val="auto"/>
                <w:sz w:val="24"/>
                <w:szCs w:val="24"/>
                <w:highlight w:val="none"/>
                <w:lang w:val="en-US" w:eastAsia="zh-CN"/>
              </w:rPr>
              <w:t>3、与“</w:t>
            </w:r>
            <w:r>
              <w:rPr>
                <w:rFonts w:hint="default"/>
                <w:b/>
                <w:bCs/>
                <w:color w:val="auto"/>
                <w:sz w:val="24"/>
                <w:szCs w:val="24"/>
                <w:highlight w:val="none"/>
              </w:rPr>
              <w:t>三线一单</w:t>
            </w:r>
            <w:r>
              <w:rPr>
                <w:rFonts w:hint="eastAsia" w:ascii="Times New Roman" w:eastAsia="宋体"/>
                <w:b/>
                <w:bCs/>
                <w:color w:val="auto"/>
                <w:sz w:val="24"/>
                <w:szCs w:val="24"/>
                <w:highlight w:val="none"/>
                <w:lang w:val="en-US" w:eastAsia="zh-CN"/>
              </w:rPr>
              <w:t>”</w:t>
            </w:r>
            <w:r>
              <w:rPr>
                <w:rFonts w:hint="default"/>
                <w:b/>
                <w:bCs/>
                <w:color w:val="auto"/>
                <w:sz w:val="24"/>
                <w:szCs w:val="24"/>
                <w:highlight w:val="none"/>
              </w:rPr>
              <w:t>相符性分析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根据《关于以改善环境质量为核心加强环境影响评价管理的通知》</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环环评[2016]150号</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，要求以生态保护红线、环境质量底线、资源利用上线和环境准入负面清单（以下简称</w:t>
            </w:r>
            <w:r>
              <w:rPr>
                <w:rFonts w:hint="eastAsia" w:ascii="宋体" w:hAnsi="宋体" w:eastAsia="宋体" w:cs="宋体"/>
                <w:color w:val="auto"/>
                <w:highlight w:val="none"/>
              </w:rPr>
              <w:t>“三线一单”</w:t>
            </w:r>
            <w:r>
              <w:rPr>
                <w:rFonts w:hint="default" w:ascii="Times New Roman" w:hAnsi="Times New Roman" w:eastAsia="宋体" w:cs="Times New Roman"/>
                <w:color w:val="auto"/>
                <w:highlight w:val="none"/>
              </w:rPr>
              <w:t>）为手段，强化空间、总量和准入环境管理。本项目建设与上述要求的符合性分析如下：</w:t>
            </w:r>
          </w:p>
          <w:p>
            <w:pPr>
              <w:bidi w:val="0"/>
              <w:rPr>
                <w:rFonts w:hint="default"/>
                <w:color w:val="auto"/>
                <w:highlight w:val="none"/>
              </w:rPr>
            </w:pPr>
            <w:r>
              <w:rPr>
                <w:rFonts w:hint="eastAsia"/>
                <w:color w:val="auto"/>
                <w:highlight w:val="none"/>
              </w:rPr>
              <w:t>（1）</w:t>
            </w:r>
            <w:r>
              <w:rPr>
                <w:rFonts w:hint="default"/>
                <w:color w:val="auto"/>
                <w:highlight w:val="none"/>
              </w:rPr>
              <w:t>生态保护红线</w:t>
            </w:r>
          </w:p>
          <w:p>
            <w:pPr>
              <w:bidi w:val="0"/>
              <w:rPr>
                <w:rFonts w:hint="eastAsia" w:eastAsia="宋体"/>
                <w:color w:val="auto"/>
                <w:highlight w:val="none"/>
                <w:lang w:eastAsia="zh-CN"/>
              </w:rPr>
            </w:pPr>
            <w:r>
              <w:rPr>
                <w:rFonts w:hint="default" w:ascii="Times New Roman" w:hAnsi="Times New Roman" w:eastAsia="宋体" w:cs="Times New Roman"/>
                <w:color w:val="auto"/>
                <w:highlight w:val="none"/>
              </w:rPr>
              <w:t>根据《河北省生态保护红线》，唐山市生态保护红线总面积为1383.02km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剔除重叠面积）。红线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r>
              <w:rPr>
                <w:rFonts w:hint="eastAsia" w:cs="Times New Roman"/>
                <w:color w:val="auto"/>
                <w:highlight w:val="none"/>
                <w:lang w:eastAsia="zh-CN"/>
              </w:rPr>
              <w:t>。</w:t>
            </w:r>
          </w:p>
          <w:p>
            <w:pPr>
              <w:pageBreakBefore w:val="0"/>
              <w:kinsoku/>
              <w:overflowPunct/>
              <w:topLinePunct w:val="0"/>
              <w:bidi w:val="0"/>
              <w:textAlignment w:val="auto"/>
              <w:rPr>
                <w:rFonts w:hint="default"/>
                <w:color w:val="auto"/>
                <w:highlight w:val="none"/>
              </w:rPr>
            </w:pPr>
            <w:r>
              <w:rPr>
                <w:rFonts w:hint="eastAsia"/>
                <w:color w:val="auto"/>
                <w:highlight w:val="none"/>
                <w:lang w:val="en-US" w:eastAsia="zh-CN"/>
              </w:rPr>
              <w:t>本</w:t>
            </w:r>
            <w:r>
              <w:rPr>
                <w:rFonts w:hint="default"/>
                <w:color w:val="auto"/>
                <w:highlight w:val="none"/>
              </w:rPr>
              <w:t>项目位于</w:t>
            </w:r>
            <w:r>
              <w:rPr>
                <w:rFonts w:hint="eastAsia" w:cs="Times New Roman"/>
                <w:color w:val="auto"/>
                <w:kern w:val="0"/>
                <w:sz w:val="24"/>
                <w:szCs w:val="24"/>
                <w:highlight w:val="none"/>
                <w:lang w:val="en-US" w:eastAsia="zh-CN"/>
              </w:rPr>
              <w:t>唐山市高新区空港新城东南约353米</w:t>
            </w:r>
            <w:r>
              <w:rPr>
                <w:rFonts w:hint="default"/>
                <w:color w:val="auto"/>
                <w:highlight w:val="none"/>
              </w:rPr>
              <w:t>，不在主导生态功能区范围内，且不在当地饮用水水源区、风景区、自然保护区等生态保护区内，符合生态保护红线的要求。</w:t>
            </w:r>
          </w:p>
          <w:p>
            <w:pPr>
              <w:pageBreakBefore w:val="0"/>
              <w:kinsoku/>
              <w:overflowPunct/>
              <w:topLinePunct w:val="0"/>
              <w:bidi w:val="0"/>
              <w:textAlignment w:val="auto"/>
              <w:rPr>
                <w:rFonts w:hint="default"/>
                <w:color w:val="auto"/>
                <w:highlight w:val="none"/>
              </w:rPr>
            </w:pPr>
            <w:r>
              <w:rPr>
                <w:rFonts w:hint="eastAsia"/>
                <w:color w:val="auto"/>
                <w:highlight w:val="none"/>
              </w:rPr>
              <w:t>（2）</w:t>
            </w:r>
            <w:r>
              <w:rPr>
                <w:rFonts w:hint="default"/>
                <w:color w:val="auto"/>
                <w:highlight w:val="none"/>
              </w:rPr>
              <w:t>环境质量底线</w:t>
            </w:r>
          </w:p>
          <w:p>
            <w:pPr>
              <w:bidi w:val="0"/>
              <w:rPr>
                <w:rFonts w:hint="default"/>
                <w:color w:val="auto"/>
                <w:highlight w:val="none"/>
              </w:rPr>
            </w:pPr>
            <w:r>
              <w:rPr>
                <w:rFonts w:hint="default" w:ascii="Times New Roman" w:hAnsi="Times New Roman" w:eastAsia="宋体" w:cs="Times New Roman"/>
                <w:color w:val="auto"/>
                <w:sz w:val="24"/>
                <w:szCs w:val="24"/>
                <w:highlight w:val="none"/>
                <w:lang w:bidi="ar"/>
              </w:rPr>
              <w:t>根据</w:t>
            </w:r>
            <w:r>
              <w:rPr>
                <w:rFonts w:hint="default" w:ascii="Times New Roman" w:hAnsi="Times New Roman" w:eastAsia="宋体" w:cs="Times New Roman"/>
                <w:snapToGrid w:val="0"/>
                <w:color w:val="auto"/>
                <w:kern w:val="0"/>
                <w:sz w:val="24"/>
                <w:szCs w:val="24"/>
                <w:highlight w:val="none"/>
              </w:rPr>
              <w:t>唐山市生态环境局公开发布的</w:t>
            </w:r>
            <w:r>
              <w:rPr>
                <w:rFonts w:hint="default" w:ascii="Times New Roman" w:hAnsi="Times New Roman" w:eastAsia="宋体" w:cs="Times New Roman"/>
                <w:bCs/>
                <w:snapToGrid w:val="0"/>
                <w:color w:val="auto"/>
                <w:kern w:val="0"/>
                <w:sz w:val="24"/>
                <w:szCs w:val="24"/>
                <w:highlight w:val="none"/>
                <w:lang w:val="zh-CN"/>
              </w:rPr>
              <w:t>《</w:t>
            </w:r>
            <w:r>
              <w:rPr>
                <w:rFonts w:hint="eastAsia" w:ascii="Times New Roman" w:hAnsi="Times New Roman" w:eastAsia="宋体" w:cs="Times New Roman"/>
                <w:bCs/>
                <w:snapToGrid w:val="0"/>
                <w:color w:val="auto"/>
                <w:kern w:val="0"/>
                <w:sz w:val="24"/>
                <w:szCs w:val="24"/>
                <w:highlight w:val="none"/>
                <w:lang w:val="zh-CN"/>
              </w:rPr>
              <w:t>202</w:t>
            </w:r>
            <w:r>
              <w:rPr>
                <w:rFonts w:hint="eastAsia" w:cs="Times New Roman"/>
                <w:bCs/>
                <w:snapToGrid w:val="0"/>
                <w:color w:val="auto"/>
                <w:kern w:val="0"/>
                <w:sz w:val="24"/>
                <w:szCs w:val="24"/>
                <w:highlight w:val="none"/>
                <w:lang w:val="en-US" w:eastAsia="zh-CN"/>
              </w:rPr>
              <w:t>2</w:t>
            </w:r>
            <w:r>
              <w:rPr>
                <w:rFonts w:hint="eastAsia" w:ascii="Times New Roman" w:hAnsi="Times New Roman" w:eastAsia="宋体" w:cs="Times New Roman"/>
                <w:bCs/>
                <w:snapToGrid w:val="0"/>
                <w:color w:val="auto"/>
                <w:kern w:val="0"/>
                <w:sz w:val="24"/>
                <w:szCs w:val="24"/>
                <w:highlight w:val="none"/>
                <w:lang w:val="zh-CN"/>
              </w:rPr>
              <w:t>年唐山市生态环境状况公报</w:t>
            </w:r>
            <w:r>
              <w:rPr>
                <w:rFonts w:hint="default" w:ascii="Times New Roman" w:hAnsi="Times New Roman" w:eastAsia="宋体" w:cs="Times New Roman"/>
                <w:snapToGrid w:val="0"/>
                <w:color w:val="auto"/>
                <w:kern w:val="0"/>
                <w:sz w:val="24"/>
                <w:szCs w:val="24"/>
                <w:highlight w:val="none"/>
                <w:lang w:val="zh-CN"/>
              </w:rPr>
              <w:t>》中唐山市空气质量数据</w:t>
            </w:r>
            <w:r>
              <w:rPr>
                <w:rFonts w:hint="eastAsia" w:ascii="Times New Roman" w:hAnsi="Times New Roman" w:eastAsia="宋体" w:cs="Times New Roman"/>
                <w:snapToGrid w:val="0"/>
                <w:color w:val="auto"/>
                <w:kern w:val="0"/>
                <w:sz w:val="24"/>
                <w:szCs w:val="24"/>
                <w:highlight w:val="none"/>
                <w:lang w:val="en-US" w:eastAsia="zh-CN"/>
              </w:rPr>
              <w:t>可知，</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val="en-US" w:eastAsia="zh-CN"/>
              </w:rPr>
              <w:t>和</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0"/>
                <w:sz w:val="24"/>
                <w:highlight w:val="none"/>
              </w:rPr>
              <w:t>满足《环境空气质量标准》（GB3095-2012）中二级标准及其修改单</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w:t>
            </w:r>
            <w:r>
              <w:rPr>
                <w:rFonts w:hint="eastAsia" w:cs="Times New Roman"/>
                <w:color w:val="auto"/>
                <w:kern w:val="2"/>
                <w:sz w:val="24"/>
                <w:szCs w:val="21"/>
                <w:highlight w:val="none"/>
                <w:shd w:val="clear" w:color="auto" w:fill="auto"/>
                <w:lang w:val="en-US" w:eastAsia="zh-CN" w:bidi="ar"/>
              </w:rPr>
              <w:t>和</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default" w:ascii="Times New Roman" w:hAnsi="Times New Roman" w:eastAsia="宋体" w:cs="Times New Roman"/>
                <w:color w:val="auto"/>
                <w:sz w:val="24"/>
                <w:highlight w:val="none"/>
              </w:rPr>
              <w:t>不</w:t>
            </w:r>
            <w:r>
              <w:rPr>
                <w:rFonts w:hint="default" w:ascii="Times New Roman" w:hAnsi="Times New Roman" w:eastAsia="宋体" w:cs="Times New Roman"/>
                <w:color w:val="auto"/>
                <w:kern w:val="0"/>
                <w:sz w:val="24"/>
                <w:highlight w:val="none"/>
              </w:rPr>
              <w:t>满足《环境空气质量标准》（GB3095-2012）中二级标准及其修改单</w:t>
            </w:r>
            <w:r>
              <w:rPr>
                <w:rFonts w:hint="default" w:ascii="Times New Roman" w:hAnsi="Times New Roman" w:eastAsia="宋体" w:cs="Times New Roman"/>
                <w:color w:val="auto"/>
                <w:sz w:val="24"/>
                <w:highlight w:val="none"/>
              </w:rPr>
              <w:t>，故项目所在区域环境空气质量不达标，属于不达标区。</w:t>
            </w: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《京津冀及周边地区、汾渭平原2020—2021年秋冬季大气污染综合治理攻坚行动方案》、《唐山市2023年第一季度大气污染综合治理工作方案》</w:t>
            </w:r>
            <w:r>
              <w:rPr>
                <w:rFonts w:hint="default" w:ascii="Times New Roman" w:hAnsi="Times New Roman" w:eastAsia="宋体" w:cs="Times New Roman"/>
                <w:color w:val="auto"/>
                <w:sz w:val="24"/>
                <w:szCs w:val="24"/>
                <w:highlight w:val="none"/>
                <w:lang w:val="en-US" w:eastAsia="zh-CN"/>
              </w:rPr>
              <w:t>可知，按照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分级、分类、分区域、分气象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原则，实施精准治理、精细管控，做到问题、时间、区位、对象和措施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五个精准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，推动大气环境质量持续有效改善，项目所在区域空气质量将会逐步得到改善</w:t>
            </w:r>
            <w:r>
              <w:rPr>
                <w:rFonts w:ascii="Times New Roman" w:hAnsi="Times New Roman" w:eastAsia="宋体" w:cs="Times New Roman"/>
                <w:color w:val="auto"/>
                <w:sz w:val="24"/>
                <w:szCs w:val="24"/>
                <w:highlight w:val="none"/>
              </w:rPr>
              <w:t>。</w:t>
            </w:r>
          </w:p>
          <w:p>
            <w:pPr>
              <w:pageBreakBefore w:val="0"/>
              <w:kinsoku/>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本项目生产过程中</w:t>
            </w:r>
            <w:r>
              <w:rPr>
                <w:rFonts w:hint="eastAsia" w:cs="Times New Roman"/>
                <w:color w:val="auto"/>
                <w:sz w:val="24"/>
                <w:szCs w:val="24"/>
                <w:highlight w:val="none"/>
                <w:lang w:val="en-US" w:eastAsia="zh-CN"/>
              </w:rPr>
              <w:t>废气达标排放</w:t>
            </w:r>
            <w:r>
              <w:rPr>
                <w:rFonts w:hint="eastAsia" w:ascii="Times New Roman" w:hAnsi="Times New Roman" w:eastAsia="宋体" w:cs="Times New Roman"/>
                <w:color w:val="auto"/>
                <w:sz w:val="24"/>
                <w:szCs w:val="24"/>
                <w:highlight w:val="none"/>
                <w:lang w:eastAsia="zh-CN"/>
              </w:rPr>
              <w:t>；</w:t>
            </w:r>
            <w:r>
              <w:rPr>
                <w:rFonts w:hint="eastAsia"/>
                <w:color w:val="auto"/>
                <w:highlight w:val="none"/>
                <w:lang w:val="en-US" w:eastAsia="zh-CN"/>
              </w:rPr>
              <w:t>生产废水（脱泥废水、筛分废水、脱水废水、再生细骨料堆存废水）沉淀澄清后回用于生产，洗车废水沉淀处理后，回用于洗车过程，职工生活污水泼洒地面抑尘，</w:t>
            </w:r>
            <w:r>
              <w:rPr>
                <w:rFonts w:hint="eastAsia" w:cs="Times New Roman"/>
                <w:color w:val="auto"/>
                <w:sz w:val="24"/>
                <w:highlight w:val="none"/>
                <w:lang w:val="en-US" w:eastAsia="zh-CN"/>
              </w:rPr>
              <w:t>无废水外排</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snapToGrid w:val="0"/>
                <w:color w:val="auto"/>
                <w:kern w:val="0"/>
                <w:sz w:val="24"/>
                <w:szCs w:val="24"/>
                <w:highlight w:val="none"/>
                <w:lang w:bidi="ar"/>
              </w:rPr>
              <w:t>固体废物均妥善处置，不会产生二次污染</w:t>
            </w:r>
            <w:r>
              <w:rPr>
                <w:rFonts w:hint="eastAsia" w:ascii="Times New Roman" w:hAnsi="Times New Roman" w:eastAsia="宋体" w:cs="Times New Roman"/>
                <w:snapToGrid w:val="0"/>
                <w:color w:val="auto"/>
                <w:kern w:val="0"/>
                <w:sz w:val="24"/>
                <w:szCs w:val="24"/>
                <w:highlight w:val="none"/>
                <w:lang w:eastAsia="zh-CN" w:bidi="ar"/>
              </w:rPr>
              <w:t>。</w:t>
            </w:r>
            <w:r>
              <w:rPr>
                <w:rFonts w:hint="default" w:ascii="Times New Roman" w:hAnsi="Times New Roman" w:eastAsia="宋体" w:cs="Times New Roman"/>
                <w:snapToGrid w:val="0"/>
                <w:color w:val="auto"/>
                <w:kern w:val="0"/>
                <w:sz w:val="24"/>
                <w:szCs w:val="24"/>
                <w:highlight w:val="none"/>
                <w:lang w:bidi="ar"/>
              </w:rPr>
              <w:t>本项目产生的污染物采取相应措施后不会对本项目所在区域环境质量造成影响，因此，本项目符合环境质量底线的要求</w:t>
            </w:r>
            <w:r>
              <w:rPr>
                <w:rFonts w:hint="default"/>
                <w:color w:val="auto"/>
                <w:highlight w:val="none"/>
              </w:rPr>
              <w:t>。</w:t>
            </w:r>
          </w:p>
          <w:p>
            <w:pPr>
              <w:bidi w:val="0"/>
              <w:rPr>
                <w:rFonts w:hint="default" w:ascii="Times New Roman" w:hAnsi="Times New Roman" w:eastAsia="宋体" w:cs="Times New Roman"/>
                <w:color w:val="auto"/>
                <w:sz w:val="24"/>
                <w:szCs w:val="24"/>
                <w:highlight w:val="none"/>
                <w:shd w:val="clear" w:color="auto" w:fill="auto"/>
              </w:rPr>
            </w:pP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资源利用上线</w:t>
            </w:r>
          </w:p>
          <w:p>
            <w:pPr>
              <w:bidi w:val="0"/>
              <w:rPr>
                <w:rFonts w:hint="eastAsia" w:cs="Times New Roman"/>
                <w:color w:val="auto"/>
                <w:sz w:val="24"/>
                <w:szCs w:val="24"/>
                <w:highlight w:val="none"/>
                <w:lang w:eastAsia="zh-CN"/>
              </w:rPr>
            </w:pPr>
            <w:r>
              <w:rPr>
                <w:rFonts w:hint="default" w:ascii="Times New Roman" w:hAnsi="Times New Roman" w:eastAsia="宋体" w:cs="Times New Roman"/>
                <w:color w:val="auto"/>
                <w:sz w:val="24"/>
                <w:highlight w:val="none"/>
              </w:rPr>
              <w:t>根据</w:t>
            </w:r>
            <w:r>
              <w:rPr>
                <w:rFonts w:hint="eastAsia" w:ascii="Times New Roman" w:hAnsi="Times New Roman" w:eastAsia="宋体" w:cs="Times New Roman"/>
                <w:color w:val="auto"/>
                <w:sz w:val="24"/>
                <w:highlight w:val="none"/>
                <w:lang w:eastAsia="zh-CN" w:bidi="ar"/>
              </w:rPr>
              <w:t>《唐山高新区京唐智慧港总体规划（2020-2035）环境影响报告书》</w:t>
            </w:r>
            <w:r>
              <w:rPr>
                <w:rFonts w:hint="eastAsia" w:ascii="Times New Roman" w:hAnsi="Times New Roman" w:eastAsia="宋体" w:cs="Times New Roman"/>
                <w:color w:val="auto"/>
                <w:sz w:val="24"/>
                <w:highlight w:val="none"/>
                <w:lang w:val="en-US" w:eastAsia="zh-CN" w:bidi="ar"/>
              </w:rPr>
              <w:t>中资源能源利用上线可知：“</w:t>
            </w:r>
            <w:r>
              <w:rPr>
                <w:rFonts w:hint="default" w:ascii="Times New Roman" w:hAnsi="Times New Roman" w:eastAsia="宋体" w:cs="Times New Roman"/>
                <w:color w:val="auto"/>
                <w:sz w:val="24"/>
                <w:szCs w:val="24"/>
                <w:highlight w:val="none"/>
              </w:rPr>
              <w:t>规划远期，京唐智慧港最高需水量约为3.424万m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/d。京唐智慧港本轮规划范围总土地面积为15km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，其中工业用地规模需严格控制在553公顷，不得突破该规模。</w:t>
            </w:r>
            <w:r>
              <w:rPr>
                <w:rFonts w:hint="eastAsia" w:cs="Times New Roman"/>
                <w:color w:val="auto"/>
                <w:sz w:val="24"/>
                <w:szCs w:val="24"/>
                <w:highlight w:val="none"/>
                <w:lang w:eastAsia="zh-CN"/>
              </w:rPr>
              <w:t>”</w:t>
            </w:r>
          </w:p>
          <w:p>
            <w:pPr>
              <w:bidi w:val="0"/>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本项目用水由姚家庄供水井提供，用水量为9.92m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/d（2480m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/a），可满足用水需求，占地面积为7000m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，占地面积较小，</w:t>
            </w:r>
            <w:r>
              <w:rPr>
                <w:rFonts w:hint="default" w:ascii="Times New Roman" w:hAnsi="Times New Roman" w:eastAsia="宋体" w:cs="Times New Roman"/>
                <w:color w:val="auto"/>
                <w:sz w:val="24"/>
                <w:szCs w:val="24"/>
                <w:highlight w:val="none"/>
                <w:lang w:bidi="ar"/>
              </w:rPr>
              <w:t>因此，本项目符合资源利用上线要求</w:t>
            </w:r>
          </w:p>
          <w:p>
            <w:pPr>
              <w:bidi w:val="0"/>
              <w:rPr>
                <w:rFonts w:hint="default" w:ascii="Times New Roman" w:hAnsi="Times New Roman" w:eastAsia="宋体" w:cs="Times New Roman"/>
                <w:color w:val="auto"/>
                <w:sz w:val="24"/>
                <w:szCs w:val="21"/>
                <w:highlight w:val="none"/>
                <w:shd w:val="clear" w:color="auto" w:fill="auto"/>
              </w:rPr>
            </w:pPr>
            <w:r>
              <w:rPr>
                <w:rFonts w:hint="eastAsia" w:cs="Times New Roman"/>
                <w:color w:val="auto"/>
                <w:sz w:val="24"/>
                <w:szCs w:val="21"/>
                <w:highlight w:val="none"/>
                <w:shd w:val="clear" w:color="auto" w:fill="auto"/>
                <w:lang w:val="en-US" w:eastAsia="zh-CN"/>
              </w:rPr>
              <w:t>（4）</w:t>
            </w:r>
            <w:r>
              <w:rPr>
                <w:rFonts w:hint="default" w:ascii="Times New Roman" w:hAnsi="Times New Roman" w:eastAsia="宋体" w:cs="Times New Roman"/>
                <w:color w:val="auto"/>
                <w:sz w:val="24"/>
                <w:szCs w:val="21"/>
                <w:highlight w:val="none"/>
                <w:shd w:val="clear" w:color="auto" w:fill="auto"/>
                <w:lang w:val="zh-CN"/>
              </w:rPr>
              <w:t>环境准入负面清单</w:t>
            </w:r>
          </w:p>
          <w:p>
            <w:pPr>
              <w:bidi w:val="0"/>
              <w:rPr>
                <w:rFonts w:hint="default"/>
                <w:color w:val="auto"/>
                <w:highlight w:val="none"/>
              </w:rPr>
            </w:pPr>
            <w:r>
              <w:rPr>
                <w:rFonts w:hint="default"/>
                <w:color w:val="auto"/>
                <w:highlight w:val="none"/>
              </w:rPr>
              <w:t>本项目与</w:t>
            </w:r>
            <w:r>
              <w:rPr>
                <w:rFonts w:hint="eastAsia"/>
                <w:color w:val="auto"/>
                <w:highlight w:val="none"/>
                <w:lang w:eastAsia="zh-CN"/>
              </w:rPr>
              <w:t>唐山高新区京唐智慧港</w:t>
            </w:r>
            <w:r>
              <w:rPr>
                <w:rFonts w:hint="default"/>
                <w:color w:val="auto"/>
                <w:highlight w:val="none"/>
              </w:rPr>
              <w:t>负面清单要求符合情况见下表。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color w:val="auto"/>
                <w:highlight w:val="none"/>
                <w:lang w:val="zh-CN"/>
              </w:rPr>
            </w:pPr>
          </w:p>
          <w:p>
            <w:pPr>
              <w:bidi w:val="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p>
            <w:pPr>
              <w:bidi w:val="0"/>
              <w:ind w:left="0" w:leftChars="0" w:firstLine="0" w:firstLineChars="0"/>
              <w:rPr>
                <w:rFonts w:hint="eastAsia"/>
                <w:color w:val="auto"/>
                <w:highlight w:val="none"/>
                <w:lang w:val="en-US" w:eastAsia="zh-CN"/>
              </w:rPr>
            </w:pPr>
          </w:p>
        </w:tc>
      </w:tr>
    </w:tbl>
    <w:p>
      <w:pPr>
        <w:rPr>
          <w:color w:val="auto"/>
          <w:highlight w:val="none"/>
        </w:rPr>
      </w:pPr>
      <w:r>
        <w:rPr>
          <w:color w:val="auto"/>
          <w:highlight w:val="none"/>
        </w:rPr>
        <w:br w:type="page"/>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footerReference r:id="rId9" w:type="default"/>
          <w:pgSz w:w="11906" w:h="16838"/>
          <w:pgMar w:top="1440" w:right="1247" w:bottom="1440"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pStyle w:val="20"/>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黑体" w:hAnsi="黑体" w:eastAsia="黑体"/>
                <w:snapToGrid w:val="0"/>
                <w:color w:val="auto"/>
                <w:sz w:val="30"/>
                <w:szCs w:val="30"/>
                <w:highlight w:val="none"/>
                <w:vertAlign w:val="baseline"/>
              </w:rPr>
            </w:pPr>
          </w:p>
        </w:tc>
        <w:tc>
          <w:tcPr>
            <w:tcW w:w="13289" w:type="dxa"/>
            <w:vAlign w:val="top"/>
          </w:tcPr>
          <w:p>
            <w:pPr>
              <w:pStyle w:val="29"/>
              <w:bidi w:val="0"/>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与</w:t>
            </w:r>
            <w:r>
              <w:rPr>
                <w:rFonts w:hint="eastAsia" w:ascii="Times New Roman" w:hAnsi="Times New Roman" w:cs="Times New Roman"/>
                <w:color w:val="auto"/>
                <w:highlight w:val="none"/>
                <w:lang w:val="en-US" w:eastAsia="zh-CN"/>
              </w:rPr>
              <w:t>京唐智慧港产业准入</w:t>
            </w:r>
            <w:r>
              <w:rPr>
                <w:rFonts w:hint="default" w:ascii="Times New Roman" w:hAnsi="Times New Roman" w:eastAsia="宋体" w:cs="Times New Roman"/>
                <w:color w:val="auto"/>
                <w:highlight w:val="none"/>
              </w:rPr>
              <w:t>负面清单</w:t>
            </w:r>
            <w:r>
              <w:rPr>
                <w:rFonts w:hint="default" w:ascii="Times New Roman" w:hAnsi="Times New Roman" w:eastAsia="宋体" w:cs="Times New Roman"/>
                <w:color w:val="auto"/>
                <w:highlight w:val="none"/>
                <w:lang w:val="en-US" w:eastAsia="zh-CN"/>
              </w:rPr>
              <w:t>符合性一览表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9"/>
              <w:gridCol w:w="889"/>
              <w:gridCol w:w="5296"/>
              <w:gridCol w:w="5096"/>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t>类别</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zh-CN" w:eastAsia="zh-CN"/>
                    </w:rPr>
                  </w:pPr>
                  <w:r>
                    <w:rPr>
                      <w:rFonts w:hint="default" w:ascii="Times New Roman" w:hAnsi="Times New Roman" w:eastAsia="宋体" w:cs="Times New Roman"/>
                      <w:b w:val="0"/>
                      <w:bCs w:val="0"/>
                      <w:color w:val="auto"/>
                      <w:sz w:val="21"/>
                      <w:szCs w:val="21"/>
                      <w:highlight w:val="none"/>
                      <w:shd w:val="clear" w:color="auto" w:fill="auto"/>
                      <w:vertAlign w:val="baseline"/>
                      <w:lang w:val="zh-CN" w:eastAsia="zh-CN"/>
                    </w:rPr>
                    <w:t>准入要求</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sz w:val="21"/>
                      <w:szCs w:val="21"/>
                      <w:highlight w:val="none"/>
                      <w:shd w:val="clear" w:color="auto" w:fill="auto"/>
                      <w:vertAlign w:val="baseline"/>
                      <w:lang w:val="en-US" w:eastAsia="zh-CN"/>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项目情况</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b w:val="0"/>
                      <w:bCs w:val="0"/>
                      <w:color w:val="auto"/>
                      <w:sz w:val="21"/>
                      <w:szCs w:val="21"/>
                      <w:highlight w:val="none"/>
                      <w:shd w:val="clear" w:color="auto" w:fill="auto"/>
                      <w:vertAlign w:val="baseli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污染物排放</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入驻企业污染物排放满足相关污染物排放标准限值要求；区域环境质量达到规划目标</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w:t>
                  </w:r>
                  <w:r>
                    <w:rPr>
                      <w:rFonts w:hint="default" w:ascii="Times New Roman" w:hAnsi="Times New Roman" w:eastAsia="宋体" w:cs="Times New Roman"/>
                      <w:color w:val="auto"/>
                      <w:sz w:val="21"/>
                      <w:szCs w:val="21"/>
                      <w:highlight w:val="none"/>
                      <w:shd w:val="clear" w:color="auto" w:fill="auto"/>
                      <w:vertAlign w:val="baseline"/>
                      <w:lang w:val="zh-CN" w:eastAsia="zh-CN"/>
                    </w:rPr>
                    <w:t>污染物排放满足相关污染物排放标准限值要求</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color w:val="auto"/>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产业定位</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机器人产业、高端装备制造业、新材料产业、节能环保产业、新一代信息技术产业、新能源汽车产业、新能源产业、数字创意产业、生物技术研究与应用产业、现代物流业、现代服务业及现代化新型社区</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本项目位于产业园区南部区域的东部，功能区划为现代化新型社区，规划行业为以居住、公服配套为主要功能。本项目主要对建筑垃圾进行处理，属于国民经济行业类别中的N7723固体废物治理业</w:t>
                  </w:r>
                  <w:r>
                    <w:rPr>
                      <w:rFonts w:hint="eastAsia" w:cs="Times New Roman"/>
                      <w:color w:val="auto"/>
                      <w:sz w:val="21"/>
                      <w:szCs w:val="21"/>
                      <w:highlight w:val="none"/>
                      <w:shd w:val="clear" w:color="auto" w:fill="auto"/>
                      <w:vertAlign w:val="baseline"/>
                      <w:lang w:val="en-US" w:eastAsia="zh-CN"/>
                    </w:rPr>
                    <w:t>和C3039其他建筑材料制造业</w:t>
                  </w:r>
                  <w:r>
                    <w:rPr>
                      <w:rFonts w:hint="default" w:ascii="Times New Roman" w:hAnsi="Times New Roman" w:eastAsia="宋体" w:cs="Times New Roman"/>
                      <w:color w:val="auto"/>
                      <w:sz w:val="21"/>
                      <w:szCs w:val="21"/>
                      <w:highlight w:val="none"/>
                      <w:shd w:val="clear" w:color="auto" w:fill="auto"/>
                      <w:vertAlign w:val="baseline"/>
                      <w:lang w:val="en-US" w:eastAsia="zh-CN"/>
                    </w:rPr>
                    <w:t>，</w:t>
                  </w:r>
                  <w:r>
                    <w:rPr>
                      <w:rFonts w:hint="eastAsia" w:cs="Times New Roman"/>
                      <w:color w:val="auto"/>
                      <w:sz w:val="21"/>
                      <w:szCs w:val="21"/>
                      <w:highlight w:val="none"/>
                      <w:shd w:val="clear" w:color="auto" w:fill="auto"/>
                      <w:vertAlign w:val="baseline"/>
                      <w:lang w:val="en-US" w:eastAsia="zh-CN"/>
                    </w:rPr>
                    <w:t>项目原料主要来源于园区基础设施建设</w:t>
                  </w:r>
                  <w:r>
                    <w:rPr>
                      <w:rFonts w:hint="default" w:ascii="Times New Roman" w:hAnsi="Times New Roman" w:eastAsia="宋体" w:cs="Times New Roman"/>
                      <w:color w:val="auto"/>
                      <w:sz w:val="21"/>
                      <w:szCs w:val="21"/>
                      <w:highlight w:val="none"/>
                      <w:shd w:val="clear" w:color="auto" w:fill="auto"/>
                      <w:vertAlign w:val="baseline"/>
                      <w:lang w:val="en-US" w:eastAsia="zh-CN"/>
                    </w:rPr>
                    <w:t>、规划项目的厂房建设及村庄拆迁等产生的建设垃圾，本项目建成后可及时有效消纳园区发展过程产生的建筑垃圾，使园区内建筑垃圾可及时清运，减少堆存过程产生的扬尘污染；项目生产的石碴、再生</w:t>
                  </w:r>
                  <w:r>
                    <w:rPr>
                      <w:rFonts w:hint="eastAsia" w:cs="Times New Roman"/>
                      <w:color w:val="auto"/>
                      <w:sz w:val="21"/>
                      <w:szCs w:val="21"/>
                      <w:highlight w:val="none"/>
                      <w:shd w:val="clear" w:color="auto" w:fill="auto"/>
                      <w:vertAlign w:val="baseline"/>
                      <w:lang w:val="en-US" w:eastAsia="zh-CN"/>
                    </w:rPr>
                    <w:t>细</w:t>
                  </w:r>
                  <w:r>
                    <w:rPr>
                      <w:rFonts w:hint="default" w:ascii="Times New Roman" w:hAnsi="Times New Roman" w:eastAsia="宋体" w:cs="Times New Roman"/>
                      <w:color w:val="auto"/>
                      <w:sz w:val="21"/>
                      <w:szCs w:val="21"/>
                      <w:highlight w:val="none"/>
                      <w:shd w:val="clear" w:color="auto" w:fill="auto"/>
                      <w:vertAlign w:val="baseline"/>
                      <w:lang w:val="en-US" w:eastAsia="zh-CN"/>
                    </w:rPr>
                    <w:t>骨料主要用于园区内基础设施建设、规划项目的厂房建设及现代化新型社区建设，为园区提供公服配套服务。项目符合园区发展定位要求，符合园区规划</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color w:val="auto"/>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en-US" w:eastAsia="zh-CN"/>
                    </w:rPr>
                    <w:t>禁止引入类项目</w:t>
                  </w:r>
                </w:p>
              </w:tc>
              <w:tc>
                <w:tcPr>
                  <w:tcW w:w="88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高新技术产业</w:t>
                  </w: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1、禁止引入《产业结构调整指导目录（2019年本）》、《外商投资准入特别管理措施</w:t>
                  </w:r>
                  <w:r>
                    <w:rPr>
                      <w:rFonts w:hint="eastAsia" w:ascii="Times New Roman" w:hAnsi="Times New Roman" w:eastAsia="宋体" w:cs="Times New Roman"/>
                      <w:color w:val="auto"/>
                      <w:sz w:val="21"/>
                      <w:szCs w:val="21"/>
                      <w:highlight w:val="none"/>
                      <w:shd w:val="clear" w:color="auto" w:fill="auto"/>
                      <w:vertAlign w:val="baseline"/>
                      <w:lang w:val="zh-CN" w:eastAsia="zh-CN"/>
                    </w:rPr>
                    <w:t>（</w:t>
                  </w:r>
                  <w:r>
                    <w:rPr>
                      <w:rFonts w:hint="default" w:ascii="Times New Roman" w:hAnsi="Times New Roman" w:eastAsia="宋体" w:cs="Times New Roman"/>
                      <w:color w:val="auto"/>
                      <w:sz w:val="21"/>
                      <w:szCs w:val="21"/>
                      <w:highlight w:val="none"/>
                      <w:shd w:val="clear" w:color="auto" w:fill="auto"/>
                      <w:vertAlign w:val="baseline"/>
                      <w:lang w:val="zh-CN" w:eastAsia="zh-CN"/>
                    </w:rPr>
                    <w:t>负面清单</w:t>
                  </w:r>
                  <w:r>
                    <w:rPr>
                      <w:rFonts w:hint="eastAsia" w:ascii="Times New Roman" w:hAnsi="Times New Roman" w:eastAsia="宋体" w:cs="Times New Roman"/>
                      <w:color w:val="auto"/>
                      <w:sz w:val="21"/>
                      <w:szCs w:val="21"/>
                      <w:highlight w:val="none"/>
                      <w:shd w:val="clear" w:color="auto" w:fill="auto"/>
                      <w:vertAlign w:val="baseline"/>
                      <w:lang w:val="zh-CN" w:eastAsia="zh-CN"/>
                    </w:rPr>
                    <w:t>）（</w:t>
                  </w:r>
                  <w:r>
                    <w:rPr>
                      <w:rFonts w:hint="default" w:ascii="Times New Roman" w:hAnsi="Times New Roman" w:eastAsia="宋体" w:cs="Times New Roman"/>
                      <w:color w:val="auto"/>
                      <w:sz w:val="21"/>
                      <w:szCs w:val="21"/>
                      <w:highlight w:val="none"/>
                      <w:shd w:val="clear" w:color="auto" w:fill="auto"/>
                      <w:vertAlign w:val="baseline"/>
                      <w:lang w:val="zh-CN" w:eastAsia="zh-CN"/>
                    </w:rPr>
                    <w:t>2019年版</w:t>
                  </w:r>
                  <w:r>
                    <w:rPr>
                      <w:rFonts w:hint="eastAsia" w:ascii="Times New Roman" w:hAnsi="Times New Roman" w:eastAsia="宋体" w:cs="Times New Roman"/>
                      <w:color w:val="auto"/>
                      <w:sz w:val="21"/>
                      <w:szCs w:val="21"/>
                      <w:highlight w:val="none"/>
                      <w:shd w:val="clear" w:color="auto" w:fill="auto"/>
                      <w:vertAlign w:val="baseline"/>
                      <w:lang w:val="zh-CN" w:eastAsia="zh-CN"/>
                    </w:rPr>
                    <w:t>）</w:t>
                  </w:r>
                  <w:r>
                    <w:rPr>
                      <w:rFonts w:hint="default" w:ascii="Times New Roman" w:hAnsi="Times New Roman" w:eastAsia="宋体" w:cs="Times New Roman"/>
                      <w:color w:val="auto"/>
                      <w:sz w:val="21"/>
                      <w:szCs w:val="21"/>
                      <w:highlight w:val="none"/>
                      <w:shd w:val="clear" w:color="auto" w:fill="auto"/>
                      <w:vertAlign w:val="baseline"/>
                      <w:lang w:val="zh-CN" w:eastAsia="zh-CN"/>
                    </w:rPr>
                    <w:t>》、《产业转移指导目录（2018年本）》、《河北省新增限制和淘汰类产业目录（2015年版）》、《部分工业行业淘汰落后生产工艺装备和产品指导目录（2010年本）》（工产业[2010]第122号）、《市场准入负面清单（2019年本）》等国家、河北省明令禁止引入的产业；</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2、禁止引入不符合相关行业准入要求的产业或工艺</w:t>
                  </w:r>
                </w:p>
              </w:tc>
              <w:tc>
                <w:tcPr>
                  <w:tcW w:w="50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本项目功能区划为</w:t>
                  </w:r>
                  <w:r>
                    <w:rPr>
                      <w:rFonts w:hint="default" w:ascii="Times New Roman" w:hAnsi="Times New Roman" w:eastAsia="宋体" w:cs="Times New Roman"/>
                      <w:color w:val="auto"/>
                      <w:sz w:val="21"/>
                      <w:szCs w:val="21"/>
                      <w:highlight w:val="none"/>
                      <w:shd w:val="clear" w:color="auto" w:fill="auto"/>
                      <w:vertAlign w:val="baseline"/>
                      <w:lang w:val="en-US" w:eastAsia="zh-CN"/>
                    </w:rPr>
                    <w:t>现代化新型社区</w:t>
                  </w:r>
                  <w:r>
                    <w:rPr>
                      <w:rFonts w:hint="eastAsia" w:ascii="Times New Roman" w:hAnsi="Times New Roman" w:eastAsia="宋体" w:cs="Times New Roman"/>
                      <w:color w:val="auto"/>
                      <w:sz w:val="21"/>
                      <w:szCs w:val="21"/>
                      <w:highlight w:val="none"/>
                      <w:shd w:val="clear" w:color="auto" w:fill="auto"/>
                      <w:vertAlign w:val="baseline"/>
                      <w:lang w:val="en-US" w:eastAsia="zh-CN"/>
                    </w:rPr>
                    <w:t>，不属于</w:t>
                  </w:r>
                  <w:r>
                    <w:rPr>
                      <w:rFonts w:hint="default" w:ascii="Times New Roman" w:hAnsi="Times New Roman" w:eastAsia="宋体" w:cs="Times New Roman"/>
                      <w:color w:val="auto"/>
                      <w:sz w:val="21"/>
                      <w:szCs w:val="21"/>
                      <w:highlight w:val="none"/>
                      <w:shd w:val="clear" w:color="auto" w:fill="auto"/>
                      <w:vertAlign w:val="baseline"/>
                      <w:lang w:val="zh-CN" w:eastAsia="zh-CN"/>
                    </w:rPr>
                    <w:t>唐山市</w:t>
                  </w:r>
                  <w:r>
                    <w:rPr>
                      <w:rFonts w:hint="eastAsia" w:ascii="宋体" w:hAnsi="宋体" w:eastAsia="宋体" w:cs="宋体"/>
                      <w:color w:val="auto"/>
                      <w:sz w:val="21"/>
                      <w:szCs w:val="21"/>
                      <w:highlight w:val="none"/>
                      <w:shd w:val="clear" w:color="auto" w:fill="auto"/>
                      <w:vertAlign w:val="baseline"/>
                      <w:lang w:val="zh-CN" w:eastAsia="zh-CN"/>
                    </w:rPr>
                    <w:t>“三线一单”</w:t>
                  </w:r>
                  <w:r>
                    <w:rPr>
                      <w:rFonts w:hint="default" w:ascii="Times New Roman" w:hAnsi="Times New Roman" w:eastAsia="宋体" w:cs="Times New Roman"/>
                      <w:color w:val="auto"/>
                      <w:sz w:val="21"/>
                      <w:szCs w:val="21"/>
                      <w:highlight w:val="none"/>
                      <w:shd w:val="clear" w:color="auto" w:fill="auto"/>
                      <w:vertAlign w:val="baseline"/>
                      <w:lang w:val="zh-CN" w:eastAsia="zh-CN"/>
                    </w:rPr>
                    <w:t>禁止引入类项目</w:t>
                  </w:r>
                </w:p>
              </w:tc>
              <w:tc>
                <w:tcPr>
                  <w:tcW w:w="8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t>本项目不属于禁止引入类项目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3、高端装备制造产业禁止引入涉及氰化物镀锌、六价铬钝化、电镀锡铅合金等电镀工艺，以及涉及铅、镉、汞等重污染的电镀工序的项目</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4、化工新材料禁止引入涉及化学转化工序的企业</w:t>
                  </w:r>
                  <w:r>
                    <w:rPr>
                      <w:rFonts w:hint="eastAsia" w:ascii="Times New Roman" w:hAnsi="Times New Roman" w:eastAsia="宋体" w:cs="Times New Roman"/>
                      <w:color w:val="auto"/>
                      <w:sz w:val="21"/>
                      <w:szCs w:val="21"/>
                      <w:highlight w:val="none"/>
                      <w:shd w:val="clear" w:color="auto" w:fill="auto"/>
                      <w:vertAlign w:val="baseline"/>
                      <w:lang w:val="zh-CN" w:eastAsia="zh-CN"/>
                    </w:rPr>
                    <w:t>；</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zh-CN" w:eastAsia="zh-CN" w:bidi="ar-SA"/>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5、新能源产业中禁止引入电池原材料的生产项目；</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zh-CN" w:eastAsia="zh-CN" w:bidi="ar-SA"/>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8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6、生物技术研究与应用产业中禁止引入生物化工项目</w:t>
                  </w:r>
                  <w:r>
                    <w:rPr>
                      <w:rFonts w:hint="eastAsia" w:ascii="Times New Roman" w:hAnsi="Times New Roman" w:eastAsia="宋体" w:cs="Times New Roman"/>
                      <w:color w:val="auto"/>
                      <w:sz w:val="21"/>
                      <w:szCs w:val="21"/>
                      <w:highlight w:val="none"/>
                      <w:shd w:val="clear" w:color="auto" w:fill="auto"/>
                      <w:vertAlign w:val="baseline"/>
                      <w:lang w:val="zh-CN" w:eastAsia="zh-CN"/>
                    </w:rPr>
                    <w:t>；</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zh-CN" w:eastAsia="zh-CN" w:bidi="ar-SA"/>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现代物流业</w:t>
                  </w:r>
                </w:p>
              </w:tc>
              <w:tc>
                <w:tcPr>
                  <w:tcW w:w="52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1、禁止危险化学品储运企业入园</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zh-CN" w:eastAsia="zh-CN" w:bidi="ar-SA"/>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其它：禁止引入唐山市</w:t>
                  </w:r>
                  <w:r>
                    <w:rPr>
                      <w:rFonts w:hint="eastAsia" w:ascii="宋体" w:hAnsi="宋体" w:eastAsia="宋体" w:cs="宋体"/>
                      <w:color w:val="auto"/>
                      <w:sz w:val="21"/>
                      <w:szCs w:val="21"/>
                      <w:highlight w:val="none"/>
                      <w:shd w:val="clear" w:color="auto" w:fill="auto"/>
                      <w:vertAlign w:val="baseline"/>
                      <w:lang w:val="zh-CN" w:eastAsia="zh-CN"/>
                    </w:rPr>
                    <w:t>“三线一单”</w:t>
                  </w:r>
                  <w:r>
                    <w:rPr>
                      <w:rFonts w:hint="default" w:ascii="Times New Roman" w:hAnsi="Times New Roman" w:eastAsia="宋体" w:cs="Times New Roman"/>
                      <w:color w:val="auto"/>
                      <w:sz w:val="21"/>
                      <w:szCs w:val="21"/>
                      <w:highlight w:val="none"/>
                      <w:shd w:val="clear" w:color="auto" w:fill="auto"/>
                      <w:vertAlign w:val="baseline"/>
                      <w:lang w:val="zh-CN" w:eastAsia="zh-CN"/>
                    </w:rPr>
                    <w:t>禁止引入类项目</w:t>
                  </w:r>
                </w:p>
              </w:tc>
              <w:tc>
                <w:tcPr>
                  <w:tcW w:w="50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p>
              </w:tc>
              <w:tc>
                <w:tcPr>
                  <w:tcW w:w="8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1"/>
                      <w:szCs w:val="21"/>
                      <w:highlight w:val="none"/>
                      <w:shd w:val="clear" w:color="auto" w:fill="auto"/>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限制引入类项</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目</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1、限制发展产生一类污染物（含汞砷等重金属）的项目；</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2、限制发展与主导产业相配套，但主体工艺属于高污染、高能耗、高水耗、对环境影响较大的建设项目；</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3、限制建设排放致癌、致畸、致突变物质及列入《有毒有害大气污染物名录（2018年）》中污染物的项目</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本项目不涉及</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本项目不属于</w:t>
                  </w:r>
                  <w:r>
                    <w:rPr>
                      <w:rFonts w:hint="default" w:ascii="Times New Roman" w:hAnsi="Times New Roman" w:eastAsia="宋体" w:cs="Times New Roman"/>
                      <w:color w:val="auto"/>
                      <w:sz w:val="21"/>
                      <w:szCs w:val="21"/>
                      <w:highlight w:val="none"/>
                      <w:shd w:val="clear" w:color="auto" w:fill="auto"/>
                      <w:vertAlign w:val="baseline"/>
                      <w:lang w:val="zh-CN" w:eastAsia="zh-CN"/>
                    </w:rPr>
                    <w:t>限制引入类项</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空间管制要求</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1、遵循</w:t>
                  </w:r>
                  <w:r>
                    <w:rPr>
                      <w:rFonts w:hint="eastAsia" w:ascii="宋体" w:hAnsi="宋体" w:eastAsia="宋体" w:cs="宋体"/>
                      <w:color w:val="auto"/>
                      <w:sz w:val="21"/>
                      <w:szCs w:val="21"/>
                      <w:highlight w:val="none"/>
                      <w:shd w:val="clear" w:color="auto" w:fill="auto"/>
                      <w:vertAlign w:val="baseline"/>
                      <w:lang w:val="zh-CN" w:eastAsia="zh-CN"/>
                    </w:rPr>
                    <w:t>“优地优用、成片集聚”</w:t>
                  </w:r>
                  <w:r>
                    <w:rPr>
                      <w:rFonts w:hint="default" w:ascii="Times New Roman" w:hAnsi="Times New Roman" w:eastAsia="宋体" w:cs="Times New Roman"/>
                      <w:color w:val="auto"/>
                      <w:sz w:val="21"/>
                      <w:szCs w:val="21"/>
                      <w:highlight w:val="none"/>
                      <w:shd w:val="clear" w:color="auto" w:fill="auto"/>
                      <w:vertAlign w:val="baseline"/>
                      <w:lang w:val="zh-CN" w:eastAsia="zh-CN"/>
                    </w:rPr>
                    <w:t>的原则，同质性高的产业布局在同一片区，相容性高的产业相邻布局，实行远近结合、统一规划；</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2、产业园严禁占用绿地等生态用地，保障产业区生产和生活的安全；道路两侧预留一定宽度的绿化带。</w:t>
                  </w:r>
                </w:p>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3、机场、高铁周边建设符合防护距离要求；机场周边建筑高度符合规范要求，不影响机场运营及安全。</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本项目东侧、西侧均为其他企业，不占用绿地</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环境风险防控</w:t>
                  </w:r>
                </w:p>
              </w:tc>
              <w:tc>
                <w:tcPr>
                  <w:tcW w:w="618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zh-CN" w:eastAsia="zh-CN"/>
                    </w:rPr>
                  </w:pPr>
                  <w:r>
                    <w:rPr>
                      <w:rFonts w:hint="default" w:ascii="Times New Roman" w:hAnsi="Times New Roman" w:eastAsia="宋体" w:cs="Times New Roman"/>
                      <w:color w:val="auto"/>
                      <w:sz w:val="21"/>
                      <w:szCs w:val="21"/>
                      <w:highlight w:val="none"/>
                      <w:shd w:val="clear" w:color="auto" w:fill="auto"/>
                      <w:vertAlign w:val="baseline"/>
                      <w:lang w:val="zh-CN" w:eastAsia="zh-CN"/>
                    </w:rPr>
                    <w:t>重点管控列入《“高污染、高环境风险”产品目录（2017年）》项目；产业区及各企业编制污染防治应急预案并在相关环保部门备案。</w:t>
                  </w:r>
                </w:p>
              </w:tc>
              <w:tc>
                <w:tcPr>
                  <w:tcW w:w="50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本项目不在</w:t>
                  </w:r>
                  <w:r>
                    <w:rPr>
                      <w:rFonts w:hint="default" w:ascii="Times New Roman" w:hAnsi="Times New Roman" w:eastAsia="宋体" w:cs="Times New Roman"/>
                      <w:color w:val="auto"/>
                      <w:sz w:val="21"/>
                      <w:szCs w:val="21"/>
                      <w:highlight w:val="none"/>
                      <w:shd w:val="clear" w:color="auto" w:fill="auto"/>
                      <w:vertAlign w:val="baseline"/>
                      <w:lang w:val="zh-CN" w:eastAsia="zh-CN"/>
                    </w:rPr>
                    <w:t>《</w:t>
                  </w:r>
                  <w:r>
                    <w:rPr>
                      <w:rFonts w:hint="eastAsia" w:ascii="宋体" w:hAnsi="宋体" w:eastAsia="宋体" w:cs="宋体"/>
                      <w:color w:val="auto"/>
                      <w:sz w:val="21"/>
                      <w:szCs w:val="21"/>
                      <w:highlight w:val="none"/>
                      <w:shd w:val="clear" w:color="auto" w:fill="auto"/>
                      <w:vertAlign w:val="baseline"/>
                      <w:lang w:val="zh-CN" w:eastAsia="zh-CN"/>
                    </w:rPr>
                    <w:t>“高污染、高环境风险”</w:t>
                  </w:r>
                  <w:r>
                    <w:rPr>
                      <w:rFonts w:hint="default" w:ascii="Times New Roman" w:hAnsi="Times New Roman" w:eastAsia="宋体" w:cs="Times New Roman"/>
                      <w:color w:val="auto"/>
                      <w:sz w:val="21"/>
                      <w:szCs w:val="21"/>
                      <w:highlight w:val="none"/>
                      <w:shd w:val="clear" w:color="auto" w:fill="auto"/>
                      <w:vertAlign w:val="baseline"/>
                      <w:lang w:val="zh-CN" w:eastAsia="zh-CN"/>
                    </w:rPr>
                    <w:t>产品目录》项目</w:t>
                  </w:r>
                  <w:r>
                    <w:rPr>
                      <w:rFonts w:hint="eastAsia" w:ascii="Times New Roman" w:hAnsi="Times New Roman" w:eastAsia="宋体" w:cs="Times New Roman"/>
                      <w:color w:val="auto"/>
                      <w:sz w:val="21"/>
                      <w:szCs w:val="21"/>
                      <w:highlight w:val="none"/>
                      <w:shd w:val="clear" w:color="auto" w:fill="auto"/>
                      <w:vertAlign w:val="baseline"/>
                      <w:lang w:val="zh-CN" w:eastAsia="zh-CN"/>
                    </w:rPr>
                    <w:t>，</w:t>
                  </w:r>
                  <w:r>
                    <w:rPr>
                      <w:rFonts w:hint="eastAsia" w:ascii="Times New Roman" w:hAnsi="Times New Roman" w:eastAsia="宋体" w:cs="Times New Roman"/>
                      <w:color w:val="auto"/>
                      <w:sz w:val="21"/>
                      <w:szCs w:val="21"/>
                      <w:highlight w:val="none"/>
                      <w:shd w:val="clear" w:color="auto" w:fill="auto"/>
                      <w:vertAlign w:val="baseline"/>
                      <w:lang w:val="en-US" w:eastAsia="zh-CN"/>
                    </w:rPr>
                    <w:t>项目建成后编制应急预案，并在</w:t>
                  </w:r>
                  <w:r>
                    <w:rPr>
                      <w:rFonts w:hint="default" w:ascii="Times New Roman" w:hAnsi="Times New Roman" w:eastAsia="宋体" w:cs="Times New Roman"/>
                      <w:color w:val="auto"/>
                      <w:sz w:val="21"/>
                      <w:szCs w:val="21"/>
                      <w:highlight w:val="none"/>
                      <w:shd w:val="clear" w:color="auto" w:fill="auto"/>
                      <w:vertAlign w:val="baseline"/>
                      <w:lang w:val="zh-CN" w:eastAsia="zh-CN"/>
                    </w:rPr>
                    <w:t>相关环保部门备案</w:t>
                  </w:r>
                </w:p>
              </w:tc>
              <w:tc>
                <w:tcPr>
                  <w:tcW w:w="8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sz w:val="21"/>
                      <w:szCs w:val="21"/>
                      <w:highlight w:val="none"/>
                      <w:shd w:val="clear" w:color="auto" w:fill="auto"/>
                      <w:vertAlign w:val="baseline"/>
                      <w:lang w:val="en-US" w:eastAsia="zh-CN"/>
                    </w:rPr>
                  </w:pPr>
                  <w:r>
                    <w:rPr>
                      <w:rFonts w:hint="eastAsia" w:ascii="Times New Roman" w:hAnsi="Times New Roman" w:eastAsia="宋体" w:cs="Times New Roman"/>
                      <w:color w:val="auto"/>
                      <w:sz w:val="21"/>
                      <w:szCs w:val="21"/>
                      <w:highlight w:val="none"/>
                      <w:shd w:val="clear" w:color="auto" w:fill="auto"/>
                      <w:vertAlign w:val="baseline"/>
                      <w:lang w:val="en-US" w:eastAsia="zh-CN"/>
                    </w:rPr>
                    <w:t>符合</w:t>
                  </w:r>
                </w:p>
              </w:tc>
            </w:tr>
          </w:tbl>
          <w:p>
            <w:pPr>
              <w:bidi w:val="0"/>
              <w:rPr>
                <w:rFonts w:hint="default"/>
                <w:color w:val="auto"/>
                <w:highlight w:val="none"/>
                <w:lang w:val="zh-CN" w:eastAsia="zh-CN"/>
              </w:rPr>
            </w:pPr>
            <w:r>
              <w:rPr>
                <w:rFonts w:hint="default"/>
                <w:color w:val="auto"/>
                <w:highlight w:val="none"/>
                <w:lang w:val="zh-CN" w:eastAsia="zh-CN"/>
              </w:rPr>
              <w:t>由上表可知，本项目不在京唐智慧港产业准入负面清单之列。</w:t>
            </w:r>
          </w:p>
          <w:p>
            <w:pPr>
              <w:bidi w:val="0"/>
              <w:rPr>
                <w:rFonts w:hint="default"/>
                <w:color w:val="auto"/>
                <w:highlight w:val="none"/>
                <w:lang w:val="zh-CN" w:eastAsia="zh-CN"/>
              </w:rPr>
            </w:pPr>
            <w:r>
              <w:rPr>
                <w:rFonts w:hint="default"/>
                <w:color w:val="auto"/>
                <w:highlight w:val="none"/>
                <w:lang w:val="zh-CN" w:eastAsia="zh-CN"/>
              </w:rPr>
              <w:t>综上所述，本项目的建设符合</w:t>
            </w:r>
            <w:r>
              <w:rPr>
                <w:rFonts w:hint="eastAsia"/>
                <w:color w:val="auto"/>
                <w:highlight w:val="none"/>
                <w:lang w:val="zh-CN" w:eastAsia="zh-CN"/>
              </w:rPr>
              <w:t>“</w:t>
            </w:r>
            <w:r>
              <w:rPr>
                <w:rFonts w:hint="default"/>
                <w:color w:val="auto"/>
                <w:highlight w:val="none"/>
                <w:lang w:val="zh-CN" w:eastAsia="zh-CN"/>
              </w:rPr>
              <w:t>三线一单</w:t>
            </w:r>
            <w:r>
              <w:rPr>
                <w:rFonts w:hint="eastAsia"/>
                <w:color w:val="auto"/>
                <w:highlight w:val="none"/>
                <w:lang w:val="zh-CN" w:eastAsia="zh-CN"/>
              </w:rPr>
              <w:t>”</w:t>
            </w:r>
            <w:r>
              <w:rPr>
                <w:rFonts w:hint="default"/>
                <w:color w:val="auto"/>
                <w:highlight w:val="none"/>
                <w:lang w:val="zh-CN" w:eastAsia="zh-CN"/>
              </w:rPr>
              <w:t>管控要求</w:t>
            </w:r>
            <w:r>
              <w:rPr>
                <w:rFonts w:hint="eastAsia"/>
                <w:color w:val="auto"/>
                <w:highlight w:val="none"/>
                <w:lang w:val="zh-CN"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sz w:val="24"/>
                <w:szCs w:val="24"/>
                <w:highlight w:val="none"/>
              </w:rPr>
            </w:pPr>
            <w:r>
              <w:rPr>
                <w:rFonts w:hint="eastAsia" w:ascii="Times New Roman" w:eastAsia="宋体"/>
                <w:b/>
                <w:bCs/>
                <w:color w:val="auto"/>
                <w:sz w:val="24"/>
                <w:szCs w:val="24"/>
                <w:highlight w:val="none"/>
                <w:lang w:val="en-US" w:eastAsia="zh-CN"/>
              </w:rPr>
              <w:t>4、与唐山市“</w:t>
            </w:r>
            <w:r>
              <w:rPr>
                <w:rFonts w:hint="default"/>
                <w:b/>
                <w:bCs/>
                <w:color w:val="auto"/>
                <w:sz w:val="24"/>
                <w:szCs w:val="24"/>
                <w:highlight w:val="none"/>
              </w:rPr>
              <w:t>三线一单</w:t>
            </w:r>
            <w:r>
              <w:rPr>
                <w:rFonts w:hint="eastAsia" w:ascii="Times New Roman" w:eastAsia="宋体"/>
                <w:b/>
                <w:bCs/>
                <w:color w:val="auto"/>
                <w:sz w:val="24"/>
                <w:szCs w:val="24"/>
                <w:highlight w:val="none"/>
                <w:lang w:val="en-US" w:eastAsia="zh-CN"/>
              </w:rPr>
              <w:t>”</w:t>
            </w:r>
            <w:r>
              <w:rPr>
                <w:rFonts w:hint="default"/>
                <w:b/>
                <w:bCs/>
                <w:color w:val="auto"/>
                <w:sz w:val="24"/>
                <w:szCs w:val="24"/>
                <w:highlight w:val="none"/>
              </w:rPr>
              <w:t>相符性分析</w:t>
            </w:r>
          </w:p>
          <w:p>
            <w:pPr>
              <w:bidi w:val="0"/>
              <w:rPr>
                <w:rFonts w:hint="default"/>
                <w:color w:val="auto"/>
                <w:highlight w:val="none"/>
              </w:rPr>
            </w:pPr>
            <w:r>
              <w:rPr>
                <w:rFonts w:hint="eastAsia"/>
                <w:color w:val="auto"/>
                <w:highlight w:val="none"/>
                <w:lang w:val="en-US" w:eastAsia="zh-CN"/>
              </w:rPr>
              <w:t>根据《唐山市人民政府关于实施“三线一单”生态环境分区管控的意见》（唐政字[2021] 48号），与本项目对比分析如下：</w:t>
            </w:r>
          </w:p>
          <w:p>
            <w:pPr>
              <w:bidi w:val="0"/>
              <w:rPr>
                <w:rFonts w:hint="default"/>
                <w:color w:val="auto"/>
                <w:highlight w:val="none"/>
              </w:rPr>
            </w:pPr>
            <w:r>
              <w:rPr>
                <w:rFonts w:hint="eastAsia" w:ascii="Times New Roman" w:hAnsi="Times New Roman" w:eastAsia="宋体" w:cs="Times New Roman"/>
                <w:color w:val="auto"/>
                <w:sz w:val="24"/>
                <w:szCs w:val="24"/>
                <w:highlight w:val="none"/>
                <w:shd w:val="clear" w:color="auto" w:fill="auto"/>
                <w:lang w:val="en-US" w:eastAsia="zh-CN"/>
              </w:rPr>
              <w:t>本项目</w:t>
            </w:r>
            <w:r>
              <w:rPr>
                <w:rFonts w:hint="default" w:ascii="Times New Roman" w:hAnsi="Times New Roman" w:eastAsia="宋体" w:cs="Times New Roman"/>
                <w:color w:val="auto"/>
                <w:sz w:val="24"/>
                <w:szCs w:val="24"/>
                <w:highlight w:val="none"/>
                <w:shd w:val="clear" w:color="auto" w:fill="auto"/>
              </w:rPr>
              <w:t>位于</w:t>
            </w:r>
            <w:r>
              <w:rPr>
                <w:rFonts w:hint="eastAsia"/>
                <w:color w:val="auto"/>
                <w:sz w:val="24"/>
                <w:szCs w:val="24"/>
                <w:highlight w:val="none"/>
                <w:lang w:val="en-US" w:eastAsia="zh-CN"/>
              </w:rPr>
              <w:t>唐山市高新区空港新城东南约353米</w:t>
            </w:r>
            <w:r>
              <w:rPr>
                <w:rFonts w:hint="eastAsia" w:eastAsia="宋体"/>
                <w:color w:val="auto"/>
                <w:highlight w:val="none"/>
                <w:lang w:eastAsia="zh-CN"/>
              </w:rPr>
              <w:t>，</w:t>
            </w:r>
            <w:r>
              <w:rPr>
                <w:rFonts w:hint="eastAsia" w:ascii="Times New Roman" w:hAnsi="Times New Roman" w:eastAsia="宋体" w:cs="Times New Roman"/>
                <w:color w:val="auto"/>
                <w:sz w:val="24"/>
                <w:szCs w:val="24"/>
                <w:highlight w:val="none"/>
                <w:shd w:val="clear" w:color="auto" w:fill="auto"/>
                <w:lang w:val="en-US" w:eastAsia="zh-CN"/>
              </w:rPr>
              <w:t>不在生态保护红线区、自然保护区、风景名胜区、森林公园、湿地公园、地质公园、水产种质资源保护区、自然文化遗产、湿地空间、饮用水地下水源保护区、一般生态空间范围内</w:t>
            </w:r>
            <w:r>
              <w:rPr>
                <w:rFonts w:hint="eastAsia" w:cs="Times New Roman"/>
                <w:color w:val="auto"/>
                <w:sz w:val="24"/>
                <w:szCs w:val="24"/>
                <w:highlight w:val="none"/>
                <w:shd w:val="clear" w:color="auto" w:fill="auto"/>
                <w:lang w:val="en-US" w:eastAsia="zh-CN"/>
              </w:rPr>
              <w:t>，项目所在区域为重点管控单元，项目与唐山市生态环境准入清单符合性分析见下表。</w:t>
            </w:r>
          </w:p>
          <w:p>
            <w:pPr>
              <w:pStyle w:val="29"/>
              <w:bidi w:val="0"/>
              <w:rPr>
                <w:rFonts w:hint="eastAsia"/>
                <w:color w:val="auto"/>
                <w:highlight w:val="none"/>
                <w:lang w:val="en-US" w:eastAsia="zh-CN"/>
              </w:rPr>
            </w:pPr>
            <w:r>
              <w:rPr>
                <w:rFonts w:hint="default"/>
                <w:color w:val="auto"/>
                <w:highlight w:val="none"/>
              </w:rPr>
              <w:t>表</w:t>
            </w:r>
            <w:r>
              <w:rPr>
                <w:rFonts w:hint="eastAsia"/>
                <w:color w:val="auto"/>
                <w:highlight w:val="none"/>
                <w:lang w:val="en-US" w:eastAsia="zh-CN"/>
              </w:rPr>
              <w:t>4</w:t>
            </w:r>
            <w:r>
              <w:rPr>
                <w:rFonts w:hint="default"/>
                <w:color w:val="auto"/>
                <w:highlight w:val="none"/>
                <w:lang w:val="en-US" w:eastAsia="zh-CN"/>
              </w:rPr>
              <w:t xml:space="preserve"> </w:t>
            </w:r>
            <w:r>
              <w:rPr>
                <w:rFonts w:hint="eastAsia"/>
                <w:color w:val="auto"/>
                <w:highlight w:val="none"/>
                <w:lang w:val="en-US" w:eastAsia="zh-CN"/>
              </w:rPr>
              <w:t xml:space="preserve"> </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与</w:t>
            </w:r>
            <w:r>
              <w:rPr>
                <w:rFonts w:hint="eastAsia" w:ascii="Times New Roman" w:hAnsi="Times New Roman" w:cs="Times New Roman"/>
                <w:b/>
                <w:bCs/>
                <w:color w:val="auto"/>
                <w:sz w:val="21"/>
                <w:szCs w:val="21"/>
                <w:highlight w:val="none"/>
                <w:lang w:val="en-US" w:eastAsia="zh-CN"/>
              </w:rPr>
              <w:t>陆域环境管控单元生态环境准入清单</w:t>
            </w:r>
            <w:r>
              <w:rPr>
                <w:rFonts w:hint="default" w:ascii="Times New Roman" w:hAnsi="Times New Roman" w:cs="Times New Roman"/>
                <w:b/>
                <w:bCs/>
                <w:color w:val="auto"/>
                <w:sz w:val="21"/>
                <w:szCs w:val="21"/>
                <w:highlight w:val="none"/>
              </w:rPr>
              <w:t>相符性分析</w:t>
            </w:r>
            <w:r>
              <w:rPr>
                <w:rFonts w:hint="eastAsia" w:cs="Times New Roman"/>
                <w:b/>
                <w:bCs/>
                <w:color w:val="auto"/>
                <w:sz w:val="21"/>
                <w:szCs w:val="21"/>
                <w:highlight w:val="none"/>
                <w:lang w:val="en-US" w:eastAsia="zh-CN"/>
              </w:rPr>
              <w:t>一览表</w:t>
            </w:r>
          </w:p>
          <w:tbl>
            <w:tblPr>
              <w:tblStyle w:val="24"/>
              <w:tblW w:w="13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7"/>
              <w:gridCol w:w="563"/>
              <w:gridCol w:w="674"/>
              <w:gridCol w:w="563"/>
              <w:gridCol w:w="1104"/>
              <w:gridCol w:w="874"/>
              <w:gridCol w:w="4422"/>
              <w:gridCol w:w="3400"/>
              <w:gridCol w:w="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7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编号</w:t>
                  </w:r>
                </w:p>
              </w:tc>
              <w:tc>
                <w:tcPr>
                  <w:tcW w:w="56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县区</w:t>
                  </w:r>
                </w:p>
              </w:tc>
              <w:tc>
                <w:tcPr>
                  <w:tcW w:w="6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乡镇</w:t>
                  </w:r>
                </w:p>
              </w:tc>
              <w:tc>
                <w:tcPr>
                  <w:tcW w:w="56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单元类别</w:t>
                  </w:r>
                </w:p>
              </w:tc>
              <w:tc>
                <w:tcPr>
                  <w:tcW w:w="110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环境要素类别</w:t>
                  </w:r>
                </w:p>
              </w:tc>
              <w:tc>
                <w:tcPr>
                  <w:tcW w:w="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维度</w:t>
                  </w:r>
                </w:p>
              </w:tc>
              <w:tc>
                <w:tcPr>
                  <w:tcW w:w="44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管控措施</w:t>
                  </w:r>
                </w:p>
              </w:tc>
              <w:tc>
                <w:tcPr>
                  <w:tcW w:w="34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项目情况</w:t>
                  </w:r>
                </w:p>
              </w:tc>
              <w:tc>
                <w:tcPr>
                  <w:tcW w:w="86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本项目</w:t>
                  </w:r>
                  <w:r>
                    <w:rPr>
                      <w:rFonts w:hint="default"/>
                      <w:color w:val="auto"/>
                      <w:highlight w:val="no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77"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ZH1302</w:t>
                  </w:r>
                  <w:r>
                    <w:rPr>
                      <w:rFonts w:hint="eastAsia"/>
                      <w:color w:val="auto"/>
                      <w:highlight w:val="none"/>
                      <w:lang w:val="en-US" w:eastAsia="zh-CN"/>
                    </w:rPr>
                    <w:t>73200023</w:t>
                  </w:r>
                </w:p>
              </w:tc>
              <w:tc>
                <w:tcPr>
                  <w:tcW w:w="563"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唐山高新技术产业开发区</w:t>
                  </w:r>
                </w:p>
              </w:tc>
              <w:tc>
                <w:tcPr>
                  <w:tcW w:w="674"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京唐智慧港（空港城）</w:t>
                  </w:r>
                </w:p>
              </w:tc>
              <w:tc>
                <w:tcPr>
                  <w:tcW w:w="563"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重点管控单元</w:t>
                  </w:r>
                </w:p>
              </w:tc>
              <w:tc>
                <w:tcPr>
                  <w:tcW w:w="1104"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highlight w:val="none"/>
                      <w:lang w:val="en-US" w:eastAsia="zh-CN"/>
                    </w:rPr>
                  </w:pPr>
                  <w:r>
                    <w:rPr>
                      <w:rFonts w:hint="eastAsia"/>
                      <w:color w:val="auto"/>
                      <w:highlight w:val="none"/>
                      <w:lang w:val="en-US" w:eastAsia="zh-CN"/>
                    </w:rPr>
                    <w:t>1、大气受体敏感重点管控区；2、水环境城镇生活污染重点管控区；3、地下水风险防控重点管控区；</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4、唐山市规划城区</w:t>
                  </w:r>
                </w:p>
              </w:tc>
              <w:tc>
                <w:tcPr>
                  <w:tcW w:w="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空间布局约束</w:t>
                  </w:r>
                </w:p>
              </w:tc>
              <w:tc>
                <w:tcPr>
                  <w:tcW w:w="44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农用地性质未调整前禁止建设项目布局</w:t>
                  </w:r>
                </w:p>
              </w:tc>
              <w:tc>
                <w:tcPr>
                  <w:tcW w:w="34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本项目占地为工业用地，不属于农用地</w:t>
                  </w:r>
                </w:p>
              </w:tc>
              <w:tc>
                <w:tcPr>
                  <w:tcW w:w="86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67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110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污染物排放管控</w:t>
                  </w:r>
                </w:p>
              </w:tc>
              <w:tc>
                <w:tcPr>
                  <w:tcW w:w="44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加强重污染天气应急联动，完善应急减排措施，严格执行大气环境质量管控制度。</w:t>
                  </w:r>
                </w:p>
                <w:p>
                  <w:pPr>
                    <w:pStyle w:val="30"/>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全面加强城镇污水管网建设，提升污水收集能力。推进城镇排水系统雨污分流建设，新建城区建设排水管网一律实行雨污分流；加快旧城区管网改造，实现雨污分流。</w:t>
                  </w:r>
                </w:p>
              </w:tc>
              <w:tc>
                <w:tcPr>
                  <w:tcW w:w="34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本项目建成后严格</w:t>
                  </w:r>
                  <w:r>
                    <w:rPr>
                      <w:rFonts w:hint="default"/>
                      <w:color w:val="auto"/>
                      <w:highlight w:val="none"/>
                      <w:lang w:val="en-US" w:eastAsia="zh-CN"/>
                    </w:rPr>
                    <w:t>执行大气环境质量管控制度</w:t>
                  </w:r>
                  <w:r>
                    <w:rPr>
                      <w:rFonts w:hint="eastAsia"/>
                      <w:color w:val="auto"/>
                      <w:highlight w:val="none"/>
                      <w:lang w:val="en-US" w:eastAsia="zh-CN"/>
                    </w:rPr>
                    <w:t>；本项目生产废水（脱泥废水、筛分废水、脱水废水、再生细骨料堆存废水）沉淀澄清后回用于生产，洗车废水沉淀处理后，回用于洗车过程，职工生活污水泼洒地面抑尘，无废水外排；项目所在区域管网正在改造，雨水厂区内漫流</w:t>
                  </w:r>
                </w:p>
              </w:tc>
              <w:tc>
                <w:tcPr>
                  <w:tcW w:w="86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67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110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环境风险防控</w:t>
                  </w:r>
                </w:p>
              </w:tc>
              <w:tc>
                <w:tcPr>
                  <w:tcW w:w="44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jc w:val="left"/>
                    <w:textAlignment w:val="auto"/>
                    <w:rPr>
                      <w:rFonts w:hint="eastAsia"/>
                      <w:color w:val="auto"/>
                      <w:highlight w:val="none"/>
                      <w:lang w:val="en-US" w:eastAsia="zh-CN"/>
                    </w:rPr>
                  </w:pPr>
                  <w:r>
                    <w:rPr>
                      <w:rFonts w:hint="eastAsia"/>
                      <w:color w:val="auto"/>
                      <w:highlight w:val="none"/>
                      <w:lang w:val="en-US" w:eastAsia="zh-CN"/>
                    </w:rPr>
                    <w:t>1、用途变更为住宅、公共管理与公共服务用地的农用地，变更前应当按照规定开展土壤污染状况调查。</w:t>
                  </w:r>
                </w:p>
                <w:p>
                  <w:pPr>
                    <w:pStyle w:val="30"/>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color w:val="auto"/>
                      <w:highlight w:val="none"/>
                      <w:lang w:val="en-US" w:eastAsia="zh-CN"/>
                    </w:rPr>
                  </w:pPr>
                  <w:r>
                    <w:rPr>
                      <w:rFonts w:hint="eastAsia"/>
                      <w:color w:val="auto"/>
                      <w:highlight w:val="none"/>
                      <w:lang w:val="en-US" w:eastAsia="zh-CN"/>
                    </w:rPr>
                    <w:t>2、开发区及入区企业需组织编制《环境风险应急预案》，成立应急组织机构，定期开展应急演练，提高区域环境风险防范能力。</w:t>
                  </w:r>
                </w:p>
              </w:tc>
              <w:tc>
                <w:tcPr>
                  <w:tcW w:w="34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本项目用地不属于农用地，项目建成后编制突发环境事件应急预案，并成立应急组织机构，定期开展应急演练，提高区域环境风险防范能力。</w:t>
                  </w:r>
                </w:p>
              </w:tc>
              <w:tc>
                <w:tcPr>
                  <w:tcW w:w="86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67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563"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1104"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zh-CN" w:eastAsia="zh-CN"/>
                    </w:rPr>
                  </w:pPr>
                </w:p>
              </w:tc>
              <w:tc>
                <w:tcPr>
                  <w:tcW w:w="8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default"/>
                      <w:color w:val="auto"/>
                      <w:highlight w:val="none"/>
                      <w:lang w:val="en-US" w:eastAsia="zh-CN"/>
                    </w:rPr>
                    <w:t>资源利用效率要求</w:t>
                  </w:r>
                </w:p>
              </w:tc>
              <w:tc>
                <w:tcPr>
                  <w:tcW w:w="442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jc w:val="left"/>
                    <w:textAlignment w:val="auto"/>
                    <w:rPr>
                      <w:rFonts w:hint="default"/>
                      <w:color w:val="auto"/>
                      <w:highlight w:val="none"/>
                      <w:lang w:val="en-US" w:eastAsia="zh-CN"/>
                    </w:rPr>
                  </w:pPr>
                  <w:r>
                    <w:rPr>
                      <w:rFonts w:hint="eastAsia"/>
                      <w:color w:val="auto"/>
                      <w:highlight w:val="none"/>
                      <w:lang w:val="en-US" w:eastAsia="zh-CN"/>
                    </w:rPr>
                    <w:t>提高水资源重复利用率，加强再生水的回用。污水经深度处理后满足相关再生水回用的标准，回用于工业用水、绿地浇洒、道路喷洒等。</w:t>
                  </w:r>
                </w:p>
              </w:tc>
              <w:tc>
                <w:tcPr>
                  <w:tcW w:w="34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本项目生产废水（脱泥废水、筛分废水、脱水废水、再生细骨料堆存废水）沉淀澄清后回用于生产，洗车废水沉淀处理后，回用于洗车过程。</w:t>
                  </w:r>
                </w:p>
              </w:tc>
              <w:tc>
                <w:tcPr>
                  <w:tcW w:w="86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highlight w:val="none"/>
                      <w:lang w:val="en-US" w:eastAsia="zh-CN"/>
                    </w:rPr>
                  </w:pPr>
                  <w:r>
                    <w:rPr>
                      <w:rFonts w:hint="eastAsia"/>
                      <w:color w:val="auto"/>
                      <w:highlight w:val="none"/>
                      <w:lang w:val="en-US" w:eastAsia="zh-CN"/>
                    </w:rPr>
                    <w:t>符合</w:t>
                  </w:r>
                </w:p>
              </w:tc>
            </w:tr>
          </w:tbl>
          <w:p>
            <w:pPr>
              <w:bidi w:val="0"/>
              <w:rPr>
                <w:rFonts w:hint="eastAsia"/>
                <w:color w:val="auto"/>
                <w:highlight w:val="none"/>
                <w:lang w:val="zh-CN"/>
              </w:rPr>
            </w:pPr>
            <w:r>
              <w:rPr>
                <w:rFonts w:hint="eastAsia"/>
                <w:color w:val="auto"/>
                <w:highlight w:val="none"/>
                <w:lang w:val="zh-CN"/>
              </w:rPr>
              <w:t>综上所述，</w:t>
            </w:r>
            <w:r>
              <w:rPr>
                <w:rFonts w:hint="eastAsia"/>
                <w:color w:val="auto"/>
                <w:highlight w:val="none"/>
                <w:lang w:val="en-US" w:eastAsia="zh-CN"/>
              </w:rPr>
              <w:t>本项目</w:t>
            </w:r>
            <w:r>
              <w:rPr>
                <w:rFonts w:hint="eastAsia"/>
                <w:color w:val="auto"/>
                <w:highlight w:val="none"/>
                <w:lang w:val="zh-CN"/>
              </w:rPr>
              <w:t>的建设符合</w:t>
            </w:r>
            <w:r>
              <w:rPr>
                <w:rFonts w:hint="default"/>
                <w:color w:val="auto"/>
                <w:highlight w:val="none"/>
                <w:lang w:val="en-US" w:eastAsia="zh-CN"/>
              </w:rPr>
              <w:t>《唐山市人民政府关于实施</w:t>
            </w:r>
            <w:r>
              <w:rPr>
                <w:rFonts w:hint="eastAsia" w:ascii="宋体" w:hAnsi="宋体" w:eastAsia="宋体" w:cs="宋体"/>
                <w:color w:val="auto"/>
                <w:highlight w:val="none"/>
                <w:lang w:val="en-US" w:eastAsia="zh-CN"/>
              </w:rPr>
              <w:t>“三线一单”</w:t>
            </w:r>
            <w:r>
              <w:rPr>
                <w:rFonts w:hint="default"/>
                <w:color w:val="auto"/>
                <w:highlight w:val="none"/>
                <w:lang w:val="en-US" w:eastAsia="zh-CN"/>
              </w:rPr>
              <w:t>生态环境分区管控的意见》</w:t>
            </w:r>
            <w:r>
              <w:rPr>
                <w:rFonts w:hint="default"/>
                <w:color w:val="auto"/>
                <w:highlight w:val="none"/>
                <w:lang w:val="zh-CN"/>
              </w:rPr>
              <w:t>要求</w:t>
            </w:r>
            <w:r>
              <w:rPr>
                <w:rFonts w:hint="eastAsia"/>
                <w:color w:val="auto"/>
                <w:highlight w:val="none"/>
                <w:lang w:val="zh-CN"/>
              </w:rPr>
              <w:t>。</w:t>
            </w:r>
          </w:p>
          <w:p>
            <w:pPr>
              <w:numPr>
                <w:ilvl w:val="0"/>
                <w:numId w:val="0"/>
              </w:numPr>
              <w:ind w:leftChars="0"/>
              <w:rPr>
                <w:rFonts w:hint="eastAsia"/>
                <w:b/>
                <w:bCs/>
                <w:color w:val="auto"/>
                <w:highlight w:val="none"/>
                <w:lang w:val="en-US" w:eastAsia="zh-CN"/>
              </w:rPr>
            </w:pPr>
            <w:r>
              <w:rPr>
                <w:rFonts w:hint="eastAsia"/>
                <w:b/>
                <w:bCs/>
                <w:color w:val="auto"/>
                <w:highlight w:val="none"/>
                <w:lang w:val="en-US" w:eastAsia="zh-CN"/>
              </w:rPr>
              <w:t>5、与相关文件符合性分析</w:t>
            </w:r>
          </w:p>
          <w:p>
            <w:pPr>
              <w:bidi w:val="0"/>
              <w:rPr>
                <w:rFonts w:hint="eastAsia"/>
                <w:color w:val="auto"/>
                <w:highlight w:val="none"/>
              </w:rPr>
            </w:pPr>
            <w:r>
              <w:rPr>
                <w:rFonts w:hint="eastAsia"/>
                <w:color w:val="auto"/>
                <w:highlight w:val="none"/>
                <w:lang w:val="en-US" w:eastAsia="zh-CN"/>
              </w:rPr>
              <w:t>（1）与</w:t>
            </w:r>
            <w:r>
              <w:rPr>
                <w:rFonts w:hint="eastAsia"/>
                <w:color w:val="auto"/>
                <w:highlight w:val="none"/>
              </w:rPr>
              <w:t>《环境保护综合名录（2021年版）》</w:t>
            </w:r>
            <w:r>
              <w:rPr>
                <w:rFonts w:hint="eastAsia"/>
                <w:color w:val="auto"/>
                <w:highlight w:val="none"/>
                <w:lang w:val="en-US" w:eastAsia="zh-CN"/>
              </w:rPr>
              <w:t>要求符合性分析</w:t>
            </w:r>
          </w:p>
          <w:p>
            <w:pPr>
              <w:bidi w:val="0"/>
              <w:rPr>
                <w:rFonts w:hint="eastAsia"/>
                <w:color w:val="auto"/>
                <w:highlight w:val="none"/>
              </w:rPr>
            </w:pPr>
            <w:r>
              <w:rPr>
                <w:rFonts w:hint="eastAsia"/>
                <w:color w:val="auto"/>
                <w:highlight w:val="none"/>
              </w:rPr>
              <w:t>本项目产品不在《环境保护综合名录（2021年版）》（环办综合函</w:t>
            </w:r>
            <w:r>
              <w:rPr>
                <w:rFonts w:hint="eastAsia"/>
                <w:color w:val="auto"/>
                <w:highlight w:val="none"/>
                <w:lang w:val="en-US" w:eastAsia="zh-CN"/>
              </w:rPr>
              <w:t>[</w:t>
            </w:r>
            <w:r>
              <w:rPr>
                <w:rFonts w:hint="eastAsia"/>
                <w:color w:val="auto"/>
                <w:highlight w:val="none"/>
              </w:rPr>
              <w:t>2021</w:t>
            </w:r>
            <w:r>
              <w:rPr>
                <w:rFonts w:hint="eastAsia"/>
                <w:color w:val="auto"/>
                <w:highlight w:val="none"/>
                <w:lang w:val="en-US" w:eastAsia="zh-CN"/>
              </w:rPr>
              <w:t>]</w:t>
            </w:r>
            <w:r>
              <w:rPr>
                <w:rFonts w:hint="eastAsia"/>
                <w:color w:val="auto"/>
                <w:highlight w:val="none"/>
              </w:rPr>
              <w:t>495号）中“高污染”、“高环境风险”、“高污染、高环境风险”产品名录之列。</w:t>
            </w:r>
          </w:p>
          <w:p>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与建筑垃圾资源化利用行业规范条件符合性分析</w:t>
            </w:r>
          </w:p>
          <w:p>
            <w:pPr>
              <w:bidi w:val="0"/>
              <w:rPr>
                <w:rFonts w:hint="eastAsia"/>
                <w:color w:val="auto"/>
                <w:highlight w:val="none"/>
                <w:lang w:val="en-US" w:eastAsia="zh-CN"/>
              </w:rPr>
            </w:pPr>
            <w:r>
              <w:rPr>
                <w:rFonts w:hint="eastAsia"/>
                <w:color w:val="auto"/>
                <w:highlight w:val="none"/>
                <w:lang w:val="en-US" w:eastAsia="zh-CN"/>
              </w:rPr>
              <w:t>本项目与建筑垃圾资源化利用行业规范条件符合性分析见下表。</w:t>
            </w:r>
          </w:p>
          <w:p>
            <w:pPr>
              <w:numPr>
                <w:ilvl w:val="0"/>
                <w:numId w:val="0"/>
              </w:numPr>
              <w:bidi w:val="0"/>
              <w:jc w:val="center"/>
              <w:rPr>
                <w:rFonts w:hint="default"/>
                <w:color w:val="auto"/>
                <w:highlight w:val="none"/>
                <w:lang w:val="en-US"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5</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建筑垃圾资源化利用行业规范条件</w:t>
            </w:r>
            <w:r>
              <w:rPr>
                <w:rFonts w:hint="eastAsia" w:cs="Times New Roman"/>
                <w:b/>
                <w:bCs/>
                <w:color w:val="auto"/>
                <w:sz w:val="21"/>
                <w:szCs w:val="21"/>
                <w:highlight w:val="none"/>
                <w:lang w:val="en-US" w:eastAsia="zh-CN"/>
              </w:rPr>
              <w:t>符合性分析一览表</w:t>
            </w:r>
          </w:p>
          <w:tbl>
            <w:tblPr>
              <w:tblStyle w:val="24"/>
              <w:tblW w:w="13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41"/>
              <w:gridCol w:w="5860"/>
              <w:gridCol w:w="4342"/>
              <w:gridCol w:w="1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序号</w:t>
                  </w:r>
                </w:p>
              </w:tc>
              <w:tc>
                <w:tcPr>
                  <w:tcW w:w="7001"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建筑垃圾资源化利用行业规范条件要求</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项目情况</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企业布局和选址</w:t>
                  </w: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布局应根据区域内建筑垃圾存量及增量预测情况、运输半径、应用条件等，统筹协调确定。企业应符合国家产业政策和所在地城乡建设规划、生态环境保护规划和污染防治、土地利用总体规划、主体功能区规划等要求，并与旧城改造、大型工业园区改造、城市新区建设等大型建设项目相结合，其施工建设应满足规范化设计要求。</w:t>
                  </w:r>
                </w:p>
              </w:tc>
              <w:tc>
                <w:tcPr>
                  <w:tcW w:w="4342"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本项目位于唐山市高新区空港新城东南约353米，用地为工业用地，主要对</w:t>
                  </w:r>
                  <w:r>
                    <w:rPr>
                      <w:rFonts w:hint="default" w:ascii="Times New Roman" w:hAnsi="Times New Roman" w:eastAsia="宋体" w:cs="Times New Roman"/>
                      <w:color w:val="auto"/>
                      <w:sz w:val="21"/>
                      <w:szCs w:val="21"/>
                      <w:highlight w:val="none"/>
                      <w:shd w:val="clear" w:color="auto" w:fill="auto"/>
                      <w:vertAlign w:val="baseline"/>
                      <w:lang w:val="en-US" w:eastAsia="zh-CN"/>
                    </w:rPr>
                    <w:t>园区基础设施建设、规划项目的厂房建设及村庄拆迁等产生的建设垃圾</w:t>
                  </w:r>
                  <w:r>
                    <w:rPr>
                      <w:rFonts w:hint="eastAsia" w:ascii="Times New Roman" w:hAnsi="Times New Roman" w:eastAsia="宋体" w:cs="Times New Roman"/>
                      <w:color w:val="auto"/>
                      <w:sz w:val="21"/>
                      <w:szCs w:val="21"/>
                      <w:highlight w:val="none"/>
                      <w:shd w:val="clear" w:color="auto" w:fill="auto"/>
                      <w:vertAlign w:val="baseline"/>
                      <w:lang w:val="en-US" w:eastAsia="zh-CN"/>
                    </w:rPr>
                    <w:t>进行处理，符合国家及地方产业政策要求</w:t>
                  </w:r>
                  <w:r>
                    <w:rPr>
                      <w:rFonts w:hint="eastAsia"/>
                      <w:b w:val="0"/>
                      <w:bCs w:val="0"/>
                      <w:color w:val="auto"/>
                      <w:sz w:val="21"/>
                      <w:szCs w:val="21"/>
                      <w:highlight w:val="none"/>
                      <w:vertAlign w:val="baseline"/>
                      <w:lang w:val="en-US" w:eastAsia="zh-CN"/>
                    </w:rPr>
                    <w:t>。</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选址必须符合国家法律法规、行业发展规划和产业政策，统筹资源、能源、环境、物流和市场等因素合理选址并在当地环境卫生主管部门备案，优先考虑利用现有建筑垃圾填埋场。企业的固定生产场地宜接近建筑垃圾源头集中地，交通方便，可通行重载建筑垃圾运输车，场区附近交通线不宜穿行居民区。</w:t>
                  </w:r>
                </w:p>
              </w:tc>
              <w:tc>
                <w:tcPr>
                  <w:tcW w:w="434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技术、工艺和装备</w:t>
                  </w: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应根据当地建筑垃圾特点、分布及生产条件，确定采用固定式或移动式生产方式，选用连续化破碎、分选、筛分等工艺装备。原料混杂的可选用先筛后破工艺，设备宜采用重型筛分机。初级破碎宜采用颚式或反击式破碎机，二级破碎宜采用反击式或锤式破碎机，废钢筋分选应采用自动化除铁设备，轻质杂物分选宜采用气选或水选设备</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本项目采用固定式生产方式，选用连续化破碎、分选、筛分等工艺装备，初级破碎采用颚式破碎机，二级破碎采用锤式破碎机，废钢筋分选采用自动化除铁设备</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应配备环境监测、工艺运行监控系统，以及运输车辆载重计量设施</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本项目建成后</w:t>
                  </w:r>
                  <w:r>
                    <w:rPr>
                      <w:rFonts w:hint="eastAsia" w:ascii="Times New Roman" w:hAnsi="Times New Roman" w:eastAsia="宋体" w:cs="Times New Roman"/>
                      <w:color w:val="auto"/>
                      <w:sz w:val="21"/>
                      <w:szCs w:val="21"/>
                      <w:highlight w:val="none"/>
                      <w:vertAlign w:val="baseline"/>
                      <w:lang w:val="en-US" w:eastAsia="zh-CN"/>
                    </w:rPr>
                    <w:t>在厂区</w:t>
                  </w:r>
                  <w:r>
                    <w:rPr>
                      <w:rFonts w:hint="default" w:ascii="Times New Roman" w:hAnsi="Times New Roman" w:eastAsia="宋体" w:cs="Times New Roman"/>
                      <w:b w:val="0"/>
                      <w:color w:val="auto"/>
                      <w:sz w:val="21"/>
                      <w:szCs w:val="21"/>
                      <w:highlight w:val="none"/>
                      <w:vertAlign w:val="baseline"/>
                      <w:lang w:val="en-US" w:eastAsia="zh-CN"/>
                    </w:rPr>
                    <w:t>边界主导上、下风向各安装1套TSP、PM</w:t>
                  </w:r>
                  <w:r>
                    <w:rPr>
                      <w:rFonts w:hint="default" w:ascii="Times New Roman" w:hAnsi="Times New Roman" w:eastAsia="宋体" w:cs="Times New Roman"/>
                      <w:b w:val="0"/>
                      <w:color w:val="auto"/>
                      <w:sz w:val="21"/>
                      <w:szCs w:val="21"/>
                      <w:highlight w:val="none"/>
                      <w:vertAlign w:val="subscript"/>
                      <w:lang w:val="en-US" w:eastAsia="zh-CN"/>
                    </w:rPr>
                    <w:t>10</w:t>
                  </w:r>
                  <w:r>
                    <w:rPr>
                      <w:rFonts w:hint="default" w:ascii="Times New Roman" w:hAnsi="Times New Roman" w:eastAsia="宋体" w:cs="Times New Roman"/>
                      <w:b w:val="0"/>
                      <w:color w:val="auto"/>
                      <w:sz w:val="21"/>
                      <w:szCs w:val="21"/>
                      <w:highlight w:val="none"/>
                      <w:vertAlign w:val="baseline"/>
                      <w:lang w:val="en-US" w:eastAsia="zh-CN"/>
                    </w:rPr>
                    <w:t>、PM</w:t>
                  </w:r>
                  <w:r>
                    <w:rPr>
                      <w:rFonts w:hint="default" w:ascii="Times New Roman" w:hAnsi="Times New Roman" w:eastAsia="宋体" w:cs="Times New Roman"/>
                      <w:b w:val="0"/>
                      <w:color w:val="auto"/>
                      <w:sz w:val="21"/>
                      <w:szCs w:val="21"/>
                      <w:highlight w:val="none"/>
                      <w:vertAlign w:val="subscript"/>
                      <w:lang w:val="en-US" w:eastAsia="zh-CN"/>
                    </w:rPr>
                    <w:t>2.5</w:t>
                  </w:r>
                  <w:r>
                    <w:rPr>
                      <w:rFonts w:hint="default" w:ascii="Times New Roman" w:hAnsi="Times New Roman" w:eastAsia="宋体" w:cs="Times New Roman"/>
                      <w:b w:val="0"/>
                      <w:color w:val="auto"/>
                      <w:sz w:val="21"/>
                      <w:szCs w:val="21"/>
                      <w:highlight w:val="none"/>
                      <w:vertAlign w:val="baseline"/>
                      <w:lang w:val="en-US" w:eastAsia="zh-CN"/>
                    </w:rPr>
                    <w:t>在线监测设备</w:t>
                  </w:r>
                  <w:r>
                    <w:rPr>
                      <w:rFonts w:hint="eastAsia" w:ascii="Times New Roman" w:hAnsi="Times New Roman" w:eastAsia="宋体" w:cs="Times New Roman"/>
                      <w:b w:val="0"/>
                      <w:color w:val="auto"/>
                      <w:sz w:val="21"/>
                      <w:szCs w:val="21"/>
                      <w:highlight w:val="none"/>
                      <w:vertAlign w:val="baseline"/>
                      <w:lang w:val="en-US" w:eastAsia="zh-CN"/>
                    </w:rPr>
                    <w:t>，设置地磅，用于</w:t>
                  </w:r>
                  <w:r>
                    <w:rPr>
                      <w:rFonts w:hint="eastAsia"/>
                      <w:b w:val="0"/>
                      <w:bCs w:val="0"/>
                      <w:color w:val="auto"/>
                      <w:sz w:val="21"/>
                      <w:szCs w:val="21"/>
                      <w:highlight w:val="none"/>
                      <w:vertAlign w:val="baseline"/>
                      <w:lang w:val="en-US" w:eastAsia="zh-CN"/>
                    </w:rPr>
                    <w:t>运输车辆载重计量</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资源综合利用及能源消耗</w:t>
                  </w: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应全面接收当地产生的符合相关规范要求的建筑垃圾（混入生活垃圾、污泥、河道疏浚底泥、工业垃圾和危险废物等除外）。企业应根据进场建筑垃圾的特点，选择合适的工艺装备，在全面资源化利用处理的前提下，生产适宜的再生材料和资源化利用产品。进厂建筑垃圾的资源化率不应低于95%。无法资源化利用的固体废物应按要求无害化处理</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本项目所用建筑垃圾均符合相关规范要求，项目生产的石碴、再生细骨料作为建筑材料外售，污泥外运填坑铺路，资源化利用率达到100%</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环境保护</w:t>
                  </w: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应严格执行《中华人民共和国环境保护法》《中华人民共和国环境影响评价法》，依法向生态环境行政主管部门报批环境影响评价文件；严格执行环境保护“三同时”制度，落实各项生态环境保护措施，在项目建成后按照国家规定的程序和技术规范开展建设项目竣工环境保护验收，依法取得排污许可证或进行排污登记</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进行环境影响评价，项目严格执行环境保护“三同时”制度，落实各项生态环境保护措施，在项目建成后按照国家规定的程序和技术规范开展建设项目竣工环境保护验收，并依法取得排污许可证或进行排污登记</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应采取有效抑尘措施减少粉尘无组织排放，根据生产需要设置粉尘回收和储存设备，粉尘等大气污染物排放达到相应标准要求。固定式生产宜在生产区建设封闭生产厂房或封闭式生产单元，移动式生产应采取原料预湿、喷淋等措施</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本项目建成后采取有效抑尘措施减少粉尘无组织排放，污染物达标排放。项目采用固定式生产方式，建设封闭生产车间</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企业应配备建筑垃圾运输车辆出入口清洗设施，根据生产工艺的需求建设生产废水处理系统，实现生产废水循环利用和零排放</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项目厂区出入口设置洗车平台，洗车废水沉淀处理后回用于洗车过程，无废水排放</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687" w:type="dxa"/>
                  <w:tcBorders>
                    <w:tl2br w:val="nil"/>
                    <w:tr2bl w:val="nil"/>
                  </w:tcBorders>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11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586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企业应对噪声污染采取防治措施，达到《工业企业厂界环境噪声排放标准》的要求，且符合企业所在地的相关地方标准和环境影响评价要求</w:t>
                  </w:r>
                </w:p>
              </w:tc>
              <w:tc>
                <w:tcPr>
                  <w:tcW w:w="434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本项目建成后采取基础减振，厂房隔声等降噪措施，厂界噪声达到《工业企业厂界环境噪声排放标准》（GB12348-2008）中2类标准</w:t>
                  </w:r>
                </w:p>
              </w:tc>
              <w:tc>
                <w:tcPr>
                  <w:tcW w:w="102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bl>
          <w:p>
            <w:pPr>
              <w:bidi w:val="0"/>
              <w:rPr>
                <w:rFonts w:hint="eastAsia"/>
                <w:color w:val="auto"/>
                <w:highlight w:val="none"/>
                <w:lang w:val="zh-CN"/>
              </w:rPr>
            </w:pPr>
          </w:p>
        </w:tc>
      </w:tr>
    </w:tbl>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8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5" w:hRule="atLeast"/>
        </w:trPr>
        <w:tc>
          <w:tcPr>
            <w:tcW w:w="944" w:type="dxa"/>
          </w:tcPr>
          <w:p>
            <w:pPr>
              <w:pStyle w:val="20"/>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黑体" w:hAnsi="黑体" w:eastAsia="黑体"/>
                <w:snapToGrid w:val="0"/>
                <w:color w:val="auto"/>
                <w:sz w:val="30"/>
                <w:szCs w:val="30"/>
                <w:highlight w:val="none"/>
                <w:vertAlign w:val="baseline"/>
              </w:rPr>
            </w:pPr>
          </w:p>
        </w:tc>
        <w:tc>
          <w:tcPr>
            <w:tcW w:w="8514" w:type="dxa"/>
          </w:tcPr>
          <w:p>
            <w:pPr>
              <w:bidi w:val="0"/>
              <w:rPr>
                <w:rFonts w:hint="default"/>
                <w:color w:val="auto"/>
                <w:highlight w:val="none"/>
                <w:lang w:val="en-US" w:eastAsia="zh-CN"/>
              </w:rPr>
            </w:pPr>
            <w:r>
              <w:rPr>
                <w:rFonts w:hint="eastAsia"/>
                <w:color w:val="auto"/>
                <w:highlight w:val="none"/>
                <w:lang w:val="en-US" w:eastAsia="zh-CN"/>
              </w:rPr>
              <w:t>由上表可知，本项目符合建筑垃圾资源化利用行业规范条件要求。</w:t>
            </w:r>
          </w:p>
          <w:p>
            <w:pPr>
              <w:bidi w:val="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与《关于加强建筑垃圾管理和资源化利用工作的指导意见》符合性分析</w:t>
            </w:r>
          </w:p>
          <w:p>
            <w:pPr>
              <w:bidi w:val="0"/>
              <w:rPr>
                <w:rFonts w:hint="eastAsia"/>
                <w:color w:val="auto"/>
                <w:highlight w:val="none"/>
                <w:lang w:val="en-US" w:eastAsia="zh-CN"/>
              </w:rPr>
            </w:pPr>
            <w:r>
              <w:rPr>
                <w:rFonts w:hint="eastAsia"/>
                <w:color w:val="auto"/>
                <w:highlight w:val="none"/>
                <w:lang w:val="en-US" w:eastAsia="zh-CN"/>
              </w:rPr>
              <w:t>本项目与《关于加强建筑垃圾管理和资源化利用工作的指导意见》符合性分析见下表。</w:t>
            </w:r>
          </w:p>
          <w:p>
            <w:pPr>
              <w:numPr>
                <w:ilvl w:val="0"/>
                <w:numId w:val="0"/>
              </w:numPr>
              <w:bidi w:val="0"/>
              <w:jc w:val="center"/>
              <w:rPr>
                <w:rFonts w:hint="default"/>
                <w:color w:val="auto"/>
                <w:highlight w:val="none"/>
                <w:lang w:val="en-US"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与</w:t>
            </w:r>
            <w:r>
              <w:rPr>
                <w:rFonts w:hint="default" w:ascii="Times New Roman" w:hAnsi="Times New Roman" w:cs="Times New Roman"/>
                <w:b/>
                <w:bCs/>
                <w:color w:val="auto"/>
                <w:sz w:val="21"/>
                <w:szCs w:val="21"/>
                <w:highlight w:val="none"/>
                <w:lang w:val="en-US" w:eastAsia="zh-CN"/>
              </w:rPr>
              <w:t>关于加强建筑垃圾管理和资源化利用工作的指导意见</w:t>
            </w:r>
            <w:r>
              <w:rPr>
                <w:rFonts w:hint="eastAsia" w:cs="Times New Roman"/>
                <w:b/>
                <w:bCs/>
                <w:color w:val="auto"/>
                <w:sz w:val="21"/>
                <w:szCs w:val="21"/>
                <w:highlight w:val="none"/>
                <w:lang w:val="en-US" w:eastAsia="zh-CN"/>
              </w:rPr>
              <w:t>符合性分析一览表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23"/>
              <w:gridCol w:w="2503"/>
              <w:gridCol w:w="9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8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序号</w:t>
                  </w:r>
                </w:p>
              </w:tc>
              <w:tc>
                <w:tcPr>
                  <w:tcW w:w="387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关于加强建筑垃圾管理和资源化利用工作的指导意见要求</w:t>
                  </w:r>
                </w:p>
              </w:tc>
              <w:tc>
                <w:tcPr>
                  <w:tcW w:w="229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项目情况</w:t>
                  </w:r>
                </w:p>
              </w:tc>
              <w:tc>
                <w:tcPr>
                  <w:tcW w:w="8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6" w:hRule="atLeast"/>
                <w:jc w:val="center"/>
              </w:trPr>
              <w:tc>
                <w:tcPr>
                  <w:tcW w:w="589" w:type="dxa"/>
                  <w:tcBorders>
                    <w:tl2br w:val="nil"/>
                    <w:tr2bl w:val="nil"/>
                  </w:tcBorders>
                  <w:vAlign w:val="center"/>
                </w:tcPr>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right="-48" w:rightChars="-20" w:firstLine="0" w:firstLineChars="0"/>
                    <w:jc w:val="center"/>
                    <w:textAlignment w:val="auto"/>
                    <w:rPr>
                      <w:rFonts w:hint="eastAsia"/>
                      <w:b w:val="0"/>
                      <w:bCs w:val="0"/>
                      <w:color w:val="auto"/>
                      <w:sz w:val="21"/>
                      <w:szCs w:val="21"/>
                      <w:highlight w:val="none"/>
                      <w:vertAlign w:val="baseline"/>
                      <w:lang w:val="en-US" w:eastAsia="zh-CN"/>
                    </w:rPr>
                  </w:pPr>
                </w:p>
              </w:tc>
              <w:tc>
                <w:tcPr>
                  <w:tcW w:w="387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工程渣土可直接用于工程回填、洼地填充、绿化用土或堆山造景等；废弃混凝土和砂浆可通过破碎分拣，制备再生粗细骨料，用于再生混凝土浇筑墙体、道路路基施工、预制部品部件等；废旧砖瓦破碎筛分后，可用于混凝土骨料、轻集料混凝土构件（板、砌块）、透水性便道砖及花砖等水泥制品；废玻璃、废木材、废金属等可分拣回收再利用</w:t>
                  </w:r>
                </w:p>
              </w:tc>
              <w:tc>
                <w:tcPr>
                  <w:tcW w:w="229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本项目利用废弃混凝土和建筑渣土等，通过破碎分选等工序，生产石碴、再生细骨料，用于再生混凝土浇筑墙体、道路路基施工、预制部品部件等</w:t>
                  </w:r>
                </w:p>
              </w:tc>
              <w:tc>
                <w:tcPr>
                  <w:tcW w:w="8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b w:val="0"/>
                      <w:bCs w:val="0"/>
                      <w:color w:val="auto"/>
                      <w:sz w:val="21"/>
                      <w:szCs w:val="21"/>
                      <w:highlight w:val="none"/>
                      <w:vertAlign w:val="baseline"/>
                      <w:lang w:val="en-US" w:eastAsia="zh-CN"/>
                    </w:rPr>
                  </w:pPr>
                  <w:r>
                    <w:rPr>
                      <w:rFonts w:hint="eastAsia"/>
                      <w:b w:val="0"/>
                      <w:bCs w:val="0"/>
                      <w:color w:val="auto"/>
                      <w:sz w:val="21"/>
                      <w:szCs w:val="21"/>
                      <w:highlight w:val="none"/>
                      <w:vertAlign w:val="baseline"/>
                      <w:lang w:val="en-US" w:eastAsia="zh-CN"/>
                    </w:rPr>
                    <w:t>符合</w:t>
                  </w:r>
                </w:p>
              </w:tc>
            </w:tr>
          </w:tbl>
          <w:p>
            <w:pPr>
              <w:bidi w:val="0"/>
              <w:rPr>
                <w:rFonts w:hint="default" w:ascii="Times New Roman" w:hAnsi="Times New Roman" w:eastAsia="宋体" w:cs="Times New Roman"/>
                <w:b w:val="0"/>
                <w:bCs w:val="0"/>
                <w:color w:val="auto"/>
                <w:highlight w:val="none"/>
                <w:lang w:val="en-US" w:eastAsia="zh-CN"/>
              </w:rPr>
            </w:pPr>
            <w:r>
              <w:rPr>
                <w:rFonts w:hint="eastAsia" w:eastAsia="宋体" w:cs="Times New Roman"/>
                <w:b w:val="0"/>
                <w:bCs w:val="0"/>
                <w:color w:val="auto"/>
                <w:highlight w:val="none"/>
                <w:lang w:val="en-US" w:eastAsia="zh-CN"/>
              </w:rPr>
              <w:t>（</w:t>
            </w:r>
            <w:r>
              <w:rPr>
                <w:rFonts w:hint="eastAsia" w:cs="Times New Roman"/>
                <w:b w:val="0"/>
                <w:bCs w:val="0"/>
                <w:color w:val="auto"/>
                <w:highlight w:val="none"/>
                <w:lang w:val="en-US" w:eastAsia="zh-CN"/>
              </w:rPr>
              <w:t>4</w:t>
            </w:r>
            <w:r>
              <w:rPr>
                <w:rFonts w:hint="eastAsia" w:eastAsia="宋体" w:cs="Times New Roman"/>
                <w:b w:val="0"/>
                <w:bCs w:val="0"/>
                <w:color w:val="auto"/>
                <w:highlight w:val="none"/>
                <w:lang w:val="en-US" w:eastAsia="zh-CN"/>
              </w:rPr>
              <w:t>）</w:t>
            </w:r>
            <w:r>
              <w:rPr>
                <w:rFonts w:hint="eastAsia" w:ascii="Times New Roman" w:hAnsi="Times New Roman" w:eastAsia="宋体" w:cs="Times New Roman"/>
                <w:b w:val="0"/>
                <w:bCs w:val="0"/>
                <w:color w:val="auto"/>
                <w:highlight w:val="none"/>
                <w:lang w:val="en-US" w:eastAsia="zh-CN"/>
              </w:rPr>
              <w:t>与《</w:t>
            </w:r>
            <w:r>
              <w:rPr>
                <w:rFonts w:hint="eastAsia" w:eastAsia="宋体" w:cs="Times New Roman"/>
                <w:b w:val="0"/>
                <w:bCs w:val="0"/>
                <w:color w:val="auto"/>
                <w:highlight w:val="none"/>
                <w:lang w:val="en-US" w:eastAsia="zh-CN"/>
              </w:rPr>
              <w:t>关于“十四五”大宗固体废弃物综合利用的指导意见</w:t>
            </w:r>
            <w:r>
              <w:rPr>
                <w:rFonts w:hint="eastAsia" w:ascii="Times New Roman" w:hAnsi="Times New Roman" w:eastAsia="宋体" w:cs="Times New Roman"/>
                <w:b w:val="0"/>
                <w:bCs w:val="0"/>
                <w:color w:val="auto"/>
                <w:highlight w:val="none"/>
                <w:lang w:val="en-US" w:eastAsia="zh-CN"/>
              </w:rPr>
              <w:t>》（</w:t>
            </w:r>
            <w:r>
              <w:rPr>
                <w:rFonts w:hint="eastAsia" w:eastAsia="宋体" w:cs="Times New Roman"/>
                <w:b w:val="0"/>
                <w:bCs w:val="0"/>
                <w:color w:val="auto"/>
                <w:highlight w:val="none"/>
                <w:lang w:val="en-US" w:eastAsia="zh-CN"/>
              </w:rPr>
              <w:t>发改环资[2021]381号</w:t>
            </w:r>
            <w:r>
              <w:rPr>
                <w:rFonts w:hint="eastAsia" w:ascii="Times New Roman" w:hAnsi="Times New Roman" w:eastAsia="宋体" w:cs="Times New Roman"/>
                <w:b w:val="0"/>
                <w:bCs w:val="0"/>
                <w:color w:val="auto"/>
                <w:highlight w:val="none"/>
                <w:lang w:val="en-US" w:eastAsia="zh-CN"/>
              </w:rPr>
              <w:t>）符合性分析</w:t>
            </w:r>
          </w:p>
          <w:p>
            <w:pPr>
              <w:bidi w:val="0"/>
              <w:rPr>
                <w:rFonts w:hint="eastAsia"/>
                <w:color w:val="auto"/>
                <w:highlight w:val="none"/>
                <w:lang w:val="en-US" w:eastAsia="zh-CN"/>
              </w:rPr>
            </w:pPr>
            <w:r>
              <w:rPr>
                <w:rFonts w:hint="eastAsia"/>
                <w:color w:val="auto"/>
                <w:highlight w:val="none"/>
                <w:lang w:val="zh-CN" w:eastAsia="zh-CN"/>
              </w:rPr>
              <w:t>《关于“十四五”大宗固体废弃物综合利用的指导意见》（发改环资[2021]381号）</w:t>
            </w:r>
            <w:r>
              <w:rPr>
                <w:rFonts w:hint="eastAsia"/>
                <w:color w:val="auto"/>
                <w:highlight w:val="none"/>
                <w:lang w:val="en-US" w:eastAsia="zh-CN"/>
              </w:rPr>
              <w:t>要求，“加强建筑垃圾分类处理和回收利用，规范建筑垃圾堆存、中转和资源化利用场所建设和运营，推动建筑垃圾综合利用产品应用。鼓励建筑垃圾再生骨料及制品在建筑工程和道路工程中的应用，以及将建筑垃圾用于土方平衡、林业用土、环境治理、烧结制品及回填等，不断提高利用质量、扩大资源化利用规模。”</w:t>
            </w:r>
          </w:p>
          <w:p>
            <w:pPr>
              <w:rPr>
                <w:rFonts w:hint="eastAsia"/>
                <w:color w:val="auto"/>
                <w:highlight w:val="none"/>
                <w:lang w:val="en-US" w:eastAsia="zh-CN"/>
              </w:rPr>
            </w:pPr>
            <w:r>
              <w:rPr>
                <w:rFonts w:hint="eastAsia"/>
                <w:color w:val="auto"/>
                <w:highlight w:val="none"/>
                <w:lang w:val="en-US" w:eastAsia="zh-CN"/>
              </w:rPr>
              <w:t>本项目主要对建筑垃圾进行处理，生产石碴、再生细骨料，用于建筑工程，符合</w:t>
            </w:r>
            <w:r>
              <w:rPr>
                <w:rFonts w:hint="eastAsia"/>
                <w:color w:val="auto"/>
                <w:highlight w:val="none"/>
                <w:lang w:val="zh-CN" w:eastAsia="zh-CN"/>
              </w:rPr>
              <w:t>《关于“十四五”大宗固体废弃物综合利用的指导意见》（发改环资[2021]381号）</w:t>
            </w:r>
            <w:r>
              <w:rPr>
                <w:rFonts w:hint="eastAsia"/>
                <w:color w:val="auto"/>
                <w:highlight w:val="none"/>
                <w:lang w:val="en-US" w:eastAsia="zh-CN"/>
              </w:rPr>
              <w:t>的要求。</w:t>
            </w:r>
          </w:p>
          <w:p>
            <w:pPr>
              <w:bidi w:val="0"/>
              <w:rPr>
                <w:rFonts w:hint="default"/>
                <w:color w:val="auto"/>
                <w:highlight w:val="none"/>
                <w:lang w:val="en-US"/>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highlight w:val="none"/>
              </w:rPr>
              <w:t>与</w:t>
            </w:r>
            <w:r>
              <w:rPr>
                <w:rFonts w:hint="eastAsia"/>
                <w:color w:val="auto"/>
                <w:highlight w:val="none"/>
                <w:lang w:val="en-US" w:eastAsia="zh-CN"/>
              </w:rPr>
              <w:t>绩效评级相关要求符合性分析</w:t>
            </w:r>
          </w:p>
          <w:p>
            <w:pPr>
              <w:bidi w:val="0"/>
              <w:rPr>
                <w:rFonts w:hint="eastAsia"/>
                <w:color w:val="auto"/>
                <w:highlight w:val="none"/>
                <w:lang w:val="en-US" w:eastAsia="zh-CN"/>
              </w:rPr>
            </w:pPr>
            <w:r>
              <w:rPr>
                <w:rFonts w:hint="eastAsia"/>
                <w:color w:val="auto"/>
                <w:highlight w:val="none"/>
                <w:lang w:val="en-US" w:eastAsia="zh-CN"/>
              </w:rPr>
              <w:t>本项目为N7723固体废物治理和</w:t>
            </w:r>
            <w:r>
              <w:rPr>
                <w:rFonts w:hint="eastAsia" w:cs="Times New Roman"/>
                <w:color w:val="auto"/>
                <w:highlight w:val="none"/>
                <w:lang w:val="en-US" w:eastAsia="zh-CN"/>
              </w:rPr>
              <w:t>C3039其他建筑材料制造</w:t>
            </w:r>
            <w:r>
              <w:rPr>
                <w:rFonts w:hint="eastAsia"/>
                <w:color w:val="auto"/>
                <w:highlight w:val="none"/>
                <w:lang w:val="en-US" w:eastAsia="zh-CN"/>
              </w:rPr>
              <w:t>，主要进行建筑垃圾处理，生产再生细骨料，对照《重污染天气重点行业应急减排措施制定技术指南（2021年修订版）》、《关于印发&lt;重污染天气重点行业绩效分级及减排措施&gt;补充说明的通知》、《河北省十一个行业重污染天气应急减排措施制定技术指南（试行）》，本项目无需进行绩效评级。</w:t>
            </w: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ind w:left="0" w:leftChars="0" w:firstLine="0" w:firstLineChars="0"/>
              <w:rPr>
                <w:rFonts w:hint="eastAsia"/>
                <w:color w:val="auto"/>
                <w:highlight w:val="none"/>
                <w:lang w:val="zh-CN" w:eastAsia="zh-CN"/>
              </w:rPr>
            </w:pPr>
          </w:p>
        </w:tc>
      </w:tr>
    </w:tbl>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9"/>
        <w:rPr>
          <w:rFonts w:hint="eastAsia" w:ascii="黑体" w:hAnsi="黑体" w:eastAsia="黑体"/>
          <w:snapToGrid w:val="0"/>
          <w:color w:val="auto"/>
          <w:sz w:val="30"/>
          <w:szCs w:val="30"/>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bidi w:val="0"/>
        <w:rPr>
          <w:color w:val="auto"/>
          <w:highlight w:val="none"/>
        </w:rPr>
      </w:pPr>
      <w:bookmarkStart w:id="3" w:name="_Toc13373"/>
      <w:r>
        <w:rPr>
          <w:rFonts w:hint="eastAsia"/>
          <w:color w:val="auto"/>
          <w:highlight w:val="none"/>
        </w:rPr>
        <w:t>二、建设项目工程分析</w:t>
      </w:r>
      <w:bookmarkEnd w:id="3"/>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3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776" w:type="dxa"/>
            <w:noWrap w:val="0"/>
            <w:vAlign w:val="center"/>
          </w:tcPr>
          <w:p>
            <w:pPr>
              <w:pStyle w:val="30"/>
              <w:bidi w:val="0"/>
              <w:rPr>
                <w:color w:val="auto"/>
                <w:sz w:val="24"/>
                <w:szCs w:val="24"/>
                <w:highlight w:val="none"/>
              </w:rPr>
            </w:pPr>
            <w:r>
              <w:rPr>
                <w:rFonts w:hint="eastAsia"/>
                <w:color w:val="auto"/>
                <w:sz w:val="24"/>
                <w:szCs w:val="24"/>
                <w:highlight w:val="none"/>
              </w:rPr>
              <w:t>建设内容</w:t>
            </w:r>
          </w:p>
        </w:tc>
        <w:tc>
          <w:tcPr>
            <w:tcW w:w="8389" w:type="dxa"/>
            <w:noWrap w:val="0"/>
            <w:vAlign w:val="top"/>
          </w:tcPr>
          <w:p>
            <w:pPr>
              <w:keepNext w:val="0"/>
              <w:keepLines w:val="0"/>
              <w:pageBreakBefore w:val="0"/>
              <w:widowControl w:val="0"/>
              <w:numPr>
                <w:ilvl w:val="0"/>
                <w:numId w:val="4"/>
              </w:numPr>
              <w:suppressLineNumbers w:val="0"/>
              <w:kinsoku/>
              <w:wordWrap/>
              <w:overflowPunct/>
              <w:topLinePunct w:val="0"/>
              <w:autoSpaceDE w:val="0"/>
              <w:autoSpaceDN w:val="0"/>
              <w:bidi w:val="0"/>
              <w:adjustRightInd w:val="0"/>
              <w:snapToGrid/>
              <w:spacing w:beforeAutospacing="0" w:after="0" w:afterAutospacing="0" w:line="480" w:lineRule="exact"/>
              <w:ind w:right="0" w:firstLine="0" w:firstLineChars="0"/>
              <w:textAlignment w:val="auto"/>
              <w:rPr>
                <w:rFonts w:hint="eastAsia"/>
                <w:b/>
                <w:bCs/>
                <w:color w:val="auto"/>
                <w:sz w:val="24"/>
                <w:szCs w:val="24"/>
                <w:highlight w:val="none"/>
                <w:lang w:val="en-US" w:eastAsia="zh-CN"/>
              </w:rPr>
            </w:pPr>
            <w:r>
              <w:rPr>
                <w:rFonts w:hint="eastAsia" w:ascii="Times New Roman" w:eastAsia="宋体"/>
                <w:b/>
                <w:bCs/>
                <w:color w:val="auto"/>
                <w:sz w:val="24"/>
                <w:szCs w:val="24"/>
                <w:highlight w:val="none"/>
                <w:lang w:val="en-US" w:eastAsia="zh-CN"/>
              </w:rPr>
              <w:t>项目由来</w:t>
            </w:r>
          </w:p>
          <w:p>
            <w:pPr>
              <w:bidi w:val="0"/>
              <w:rPr>
                <w:rFonts w:hint="default"/>
                <w:color w:val="auto"/>
                <w:sz w:val="24"/>
                <w:szCs w:val="24"/>
                <w:highlight w:val="none"/>
                <w:lang w:val="en-US" w:eastAsia="zh-CN"/>
              </w:rPr>
            </w:pPr>
            <w:r>
              <w:rPr>
                <w:rFonts w:hint="eastAsia"/>
                <w:color w:val="auto"/>
                <w:sz w:val="24"/>
                <w:szCs w:val="24"/>
                <w:highlight w:val="none"/>
                <w:lang w:val="en-US" w:eastAsia="zh-CN"/>
              </w:rPr>
              <w:t>唐山锦鸿环保科技有限公司</w:t>
            </w:r>
            <w:r>
              <w:rPr>
                <w:rFonts w:hint="eastAsia" w:ascii="Times New Roman" w:eastAsia="宋体"/>
                <w:color w:val="auto"/>
                <w:sz w:val="24"/>
                <w:szCs w:val="24"/>
                <w:highlight w:val="none"/>
                <w:lang w:val="en-US" w:eastAsia="zh-CN"/>
              </w:rPr>
              <w:t>位于</w:t>
            </w:r>
            <w:r>
              <w:rPr>
                <w:rFonts w:hint="eastAsia"/>
                <w:color w:val="auto"/>
                <w:sz w:val="24"/>
                <w:szCs w:val="24"/>
                <w:highlight w:val="none"/>
                <w:lang w:val="en-US" w:eastAsia="zh-CN"/>
              </w:rPr>
              <w:t>唐山市高新区空港新城东南约353米</w:t>
            </w:r>
            <w:r>
              <w:rPr>
                <w:rFonts w:hint="eastAsia" w:ascii="Times New Roman" w:eastAsia="宋体"/>
                <w:color w:val="auto"/>
                <w:sz w:val="24"/>
                <w:szCs w:val="24"/>
                <w:highlight w:val="none"/>
                <w:lang w:val="en-US" w:eastAsia="zh-CN"/>
              </w:rPr>
              <w:t>，根据市场需求，决定投资</w:t>
            </w:r>
            <w:r>
              <w:rPr>
                <w:rFonts w:hint="eastAsia"/>
                <w:color w:val="auto"/>
                <w:sz w:val="24"/>
                <w:szCs w:val="24"/>
                <w:highlight w:val="none"/>
                <w:lang w:val="en-US" w:eastAsia="zh-CN"/>
              </w:rPr>
              <w:t>500</w:t>
            </w:r>
            <w:r>
              <w:rPr>
                <w:rFonts w:hint="eastAsia" w:ascii="Times New Roman" w:eastAsia="宋体"/>
                <w:color w:val="auto"/>
                <w:sz w:val="24"/>
                <w:szCs w:val="24"/>
                <w:highlight w:val="none"/>
                <w:lang w:val="en-US" w:eastAsia="zh-CN"/>
              </w:rPr>
              <w:t>万元，建设</w:t>
            </w:r>
            <w:r>
              <w:rPr>
                <w:rFonts w:hint="eastAsia"/>
                <w:color w:val="auto"/>
                <w:sz w:val="24"/>
                <w:szCs w:val="24"/>
                <w:highlight w:val="none"/>
                <w:lang w:val="en-US" w:eastAsia="zh-CN"/>
              </w:rPr>
              <w:t>唐山锦鸿环保科技有限公司建筑垃圾处理及综合利用项目</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项目主要建设1条建筑垃圾处理生产线，年处理建筑垃圾50000吨</w:t>
            </w:r>
            <w:r>
              <w:rPr>
                <w:rFonts w:hint="eastAsia" w:ascii="Times New Roman" w:eastAsia="宋体"/>
                <w:color w:val="auto"/>
                <w:sz w:val="24"/>
                <w:szCs w:val="24"/>
                <w:highlight w:val="none"/>
                <w:lang w:val="en-US" w:eastAsia="zh-CN"/>
              </w:rPr>
              <w:t>。</w:t>
            </w:r>
          </w:p>
          <w:p>
            <w:pPr>
              <w:bidi w:val="0"/>
              <w:rPr>
                <w:rFonts w:hint="default"/>
                <w:color w:val="auto"/>
                <w:highlight w:val="none"/>
              </w:rPr>
            </w:pPr>
            <w:r>
              <w:rPr>
                <w:rFonts w:hint="eastAsia"/>
                <w:color w:val="auto"/>
                <w:highlight w:val="none"/>
                <w:lang w:val="en-US" w:eastAsia="zh-CN"/>
              </w:rPr>
              <w:t>本项目主要对建筑垃圾进行处理，生产再生细骨料，</w:t>
            </w:r>
            <w:r>
              <w:rPr>
                <w:rFonts w:hint="default"/>
                <w:color w:val="auto"/>
                <w:highlight w:val="none"/>
                <w:lang w:eastAsia="zh-CN"/>
              </w:rPr>
              <w:t>根据《中华人民共和国环境保护法》、《中华人民共和国环境影响评价法》、《建设项目环境保护管理条例》（国务院</w:t>
            </w:r>
            <w:r>
              <w:rPr>
                <w:rFonts w:hint="eastAsia"/>
                <w:color w:val="auto"/>
                <w:highlight w:val="none"/>
                <w:lang w:val="en-US" w:eastAsia="zh-CN"/>
              </w:rPr>
              <w:t>第</w:t>
            </w:r>
            <w:r>
              <w:rPr>
                <w:rFonts w:hint="default"/>
                <w:color w:val="auto"/>
                <w:highlight w:val="none"/>
                <w:lang w:eastAsia="zh-CN"/>
              </w:rPr>
              <w:t>682号令）的要求，</w:t>
            </w:r>
            <w:r>
              <w:rPr>
                <w:rFonts w:hint="eastAsia"/>
                <w:color w:val="auto"/>
                <w:highlight w:val="none"/>
                <w:lang w:val="en-US" w:eastAsia="zh-CN"/>
              </w:rPr>
              <w:t>以及</w:t>
            </w:r>
            <w:r>
              <w:rPr>
                <w:rFonts w:hint="default"/>
                <w:color w:val="auto"/>
                <w:highlight w:val="none"/>
                <w:lang w:eastAsia="zh-CN"/>
              </w:rPr>
              <w:t>《建设项目环境影响评价分类管理名录》（</w:t>
            </w:r>
            <w:r>
              <w:rPr>
                <w:rFonts w:hint="default"/>
                <w:color w:val="auto"/>
                <w:highlight w:val="none"/>
                <w:lang w:val="en-US" w:eastAsia="zh-CN"/>
              </w:rPr>
              <w:t>2021年版</w:t>
            </w:r>
            <w:r>
              <w:rPr>
                <w:rFonts w:hint="default"/>
                <w:color w:val="auto"/>
                <w:highlight w:val="none"/>
                <w:lang w:eastAsia="zh-CN"/>
              </w:rPr>
              <w:t>）（部令</w:t>
            </w:r>
            <w:r>
              <w:rPr>
                <w:rFonts w:hint="default"/>
                <w:color w:val="auto"/>
                <w:highlight w:val="none"/>
                <w:lang w:val="en-US" w:eastAsia="zh-CN"/>
              </w:rPr>
              <w:t>第</w:t>
            </w:r>
            <w:r>
              <w:rPr>
                <w:rFonts w:hint="default"/>
                <w:color w:val="auto"/>
                <w:highlight w:val="none"/>
                <w:lang w:eastAsia="zh-CN"/>
              </w:rPr>
              <w:t>16号）等环保法律法规的相关规定</w:t>
            </w:r>
            <w:r>
              <w:rPr>
                <w:rFonts w:hint="eastAsia"/>
                <w:color w:val="auto"/>
                <w:highlight w:val="none"/>
                <w:lang w:eastAsia="zh-CN"/>
              </w:rPr>
              <w:t>，</w:t>
            </w:r>
            <w:r>
              <w:rPr>
                <w:rFonts w:hint="default"/>
                <w:color w:val="auto"/>
                <w:highlight w:val="none"/>
              </w:rPr>
              <w:t>该项目属于</w:t>
            </w:r>
            <w:r>
              <w:rPr>
                <w:rFonts w:hint="eastAsia"/>
                <w:color w:val="auto"/>
                <w:highlight w:val="none"/>
              </w:rPr>
              <w:t>“</w:t>
            </w:r>
            <w:r>
              <w:rPr>
                <w:rFonts w:hint="eastAsia"/>
                <w:color w:val="auto"/>
                <w:highlight w:val="none"/>
                <w:lang w:val="en-US" w:eastAsia="zh-CN"/>
              </w:rPr>
              <w:t>四十七、生态保护和环境治理业—103.一般工业固体废物（含污水处理污泥）、建筑施工废弃物处置及综合利用—其他”和“</w:t>
            </w:r>
            <w:r>
              <w:rPr>
                <w:rFonts w:hint="eastAsia" w:cs="Times New Roman"/>
                <w:color w:val="auto"/>
                <w:highlight w:val="none"/>
                <w:lang w:val="en-US" w:eastAsia="zh-CN"/>
              </w:rPr>
              <w:t>二十七、非金属矿物制品业30</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56.砖瓦、石材等建筑材料制造303</w:t>
            </w:r>
            <w:r>
              <w:rPr>
                <w:rFonts w:hint="default" w:ascii="Times New Roman" w:hAnsi="Times New Roman" w:cs="Times New Roman"/>
                <w:color w:val="auto"/>
                <w:highlight w:val="none"/>
                <w:lang w:val="en-US" w:eastAsia="zh-CN"/>
              </w:rPr>
              <w:t>—</w:t>
            </w:r>
            <w:r>
              <w:rPr>
                <w:rFonts w:ascii="Helvetica" w:hAnsi="Helvetica" w:eastAsia="Helvetica" w:cs="Helvetica"/>
                <w:i w:val="0"/>
                <w:iCs w:val="0"/>
                <w:caps w:val="0"/>
                <w:color w:val="333333"/>
                <w:spacing w:val="0"/>
                <w:sz w:val="24"/>
                <w:szCs w:val="24"/>
                <w:shd w:val="clear" w:fill="FFFFFF"/>
              </w:rPr>
              <w:t>其</w:t>
            </w:r>
            <w:r>
              <w:rPr>
                <w:rFonts w:hint="default" w:ascii="Helvetica" w:hAnsi="Helvetica" w:eastAsia="Helvetica" w:cs="Helvetica"/>
                <w:i w:val="0"/>
                <w:iCs w:val="0"/>
                <w:caps w:val="0"/>
                <w:color w:val="333333"/>
                <w:spacing w:val="0"/>
                <w:sz w:val="24"/>
                <w:szCs w:val="24"/>
                <w:shd w:val="clear" w:fill="FFFFFF"/>
              </w:rPr>
              <w:t>他建筑材料制造（含干粉砂浆搅拌站）</w:t>
            </w:r>
            <w:r>
              <w:rPr>
                <w:rFonts w:hint="eastAsia"/>
                <w:color w:val="auto"/>
                <w:highlight w:val="none"/>
                <w:lang w:val="en-US" w:eastAsia="zh-CN"/>
              </w:rPr>
              <w:t>”之列，</w:t>
            </w:r>
            <w:r>
              <w:rPr>
                <w:rFonts w:hint="default"/>
                <w:color w:val="auto"/>
                <w:highlight w:val="none"/>
              </w:rPr>
              <w:t>应编制环境影响报告表。</w:t>
            </w:r>
            <w:r>
              <w:rPr>
                <w:rFonts w:hint="eastAsia"/>
                <w:color w:val="auto"/>
                <w:highlight w:val="none"/>
                <w:lang w:val="en-US" w:eastAsia="zh-CN"/>
              </w:rPr>
              <w:t>唐山锦鸿环保科技有限公司</w:t>
            </w:r>
            <w:r>
              <w:rPr>
                <w:rFonts w:hint="default"/>
                <w:color w:val="auto"/>
                <w:highlight w:val="none"/>
              </w:rPr>
              <w:t>委托我公司承担该项目的环境影响报告表的编制工作，接受委托后，我单位立即开展了现场踏勘、资料收集等工作，</w:t>
            </w:r>
            <w:r>
              <w:rPr>
                <w:rFonts w:hint="eastAsia"/>
                <w:color w:val="auto"/>
                <w:highlight w:val="none"/>
                <w:lang w:val="en-US" w:eastAsia="zh-CN"/>
              </w:rPr>
              <w:t>并</w:t>
            </w:r>
            <w:r>
              <w:rPr>
                <w:rFonts w:hint="default"/>
                <w:color w:val="auto"/>
                <w:highlight w:val="none"/>
              </w:rPr>
              <w:t>根据国家、省、市有关环保政策、法规及</w:t>
            </w:r>
            <w:r>
              <w:rPr>
                <w:rFonts w:hint="eastAsia"/>
                <w:color w:val="auto"/>
                <w:highlight w:val="none"/>
                <w:lang w:val="en-US" w:eastAsia="zh-CN"/>
              </w:rPr>
              <w:t>唐山市生态环境局高新区分局、</w:t>
            </w:r>
            <w:r>
              <w:rPr>
                <w:rFonts w:hint="eastAsia"/>
                <w:color w:val="auto"/>
                <w:highlight w:val="none"/>
                <w:lang w:eastAsia="zh-CN"/>
              </w:rPr>
              <w:t>唐山高新技术产业开发区行政审批局</w:t>
            </w:r>
            <w:r>
              <w:rPr>
                <w:rFonts w:hint="default"/>
                <w:color w:val="auto"/>
                <w:highlight w:val="none"/>
              </w:rPr>
              <w:t>要求，从本项目及周边环境实际出发，分析项目建设与运营对环境的影响，</w:t>
            </w:r>
            <w:r>
              <w:rPr>
                <w:rFonts w:hint="eastAsia"/>
                <w:color w:val="auto"/>
                <w:highlight w:val="none"/>
                <w:lang w:val="en-US" w:eastAsia="zh-CN"/>
              </w:rPr>
              <w:t>编制完成了</w:t>
            </w:r>
            <w:r>
              <w:rPr>
                <w:rFonts w:hint="default"/>
                <w:color w:val="auto"/>
                <w:highlight w:val="none"/>
              </w:rPr>
              <w:t>本项目环境影响报告表。</w:t>
            </w:r>
          </w:p>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ascii="Times New Roman" w:eastAsia="宋体"/>
                <w:color w:val="auto"/>
                <w:sz w:val="24"/>
                <w:szCs w:val="24"/>
                <w:highlight w:val="none"/>
                <w:lang w:val="en-US" w:eastAsia="zh-CN"/>
              </w:rPr>
              <w:t>二</w:t>
            </w:r>
            <w:r>
              <w:rPr>
                <w:rFonts w:hint="eastAsia" w:ascii="Times New Roman" w:hAnsi="Times New Roman"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本项目</w:t>
            </w:r>
            <w:r>
              <w:rPr>
                <w:rFonts w:hint="eastAsia" w:ascii="Times New Roman" w:hAnsi="Times New Roman" w:cs="Times New Roman"/>
                <w:b/>
                <w:bCs/>
                <w:color w:val="auto"/>
                <w:sz w:val="24"/>
                <w:szCs w:val="24"/>
                <w:highlight w:val="none"/>
                <w:lang w:val="en-US" w:eastAsia="zh-CN"/>
              </w:rPr>
              <w:t>工程概况</w:t>
            </w:r>
          </w:p>
          <w:p>
            <w:pPr>
              <w:bidi w:val="0"/>
              <w:rPr>
                <w:rFonts w:hint="default"/>
                <w:color w:val="auto"/>
                <w:highlight w:val="none"/>
              </w:rPr>
            </w:pPr>
            <w:r>
              <w:rPr>
                <w:rFonts w:hint="eastAsia" w:ascii="Times New Roman" w:eastAsia="宋体"/>
                <w:color w:val="auto"/>
                <w:sz w:val="24"/>
                <w:szCs w:val="24"/>
                <w:highlight w:val="none"/>
                <w:lang w:val="en-US" w:eastAsia="zh-CN"/>
              </w:rPr>
              <w:t>1、</w:t>
            </w:r>
            <w:r>
              <w:rPr>
                <w:rFonts w:hint="default"/>
                <w:color w:val="auto"/>
                <w:highlight w:val="none"/>
              </w:rPr>
              <w:t>项目名称：</w:t>
            </w:r>
            <w:r>
              <w:rPr>
                <w:rFonts w:hint="eastAsia"/>
                <w:color w:val="auto"/>
                <w:sz w:val="24"/>
                <w:szCs w:val="24"/>
                <w:highlight w:val="none"/>
                <w:lang w:val="en-US" w:eastAsia="zh-CN"/>
              </w:rPr>
              <w:t>唐山锦鸿环保科技有限公司建筑垃圾处理及综合利用项目</w:t>
            </w:r>
            <w:r>
              <w:rPr>
                <w:rFonts w:hint="default"/>
                <w:color w:val="auto"/>
                <w:highlight w:val="none"/>
              </w:rPr>
              <w:t>。</w:t>
            </w:r>
          </w:p>
          <w:p>
            <w:pPr>
              <w:bidi w:val="0"/>
              <w:rPr>
                <w:rFonts w:hint="default"/>
                <w:color w:val="auto"/>
                <w:highlight w:val="none"/>
              </w:rPr>
            </w:pPr>
            <w:r>
              <w:rPr>
                <w:rFonts w:hint="eastAsia" w:ascii="Times New Roman" w:eastAsia="宋体"/>
                <w:color w:val="auto"/>
                <w:highlight w:val="none"/>
                <w:lang w:val="en-US" w:eastAsia="zh-CN"/>
              </w:rPr>
              <w:t>2、</w:t>
            </w:r>
            <w:r>
              <w:rPr>
                <w:rFonts w:hint="default"/>
                <w:color w:val="auto"/>
                <w:highlight w:val="none"/>
              </w:rPr>
              <w:t>建设单位：</w:t>
            </w:r>
            <w:r>
              <w:rPr>
                <w:rFonts w:hint="eastAsia"/>
                <w:color w:val="auto"/>
                <w:sz w:val="24"/>
                <w:szCs w:val="24"/>
                <w:highlight w:val="none"/>
                <w:lang w:val="en-US" w:eastAsia="zh-CN"/>
              </w:rPr>
              <w:t>唐山锦鸿环保科技有限公司</w:t>
            </w:r>
            <w:r>
              <w:rPr>
                <w:rFonts w:hint="default"/>
                <w:color w:val="auto"/>
                <w:highlight w:val="none"/>
              </w:rPr>
              <w:t>。</w:t>
            </w:r>
          </w:p>
          <w:p>
            <w:pPr>
              <w:bidi w:val="0"/>
              <w:rPr>
                <w:rFonts w:hint="default"/>
                <w:color w:val="auto"/>
                <w:highlight w:val="none"/>
              </w:rPr>
            </w:pPr>
            <w:r>
              <w:rPr>
                <w:rFonts w:hint="eastAsia" w:ascii="Times New Roman" w:eastAsia="宋体"/>
                <w:color w:val="auto"/>
                <w:highlight w:val="none"/>
                <w:lang w:val="en-US" w:eastAsia="zh-CN"/>
              </w:rPr>
              <w:t>3、</w:t>
            </w:r>
            <w:r>
              <w:rPr>
                <w:rFonts w:hint="default"/>
                <w:color w:val="auto"/>
                <w:highlight w:val="none"/>
              </w:rPr>
              <w:t>建设性质：</w:t>
            </w:r>
            <w:r>
              <w:rPr>
                <w:rFonts w:hint="eastAsia" w:ascii="Times New Roman" w:eastAsia="宋体"/>
                <w:color w:val="auto"/>
                <w:highlight w:val="none"/>
                <w:lang w:val="en-US" w:eastAsia="zh-CN"/>
              </w:rPr>
              <w:t>新建</w:t>
            </w:r>
            <w:r>
              <w:rPr>
                <w:rFonts w:hint="default"/>
                <w:color w:val="auto"/>
                <w:highlight w:val="none"/>
              </w:rPr>
              <w:t>。</w:t>
            </w:r>
          </w:p>
          <w:p>
            <w:pPr>
              <w:bidi w:val="0"/>
              <w:rPr>
                <w:rFonts w:hint="eastAsia" w:eastAsia="宋体"/>
                <w:color w:val="auto"/>
                <w:highlight w:val="none"/>
                <w:lang w:val="en-US" w:eastAsia="zh-CN"/>
              </w:rPr>
            </w:pPr>
            <w:r>
              <w:rPr>
                <w:rFonts w:hint="eastAsia" w:ascii="Times New Roman" w:eastAsia="宋体"/>
                <w:color w:val="auto"/>
                <w:highlight w:val="none"/>
                <w:lang w:val="en-US" w:eastAsia="zh-CN"/>
              </w:rPr>
              <w:t>4、</w:t>
            </w:r>
            <w:r>
              <w:rPr>
                <w:rFonts w:hint="default"/>
                <w:color w:val="auto"/>
                <w:highlight w:val="none"/>
              </w:rPr>
              <w:t>建设地点：</w:t>
            </w:r>
            <w:r>
              <w:rPr>
                <w:rFonts w:hint="eastAsia"/>
                <w:color w:val="auto"/>
                <w:sz w:val="24"/>
                <w:szCs w:val="24"/>
                <w:highlight w:val="none"/>
                <w:lang w:val="en-US" w:eastAsia="zh-CN"/>
              </w:rPr>
              <w:t>唐山市高新区空港新城东南约353米</w:t>
            </w:r>
            <w:r>
              <w:rPr>
                <w:rFonts w:hint="default"/>
                <w:color w:val="auto"/>
                <w:highlight w:val="none"/>
              </w:rPr>
              <w:t>。</w:t>
            </w:r>
          </w:p>
          <w:p>
            <w:pPr>
              <w:bidi w:val="0"/>
              <w:rPr>
                <w:rFonts w:hint="default"/>
                <w:color w:val="auto"/>
                <w:sz w:val="24"/>
                <w:szCs w:val="24"/>
                <w:highlight w:val="none"/>
              </w:rPr>
            </w:pPr>
            <w:r>
              <w:rPr>
                <w:rFonts w:hint="eastAsia" w:ascii="Times New Roman" w:eastAsia="宋体"/>
                <w:color w:val="auto"/>
                <w:sz w:val="24"/>
                <w:szCs w:val="24"/>
                <w:highlight w:val="none"/>
                <w:lang w:val="en-US" w:eastAsia="zh-CN"/>
              </w:rPr>
              <w:t>5、</w:t>
            </w:r>
            <w:r>
              <w:rPr>
                <w:rFonts w:hint="default"/>
                <w:color w:val="auto"/>
                <w:sz w:val="24"/>
                <w:szCs w:val="24"/>
                <w:highlight w:val="none"/>
              </w:rPr>
              <w:t>项目组成：</w:t>
            </w:r>
            <w:r>
              <w:rPr>
                <w:rFonts w:hint="eastAsia" w:ascii="Times New Roman" w:hAnsi="Times New Roman" w:eastAsia="宋体" w:cs="Times New Roman"/>
                <w:color w:val="auto"/>
                <w:spacing w:val="0"/>
                <w:sz w:val="24"/>
                <w:szCs w:val="24"/>
                <w:highlight w:val="none"/>
                <w:shd w:val="clear" w:color="auto" w:fill="auto"/>
                <w:lang w:val="en-US" w:eastAsia="zh-CN"/>
              </w:rPr>
              <w:t>主体工程为</w:t>
            </w:r>
            <w:r>
              <w:rPr>
                <w:rFonts w:hint="eastAsia" w:cs="Times New Roman"/>
                <w:color w:val="auto"/>
                <w:spacing w:val="0"/>
                <w:sz w:val="24"/>
                <w:szCs w:val="24"/>
                <w:highlight w:val="none"/>
                <w:shd w:val="clear" w:color="auto" w:fill="auto"/>
                <w:lang w:val="en-US" w:eastAsia="zh-CN"/>
              </w:rPr>
              <w:t>综合车间</w:t>
            </w:r>
            <w:r>
              <w:rPr>
                <w:rFonts w:hint="eastAsia" w:ascii="Times New Roman" w:hAnsi="Times New Roman" w:eastAsia="宋体" w:cs="Times New Roman"/>
                <w:color w:val="auto"/>
                <w:spacing w:val="0"/>
                <w:sz w:val="24"/>
                <w:szCs w:val="24"/>
                <w:highlight w:val="none"/>
                <w:shd w:val="clear" w:color="auto" w:fill="auto"/>
                <w:lang w:val="en-US" w:eastAsia="zh-CN"/>
              </w:rPr>
              <w:t>，</w:t>
            </w:r>
            <w:r>
              <w:rPr>
                <w:rFonts w:hint="eastAsia" w:cs="Times New Roman"/>
                <w:color w:val="auto"/>
                <w:spacing w:val="0"/>
                <w:sz w:val="24"/>
                <w:szCs w:val="24"/>
                <w:highlight w:val="none"/>
                <w:shd w:val="clear" w:color="auto" w:fill="auto"/>
                <w:lang w:val="en-US" w:eastAsia="zh-CN"/>
              </w:rPr>
              <w:t>储运</w:t>
            </w:r>
            <w:r>
              <w:rPr>
                <w:rFonts w:hint="eastAsia" w:ascii="Times New Roman" w:hAnsi="Times New Roman" w:eastAsia="宋体" w:cs="Times New Roman"/>
                <w:color w:val="auto"/>
                <w:spacing w:val="0"/>
                <w:sz w:val="24"/>
                <w:szCs w:val="24"/>
                <w:highlight w:val="none"/>
                <w:shd w:val="clear" w:color="auto" w:fill="auto"/>
                <w:lang w:val="en-US" w:eastAsia="zh-CN"/>
              </w:rPr>
              <w:t>工程为</w:t>
            </w:r>
            <w:r>
              <w:rPr>
                <w:rFonts w:hint="eastAsia" w:cs="Times New Roman"/>
                <w:color w:val="auto"/>
                <w:spacing w:val="0"/>
                <w:sz w:val="24"/>
                <w:szCs w:val="24"/>
                <w:highlight w:val="none"/>
                <w:shd w:val="clear" w:color="auto" w:fill="auto"/>
                <w:lang w:val="en-US" w:eastAsia="zh-CN"/>
              </w:rPr>
              <w:t>原料储存区、石碴储存区、再生细骨料储存区、废料暂存区、一般固废暂存区、危废间、油品储存间</w:t>
            </w:r>
            <w:r>
              <w:rPr>
                <w:rFonts w:hint="eastAsia" w:ascii="Times New Roman" w:hAnsi="Times New Roman" w:eastAsia="宋体" w:cs="Times New Roman"/>
                <w:color w:val="auto"/>
                <w:spacing w:val="0"/>
                <w:sz w:val="24"/>
                <w:szCs w:val="24"/>
                <w:highlight w:val="none"/>
                <w:shd w:val="clear" w:color="auto" w:fill="auto"/>
                <w:lang w:val="en-US" w:eastAsia="zh-CN"/>
              </w:rPr>
              <w:t>，</w:t>
            </w:r>
            <w:r>
              <w:rPr>
                <w:rFonts w:hint="eastAsia" w:cs="Times New Roman"/>
                <w:color w:val="auto"/>
                <w:spacing w:val="0"/>
                <w:sz w:val="24"/>
                <w:szCs w:val="24"/>
                <w:highlight w:val="none"/>
                <w:shd w:val="clear" w:color="auto" w:fill="auto"/>
                <w:lang w:val="en-US" w:eastAsia="zh-CN"/>
              </w:rPr>
              <w:t>原料储存区、石碴储存区、再生细骨料储存区、废料暂存区、一般固废暂存区均位于综合车间内，辅助工程为办公用房，</w:t>
            </w:r>
            <w:r>
              <w:rPr>
                <w:rFonts w:hint="eastAsia" w:ascii="Times New Roman" w:hAnsi="Times New Roman" w:eastAsia="宋体" w:cs="Times New Roman"/>
                <w:color w:val="auto"/>
                <w:spacing w:val="0"/>
                <w:sz w:val="24"/>
                <w:szCs w:val="24"/>
                <w:highlight w:val="none"/>
                <w:shd w:val="clear" w:color="auto" w:fill="auto"/>
                <w:lang w:val="en-US" w:eastAsia="zh-CN"/>
              </w:rPr>
              <w:t>公用工程为供水、供电等</w:t>
            </w:r>
            <w:r>
              <w:rPr>
                <w:rFonts w:hint="default"/>
                <w:color w:val="auto"/>
                <w:sz w:val="24"/>
                <w:szCs w:val="24"/>
                <w:highlight w:val="none"/>
              </w:rPr>
              <w:t>。主要建构筑物情况见表</w:t>
            </w:r>
            <w:r>
              <w:rPr>
                <w:rFonts w:hint="eastAsia"/>
                <w:color w:val="auto"/>
                <w:sz w:val="24"/>
                <w:szCs w:val="24"/>
                <w:highlight w:val="none"/>
                <w:lang w:val="en-US" w:eastAsia="zh-CN"/>
              </w:rPr>
              <w:t>7</w:t>
            </w:r>
            <w:r>
              <w:rPr>
                <w:rFonts w:hint="default"/>
                <w:color w:val="auto"/>
                <w:sz w:val="24"/>
                <w:szCs w:val="24"/>
                <w:highlight w:val="none"/>
              </w:rPr>
              <w:t>，项目建设内容一览表见表</w:t>
            </w:r>
            <w:r>
              <w:rPr>
                <w:rFonts w:hint="eastAsia"/>
                <w:color w:val="auto"/>
                <w:sz w:val="24"/>
                <w:szCs w:val="24"/>
                <w:highlight w:val="none"/>
                <w:lang w:val="en-US" w:eastAsia="zh-CN"/>
              </w:rPr>
              <w:t>8</w:t>
            </w:r>
            <w:r>
              <w:rPr>
                <w:rFonts w:hint="default"/>
                <w:color w:val="auto"/>
                <w:sz w:val="24"/>
                <w:szCs w:val="24"/>
                <w:highlight w:val="none"/>
              </w:rPr>
              <w:t>。</w:t>
            </w:r>
          </w:p>
          <w:p>
            <w:pPr>
              <w:pStyle w:val="29"/>
              <w:bidi w:val="0"/>
              <w:rPr>
                <w:rFonts w:hint="default"/>
                <w:color w:val="auto"/>
                <w:sz w:val="24"/>
                <w:szCs w:val="24"/>
                <w:highlight w:val="none"/>
              </w:rPr>
            </w:pPr>
            <w:r>
              <w:rPr>
                <w:rFonts w:hint="default"/>
                <w:color w:val="auto"/>
                <w:sz w:val="21"/>
                <w:szCs w:val="21"/>
                <w:highlight w:val="none"/>
              </w:rPr>
              <w:t>表</w:t>
            </w:r>
            <w:r>
              <w:rPr>
                <w:rFonts w:hint="eastAsia"/>
                <w:color w:val="auto"/>
                <w:sz w:val="21"/>
                <w:szCs w:val="21"/>
                <w:highlight w:val="none"/>
                <w:lang w:val="en-US" w:eastAsia="zh-CN"/>
              </w:rPr>
              <w:t>7</w:t>
            </w:r>
            <w:r>
              <w:rPr>
                <w:rFonts w:hint="default"/>
                <w:color w:val="auto"/>
                <w:sz w:val="21"/>
                <w:szCs w:val="21"/>
                <w:highlight w:val="none"/>
              </w:rPr>
              <w:t xml:space="preserve">  </w:t>
            </w:r>
            <w:r>
              <w:rPr>
                <w:rFonts w:hint="eastAsia"/>
                <w:color w:val="auto"/>
                <w:sz w:val="21"/>
                <w:szCs w:val="21"/>
                <w:highlight w:val="none"/>
                <w:lang w:val="en-US" w:eastAsia="zh-CN"/>
              </w:rPr>
              <w:t>本项目</w:t>
            </w:r>
            <w:r>
              <w:rPr>
                <w:rFonts w:hint="default"/>
                <w:color w:val="auto"/>
                <w:sz w:val="21"/>
                <w:szCs w:val="21"/>
                <w:highlight w:val="none"/>
              </w:rPr>
              <w:t>主要建构筑物一览表</w:t>
            </w:r>
          </w:p>
          <w:tbl>
            <w:tblPr>
              <w:tblStyle w:val="24"/>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679"/>
              <w:gridCol w:w="1785"/>
              <w:gridCol w:w="3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77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序号</w:t>
                  </w:r>
                </w:p>
              </w:tc>
              <w:tc>
                <w:tcPr>
                  <w:tcW w:w="16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名称</w:t>
                  </w:r>
                </w:p>
              </w:tc>
              <w:tc>
                <w:tcPr>
                  <w:tcW w:w="178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建筑面积（m</w:t>
                  </w:r>
                  <w:r>
                    <w:rPr>
                      <w:rFonts w:hint="default"/>
                      <w:color w:val="auto"/>
                      <w:sz w:val="21"/>
                      <w:szCs w:val="21"/>
                      <w:highlight w:val="none"/>
                      <w:vertAlign w:val="superscript"/>
                    </w:rPr>
                    <w:t>2</w:t>
                  </w:r>
                  <w:r>
                    <w:rPr>
                      <w:rFonts w:hint="default"/>
                      <w:color w:val="auto"/>
                      <w:sz w:val="21"/>
                      <w:szCs w:val="21"/>
                      <w:highlight w:val="none"/>
                    </w:rPr>
                    <w:t>）</w:t>
                  </w:r>
                </w:p>
              </w:tc>
              <w:tc>
                <w:tcPr>
                  <w:tcW w:w="392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04" w:hRule="atLeast"/>
                <w:jc w:val="center"/>
              </w:trPr>
              <w:tc>
                <w:tcPr>
                  <w:tcW w:w="774" w:type="dxa"/>
                  <w:tcBorders>
                    <w:tl2br w:val="nil"/>
                    <w:tr2bl w:val="nil"/>
                  </w:tcBorders>
                  <w:noWrap w:val="0"/>
                  <w:vAlign w:val="center"/>
                </w:tcPr>
                <w:p>
                  <w:pPr>
                    <w:pStyle w:val="30"/>
                    <w:keepNext w:val="0"/>
                    <w:keepLines w:val="0"/>
                    <w:pageBreakBefore w:val="0"/>
                    <w:widowControl w:val="0"/>
                    <w:numPr>
                      <w:ilvl w:val="0"/>
                      <w:numId w:val="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综合车间</w:t>
                  </w:r>
                </w:p>
              </w:tc>
              <w:tc>
                <w:tcPr>
                  <w:tcW w:w="178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4000</w:t>
                  </w:r>
                </w:p>
              </w:tc>
              <w:tc>
                <w:tcPr>
                  <w:tcW w:w="392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default" w:eastAsia="宋体"/>
                      <w:color w:val="auto"/>
                      <w:sz w:val="21"/>
                      <w:szCs w:val="21"/>
                      <w:highlight w:val="none"/>
                      <w:vertAlign w:val="baseline"/>
                      <w:lang w:val="en-US" w:eastAsia="zh-CN"/>
                    </w:rPr>
                  </w:pPr>
                  <w:r>
                    <w:rPr>
                      <w:rFonts w:hint="eastAsia"/>
                      <w:color w:val="auto"/>
                      <w:sz w:val="21"/>
                      <w:szCs w:val="21"/>
                      <w:highlight w:val="none"/>
                      <w:vertAlign w:val="baseline"/>
                      <w:lang w:val="en-US" w:eastAsia="zh-CN"/>
                    </w:rPr>
                    <w:t>一层，建筑高度12m，双层彩钢结构，内设原料储存区、石碴储存区、再生细骨料储存区、废料暂存区等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74" w:type="dxa"/>
                  <w:tcBorders>
                    <w:tl2br w:val="nil"/>
                    <w:tr2bl w:val="nil"/>
                  </w:tcBorders>
                  <w:noWrap w:val="0"/>
                  <w:vAlign w:val="center"/>
                </w:tcPr>
                <w:p>
                  <w:pPr>
                    <w:pStyle w:val="30"/>
                    <w:keepNext w:val="0"/>
                    <w:keepLines w:val="0"/>
                    <w:pageBreakBefore w:val="0"/>
                    <w:widowControl w:val="0"/>
                    <w:numPr>
                      <w:ilvl w:val="0"/>
                      <w:numId w:val="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78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392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一层，建筑高度3m，单层彩钢结构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74" w:type="dxa"/>
                  <w:tcBorders>
                    <w:tl2br w:val="nil"/>
                    <w:tr2bl w:val="nil"/>
                  </w:tcBorders>
                  <w:noWrap w:val="0"/>
                  <w:vAlign w:val="center"/>
                </w:tcPr>
                <w:p>
                  <w:pPr>
                    <w:pStyle w:val="30"/>
                    <w:keepNext w:val="0"/>
                    <w:keepLines w:val="0"/>
                    <w:pageBreakBefore w:val="0"/>
                    <w:widowControl w:val="0"/>
                    <w:numPr>
                      <w:ilvl w:val="0"/>
                      <w:numId w:val="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油品储存间</w:t>
                  </w:r>
                </w:p>
              </w:tc>
              <w:tc>
                <w:tcPr>
                  <w:tcW w:w="178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392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一层，建筑高度3m，单层彩钢结构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74" w:type="dxa"/>
                  <w:tcBorders>
                    <w:tl2br w:val="nil"/>
                    <w:tr2bl w:val="nil"/>
                  </w:tcBorders>
                  <w:noWrap w:val="0"/>
                  <w:vAlign w:val="center"/>
                </w:tcPr>
                <w:p>
                  <w:pPr>
                    <w:pStyle w:val="30"/>
                    <w:keepNext w:val="0"/>
                    <w:keepLines w:val="0"/>
                    <w:pageBreakBefore w:val="0"/>
                    <w:widowControl w:val="0"/>
                    <w:numPr>
                      <w:ilvl w:val="0"/>
                      <w:numId w:val="5"/>
                    </w:numPr>
                    <w:kinsoku/>
                    <w:wordWrap/>
                    <w:overflowPunct/>
                    <w:topLinePunct w:val="0"/>
                    <w:autoSpaceDE/>
                    <w:autoSpaceDN/>
                    <w:bidi w:val="0"/>
                    <w:adjustRightInd/>
                    <w:snapToGrid/>
                    <w:spacing w:before="0" w:after="0"/>
                    <w:ind w:left="0" w:leftChars="0" w:firstLine="0" w:firstLineChars="0"/>
                    <w:textAlignment w:val="auto"/>
                    <w:rPr>
                      <w:rFonts w:hint="default"/>
                      <w:color w:val="auto"/>
                      <w:sz w:val="21"/>
                      <w:szCs w:val="21"/>
                      <w:highlight w:val="none"/>
                    </w:rPr>
                  </w:pPr>
                </w:p>
              </w:tc>
              <w:tc>
                <w:tcPr>
                  <w:tcW w:w="16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办公用房</w:t>
                  </w:r>
                </w:p>
              </w:tc>
              <w:tc>
                <w:tcPr>
                  <w:tcW w:w="178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160</w:t>
                  </w:r>
                </w:p>
              </w:tc>
              <w:tc>
                <w:tcPr>
                  <w:tcW w:w="392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color w:val="auto"/>
                      <w:sz w:val="21"/>
                      <w:szCs w:val="21"/>
                      <w:highlight w:val="none"/>
                      <w:vertAlign w:val="baseline"/>
                      <w:lang w:val="en-US" w:eastAsia="zh-CN"/>
                    </w:rPr>
                  </w:pPr>
                  <w:r>
                    <w:rPr>
                      <w:rFonts w:hint="eastAsia"/>
                      <w:color w:val="auto"/>
                      <w:sz w:val="21"/>
                      <w:szCs w:val="21"/>
                      <w:highlight w:val="none"/>
                      <w:vertAlign w:val="baseline"/>
                      <w:lang w:val="en-US" w:eastAsia="zh-CN"/>
                    </w:rPr>
                    <w:t>一层，建筑高度3.5m，砖混结构</w:t>
                  </w:r>
                </w:p>
              </w:tc>
            </w:tr>
          </w:tbl>
          <w:p>
            <w:pPr>
              <w:pStyle w:val="29"/>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8  本</w:t>
            </w:r>
            <w:r>
              <w:rPr>
                <w:rFonts w:hint="default"/>
                <w:color w:val="auto"/>
                <w:sz w:val="21"/>
                <w:szCs w:val="21"/>
                <w:highlight w:val="none"/>
              </w:rPr>
              <w:t>项目</w:t>
            </w:r>
            <w:r>
              <w:rPr>
                <w:rFonts w:hint="eastAsia"/>
                <w:color w:val="auto"/>
                <w:sz w:val="21"/>
                <w:szCs w:val="21"/>
                <w:highlight w:val="none"/>
                <w:lang w:val="en-US" w:eastAsia="zh-CN"/>
              </w:rPr>
              <w:t>主要</w:t>
            </w:r>
            <w:r>
              <w:rPr>
                <w:rFonts w:hint="default"/>
                <w:color w:val="auto"/>
                <w:sz w:val="21"/>
                <w:szCs w:val="21"/>
                <w:highlight w:val="none"/>
              </w:rPr>
              <w:t>建设内容一览表</w:t>
            </w:r>
          </w:p>
          <w:tbl>
            <w:tblPr>
              <w:tblStyle w:val="23"/>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333"/>
              <w:gridCol w:w="57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2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工程类别</w:t>
                  </w: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项目名称</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主体工程</w:t>
                  </w: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综合车间</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单层彩钢结构</w:t>
                  </w:r>
                  <w:r>
                    <w:rPr>
                      <w:rFonts w:hint="eastAsia" w:eastAsia="宋体"/>
                      <w:color w:val="auto"/>
                      <w:sz w:val="21"/>
                      <w:szCs w:val="21"/>
                      <w:highlight w:val="none"/>
                      <w:vertAlign w:val="baseline"/>
                      <w:lang w:val="en-US" w:eastAsia="zh-CN"/>
                    </w:rPr>
                    <w:t>，建筑高度</w:t>
                  </w:r>
                  <w:r>
                    <w:rPr>
                      <w:rFonts w:hint="eastAsia"/>
                      <w:color w:val="auto"/>
                      <w:sz w:val="21"/>
                      <w:szCs w:val="21"/>
                      <w:highlight w:val="none"/>
                      <w:vertAlign w:val="baseline"/>
                      <w:lang w:val="en-US" w:eastAsia="zh-CN"/>
                    </w:rPr>
                    <w:t>12</w:t>
                  </w:r>
                  <w:r>
                    <w:rPr>
                      <w:rFonts w:hint="eastAsia" w:eastAsia="宋体"/>
                      <w:color w:val="auto"/>
                      <w:sz w:val="21"/>
                      <w:szCs w:val="21"/>
                      <w:highlight w:val="none"/>
                      <w:vertAlign w:val="baseline"/>
                      <w:lang w:val="en-US" w:eastAsia="zh-CN"/>
                    </w:rPr>
                    <w:t>m</w:t>
                  </w:r>
                  <w:r>
                    <w:rPr>
                      <w:rFonts w:hint="eastAsia"/>
                      <w:color w:val="auto"/>
                      <w:sz w:val="21"/>
                      <w:szCs w:val="21"/>
                      <w:highlight w:val="none"/>
                      <w:vertAlign w:val="baseline"/>
                      <w:lang w:val="en-US" w:eastAsia="zh-CN"/>
                    </w:rPr>
                    <w:t>，内设内设原料储存区、石碴储存区、再生细骨料储存区、废料暂存区等，主要用于处理建筑垃圾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12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辅助工程</w:t>
                  </w: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办公用房</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砖混结构，建筑高度3.5m，主要用于办公和职工休息，不设食堂、宿舍、洗浴设施，厕所为防渗旱厕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23" w:type="dxa"/>
                  <w:vMerge w:val="restart"/>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公用</w:t>
                  </w:r>
                  <w:r>
                    <w:rPr>
                      <w:rFonts w:hint="default"/>
                      <w:color w:val="auto"/>
                      <w:sz w:val="21"/>
                      <w:szCs w:val="21"/>
                      <w:highlight w:val="none"/>
                    </w:rPr>
                    <w:t>工程</w:t>
                  </w: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ascii="Times New Roman" w:hAnsi="Times New Roman" w:eastAsia="宋体" w:cs="Times New Roman"/>
                      <w:b w:val="0"/>
                      <w:color w:val="auto"/>
                      <w:sz w:val="21"/>
                      <w:szCs w:val="21"/>
                      <w:highlight w:val="none"/>
                    </w:rPr>
                    <w:t>取暖</w:t>
                  </w:r>
                </w:p>
              </w:tc>
              <w:tc>
                <w:tcPr>
                  <w:tcW w:w="5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本项目</w:t>
                  </w:r>
                  <w:r>
                    <w:rPr>
                      <w:rFonts w:hint="eastAsia"/>
                      <w:color w:val="auto"/>
                      <w:sz w:val="21"/>
                      <w:szCs w:val="21"/>
                      <w:highlight w:val="none"/>
                      <w:lang w:val="en-US" w:eastAsia="zh-CN"/>
                    </w:rPr>
                    <w:t>办公区取暖采用单体空调，以电为能源，车间不设取暖设施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ascii="Times New Roman" w:hAnsi="Times New Roman" w:eastAsia="宋体" w:cs="Times New Roman"/>
                      <w:b w:val="0"/>
                      <w:color w:val="auto"/>
                      <w:sz w:val="21"/>
                      <w:szCs w:val="21"/>
                      <w:highlight w:val="none"/>
                    </w:rPr>
                    <w:t>给水</w:t>
                  </w:r>
                </w:p>
              </w:tc>
              <w:tc>
                <w:tcPr>
                  <w:tcW w:w="5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本项目用水由姚家庄村供水井提供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rPr>
                  </w:pPr>
                  <w:r>
                    <w:rPr>
                      <w:rFonts w:ascii="Times New Roman" w:hAnsi="Times New Roman" w:eastAsia="宋体" w:cs="Times New Roman"/>
                      <w:b w:val="0"/>
                      <w:color w:val="auto"/>
                      <w:sz w:val="21"/>
                      <w:szCs w:val="21"/>
                      <w:highlight w:val="none"/>
                    </w:rPr>
                    <w:t>供电</w:t>
                  </w:r>
                </w:p>
              </w:tc>
              <w:tc>
                <w:tcPr>
                  <w:tcW w:w="5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r>
                    <w:rPr>
                      <w:rFonts w:hint="eastAsia" w:cs="Times New Roman"/>
                      <w:b w:val="0"/>
                      <w:color w:val="auto"/>
                      <w:sz w:val="21"/>
                      <w:szCs w:val="21"/>
                      <w:highlight w:val="none"/>
                      <w:lang w:val="en-US" w:eastAsia="zh-CN"/>
                    </w:rPr>
                    <w:t>取自</w:t>
                  </w:r>
                  <w:r>
                    <w:rPr>
                      <w:rFonts w:ascii="Times New Roman" w:hAnsi="Times New Roman" w:eastAsia="宋体" w:cs="Times New Roman"/>
                      <w:b w:val="0"/>
                      <w:color w:val="auto"/>
                      <w:sz w:val="21"/>
                      <w:szCs w:val="21"/>
                      <w:highlight w:val="none"/>
                    </w:rPr>
                    <w:t>本地电网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23" w:type="dxa"/>
                  <w:vMerge w:val="restart"/>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储运工程</w:t>
                  </w: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原料储存区</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在综合车间内西南侧设置原料储存区，280m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highlight w:val="none"/>
                      <w:lang w:val="en-US" w:eastAsia="zh-CN"/>
                    </w:rPr>
                    <w:t>三面设置2m高的基础墙+隔断，用于建筑垃圾的堆存，有效堆存面积为196</w:t>
                  </w: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，总堆存高度为5m，其中锥形高度为3m，堆存密度按1.5t/m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计，则可堆存建筑垃圾882t，约可满足4天生产用量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石碴储存区</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b w:val="0"/>
                      <w:bCs w:val="0"/>
                      <w:color w:val="auto"/>
                      <w:sz w:val="21"/>
                      <w:szCs w:val="21"/>
                      <w:highlight w:val="none"/>
                      <w:lang w:val="en-US" w:eastAsia="zh-CN"/>
                    </w:rPr>
                    <w:t>在综合车间内西北侧设置石碴储存区，360m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lang w:val="en-US" w:eastAsia="zh-CN"/>
                    </w:rPr>
                    <w:t>，</w:t>
                  </w:r>
                  <w:r>
                    <w:rPr>
                      <w:rFonts w:hint="eastAsia"/>
                      <w:b w:val="0"/>
                      <w:bCs w:val="0"/>
                      <w:color w:val="auto"/>
                      <w:highlight w:val="none"/>
                      <w:lang w:val="en-US" w:eastAsia="zh-CN"/>
                    </w:rPr>
                    <w:t>三面设置2m高的基础墙+隔断，用于石碴的堆存，有效堆存面积为252</w:t>
                  </w:r>
                  <w:r>
                    <w:rPr>
                      <w:rFonts w:hint="eastAsia"/>
                      <w:b w:val="0"/>
                      <w:bCs w:val="0"/>
                      <w:color w:val="auto"/>
                      <w:sz w:val="21"/>
                      <w:szCs w:val="21"/>
                      <w:highlight w:val="none"/>
                      <w:lang w:val="en-US" w:eastAsia="zh-CN"/>
                    </w:rPr>
                    <w:t>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lang w:val="en-US" w:eastAsia="zh-CN"/>
                    </w:rPr>
                    <w:t>，总堆存高度为5m，其中锥形高度为3m，堆存密度按1.5t/m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lang w:val="en-US" w:eastAsia="zh-CN"/>
                    </w:rPr>
                    <w:t>计，则可堆存建筑垃圾1134t，约可堆存9天的产量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再生细骨料储存区</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在综合车间内东北侧设置再生细骨料储存区，180m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highlight w:val="none"/>
                      <w:lang w:val="en-US" w:eastAsia="zh-CN"/>
                    </w:rPr>
                    <w:t>三面设置2m高的基础墙+隔断，用于再生细骨料的堆存，</w:t>
                  </w:r>
                  <w:r>
                    <w:rPr>
                      <w:rFonts w:hint="eastAsia"/>
                      <w:b w:val="0"/>
                      <w:bCs w:val="0"/>
                      <w:color w:val="auto"/>
                      <w:highlight w:val="none"/>
                      <w:lang w:val="en-US" w:eastAsia="zh-CN"/>
                    </w:rPr>
                    <w:t>有效堆存面积为126</w:t>
                  </w:r>
                  <w:r>
                    <w:rPr>
                      <w:rFonts w:hint="eastAsia"/>
                      <w:b w:val="0"/>
                      <w:bCs w:val="0"/>
                      <w:color w:val="auto"/>
                      <w:sz w:val="21"/>
                      <w:szCs w:val="21"/>
                      <w:highlight w:val="none"/>
                      <w:lang w:val="en-US" w:eastAsia="zh-CN"/>
                    </w:rPr>
                    <w:t>m</w:t>
                  </w:r>
                  <w:r>
                    <w:rPr>
                      <w:rFonts w:hint="eastAsia"/>
                      <w:b w:val="0"/>
                      <w:bCs w:val="0"/>
                      <w:color w:val="auto"/>
                      <w:sz w:val="21"/>
                      <w:szCs w:val="21"/>
                      <w:highlight w:val="none"/>
                      <w:vertAlign w:val="superscript"/>
                      <w:lang w:val="en-US" w:eastAsia="zh-CN"/>
                    </w:rPr>
                    <w:t>2</w:t>
                  </w:r>
                  <w:r>
                    <w:rPr>
                      <w:rFonts w:hint="eastAsia"/>
                      <w:b w:val="0"/>
                      <w:bCs w:val="0"/>
                      <w:color w:val="auto"/>
                      <w:sz w:val="21"/>
                      <w:szCs w:val="21"/>
                      <w:highlight w:val="none"/>
                      <w:lang w:val="en-US" w:eastAsia="zh-CN"/>
                    </w:rPr>
                    <w:t>，总堆存高度为5m，其中锥形高度为3m，堆存密度按1.8t/m</w:t>
                  </w:r>
                  <w:r>
                    <w:rPr>
                      <w:rFonts w:hint="eastAsia"/>
                      <w:b w:val="0"/>
                      <w:bCs w:val="0"/>
                      <w:color w:val="auto"/>
                      <w:sz w:val="21"/>
                      <w:szCs w:val="21"/>
                      <w:highlight w:val="none"/>
                      <w:vertAlign w:val="superscript"/>
                      <w:lang w:val="en-US" w:eastAsia="zh-CN"/>
                    </w:rPr>
                    <w:t>3</w:t>
                  </w:r>
                  <w:r>
                    <w:rPr>
                      <w:rFonts w:hint="eastAsia"/>
                      <w:b w:val="0"/>
                      <w:bCs w:val="0"/>
                      <w:color w:val="auto"/>
                      <w:sz w:val="21"/>
                      <w:szCs w:val="21"/>
                      <w:highlight w:val="none"/>
                      <w:lang w:val="en-US" w:eastAsia="zh-CN"/>
                    </w:rPr>
                    <w:t>计，则可堆存建筑垃圾680.4t，约可堆存8天的产量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废料暂存区</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在综合车间内东侧设置废料暂存区，25m</w:t>
                  </w:r>
                  <w:r>
                    <w:rPr>
                      <w:rFonts w:hint="eastAsia"/>
                      <w:color w:val="auto"/>
                      <w:sz w:val="21"/>
                      <w:szCs w:val="21"/>
                      <w:highlight w:val="none"/>
                      <w:vertAlign w:val="superscript"/>
                      <w:lang w:val="en-US" w:eastAsia="zh-CN"/>
                    </w:rPr>
                    <w:t>2</w:t>
                  </w:r>
                  <w:r>
                    <w:rPr>
                      <w:rFonts w:hint="eastAsia"/>
                      <w:color w:val="auto"/>
                      <w:sz w:val="21"/>
                      <w:szCs w:val="21"/>
                      <w:highlight w:val="none"/>
                      <w:lang w:val="en-US" w:eastAsia="zh-CN"/>
                    </w:rPr>
                    <w:t>，</w:t>
                  </w:r>
                  <w:r>
                    <w:rPr>
                      <w:rFonts w:hint="eastAsia"/>
                      <w:color w:val="auto"/>
                      <w:highlight w:val="none"/>
                      <w:lang w:val="en-US" w:eastAsia="zh-CN"/>
                    </w:rPr>
                    <w:t>三面设置2m高的基础墙+隔断，用于废料堆存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危废间</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vertAlign w:val="baseline"/>
                      <w:lang w:val="en-US" w:eastAsia="zh-CN" w:bidi="ar-SA"/>
                    </w:rPr>
                  </w:pPr>
                  <w:r>
                    <w:rPr>
                      <w:rFonts w:hint="eastAsia"/>
                      <w:color w:val="auto"/>
                      <w:sz w:val="21"/>
                      <w:szCs w:val="21"/>
                      <w:highlight w:val="none"/>
                      <w:vertAlign w:val="baseline"/>
                      <w:lang w:val="en-US" w:eastAsia="zh-CN"/>
                    </w:rPr>
                    <w:t>在综合车间外西北侧设置一座6m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的危废间，用于暂存生产过程产生的危险废物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油品储存间</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default" w:ascii="Times New Roman" w:hAnsi="Times New Roman" w:eastAsia="宋体" w:cs="Times New Roman"/>
                      <w:color w:val="auto"/>
                      <w:kern w:val="1"/>
                      <w:sz w:val="21"/>
                      <w:szCs w:val="21"/>
                      <w:highlight w:val="none"/>
                      <w:vertAlign w:val="baseline"/>
                      <w:lang w:val="en-US" w:eastAsia="zh-CN" w:bidi="ar-SA"/>
                    </w:rPr>
                  </w:pPr>
                  <w:r>
                    <w:rPr>
                      <w:rFonts w:hint="eastAsia"/>
                      <w:color w:val="auto"/>
                      <w:sz w:val="21"/>
                      <w:szCs w:val="21"/>
                      <w:highlight w:val="none"/>
                      <w:vertAlign w:val="baseline"/>
                      <w:lang w:val="en-US" w:eastAsia="zh-CN"/>
                    </w:rPr>
                    <w:t>在综合车间外西北侧设置一座6m</w:t>
                  </w:r>
                  <w:r>
                    <w:rPr>
                      <w:rFonts w:hint="eastAsia"/>
                      <w:color w:val="auto"/>
                      <w:sz w:val="21"/>
                      <w:szCs w:val="21"/>
                      <w:highlight w:val="none"/>
                      <w:vertAlign w:val="superscript"/>
                      <w:lang w:val="en-US" w:eastAsia="zh-CN"/>
                    </w:rPr>
                    <w:t>2</w:t>
                  </w:r>
                  <w:r>
                    <w:rPr>
                      <w:rFonts w:hint="eastAsia"/>
                      <w:color w:val="auto"/>
                      <w:sz w:val="21"/>
                      <w:szCs w:val="21"/>
                      <w:highlight w:val="none"/>
                      <w:vertAlign w:val="baseline"/>
                      <w:lang w:val="en-US" w:eastAsia="zh-CN"/>
                    </w:rPr>
                    <w:t>的油品储存间，用于储存润滑油、液压油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一般固废暂存区</w:t>
                  </w:r>
                </w:p>
              </w:tc>
              <w:tc>
                <w:tcPr>
                  <w:tcW w:w="5708"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在综合车间内东侧设置一般固废暂存区，用于储存废钢筋、除尘灰等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车辆运输</w:t>
                  </w:r>
                </w:p>
              </w:tc>
              <w:tc>
                <w:tcPr>
                  <w:tcW w:w="570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eastAsia"/>
                      <w:color w:val="auto"/>
                      <w:sz w:val="21"/>
                      <w:szCs w:val="21"/>
                      <w:highlight w:val="none"/>
                      <w:vertAlign w:val="baseline"/>
                      <w:lang w:val="en-US" w:eastAsia="zh-CN"/>
                    </w:rPr>
                  </w:pPr>
                  <w:r>
                    <w:rPr>
                      <w:rFonts w:hint="eastAsia"/>
                      <w:color w:val="auto"/>
                      <w:highlight w:val="none"/>
                      <w:lang w:val="en-US" w:eastAsia="zh-CN"/>
                    </w:rPr>
                    <w:t>原料及成品均</w:t>
                  </w:r>
                  <w:r>
                    <w:rPr>
                      <w:rFonts w:hint="eastAsia"/>
                      <w:color w:val="auto"/>
                      <w:sz w:val="21"/>
                      <w:szCs w:val="21"/>
                      <w:highlight w:val="none"/>
                      <w:lang w:val="en-US" w:eastAsia="zh-CN"/>
                    </w:rPr>
                    <w:t>采用国五及以上排放标准或新能源车辆进行运输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0" w:hRule="atLeast"/>
                <w:jc w:val="center"/>
              </w:trPr>
              <w:tc>
                <w:tcPr>
                  <w:tcW w:w="1123" w:type="dxa"/>
                  <w:vMerge w:val="restart"/>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环保工程</w:t>
                  </w: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废气</w:t>
                  </w:r>
                </w:p>
              </w:tc>
              <w:tc>
                <w:tcPr>
                  <w:tcW w:w="5708" w:type="dxa"/>
                  <w:tcBorders>
                    <w:tl2br w:val="nil"/>
                    <w:tr2bl w:val="nil"/>
                  </w:tcBorders>
                  <w:noWrap w:val="0"/>
                  <w:vAlign w:val="center"/>
                </w:tcPr>
                <w:p>
                  <w:pPr>
                    <w:pStyle w:val="2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right="0" w:rightChars="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s="Times New Roman"/>
                      <w:color w:val="auto"/>
                      <w:kern w:val="1"/>
                      <w:sz w:val="21"/>
                      <w:szCs w:val="21"/>
                      <w:highlight w:val="none"/>
                      <w:lang w:val="en-US" w:eastAsia="zh-CN" w:bidi="ar-SA"/>
                    </w:rPr>
                    <w:t>有组织废气：</w:t>
                  </w:r>
                </w:p>
                <w:p>
                  <w:pPr>
                    <w:pStyle w:val="22"/>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right="0" w:rightChars="0" w:firstLine="420" w:firstLineChars="200"/>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s="Times New Roman"/>
                      <w:bCs/>
                      <w:caps w:val="0"/>
                      <w:color w:val="auto"/>
                      <w:spacing w:val="0"/>
                      <w:position w:val="0"/>
                      <w:sz w:val="21"/>
                      <w:szCs w:val="21"/>
                      <w:highlight w:val="none"/>
                      <w:lang w:val="en-US" w:eastAsia="zh-CN"/>
                    </w:rPr>
                    <w:t>建筑垃圾处理生产线生产</w:t>
                  </w:r>
                  <w:r>
                    <w:rPr>
                      <w:rFonts w:hint="default" w:ascii="Times New Roman" w:hAnsi="Times New Roman" w:eastAsia="宋体" w:cs="Times New Roman"/>
                      <w:bCs/>
                      <w:caps w:val="0"/>
                      <w:color w:val="auto"/>
                      <w:spacing w:val="0"/>
                      <w:position w:val="0"/>
                      <w:sz w:val="21"/>
                      <w:szCs w:val="21"/>
                      <w:highlight w:val="none"/>
                      <w:lang w:val="en-US" w:eastAsia="zh-CN"/>
                    </w:rPr>
                    <w:t>过程</w:t>
                  </w:r>
                  <w:r>
                    <w:rPr>
                      <w:rFonts w:hint="eastAsia" w:ascii="Times New Roman" w:hAnsi="Times New Roman" w:eastAsia="宋体" w:cs="Times New Roman"/>
                      <w:bCs/>
                      <w:caps w:val="0"/>
                      <w:color w:val="auto"/>
                      <w:spacing w:val="0"/>
                      <w:position w:val="0"/>
                      <w:sz w:val="21"/>
                      <w:szCs w:val="21"/>
                      <w:highlight w:val="none"/>
                      <w:lang w:val="en-US" w:eastAsia="zh-CN"/>
                    </w:rPr>
                    <w:t>：入料口三面围挡，一面设置软帘，上方设置封闭的集气罩；物料通过封闭的皮带输送机进行转运，其受料点、卸料点设置封闭的集气罩；破碎机、筛分机封闭，其入料点、出料点设置封闭的集气罩；</w:t>
                  </w:r>
                  <w:r>
                    <w:rPr>
                      <w:rFonts w:hint="eastAsia" w:cs="Times New Roman"/>
                      <w:bCs/>
                      <w:caps w:val="0"/>
                      <w:color w:val="auto"/>
                      <w:spacing w:val="0"/>
                      <w:position w:val="0"/>
                      <w:sz w:val="21"/>
                      <w:szCs w:val="21"/>
                      <w:highlight w:val="none"/>
                      <w:lang w:val="en-US" w:eastAsia="zh-CN"/>
                    </w:rPr>
                    <w:t>振动给料机封闭</w:t>
                  </w:r>
                  <w:r>
                    <w:rPr>
                      <w:rFonts w:hint="eastAsia" w:ascii="Times New Roman" w:hAnsi="Times New Roman" w:eastAsia="宋体" w:cs="Times New Roman"/>
                      <w:bCs/>
                      <w:caps w:val="0"/>
                      <w:color w:val="auto"/>
                      <w:spacing w:val="0"/>
                      <w:position w:val="0"/>
                      <w:sz w:val="21"/>
                      <w:szCs w:val="21"/>
                      <w:highlight w:val="none"/>
                      <w:lang w:val="en-US" w:eastAsia="zh-CN"/>
                    </w:rPr>
                    <w:t>；采用风机将上述环节产生的颗粒物引入</w:t>
                  </w:r>
                  <w:r>
                    <w:rPr>
                      <w:rFonts w:hint="eastAsia" w:cs="Times New Roman"/>
                      <w:bCs/>
                      <w:caps w:val="0"/>
                      <w:color w:val="auto"/>
                      <w:spacing w:val="0"/>
                      <w:position w:val="0"/>
                      <w:sz w:val="21"/>
                      <w:szCs w:val="21"/>
                      <w:highlight w:val="none"/>
                      <w:lang w:val="en-US" w:eastAsia="zh-CN"/>
                    </w:rPr>
                    <w:t>1套脉冲布袋除尘器（TA001）进行处理，处理后通过1根15m高排气筒（DA001）排放至大气中。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无组织废气：</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420" w:firstLineChars="200"/>
                    <w:textAlignment w:val="auto"/>
                    <w:rPr>
                      <w:rFonts w:hint="default" w:cs="Times New Roman"/>
                      <w:bCs/>
                      <w:caps w:val="0"/>
                      <w:color w:val="auto"/>
                      <w:spacing w:val="0"/>
                      <w:position w:val="0"/>
                      <w:sz w:val="21"/>
                      <w:szCs w:val="21"/>
                      <w:highlight w:val="none"/>
                      <w:lang w:val="en-US" w:eastAsia="zh-CN"/>
                    </w:rPr>
                  </w:pPr>
                  <w:r>
                    <w:rPr>
                      <w:rFonts w:hint="default" w:cs="Times New Roman"/>
                      <w:bCs/>
                      <w:caps w:val="0"/>
                      <w:color w:val="auto"/>
                      <w:spacing w:val="0"/>
                      <w:position w:val="0"/>
                      <w:sz w:val="21"/>
                      <w:szCs w:val="21"/>
                      <w:highlight w:val="none"/>
                      <w:lang w:val="en-US" w:eastAsia="zh-CN"/>
                    </w:rPr>
                    <w:t>原料和成品堆存、转运过程废气及建筑垃圾处理生产线生产过程未捕集废气：车间封闭，原料区、成品区、上料区顶部设置喷淋抑尘装置，重点部位喷雾抑尘，物料通过封闭的皮带输送机进行转运。</w:t>
                  </w:r>
                </w:p>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Chars="0" w:firstLine="420" w:firstLineChars="200"/>
                    <w:textAlignment w:val="auto"/>
                    <w:rPr>
                      <w:rFonts w:hint="default" w:cs="Times New Roman"/>
                      <w:bCs/>
                      <w:caps w:val="0"/>
                      <w:color w:val="auto"/>
                      <w:spacing w:val="0"/>
                      <w:position w:val="0"/>
                      <w:sz w:val="21"/>
                      <w:szCs w:val="21"/>
                      <w:highlight w:val="none"/>
                      <w:lang w:val="en-US" w:eastAsia="zh-CN"/>
                    </w:rPr>
                  </w:pPr>
                  <w:r>
                    <w:rPr>
                      <w:rFonts w:hint="default" w:cs="Times New Roman"/>
                      <w:bCs/>
                      <w:caps w:val="0"/>
                      <w:color w:val="auto"/>
                      <w:spacing w:val="0"/>
                      <w:position w:val="0"/>
                      <w:sz w:val="21"/>
                      <w:szCs w:val="21"/>
                      <w:highlight w:val="none"/>
                      <w:lang w:val="en-US" w:eastAsia="zh-CN"/>
                    </w:rPr>
                    <w:t>原料、成品、废料、污泥运输过程产生的颗粒物：运输车辆加盖苫布，厂区道路洒水抑尘，厂区出入口设置车辆清洗平台，配备1台湿扫车，1台洒水车对厂区路面进行洒水、湿扫。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废水</w:t>
                  </w:r>
                </w:p>
              </w:tc>
              <w:tc>
                <w:tcPr>
                  <w:tcW w:w="5708" w:type="dxa"/>
                  <w:tcBorders>
                    <w:tl2br w:val="nil"/>
                    <w:tr2bl w:val="nil"/>
                  </w:tcBorders>
                  <w:noWrap w:val="0"/>
                  <w:vAlign w:val="center"/>
                </w:tcPr>
                <w:p>
                  <w:pPr>
                    <w:pStyle w:val="30"/>
                    <w:keepNext w:val="0"/>
                    <w:keepLines w:val="0"/>
                    <w:pageBreakBefore w:val="0"/>
                    <w:widowControl w:val="0"/>
                    <w:kinsoku/>
                    <w:wordWrap w:val="0"/>
                    <w:overflowPunct/>
                    <w:topLinePunct/>
                    <w:autoSpaceDE/>
                    <w:autoSpaceDN/>
                    <w:bidi w:val="0"/>
                    <w:adjustRightInd/>
                    <w:snapToGrid/>
                    <w:spacing w:before="0" w:after="0"/>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生产废水沉淀澄清后回用于生产，洗车废水沉淀处理后回用于洗车过程，生活污水泼洒地面抑尘，无废水外排。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噪声</w:t>
                  </w:r>
                </w:p>
              </w:tc>
              <w:tc>
                <w:tcPr>
                  <w:tcW w:w="570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产噪设备</w:t>
                  </w:r>
                  <w:r>
                    <w:rPr>
                      <w:rFonts w:hint="eastAsia" w:ascii="Times New Roman" w:hAnsi="Times New Roman" w:eastAsia="宋体" w:cs="Times New Roman"/>
                      <w:b w:val="0"/>
                      <w:color w:val="auto"/>
                      <w:sz w:val="21"/>
                      <w:szCs w:val="21"/>
                      <w:highlight w:val="none"/>
                    </w:rPr>
                    <w:t>安装基础</w:t>
                  </w:r>
                  <w:r>
                    <w:rPr>
                      <w:rFonts w:hint="eastAsia" w:cs="Times New Roman"/>
                      <w:b w:val="0"/>
                      <w:color w:val="auto"/>
                      <w:sz w:val="21"/>
                      <w:szCs w:val="21"/>
                      <w:highlight w:val="none"/>
                      <w:lang w:eastAsia="zh-CN"/>
                    </w:rPr>
                    <w:t>减振</w:t>
                  </w:r>
                  <w:r>
                    <w:rPr>
                      <w:rFonts w:hint="eastAsia" w:ascii="Times New Roman" w:hAnsi="Times New Roman" w:eastAsia="宋体" w:cs="Times New Roman"/>
                      <w:b w:val="0"/>
                      <w:color w:val="auto"/>
                      <w:sz w:val="21"/>
                      <w:szCs w:val="21"/>
                      <w:highlight w:val="none"/>
                    </w:rPr>
                    <w:t>垫，并安置于车间内</w:t>
                  </w:r>
                  <w:r>
                    <w:rPr>
                      <w:rFonts w:hint="eastAsia" w:ascii="宋体" w:hAnsi="宋体" w:eastAsia="宋体" w:cs="宋体"/>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1"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固废</w:t>
                  </w:r>
                </w:p>
              </w:tc>
              <w:tc>
                <w:tcPr>
                  <w:tcW w:w="570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（1）一般工业固体废物：</w:t>
                  </w:r>
                  <w:r>
                    <w:rPr>
                      <w:rFonts w:hint="default" w:ascii="Times New Roman" w:hAnsi="Times New Roman" w:cs="Times New Roman"/>
                      <w:color w:val="auto"/>
                      <w:highlight w:val="none"/>
                      <w:lang w:val="en-US" w:eastAsia="zh-CN"/>
                    </w:rPr>
                    <w:t>除尘灰</w:t>
                  </w:r>
                  <w:r>
                    <w:rPr>
                      <w:rFonts w:hint="eastAsia" w:cs="Times New Roman"/>
                      <w:color w:val="auto"/>
                      <w:highlight w:val="none"/>
                      <w:lang w:val="en-US" w:eastAsia="zh-CN"/>
                    </w:rPr>
                    <w:t>外售砖厂制砖</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废布袋由厂家回收；污泥定期清理，</w:t>
                  </w:r>
                  <w:r>
                    <w:rPr>
                      <w:rFonts w:hint="eastAsia" w:cs="Times New Roman"/>
                      <w:color w:val="auto"/>
                      <w:highlight w:val="none"/>
                      <w:lang w:val="en-US" w:eastAsia="zh-CN"/>
                    </w:rPr>
                    <w:t>外运填坑铺路</w:t>
                  </w:r>
                  <w:r>
                    <w:rPr>
                      <w:rFonts w:hint="default" w:ascii="Times New Roman" w:hAnsi="Times New Roman" w:cs="Times New Roman"/>
                      <w:color w:val="auto"/>
                      <w:highlight w:val="none"/>
                      <w:lang w:val="en-US" w:eastAsia="zh-CN"/>
                    </w:rPr>
                    <w:t>；废料暂存于</w:t>
                  </w:r>
                  <w:r>
                    <w:rPr>
                      <w:rFonts w:hint="eastAsia" w:ascii="Times New Roman" w:hAnsi="Times New Roman" w:cs="Times New Roman"/>
                      <w:color w:val="auto"/>
                      <w:highlight w:val="none"/>
                      <w:lang w:val="en-US" w:eastAsia="zh-CN"/>
                    </w:rPr>
                    <w:t>废料</w:t>
                  </w:r>
                  <w:r>
                    <w:rPr>
                      <w:rFonts w:hint="eastAsia" w:cs="Times New Roman"/>
                      <w:color w:val="auto"/>
                      <w:highlight w:val="none"/>
                      <w:lang w:val="en-US" w:eastAsia="zh-CN"/>
                    </w:rPr>
                    <w:t>暂</w:t>
                  </w:r>
                  <w:r>
                    <w:rPr>
                      <w:rFonts w:hint="eastAsia" w:ascii="Times New Roman" w:hAnsi="Times New Roman" w:cs="Times New Roman"/>
                      <w:color w:val="auto"/>
                      <w:highlight w:val="none"/>
                      <w:lang w:val="en-US" w:eastAsia="zh-CN"/>
                    </w:rPr>
                    <w:t>存区</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外售废品回收站</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废钢筋暂存于一般固废暂存区，外售废品回收站。</w:t>
                  </w:r>
                </w:p>
                <w:p>
                  <w:pPr>
                    <w:pStyle w:val="30"/>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生活垃圾：</w:t>
                  </w:r>
                  <w:r>
                    <w:rPr>
                      <w:rFonts w:hint="default" w:ascii="Times New Roman" w:hAnsi="Times New Roman" w:eastAsia="宋体" w:cs="Times New Roman"/>
                      <w:color w:val="auto"/>
                      <w:sz w:val="21"/>
                      <w:szCs w:val="21"/>
                      <w:highlight w:val="none"/>
                    </w:rPr>
                    <w:t>职工生活垃圾集中收集，送当地环卫部门指定地点统一处理；</w:t>
                  </w:r>
                </w:p>
                <w:p>
                  <w:pPr>
                    <w:pStyle w:val="30"/>
                    <w:keepNext w:val="0"/>
                    <w:keepLines w:val="0"/>
                    <w:pageBreakBefore w:val="0"/>
                    <w:widowControl w:val="0"/>
                    <w:kinsoku/>
                    <w:wordWrap/>
                    <w:overflowPunct/>
                    <w:topLinePunct w:val="0"/>
                    <w:autoSpaceDE/>
                    <w:autoSpaceDN/>
                    <w:bidi w:val="0"/>
                    <w:adjustRightInd/>
                    <w:snapToGrid/>
                    <w:spacing w:before="0" w:after="0"/>
                    <w:ind w:firstLine="420" w:firstLineChars="200"/>
                    <w:jc w:val="left"/>
                    <w:textAlignment w:val="auto"/>
                    <w:rPr>
                      <w:rFonts w:hint="eastAsia" w:ascii="宋体" w:hAnsi="宋体" w:eastAsia="宋体" w:cs="宋体"/>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危险废物：含油废抹布、废润滑油、</w:t>
                  </w:r>
                  <w:r>
                    <w:rPr>
                      <w:rFonts w:hint="eastAsia" w:cs="Times New Roman"/>
                      <w:color w:val="auto"/>
                      <w:sz w:val="21"/>
                      <w:szCs w:val="21"/>
                      <w:highlight w:val="none"/>
                      <w:lang w:val="en-US" w:eastAsia="zh-CN"/>
                    </w:rPr>
                    <w:t>废液压油、废油桶</w:t>
                  </w:r>
                  <w:r>
                    <w:rPr>
                      <w:rFonts w:hint="default" w:ascii="Times New Roman" w:hAnsi="Times New Roman" w:cs="Times New Roman"/>
                      <w:color w:val="auto"/>
                      <w:sz w:val="21"/>
                      <w:szCs w:val="21"/>
                      <w:highlight w:val="none"/>
                      <w:lang w:val="en-US" w:eastAsia="zh-CN"/>
                    </w:rPr>
                    <w:t>暂存于危废间，定期委托有资质单位运走处置</w:t>
                  </w:r>
                  <w:r>
                    <w:rPr>
                      <w:rFonts w:hint="default" w:ascii="Times New Roman" w:hAnsi="Times New Roman" w:eastAsia="宋体" w:cs="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防渗</w:t>
                  </w:r>
                </w:p>
              </w:tc>
              <w:tc>
                <w:tcPr>
                  <w:tcW w:w="57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color w:val="auto"/>
                      <w:sz w:val="21"/>
                      <w:szCs w:val="21"/>
                      <w:highlight w:val="none"/>
                      <w:lang w:val="en-US" w:eastAsia="zh-CN"/>
                    </w:rPr>
                  </w:pPr>
                  <w:r>
                    <w:rPr>
                      <w:rFonts w:hint="eastAsia" w:ascii="Times New Roman" w:hAnsi="Times New Roman" w:eastAsia="宋体"/>
                      <w:color w:val="auto"/>
                      <w:sz w:val="21"/>
                      <w:szCs w:val="21"/>
                      <w:highlight w:val="none"/>
                    </w:rPr>
                    <w:t>①</w:t>
                  </w:r>
                  <w:r>
                    <w:rPr>
                      <w:rFonts w:ascii="Times New Roman" w:hAnsi="Times New Roman" w:eastAsia="宋体"/>
                      <w:color w:val="auto"/>
                      <w:sz w:val="21"/>
                      <w:szCs w:val="21"/>
                      <w:highlight w:val="none"/>
                    </w:rPr>
                    <w:t>重点防渗区：该分区需要做</w:t>
                  </w:r>
                  <w:r>
                    <w:rPr>
                      <w:rFonts w:hint="eastAsia" w:ascii="Times New Roman" w:hAnsi="Times New Roman" w:eastAsia="宋体"/>
                      <w:color w:val="auto"/>
                      <w:sz w:val="21"/>
                      <w:szCs w:val="21"/>
                      <w:highlight w:val="none"/>
                      <w:lang w:val="en-US" w:eastAsia="zh-CN"/>
                    </w:rPr>
                    <w:t>防</w:t>
                  </w:r>
                  <w:r>
                    <w:rPr>
                      <w:rFonts w:ascii="Times New Roman" w:hAnsi="Times New Roman" w:eastAsia="宋体"/>
                      <w:color w:val="auto"/>
                      <w:sz w:val="21"/>
                      <w:szCs w:val="21"/>
                      <w:highlight w:val="none"/>
                    </w:rPr>
                    <w:t>渗处理，</w:t>
                  </w:r>
                  <w:r>
                    <w:rPr>
                      <w:rFonts w:hint="eastAsia"/>
                      <w:color w:val="auto"/>
                      <w:sz w:val="21"/>
                      <w:szCs w:val="21"/>
                      <w:highlight w:val="none"/>
                      <w:lang w:val="en-US" w:eastAsia="zh-CN"/>
                    </w:rPr>
                    <w:t>危废间地面与裙脚应采取表面防渗措施；表面防渗材料应与所接触的物料或污染物相容，可采用抗渗混凝土、高密度聚乙烯膜、钠基膨润土防水毯或其他防渗性能等效的材料。贮存的危险废物直接接触地面的，需进行基础防渗，防渗层为至少1m厚黏土层（渗透系数不大于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cm/s），或至少2mm厚高密度聚乙烯膜等人工防渗材料（渗透系数不大于10</w:t>
                  </w:r>
                  <w:r>
                    <w:rPr>
                      <w:rFonts w:hint="eastAsia"/>
                      <w:color w:val="auto"/>
                      <w:sz w:val="21"/>
                      <w:szCs w:val="21"/>
                      <w:highlight w:val="none"/>
                      <w:vertAlign w:val="superscript"/>
                      <w:lang w:val="en-US" w:eastAsia="zh-CN"/>
                    </w:rPr>
                    <w:t>-10</w:t>
                  </w:r>
                  <w:r>
                    <w:rPr>
                      <w:rFonts w:hint="eastAsia"/>
                      <w:color w:val="auto"/>
                      <w:sz w:val="21"/>
                      <w:szCs w:val="21"/>
                      <w:highlight w:val="none"/>
                      <w:lang w:val="en-US" w:eastAsia="zh-CN"/>
                    </w:rPr>
                    <w:t>cm/s），或其他防渗性能等效的材料；油品储存间</w:t>
                  </w:r>
                  <w:r>
                    <w:rPr>
                      <w:rFonts w:hint="eastAsia" w:eastAsia="宋体"/>
                      <w:color w:val="auto"/>
                      <w:sz w:val="21"/>
                      <w:szCs w:val="21"/>
                      <w:highlight w:val="none"/>
                    </w:rPr>
                    <w:t>地面</w:t>
                  </w:r>
                  <w:r>
                    <w:rPr>
                      <w:rFonts w:eastAsia="宋体"/>
                      <w:color w:val="auto"/>
                      <w:sz w:val="21"/>
                      <w:szCs w:val="21"/>
                      <w:highlight w:val="none"/>
                    </w:rPr>
                    <w:t>采取抗渗水泥</w:t>
                  </w:r>
                  <w:r>
                    <w:rPr>
                      <w:rFonts w:hint="eastAsia" w:eastAsia="宋体"/>
                      <w:color w:val="auto"/>
                      <w:sz w:val="21"/>
                      <w:szCs w:val="21"/>
                      <w:highlight w:val="none"/>
                    </w:rPr>
                    <w:t>（</w:t>
                  </w:r>
                  <w:r>
                    <w:rPr>
                      <w:rFonts w:eastAsia="宋体"/>
                      <w:color w:val="auto"/>
                      <w:sz w:val="21"/>
                      <w:szCs w:val="21"/>
                      <w:highlight w:val="none"/>
                    </w:rPr>
                    <w:t>20cm</w:t>
                  </w:r>
                  <w:r>
                    <w:rPr>
                      <w:rFonts w:hint="eastAsia" w:eastAsia="宋体"/>
                      <w:color w:val="auto"/>
                      <w:sz w:val="21"/>
                      <w:szCs w:val="21"/>
                      <w:highlight w:val="none"/>
                    </w:rPr>
                    <w:t>）+</w:t>
                  </w:r>
                  <w:r>
                    <w:rPr>
                      <w:rFonts w:eastAsia="宋体"/>
                      <w:color w:val="auto"/>
                      <w:sz w:val="21"/>
                      <w:szCs w:val="21"/>
                      <w:highlight w:val="none"/>
                    </w:rPr>
                    <w:t>土工膜（2mm）防渗</w:t>
                  </w:r>
                  <w:r>
                    <w:rPr>
                      <w:rFonts w:hint="eastAsia" w:eastAsia="宋体"/>
                      <w:color w:val="auto"/>
                      <w:sz w:val="21"/>
                      <w:szCs w:val="21"/>
                      <w:highlight w:val="none"/>
                    </w:rPr>
                    <w:t>，</w:t>
                  </w:r>
                  <w:r>
                    <w:rPr>
                      <w:rFonts w:eastAsia="宋体"/>
                      <w:color w:val="auto"/>
                      <w:sz w:val="21"/>
                      <w:szCs w:val="21"/>
                      <w:highlight w:val="none"/>
                    </w:rPr>
                    <w:t>防渗层渗透系数</w:t>
                  </w:r>
                  <w:r>
                    <w:rPr>
                      <w:rFonts w:ascii="Times New Roman" w:hAnsi="Times New Roman" w:eastAsia="宋体"/>
                      <w:color w:val="auto"/>
                      <w:sz w:val="21"/>
                      <w:szCs w:val="21"/>
                      <w:highlight w:val="none"/>
                    </w:rPr>
                    <w:t>≤</w:t>
                  </w:r>
                  <w:r>
                    <w:rPr>
                      <w:rFonts w:eastAsia="宋体"/>
                      <w:color w:val="auto"/>
                      <w:sz w:val="21"/>
                      <w:szCs w:val="21"/>
                      <w:highlight w:val="none"/>
                    </w:rPr>
                    <w:t>10</w:t>
                  </w:r>
                  <w:r>
                    <w:rPr>
                      <w:rFonts w:eastAsia="宋体"/>
                      <w:color w:val="auto"/>
                      <w:sz w:val="21"/>
                      <w:szCs w:val="21"/>
                      <w:highlight w:val="none"/>
                      <w:vertAlign w:val="superscript"/>
                    </w:rPr>
                    <w:t>-10</w:t>
                  </w:r>
                  <w:r>
                    <w:rPr>
                      <w:rFonts w:eastAsia="宋体"/>
                      <w:color w:val="auto"/>
                      <w:sz w:val="21"/>
                      <w:szCs w:val="21"/>
                      <w:highlight w:val="none"/>
                    </w:rPr>
                    <w:t>cm/s</w:t>
                  </w:r>
                  <w:r>
                    <w:rPr>
                      <w:rFonts w:hint="eastAsia" w:eastAsia="宋体"/>
                      <w:color w:val="auto"/>
                      <w:sz w:val="21"/>
                      <w:szCs w:val="21"/>
                      <w:highlight w:val="none"/>
                      <w:lang w:eastAsia="zh-CN"/>
                    </w:rPr>
                    <w:t>；</w:t>
                  </w:r>
                  <w:r>
                    <w:rPr>
                      <w:rFonts w:hint="eastAsia" w:eastAsia="宋体"/>
                      <w:color w:val="auto"/>
                      <w:sz w:val="21"/>
                      <w:szCs w:val="21"/>
                      <w:highlight w:val="none"/>
                      <w:lang w:val="en-US" w:eastAsia="zh-CN"/>
                    </w:rPr>
                    <w:t>车间内使用润滑油</w:t>
                  </w:r>
                  <w:r>
                    <w:rPr>
                      <w:rFonts w:hint="eastAsia"/>
                      <w:color w:val="auto"/>
                      <w:sz w:val="21"/>
                      <w:szCs w:val="21"/>
                      <w:highlight w:val="none"/>
                      <w:lang w:val="en-US" w:eastAsia="zh-CN"/>
                    </w:rPr>
                    <w:t>、液压油</w:t>
                  </w:r>
                  <w:r>
                    <w:rPr>
                      <w:rFonts w:hint="eastAsia" w:eastAsia="宋体"/>
                      <w:color w:val="auto"/>
                      <w:sz w:val="21"/>
                      <w:szCs w:val="21"/>
                      <w:highlight w:val="none"/>
                      <w:lang w:val="en-US" w:eastAsia="zh-CN"/>
                    </w:rPr>
                    <w:t>设备下方设置</w:t>
                  </w:r>
                  <w:r>
                    <w:rPr>
                      <w:rFonts w:hint="eastAsia"/>
                      <w:color w:val="auto"/>
                      <w:sz w:val="21"/>
                      <w:szCs w:val="21"/>
                      <w:highlight w:val="none"/>
                      <w:lang w:val="en-US" w:eastAsia="zh-CN"/>
                    </w:rPr>
                    <w:t>铁质焊接托盘，无缝隙，不渗漏，确保废润滑油、废液压油不落地。</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②</w:t>
                  </w:r>
                  <w:r>
                    <w:rPr>
                      <w:rFonts w:ascii="Times New Roman" w:hAnsi="Times New Roman" w:eastAsia="宋体"/>
                      <w:color w:val="auto"/>
                      <w:sz w:val="21"/>
                      <w:szCs w:val="21"/>
                      <w:highlight w:val="none"/>
                    </w:rPr>
                    <w:t>一般防渗区：</w:t>
                  </w:r>
                  <w:r>
                    <w:rPr>
                      <w:rFonts w:hint="eastAsia"/>
                      <w:color w:val="auto"/>
                      <w:sz w:val="21"/>
                      <w:szCs w:val="21"/>
                      <w:highlight w:val="none"/>
                      <w:lang w:val="en-US" w:eastAsia="zh-CN"/>
                    </w:rPr>
                    <w:t>湿式生产区和原料储存区、再生细骨料储存区、废料暂存区</w:t>
                  </w:r>
                  <w:r>
                    <w:rPr>
                      <w:rFonts w:hint="eastAsia" w:eastAsia="宋体"/>
                      <w:color w:val="auto"/>
                      <w:sz w:val="21"/>
                      <w:szCs w:val="21"/>
                      <w:highlight w:val="none"/>
                      <w:lang w:val="en-US" w:eastAsia="zh-CN"/>
                    </w:rPr>
                    <w:t>地面</w:t>
                  </w:r>
                  <w:r>
                    <w:rPr>
                      <w:rFonts w:hint="eastAsia"/>
                      <w:color w:val="auto"/>
                      <w:sz w:val="21"/>
                      <w:szCs w:val="21"/>
                      <w:highlight w:val="none"/>
                      <w:lang w:val="en-US" w:eastAsia="zh-CN"/>
                    </w:rPr>
                    <w:t>防渗层为至少1m厚粘土层（渗透系数</w:t>
                  </w:r>
                  <w:r>
                    <w:rPr>
                      <w:rFonts w:ascii="Times New Roman" w:hAnsi="Times New Roman" w:eastAsia="宋体"/>
                      <w:color w:val="auto"/>
                      <w:sz w:val="21"/>
                      <w:szCs w:val="21"/>
                      <w:highlight w:val="none"/>
                    </w:rPr>
                    <w:t>≤</w:t>
                  </w: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w:t>
                  </w:r>
                  <w:r>
                    <w:rPr>
                      <w:rFonts w:hint="eastAsia" w:ascii="Times New Roman" w:hAnsi="Times New Roman" w:eastAsia="Times New Roman" w:cs="Times New Roman"/>
                      <w:color w:val="auto"/>
                      <w:kern w:val="0"/>
                      <w:sz w:val="21"/>
                      <w:szCs w:val="21"/>
                      <w:highlight w:val="none"/>
                      <w:lang w:val="en-US" w:eastAsia="zh-CN" w:bidi="ar"/>
                    </w:rPr>
                    <w:t>；</w:t>
                  </w:r>
                  <w:r>
                    <w:rPr>
                      <w:rFonts w:hint="eastAsia" w:eastAsia="宋体"/>
                      <w:color w:val="auto"/>
                      <w:sz w:val="21"/>
                      <w:szCs w:val="21"/>
                      <w:highlight w:val="none"/>
                      <w:lang w:val="en-US" w:eastAsia="zh-CN"/>
                    </w:rPr>
                    <w:t>收集废水的管道或集水沟均为抗渗混凝土结构，地上或明沟设置，</w:t>
                  </w:r>
                  <w:r>
                    <w:rPr>
                      <w:rFonts w:hint="eastAsia"/>
                      <w:color w:val="auto"/>
                      <w:sz w:val="21"/>
                      <w:szCs w:val="21"/>
                      <w:highlight w:val="none"/>
                      <w:lang w:val="en-US" w:eastAsia="zh-CN"/>
                    </w:rPr>
                    <w:t>渗透系数</w:t>
                  </w:r>
                  <w:r>
                    <w:rPr>
                      <w:rFonts w:ascii="Times New Roman" w:hAnsi="Times New Roman" w:eastAsia="宋体"/>
                      <w:color w:val="auto"/>
                      <w:sz w:val="21"/>
                      <w:szCs w:val="21"/>
                      <w:highlight w:val="none"/>
                    </w:rPr>
                    <w:t>≤</w:t>
                  </w: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cm/s；一级沉淀池、沉淀澄清池</w:t>
                  </w:r>
                  <w:r>
                    <w:rPr>
                      <w:rFonts w:hint="eastAsia" w:ascii="Times New Roman" w:hAnsi="Times New Roman" w:eastAsia="Times New Roman" w:cs="Times New Roman"/>
                      <w:color w:val="auto"/>
                      <w:kern w:val="0"/>
                      <w:sz w:val="21"/>
                      <w:szCs w:val="21"/>
                      <w:highlight w:val="none"/>
                      <w:lang w:val="en-US" w:eastAsia="zh-CN" w:bidi="ar"/>
                    </w:rPr>
                    <w:t>底部及四周均</w:t>
                  </w:r>
                  <w:r>
                    <w:rPr>
                      <w:rFonts w:hint="eastAsia"/>
                      <w:color w:val="auto"/>
                      <w:sz w:val="21"/>
                      <w:szCs w:val="21"/>
                      <w:highlight w:val="none"/>
                      <w:lang w:val="en-US" w:eastAsia="zh-CN"/>
                    </w:rPr>
                    <w:t>为抗渗混凝土结构，渗透系数</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cm/s；洗车平台沉淀池、清水池为抗渗混凝土结构，渗透系数</w:t>
                  </w:r>
                  <w:r>
                    <w:rPr>
                      <w:rFonts w:hint="default" w:ascii="Times New Roman" w:hAnsi="Times New Roman" w:cs="Times New Roman"/>
                      <w:color w:val="auto"/>
                      <w:sz w:val="21"/>
                      <w:szCs w:val="21"/>
                      <w:highlight w:val="none"/>
                      <w:lang w:val="en-US" w:eastAsia="zh-CN"/>
                    </w:rPr>
                    <w:t>≤</w:t>
                  </w:r>
                  <w:r>
                    <w:rPr>
                      <w:rFonts w:hint="eastAsia"/>
                      <w:color w:val="auto"/>
                      <w:sz w:val="21"/>
                      <w:szCs w:val="21"/>
                      <w:highlight w:val="none"/>
                      <w:lang w:val="en-US" w:eastAsia="zh-CN"/>
                    </w:rPr>
                    <w:t>10</w:t>
                  </w:r>
                  <w:r>
                    <w:rPr>
                      <w:rFonts w:hint="eastAsia"/>
                      <w:color w:val="auto"/>
                      <w:sz w:val="21"/>
                      <w:szCs w:val="21"/>
                      <w:highlight w:val="none"/>
                      <w:vertAlign w:val="superscript"/>
                      <w:lang w:val="en-US" w:eastAsia="zh-CN"/>
                    </w:rPr>
                    <w:t>-7</w:t>
                  </w:r>
                  <w:r>
                    <w:rPr>
                      <w:rFonts w:hint="eastAsia"/>
                      <w:color w:val="auto"/>
                      <w:sz w:val="21"/>
                      <w:szCs w:val="21"/>
                      <w:highlight w:val="none"/>
                      <w:lang w:val="en-US" w:eastAsia="zh-CN"/>
                    </w:rPr>
                    <w:t>cm/s，</w:t>
                  </w:r>
                  <w:r>
                    <w:rPr>
                      <w:rFonts w:hint="eastAsia" w:ascii="Times New Roman" w:hAnsi="Times New Roman" w:eastAsia="宋体"/>
                      <w:color w:val="auto"/>
                      <w:sz w:val="21"/>
                      <w:szCs w:val="21"/>
                      <w:highlight w:val="none"/>
                    </w:rPr>
                    <w:t>生产车间</w:t>
                  </w:r>
                  <w:r>
                    <w:rPr>
                      <w:rFonts w:ascii="Times New Roman" w:hAnsi="Times New Roman" w:eastAsia="宋体"/>
                      <w:color w:val="auto"/>
                      <w:sz w:val="21"/>
                      <w:szCs w:val="21"/>
                      <w:highlight w:val="none"/>
                    </w:rPr>
                    <w:t>其他区域的建设进行基础防渗处理，需满足等效黏土防渗层Mb≥6.0m，K≤1×10</w:t>
                  </w:r>
                  <w:r>
                    <w:rPr>
                      <w:rFonts w:ascii="Times New Roman" w:hAnsi="Times New Roman" w:eastAsia="宋体"/>
                      <w:color w:val="auto"/>
                      <w:sz w:val="21"/>
                      <w:szCs w:val="21"/>
                      <w:highlight w:val="none"/>
                      <w:vertAlign w:val="superscript"/>
                    </w:rPr>
                    <w:t>-7</w:t>
                  </w:r>
                  <w:r>
                    <w:rPr>
                      <w:rFonts w:ascii="Times New Roman" w:hAnsi="Times New Roman" w:eastAsia="宋体"/>
                      <w:color w:val="auto"/>
                      <w:sz w:val="21"/>
                      <w:szCs w:val="21"/>
                      <w:highlight w:val="none"/>
                    </w:rPr>
                    <w:t>cm/s。</w:t>
                  </w:r>
                </w:p>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Times New Roman" w:hAnsi="Times New Roman" w:eastAsia="宋体"/>
                      <w:color w:val="auto"/>
                      <w:sz w:val="21"/>
                      <w:szCs w:val="21"/>
                      <w:highlight w:val="none"/>
                    </w:rPr>
                    <w:t>③</w:t>
                  </w:r>
                  <w:r>
                    <w:rPr>
                      <w:rFonts w:hint="eastAsia" w:ascii="Times New Roman" w:hAnsi="Times New Roman" w:eastAsia="宋体"/>
                      <w:color w:val="auto"/>
                      <w:sz w:val="21"/>
                      <w:szCs w:val="21"/>
                      <w:highlight w:val="none"/>
                      <w:lang w:val="en-US" w:eastAsia="zh-CN"/>
                    </w:rPr>
                    <w:t>简单防渗区：办公区及厂区道路地面做好硬化处理。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1123" w:type="dxa"/>
                  <w:vMerge w:val="continue"/>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default"/>
                      <w:color w:val="auto"/>
                      <w:sz w:val="21"/>
                      <w:szCs w:val="21"/>
                      <w:highlight w:val="none"/>
                    </w:rPr>
                  </w:pPr>
                </w:p>
              </w:tc>
              <w:tc>
                <w:tcPr>
                  <w:tcW w:w="1333" w:type="dxa"/>
                  <w:tcBorders>
                    <w:tl2br w:val="nil"/>
                    <w:tr2bl w:val="nil"/>
                  </w:tcBorders>
                  <w:noWrap w:val="0"/>
                  <w:vAlign w:val="center"/>
                </w:tcPr>
                <w:p>
                  <w:pPr>
                    <w:pStyle w:val="30"/>
                    <w:keepNext w:val="0"/>
                    <w:keepLines w:val="0"/>
                    <w:pageBreakBefore w:val="0"/>
                    <w:widowControl w:val="0"/>
                    <w:kinsoku/>
                    <w:overflowPunct/>
                    <w:autoSpaceDE/>
                    <w:autoSpaceDN/>
                    <w:bidi w:val="0"/>
                    <w:adjustRightInd/>
                    <w:snapToGrid/>
                    <w:spacing w:before="0" w:after="0"/>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风险</w:t>
                  </w:r>
                </w:p>
              </w:tc>
              <w:tc>
                <w:tcPr>
                  <w:tcW w:w="5708" w:type="dxa"/>
                  <w:tcBorders>
                    <w:tl2br w:val="nil"/>
                    <w:tr2bl w:val="nil"/>
                  </w:tcBorders>
                  <w:noWrap w:val="0"/>
                  <w:vAlign w:val="center"/>
                </w:tcPr>
                <w:p>
                  <w:pPr>
                    <w:pStyle w:val="30"/>
                    <w:keepNext w:val="0"/>
                    <w:keepLines w:val="0"/>
                    <w:pageBreakBefore w:val="0"/>
                    <w:widowControl w:val="0"/>
                    <w:kinsoku/>
                    <w:wordWrap w:val="0"/>
                    <w:overflowPunct/>
                    <w:topLinePunct w:val="0"/>
                    <w:autoSpaceDE/>
                    <w:autoSpaceDN/>
                    <w:bidi w:val="0"/>
                    <w:adjustRightInd/>
                    <w:snapToGrid/>
                    <w:spacing w:before="0" w:after="0"/>
                    <w:ind w:firstLine="420" w:firstLineChars="200"/>
                    <w:jc w:val="left"/>
                    <w:textAlignment w:val="auto"/>
                    <w:rPr>
                      <w:rFonts w:hint="eastAsia" w:ascii="宋体" w:hAnsi="宋体" w:cs="宋体"/>
                      <w:color w:val="auto"/>
                      <w:sz w:val="21"/>
                      <w:szCs w:val="21"/>
                      <w:highlight w:val="none"/>
                      <w:lang w:val="en-US" w:eastAsia="zh-CN"/>
                    </w:rPr>
                  </w:pPr>
                  <w:r>
                    <w:rPr>
                      <w:rFonts w:hint="eastAsia" w:eastAsia="宋体"/>
                      <w:color w:val="auto"/>
                      <w:kern w:val="2"/>
                      <w:sz w:val="21"/>
                      <w:szCs w:val="21"/>
                      <w:highlight w:val="none"/>
                      <w:lang w:val="en-US" w:eastAsia="zh-CN" w:bidi="ar-SA"/>
                    </w:rPr>
                    <w:t>润滑油</w:t>
                  </w:r>
                  <w:r>
                    <w:rPr>
                      <w:rFonts w:hint="eastAsia"/>
                      <w:color w:val="auto"/>
                      <w:kern w:val="2"/>
                      <w:sz w:val="21"/>
                      <w:szCs w:val="21"/>
                      <w:highlight w:val="none"/>
                      <w:lang w:val="en-US" w:eastAsia="zh-CN" w:bidi="ar-SA"/>
                    </w:rPr>
                    <w:t>、液压油</w:t>
                  </w:r>
                  <w:r>
                    <w:rPr>
                      <w:rFonts w:hint="eastAsia" w:eastAsia="宋体"/>
                      <w:color w:val="auto"/>
                      <w:kern w:val="2"/>
                      <w:sz w:val="21"/>
                      <w:szCs w:val="21"/>
                      <w:highlight w:val="none"/>
                      <w:lang w:val="en-US" w:eastAsia="zh-CN" w:bidi="ar-SA"/>
                    </w:rPr>
                    <w:t>密闭桶装储存于</w:t>
                  </w:r>
                  <w:r>
                    <w:rPr>
                      <w:rFonts w:hint="eastAsia"/>
                      <w:color w:val="auto"/>
                      <w:kern w:val="2"/>
                      <w:sz w:val="21"/>
                      <w:szCs w:val="21"/>
                      <w:highlight w:val="none"/>
                      <w:lang w:val="en-US" w:eastAsia="zh-CN" w:bidi="ar-SA"/>
                    </w:rPr>
                    <w:t>油品储存间</w:t>
                  </w:r>
                  <w:r>
                    <w:rPr>
                      <w:rFonts w:hint="eastAsia" w:eastAsia="宋体"/>
                      <w:color w:val="auto"/>
                      <w:kern w:val="2"/>
                      <w:sz w:val="21"/>
                      <w:szCs w:val="21"/>
                      <w:highlight w:val="none"/>
                      <w:lang w:val="en-US" w:eastAsia="zh-CN" w:bidi="ar-SA"/>
                    </w:rPr>
                    <w:t>，</w:t>
                  </w:r>
                  <w:r>
                    <w:rPr>
                      <w:rFonts w:hint="eastAsia"/>
                      <w:color w:val="auto"/>
                      <w:kern w:val="2"/>
                      <w:sz w:val="21"/>
                      <w:szCs w:val="21"/>
                      <w:highlight w:val="none"/>
                      <w:lang w:val="en-US" w:eastAsia="zh-CN" w:bidi="ar-SA"/>
                    </w:rPr>
                    <w:t>废润滑油、废液压油桶装加盖储存于危废间</w:t>
                  </w:r>
                  <w:r>
                    <w:rPr>
                      <w:rFonts w:hint="eastAsia" w:eastAsia="宋体"/>
                      <w:color w:val="auto"/>
                      <w:kern w:val="2"/>
                      <w:sz w:val="21"/>
                      <w:szCs w:val="21"/>
                      <w:highlight w:val="none"/>
                      <w:lang w:val="en-US" w:eastAsia="zh-CN" w:bidi="ar-SA"/>
                    </w:rPr>
                    <w:t>，并</w:t>
                  </w:r>
                  <w:r>
                    <w:rPr>
                      <w:rFonts w:hint="default" w:ascii="Times New Roman" w:hAnsi="Times New Roman" w:eastAsia="宋体"/>
                      <w:color w:val="auto"/>
                      <w:kern w:val="2"/>
                      <w:sz w:val="21"/>
                      <w:szCs w:val="21"/>
                      <w:highlight w:val="none"/>
                      <w:lang w:val="en-US" w:eastAsia="zh-CN" w:bidi="ar-SA"/>
                    </w:rPr>
                    <w:t>配备较好的设备和相应的抢险设施、风险物质储存区有防扬散、防流失、防渗漏等防治措施并参照国家标准</w:t>
                  </w:r>
                  <w:r>
                    <w:rPr>
                      <w:rFonts w:hint="eastAsia"/>
                      <w:color w:val="auto"/>
                      <w:kern w:val="2"/>
                      <w:sz w:val="21"/>
                      <w:szCs w:val="21"/>
                      <w:highlight w:val="none"/>
                      <w:lang w:val="en-US" w:eastAsia="zh-CN" w:bidi="ar-SA"/>
                    </w:rPr>
                    <w:t>《危险废物贮存污染控制标准》（GB18597-2023）</w:t>
                  </w:r>
                  <w:r>
                    <w:rPr>
                      <w:rFonts w:hint="default" w:ascii="Times New Roman" w:hAnsi="Times New Roman" w:eastAsia="宋体"/>
                      <w:color w:val="auto"/>
                      <w:kern w:val="2"/>
                      <w:sz w:val="21"/>
                      <w:szCs w:val="21"/>
                      <w:highlight w:val="none"/>
                      <w:lang w:val="en-US" w:eastAsia="zh-CN" w:bidi="ar-SA"/>
                    </w:rPr>
                    <w:t>和《危险废物收集贮存运输技术规范》</w:t>
                  </w:r>
                  <w:r>
                    <w:rPr>
                      <w:rFonts w:hint="eastAsia" w:ascii="Times New Roman" w:hAnsi="Times New Roman" w:eastAsia="宋体"/>
                      <w:color w:val="auto"/>
                      <w:kern w:val="2"/>
                      <w:sz w:val="21"/>
                      <w:szCs w:val="21"/>
                      <w:highlight w:val="none"/>
                      <w:lang w:val="en-US" w:eastAsia="zh-CN" w:bidi="ar-SA"/>
                    </w:rPr>
                    <w:t>（</w:t>
                  </w:r>
                  <w:r>
                    <w:rPr>
                      <w:rFonts w:hint="default" w:ascii="Times New Roman" w:hAnsi="Times New Roman" w:eastAsia="宋体"/>
                      <w:color w:val="auto"/>
                      <w:kern w:val="2"/>
                      <w:sz w:val="21"/>
                      <w:szCs w:val="21"/>
                      <w:highlight w:val="none"/>
                      <w:lang w:val="en-US" w:eastAsia="zh-CN" w:bidi="ar-SA"/>
                    </w:rPr>
                    <w:t>HJ2025-2012</w:t>
                  </w:r>
                  <w:r>
                    <w:rPr>
                      <w:rFonts w:hint="eastAsia" w:ascii="Times New Roman" w:hAnsi="Times New Roman" w:eastAsia="宋体"/>
                      <w:color w:val="auto"/>
                      <w:kern w:val="2"/>
                      <w:sz w:val="21"/>
                      <w:szCs w:val="21"/>
                      <w:highlight w:val="none"/>
                      <w:lang w:val="en-US" w:eastAsia="zh-CN" w:bidi="ar-SA"/>
                    </w:rPr>
                    <w:t>）</w:t>
                  </w:r>
                  <w:r>
                    <w:rPr>
                      <w:rFonts w:hint="default" w:ascii="Times New Roman" w:hAnsi="Times New Roman" w:eastAsia="宋体"/>
                      <w:color w:val="auto"/>
                      <w:kern w:val="2"/>
                      <w:sz w:val="21"/>
                      <w:szCs w:val="21"/>
                      <w:highlight w:val="none"/>
                      <w:lang w:val="en-US" w:eastAsia="zh-CN" w:bidi="ar-SA"/>
                    </w:rPr>
                    <w:t>的要求进行设计。</w:t>
                  </w:r>
                  <w:r>
                    <w:rPr>
                      <w:rFonts w:hint="eastAsia" w:eastAsia="宋体"/>
                      <w:color w:val="auto"/>
                      <w:kern w:val="2"/>
                      <w:sz w:val="21"/>
                      <w:szCs w:val="21"/>
                      <w:highlight w:val="none"/>
                      <w:lang w:val="en-US" w:eastAsia="zh-CN" w:bidi="ar-SA"/>
                    </w:rPr>
                    <w:t>油品储存</w:t>
                  </w:r>
                  <w:r>
                    <w:rPr>
                      <w:rFonts w:hint="eastAsia"/>
                      <w:color w:val="auto"/>
                      <w:kern w:val="2"/>
                      <w:sz w:val="21"/>
                      <w:szCs w:val="21"/>
                      <w:highlight w:val="none"/>
                      <w:lang w:val="en-US" w:eastAsia="zh-CN" w:bidi="ar-SA"/>
                    </w:rPr>
                    <w:t>间</w:t>
                  </w:r>
                  <w:r>
                    <w:rPr>
                      <w:rFonts w:hint="eastAsia" w:eastAsia="宋体"/>
                      <w:color w:val="auto"/>
                      <w:kern w:val="2"/>
                      <w:sz w:val="21"/>
                      <w:szCs w:val="21"/>
                      <w:highlight w:val="none"/>
                      <w:lang w:val="en-US" w:eastAsia="zh-CN" w:bidi="ar-SA"/>
                    </w:rPr>
                    <w:t>、危废间</w:t>
                  </w:r>
                  <w:r>
                    <w:rPr>
                      <w:rFonts w:hint="default" w:ascii="Times New Roman" w:hAnsi="Times New Roman" w:eastAsia="宋体"/>
                      <w:color w:val="auto"/>
                      <w:kern w:val="2"/>
                      <w:sz w:val="21"/>
                      <w:szCs w:val="21"/>
                      <w:highlight w:val="none"/>
                      <w:lang w:val="en-US" w:eastAsia="zh-CN" w:bidi="ar-SA"/>
                    </w:rPr>
                    <w:t>还应保持地面平滑无开裂、采用刷环氧地坪漆等方式进行进一步的防渗处理，门口设置围挡或斜坡，如果发生泄漏事故，确保风险物质不会溢流出上述区域，避免对水环境、土壤和大气环境造成影响。</w:t>
                  </w:r>
                </w:p>
              </w:tc>
            </w:tr>
          </w:tbl>
          <w:p>
            <w:pPr>
              <w:bidi w:val="0"/>
              <w:rPr>
                <w:rFonts w:hint="eastAsia" w:ascii="Times New Roman" w:eastAsia="宋体"/>
                <w:color w:val="auto"/>
                <w:sz w:val="24"/>
                <w:szCs w:val="24"/>
                <w:highlight w:val="none"/>
                <w:lang w:val="en-US" w:eastAsia="zh-CN"/>
              </w:rPr>
            </w:pPr>
            <w:r>
              <w:rPr>
                <w:rFonts w:hint="eastAsia" w:ascii="Times New Roman" w:eastAsia="宋体"/>
                <w:color w:val="auto"/>
                <w:sz w:val="24"/>
                <w:szCs w:val="24"/>
                <w:highlight w:val="none"/>
                <w:lang w:val="en-US" w:eastAsia="zh-CN"/>
              </w:rPr>
              <w:t>6、主要产品及产能</w:t>
            </w:r>
            <w:r>
              <w:rPr>
                <w:rFonts w:hint="default"/>
                <w:color w:val="auto"/>
                <w:sz w:val="24"/>
                <w:szCs w:val="24"/>
                <w:highlight w:val="none"/>
              </w:rPr>
              <w:t>：</w:t>
            </w:r>
            <w:r>
              <w:rPr>
                <w:rFonts w:hint="eastAsia"/>
                <w:color w:val="auto"/>
                <w:sz w:val="24"/>
                <w:szCs w:val="24"/>
                <w:highlight w:val="none"/>
                <w:lang w:val="en-US" w:eastAsia="zh-CN"/>
              </w:rPr>
              <w:t>本项目主要处理建筑垃圾，年处理建筑垃圾50000吨，其中处理建筑混凝土块等40000吨，处理建筑渣土等10000吨，年产石碴29574.219吨，年产再生细骨料20871.245吨</w:t>
            </w:r>
            <w:r>
              <w:rPr>
                <w:rFonts w:hint="eastAsia" w:ascii="Times New Roman" w:eastAsia="宋体"/>
                <w:color w:val="auto"/>
                <w:sz w:val="24"/>
                <w:szCs w:val="24"/>
                <w:highlight w:val="none"/>
                <w:lang w:val="en-US" w:eastAsia="zh-CN"/>
              </w:rPr>
              <w:t>。</w:t>
            </w:r>
          </w:p>
          <w:p>
            <w:pPr>
              <w:pStyle w:val="14"/>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center"/>
              <w:textAlignment w:val="auto"/>
              <w:rPr>
                <w:rFonts w:hint="default"/>
                <w:b/>
                <w:bCs/>
                <w:color w:val="auto"/>
                <w:highlight w:val="none"/>
                <w:lang w:val="en-US" w:eastAsia="zh-CN"/>
              </w:rPr>
            </w:pPr>
            <w:r>
              <w:rPr>
                <w:rFonts w:hint="default"/>
                <w:b/>
                <w:bCs/>
                <w:color w:val="auto"/>
                <w:sz w:val="21"/>
                <w:szCs w:val="21"/>
                <w:highlight w:val="none"/>
              </w:rPr>
              <w:t>表</w:t>
            </w:r>
            <w:r>
              <w:rPr>
                <w:rFonts w:hint="eastAsia"/>
                <w:b/>
                <w:bCs/>
                <w:color w:val="auto"/>
                <w:sz w:val="21"/>
                <w:szCs w:val="21"/>
                <w:highlight w:val="none"/>
                <w:lang w:val="en-US" w:eastAsia="zh-CN"/>
              </w:rPr>
              <w:t>9</w:t>
            </w:r>
            <w:r>
              <w:rPr>
                <w:rFonts w:hint="default"/>
                <w:b/>
                <w:bCs/>
                <w:color w:val="auto"/>
                <w:sz w:val="21"/>
                <w:szCs w:val="21"/>
                <w:highlight w:val="none"/>
              </w:rPr>
              <w:t xml:space="preserve">  </w:t>
            </w:r>
            <w:r>
              <w:rPr>
                <w:rFonts w:hint="eastAsia"/>
                <w:b/>
                <w:bCs/>
                <w:color w:val="auto"/>
                <w:sz w:val="21"/>
                <w:szCs w:val="21"/>
                <w:highlight w:val="none"/>
                <w:lang w:val="en-US" w:eastAsia="zh-CN"/>
              </w:rPr>
              <w:t>本项目</w:t>
            </w:r>
            <w:r>
              <w:rPr>
                <w:rFonts w:hint="default"/>
                <w:b/>
                <w:bCs/>
                <w:color w:val="auto"/>
                <w:sz w:val="21"/>
                <w:szCs w:val="21"/>
                <w:highlight w:val="none"/>
              </w:rPr>
              <w:t>主要</w:t>
            </w:r>
            <w:r>
              <w:rPr>
                <w:rFonts w:hint="eastAsia"/>
                <w:b/>
                <w:bCs/>
                <w:color w:val="auto"/>
                <w:sz w:val="21"/>
                <w:szCs w:val="21"/>
                <w:highlight w:val="none"/>
                <w:lang w:val="en-US" w:eastAsia="zh-CN"/>
              </w:rPr>
              <w:t>产品及产能一览</w:t>
            </w:r>
            <w:r>
              <w:rPr>
                <w:rFonts w:hint="default"/>
                <w:b/>
                <w:bCs/>
                <w:color w:val="auto"/>
                <w:sz w:val="21"/>
                <w:szCs w:val="21"/>
                <w:highlight w:val="none"/>
              </w:rPr>
              <w:t>表</w:t>
            </w:r>
          </w:p>
          <w:tbl>
            <w:tblPr>
              <w:tblStyle w:val="24"/>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331"/>
              <w:gridCol w:w="1628"/>
              <w:gridCol w:w="1524"/>
              <w:gridCol w:w="1448"/>
              <w:gridCol w:w="1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序号</w:t>
                  </w:r>
                </w:p>
              </w:tc>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产品名称</w:t>
                  </w: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规格</w:t>
                  </w:r>
                </w:p>
              </w:tc>
              <w:tc>
                <w:tcPr>
                  <w:tcW w:w="297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生产规模（t/a）</w:t>
                  </w:r>
                </w:p>
              </w:tc>
              <w:tc>
                <w:tcPr>
                  <w:tcW w:w="14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76" w:type="dxa"/>
                  <w:vMerge w:val="restart"/>
                  <w:tcBorders>
                    <w:tl2br w:val="nil"/>
                    <w:tr2bl w:val="nil"/>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highlight w:val="none"/>
                      <w:vertAlign w:val="baseline"/>
                      <w:lang w:val="en-US" w:eastAsia="zh-CN"/>
                    </w:rPr>
                  </w:pPr>
                </w:p>
              </w:tc>
              <w:tc>
                <w:tcPr>
                  <w:tcW w:w="13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石碴</w:t>
                  </w: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5-7mm</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7393.555</w:t>
                  </w:r>
                </w:p>
              </w:tc>
              <w:tc>
                <w:tcPr>
                  <w:tcW w:w="1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29574.219</w:t>
                  </w:r>
                </w:p>
              </w:tc>
              <w:tc>
                <w:tcPr>
                  <w:tcW w:w="14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含水率约2%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3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2-4mm</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8872.266</w:t>
                  </w:r>
                </w:p>
              </w:tc>
              <w:tc>
                <w:tcPr>
                  <w:tcW w:w="1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1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3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cs="Times New Roman"/>
                      <w:color w:val="auto"/>
                      <w:kern w:val="2"/>
                      <w:sz w:val="21"/>
                      <w:szCs w:val="21"/>
                      <w:highlight w:val="none"/>
                      <w:vertAlign w:val="baseline"/>
                      <w:lang w:val="en-US" w:eastAsia="zh-CN" w:bidi="ar-SA"/>
                    </w:rPr>
                    <w:t>2</w:t>
                  </w:r>
                  <w:r>
                    <w:rPr>
                      <w:rFonts w:hint="default" w:ascii="Times New Roman" w:hAnsi="Times New Roman" w:eastAsia="宋体" w:cs="Times New Roman"/>
                      <w:color w:val="auto"/>
                      <w:kern w:val="2"/>
                      <w:sz w:val="21"/>
                      <w:szCs w:val="21"/>
                      <w:highlight w:val="none"/>
                      <w:vertAlign w:val="baseline"/>
                      <w:lang w:val="en-US" w:eastAsia="zh-CN" w:bidi="ar-SA"/>
                    </w:rPr>
                    <w:t>mm</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13308.398</w:t>
                  </w:r>
                </w:p>
              </w:tc>
              <w:tc>
                <w:tcPr>
                  <w:tcW w:w="1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p>
              </w:tc>
              <w:tc>
                <w:tcPr>
                  <w:tcW w:w="1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restart"/>
                  <w:tcBorders>
                    <w:tl2br w:val="nil"/>
                    <w:tr2bl w:val="nil"/>
                  </w:tcBorders>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auto"/>
                      <w:highlight w:val="none"/>
                      <w:lang w:val="en-US" w:eastAsia="zh-CN"/>
                    </w:rPr>
                  </w:pPr>
                </w:p>
              </w:tc>
              <w:tc>
                <w:tcPr>
                  <w:tcW w:w="133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olor w:val="auto"/>
                      <w:sz w:val="21"/>
                      <w:szCs w:val="21"/>
                      <w:highlight w:val="none"/>
                      <w:vertAlign w:val="baseline"/>
                      <w:lang w:val="en-US" w:eastAsia="zh-CN"/>
                    </w:rPr>
                    <w:t>再生细骨料</w:t>
                  </w: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16-40</w:t>
                  </w:r>
                  <w:r>
                    <w:rPr>
                      <w:rFonts w:hint="default" w:cs="Times New Roman"/>
                      <w:color w:val="auto"/>
                      <w:kern w:val="2"/>
                      <w:sz w:val="21"/>
                      <w:szCs w:val="21"/>
                      <w:highlight w:val="none"/>
                      <w:vertAlign w:val="baseline"/>
                      <w:lang w:val="zh-CN" w:eastAsia="zh-CN" w:bidi="ar-SA"/>
                    </w:rPr>
                    <w:t>目</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8348.498</w:t>
                  </w:r>
                </w:p>
              </w:tc>
              <w:tc>
                <w:tcPr>
                  <w:tcW w:w="14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20871.245</w:t>
                  </w:r>
                </w:p>
              </w:tc>
              <w:tc>
                <w:tcPr>
                  <w:tcW w:w="145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含水率约12%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3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default" w:cs="Times New Roman"/>
                      <w:color w:val="auto"/>
                      <w:kern w:val="2"/>
                      <w:sz w:val="21"/>
                      <w:szCs w:val="21"/>
                      <w:highlight w:val="none"/>
                      <w:vertAlign w:val="baseline"/>
                      <w:lang w:val="zh-CN" w:eastAsia="zh-CN" w:bidi="ar-SA"/>
                    </w:rPr>
                    <w:t>40~70目</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5217.811</w:t>
                  </w:r>
                </w:p>
              </w:tc>
              <w:tc>
                <w:tcPr>
                  <w:tcW w:w="1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3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default" w:cs="Times New Roman"/>
                      <w:color w:val="auto"/>
                      <w:kern w:val="2"/>
                      <w:sz w:val="21"/>
                      <w:szCs w:val="21"/>
                      <w:highlight w:val="none"/>
                      <w:vertAlign w:val="baseline"/>
                      <w:lang w:val="zh-CN" w:eastAsia="zh-CN" w:bidi="ar-SA"/>
                    </w:rPr>
                    <w:t>50~100目</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5217.811</w:t>
                  </w:r>
                </w:p>
              </w:tc>
              <w:tc>
                <w:tcPr>
                  <w:tcW w:w="1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33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default" w:cs="Times New Roman"/>
                      <w:color w:val="auto"/>
                      <w:kern w:val="2"/>
                      <w:sz w:val="21"/>
                      <w:szCs w:val="21"/>
                      <w:highlight w:val="none"/>
                      <w:vertAlign w:val="baseline"/>
                      <w:lang w:val="zh-CN" w:eastAsia="zh-CN" w:bidi="ar-SA"/>
                    </w:rPr>
                    <w:t>70~140目</w:t>
                  </w:r>
                </w:p>
              </w:tc>
              <w:tc>
                <w:tcPr>
                  <w:tcW w:w="15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2087.125</w:t>
                  </w:r>
                </w:p>
              </w:tc>
              <w:tc>
                <w:tcPr>
                  <w:tcW w:w="14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c>
                <w:tcPr>
                  <w:tcW w:w="145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vertAlign w:val="baseline"/>
                      <w:lang w:val="en-US" w:eastAsia="zh-CN" w:bidi="ar-SA"/>
                    </w:rPr>
                  </w:pPr>
                </w:p>
              </w:tc>
            </w:tr>
          </w:tbl>
          <w:p>
            <w:pPr>
              <w:bidi w:val="0"/>
              <w:rPr>
                <w:rFonts w:hint="default"/>
                <w:color w:val="auto"/>
                <w:sz w:val="24"/>
                <w:szCs w:val="24"/>
                <w:highlight w:val="none"/>
              </w:rPr>
            </w:pPr>
            <w:r>
              <w:rPr>
                <w:rFonts w:hint="eastAsia"/>
                <w:color w:val="auto"/>
                <w:sz w:val="24"/>
                <w:szCs w:val="24"/>
                <w:highlight w:val="none"/>
                <w:lang w:val="en-US" w:eastAsia="zh-CN"/>
              </w:rPr>
              <w:t>7、</w:t>
            </w:r>
            <w:r>
              <w:rPr>
                <w:rFonts w:hint="default"/>
                <w:color w:val="auto"/>
                <w:sz w:val="24"/>
                <w:szCs w:val="24"/>
                <w:highlight w:val="none"/>
                <w:lang w:val="zh-CN" w:eastAsia="zh-CN"/>
              </w:rPr>
              <w:t>工作制度及定员：项目年工</w:t>
            </w:r>
            <w:r>
              <w:rPr>
                <w:rFonts w:hint="default"/>
                <w:color w:val="auto"/>
                <w:sz w:val="24"/>
                <w:szCs w:val="24"/>
                <w:highlight w:val="none"/>
              </w:rPr>
              <w:t>作</w:t>
            </w:r>
            <w:r>
              <w:rPr>
                <w:rFonts w:hint="eastAsia"/>
                <w:color w:val="auto"/>
                <w:sz w:val="24"/>
                <w:szCs w:val="24"/>
                <w:highlight w:val="none"/>
                <w:lang w:val="en-US" w:eastAsia="zh-CN"/>
              </w:rPr>
              <w:t>250</w:t>
            </w:r>
            <w:r>
              <w:rPr>
                <w:rFonts w:hint="default"/>
                <w:color w:val="auto"/>
                <w:sz w:val="24"/>
                <w:szCs w:val="24"/>
                <w:highlight w:val="none"/>
              </w:rPr>
              <w:t>天，每天</w:t>
            </w:r>
            <w:r>
              <w:rPr>
                <w:rFonts w:hint="eastAsia"/>
                <w:color w:val="auto"/>
                <w:sz w:val="24"/>
                <w:szCs w:val="24"/>
                <w:highlight w:val="none"/>
                <w:lang w:val="en-US" w:eastAsia="zh-CN"/>
              </w:rPr>
              <w:t>3</w:t>
            </w:r>
            <w:r>
              <w:rPr>
                <w:rFonts w:hint="default"/>
                <w:color w:val="auto"/>
                <w:sz w:val="24"/>
                <w:szCs w:val="24"/>
                <w:highlight w:val="none"/>
              </w:rPr>
              <w:t>班，每班</w:t>
            </w:r>
            <w:r>
              <w:rPr>
                <w:rFonts w:hint="eastAsia"/>
                <w:color w:val="auto"/>
                <w:sz w:val="24"/>
                <w:szCs w:val="24"/>
                <w:highlight w:val="none"/>
                <w:lang w:val="en-US" w:eastAsia="zh-CN"/>
              </w:rPr>
              <w:t>8h</w:t>
            </w:r>
            <w:r>
              <w:rPr>
                <w:rFonts w:hint="default"/>
                <w:color w:val="auto"/>
                <w:sz w:val="24"/>
                <w:szCs w:val="24"/>
                <w:highlight w:val="none"/>
              </w:rPr>
              <w:t>。劳动定员</w:t>
            </w:r>
            <w:r>
              <w:rPr>
                <w:rFonts w:hint="eastAsia"/>
                <w:color w:val="auto"/>
                <w:sz w:val="24"/>
                <w:szCs w:val="24"/>
                <w:highlight w:val="none"/>
                <w:lang w:val="en-US" w:eastAsia="zh-CN"/>
              </w:rPr>
              <w:t>20人</w:t>
            </w:r>
            <w:r>
              <w:rPr>
                <w:rFonts w:hint="default"/>
                <w:color w:val="auto"/>
                <w:sz w:val="24"/>
                <w:szCs w:val="24"/>
                <w:highlight w:val="none"/>
              </w:rPr>
              <w:t>。</w:t>
            </w:r>
          </w:p>
          <w:p>
            <w:pPr>
              <w:bidi w:val="0"/>
              <w:rPr>
                <w:rFonts w:hint="default"/>
                <w:color w:val="auto"/>
                <w:sz w:val="24"/>
                <w:szCs w:val="24"/>
                <w:highlight w:val="none"/>
              </w:rPr>
            </w:pPr>
            <w:r>
              <w:rPr>
                <w:rFonts w:hint="eastAsia" w:ascii="Times New Roman" w:eastAsia="宋体"/>
                <w:color w:val="auto"/>
                <w:sz w:val="24"/>
                <w:szCs w:val="24"/>
                <w:highlight w:val="none"/>
                <w:lang w:val="en-US" w:eastAsia="zh-CN"/>
              </w:rPr>
              <w:t>8、</w:t>
            </w:r>
            <w:r>
              <w:rPr>
                <w:rFonts w:hint="default"/>
                <w:color w:val="auto"/>
                <w:sz w:val="24"/>
                <w:szCs w:val="24"/>
                <w:highlight w:val="none"/>
              </w:rPr>
              <w:t>主要原辅材料及能源消耗见下表。</w:t>
            </w:r>
          </w:p>
          <w:p>
            <w:pPr>
              <w:pStyle w:val="29"/>
              <w:bidi w:val="0"/>
              <w:rPr>
                <w:rFonts w:hint="default"/>
                <w:color w:val="auto"/>
                <w:sz w:val="21"/>
                <w:szCs w:val="21"/>
                <w:highlight w:val="none"/>
              </w:rPr>
            </w:pPr>
          </w:p>
          <w:p>
            <w:pPr>
              <w:pStyle w:val="29"/>
              <w:bidi w:val="0"/>
              <w:rPr>
                <w:rFonts w:hint="default"/>
                <w:color w:val="auto"/>
                <w:sz w:val="24"/>
                <w:szCs w:val="24"/>
                <w:highlight w:val="none"/>
              </w:rPr>
            </w:pPr>
            <w:r>
              <w:rPr>
                <w:rFonts w:hint="default"/>
                <w:color w:val="auto"/>
                <w:sz w:val="21"/>
                <w:szCs w:val="21"/>
                <w:highlight w:val="none"/>
              </w:rPr>
              <w:t>表</w:t>
            </w:r>
            <w:r>
              <w:rPr>
                <w:rFonts w:hint="eastAsia"/>
                <w:color w:val="auto"/>
                <w:sz w:val="21"/>
                <w:szCs w:val="21"/>
                <w:highlight w:val="none"/>
                <w:lang w:val="en-US" w:eastAsia="zh-CN"/>
              </w:rPr>
              <w:t>10  本项目</w:t>
            </w:r>
            <w:r>
              <w:rPr>
                <w:rFonts w:hint="default"/>
                <w:color w:val="auto"/>
                <w:sz w:val="21"/>
                <w:szCs w:val="21"/>
                <w:highlight w:val="none"/>
              </w:rPr>
              <w:t>主要原辅材料及能源消耗</w:t>
            </w:r>
            <w:r>
              <w:rPr>
                <w:rFonts w:hint="eastAsia"/>
                <w:color w:val="auto"/>
                <w:sz w:val="21"/>
                <w:szCs w:val="21"/>
                <w:highlight w:val="none"/>
                <w:lang w:val="en-US" w:eastAsia="zh-CN"/>
              </w:rPr>
              <w:t>一览</w:t>
            </w:r>
            <w:r>
              <w:rPr>
                <w:rFonts w:hint="default"/>
                <w:color w:val="auto"/>
                <w:sz w:val="21"/>
                <w:szCs w:val="21"/>
                <w:highlight w:val="none"/>
              </w:rPr>
              <w:t>表</w:t>
            </w:r>
          </w:p>
          <w:tbl>
            <w:tblPr>
              <w:tblStyle w:val="23"/>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33"/>
              <w:gridCol w:w="787"/>
              <w:gridCol w:w="984"/>
              <w:gridCol w:w="990"/>
              <w:gridCol w:w="1350"/>
              <w:gridCol w:w="3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733" w:type="dxa"/>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序号</w:t>
                  </w:r>
                </w:p>
              </w:tc>
              <w:tc>
                <w:tcPr>
                  <w:tcW w:w="1771" w:type="dxa"/>
                  <w:gridSpan w:val="2"/>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名称</w:t>
                  </w:r>
                </w:p>
              </w:tc>
              <w:tc>
                <w:tcPr>
                  <w:tcW w:w="990" w:type="dxa"/>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单位</w:t>
                  </w:r>
                </w:p>
              </w:tc>
              <w:tc>
                <w:tcPr>
                  <w:tcW w:w="1350" w:type="dxa"/>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消耗量</w:t>
                  </w:r>
                </w:p>
              </w:tc>
              <w:tc>
                <w:tcPr>
                  <w:tcW w:w="3320" w:type="dxa"/>
                  <w:tcBorders>
                    <w:tl2br w:val="nil"/>
                    <w:tr2bl w:val="nil"/>
                  </w:tcBorders>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default"/>
                      <w:color w:val="auto"/>
                      <w:sz w:val="21"/>
                      <w:szCs w:val="21"/>
                      <w:highlight w:val="none"/>
                    </w:rPr>
                  </w:pPr>
                  <w:r>
                    <w:rPr>
                      <w:rFonts w:hint="default"/>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733" w:type="dxa"/>
                  <w:vMerge w:val="restart"/>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78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建筑垃圾</w:t>
                  </w:r>
                </w:p>
              </w:tc>
              <w:tc>
                <w:tcPr>
                  <w:tcW w:w="9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建筑混凝土块</w:t>
                  </w:r>
                </w:p>
              </w:tc>
              <w:tc>
                <w:tcPr>
                  <w:tcW w:w="99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40000</w:t>
                  </w:r>
                </w:p>
              </w:tc>
              <w:tc>
                <w:tcPr>
                  <w:tcW w:w="332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主要来自于京唐智慧港建筑工地，均经过人工分拣，仅建筑渣土中可能混杂少量塑料、木材等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73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rPr>
                  </w:pPr>
                </w:p>
              </w:tc>
              <w:tc>
                <w:tcPr>
                  <w:tcW w:w="78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rPr>
                  </w:pPr>
                </w:p>
              </w:tc>
              <w:tc>
                <w:tcPr>
                  <w:tcW w:w="98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建筑渣土</w:t>
                  </w:r>
                </w:p>
              </w:tc>
              <w:tc>
                <w:tcPr>
                  <w:tcW w:w="99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color w:val="auto"/>
                      <w:sz w:val="21"/>
                      <w:szCs w:val="21"/>
                      <w:highlight w:val="none"/>
                    </w:rPr>
                  </w:pP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10000</w:t>
                  </w:r>
                </w:p>
              </w:tc>
              <w:tc>
                <w:tcPr>
                  <w:tcW w:w="332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i w:val="0"/>
                      <w:iCs w:val="0"/>
                      <w:color w:val="auto"/>
                      <w:kern w:val="0"/>
                      <w:sz w:val="21"/>
                      <w:szCs w:val="21"/>
                      <w:highlight w:val="none"/>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733" w:type="dxa"/>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润滑油</w:t>
                  </w:r>
                </w:p>
              </w:tc>
              <w:tc>
                <w:tcPr>
                  <w:tcW w:w="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3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外购，桶装，25kg/桶，暂存于油品储存间，最大储存量为0.05t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733" w:type="dxa"/>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液压油</w:t>
                  </w:r>
                </w:p>
              </w:tc>
              <w:tc>
                <w:tcPr>
                  <w:tcW w:w="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0.3</w:t>
                  </w:r>
                </w:p>
              </w:tc>
              <w:tc>
                <w:tcPr>
                  <w:tcW w:w="3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外购，桶装，25kg/桶，暂存于油品储存间，最大储存量为0.05t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733" w:type="dxa"/>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布袋</w:t>
                  </w:r>
                </w:p>
              </w:tc>
              <w:tc>
                <w:tcPr>
                  <w:tcW w:w="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0.5</w:t>
                  </w:r>
                </w:p>
              </w:tc>
              <w:tc>
                <w:tcPr>
                  <w:tcW w:w="3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用于更换脉冲布袋除尘器布袋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33" w:type="dxa"/>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抹布</w:t>
                  </w:r>
                </w:p>
              </w:tc>
              <w:tc>
                <w:tcPr>
                  <w:tcW w:w="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w:t>
                  </w:r>
                </w:p>
              </w:tc>
              <w:tc>
                <w:tcPr>
                  <w:tcW w:w="3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733" w:type="dxa"/>
                  <w:tcBorders>
                    <w:tl2br w:val="nil"/>
                    <w:tr2bl w:val="nil"/>
                  </w:tcBorders>
                  <w:noWrap w:val="0"/>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防冻剂</w:t>
                  </w:r>
                </w:p>
              </w:tc>
              <w:tc>
                <w:tcPr>
                  <w:tcW w:w="9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t/a</w:t>
                  </w:r>
                </w:p>
              </w:tc>
              <w:tc>
                <w:tcPr>
                  <w:tcW w:w="13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0.1</w:t>
                  </w:r>
                </w:p>
              </w:tc>
              <w:tc>
                <w:tcPr>
                  <w:tcW w:w="332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733" w:type="dxa"/>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新水</w:t>
                  </w:r>
                </w:p>
              </w:tc>
              <w:tc>
                <w:tcPr>
                  <w:tcW w:w="990" w:type="dxa"/>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m</w:t>
                  </w:r>
                  <w:r>
                    <w:rPr>
                      <w:rFonts w:hint="eastAsia" w:cs="Times New Roman"/>
                      <w:i w:val="0"/>
                      <w:iCs w:val="0"/>
                      <w:color w:val="auto"/>
                      <w:kern w:val="0"/>
                      <w:sz w:val="21"/>
                      <w:szCs w:val="21"/>
                      <w:highlight w:val="none"/>
                      <w:u w:val="none"/>
                      <w:vertAlign w:val="superscript"/>
                      <w:lang w:val="en-US" w:eastAsia="zh-CN" w:bidi="ar"/>
                    </w:rPr>
                    <w:t>3</w:t>
                  </w:r>
                  <w:r>
                    <w:rPr>
                      <w:rFonts w:hint="eastAsia" w:cs="Times New Roman"/>
                      <w:i w:val="0"/>
                      <w:iCs w:val="0"/>
                      <w:color w:val="auto"/>
                      <w:kern w:val="0"/>
                      <w:sz w:val="21"/>
                      <w:szCs w:val="21"/>
                      <w:highlight w:val="none"/>
                      <w:u w:val="none"/>
                      <w:lang w:val="en-US" w:eastAsia="zh-CN" w:bidi="ar"/>
                    </w:rPr>
                    <w:t>/a</w:t>
                  </w:r>
                </w:p>
              </w:tc>
              <w:tc>
                <w:tcPr>
                  <w:tcW w:w="1350" w:type="dxa"/>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2480</w:t>
                  </w:r>
                </w:p>
              </w:tc>
              <w:tc>
                <w:tcPr>
                  <w:tcW w:w="3320" w:type="dxa"/>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取自姚家庄供水井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33" w:type="dxa"/>
                  <w:vAlign w:val="center"/>
                </w:tcPr>
                <w:p>
                  <w:pPr>
                    <w:pStyle w:val="30"/>
                    <w:keepNext w:val="0"/>
                    <w:keepLines w:val="0"/>
                    <w:pageBreakBefore w:val="0"/>
                    <w:numPr>
                      <w:ilvl w:val="0"/>
                      <w:numId w:val="8"/>
                    </w:numPr>
                    <w:kinsoku/>
                    <w:wordWrap/>
                    <w:overflowPunct/>
                    <w:topLinePunct w:val="0"/>
                    <w:autoSpaceDE/>
                    <w:autoSpaceDN/>
                    <w:bidi w:val="0"/>
                    <w:adjustRightInd/>
                    <w:snapToGrid/>
                    <w:spacing w:before="0" w:after="0" w:line="240" w:lineRule="auto"/>
                    <w:ind w:left="0" w:leftChars="0" w:firstLine="0" w:firstLineChars="0"/>
                    <w:rPr>
                      <w:rFonts w:hint="default"/>
                      <w:color w:val="auto"/>
                      <w:sz w:val="21"/>
                      <w:szCs w:val="21"/>
                      <w:highlight w:val="none"/>
                    </w:rPr>
                  </w:pPr>
                </w:p>
              </w:tc>
              <w:tc>
                <w:tcPr>
                  <w:tcW w:w="1771" w:type="dxa"/>
                  <w:gridSpan w:val="2"/>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i w:val="0"/>
                      <w:iCs w:val="0"/>
                      <w:color w:val="auto"/>
                      <w:kern w:val="0"/>
                      <w:sz w:val="21"/>
                      <w:szCs w:val="21"/>
                      <w:highlight w:val="none"/>
                      <w:u w:val="none"/>
                      <w:lang w:val="en-US" w:eastAsia="zh-CN" w:bidi="ar"/>
                    </w:rPr>
                    <w:t>电</w:t>
                  </w:r>
                </w:p>
              </w:tc>
              <w:tc>
                <w:tcPr>
                  <w:tcW w:w="99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万kWh/a</w:t>
                  </w:r>
                </w:p>
              </w:tc>
              <w:tc>
                <w:tcPr>
                  <w:tcW w:w="1350" w:type="dxa"/>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20</w:t>
                  </w:r>
                </w:p>
              </w:tc>
              <w:tc>
                <w:tcPr>
                  <w:tcW w:w="3320" w:type="dxa"/>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取自本地电网</w:t>
                  </w:r>
                </w:p>
              </w:tc>
            </w:tr>
          </w:tbl>
          <w:p>
            <w:pPr>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textAlignment w:val="auto"/>
              <w:rPr>
                <w:rFonts w:hint="eastAsia" w:ascii="Times New Roman" w:eastAsia="宋体"/>
                <w:color w:val="auto"/>
                <w:sz w:val="24"/>
                <w:szCs w:val="24"/>
                <w:highlight w:val="none"/>
                <w:lang w:val="en-US" w:eastAsia="zh-CN"/>
              </w:rPr>
            </w:pPr>
            <w:r>
              <w:rPr>
                <w:rFonts w:hint="eastAsia" w:ascii="Times New Roman" w:eastAsia="宋体"/>
                <w:color w:val="auto"/>
                <w:sz w:val="24"/>
                <w:szCs w:val="24"/>
                <w:highlight w:val="none"/>
                <w:lang w:val="en-US" w:eastAsia="zh-CN"/>
              </w:rPr>
              <w:t>物料平衡</w:t>
            </w:r>
          </w:p>
          <w:p>
            <w:pPr>
              <w:bidi w:val="0"/>
              <w:rPr>
                <w:rFonts w:hint="eastAsia"/>
                <w:color w:val="auto"/>
                <w:highlight w:val="none"/>
                <w:lang w:val="en-US" w:eastAsia="zh-CN"/>
              </w:rPr>
            </w:pPr>
            <w:r>
              <w:rPr>
                <w:rFonts w:hint="eastAsia"/>
                <w:color w:val="auto"/>
                <w:highlight w:val="none"/>
                <w:lang w:val="en-US" w:eastAsia="zh-CN"/>
              </w:rPr>
              <w:t>本项目物料平衡表见表11，物料平衡图见图1。</w:t>
            </w:r>
          </w:p>
          <w:p>
            <w:pPr>
              <w:keepNext w:val="0"/>
              <w:keepLines w:val="0"/>
              <w:pageBreakBefore w:val="0"/>
              <w:widowControl w:val="0"/>
              <w:tabs>
                <w:tab w:val="left" w:pos="1180"/>
              </w:tabs>
              <w:kinsoku/>
              <w:wordWrap/>
              <w:overflowPunct/>
              <w:topLinePunct w:val="0"/>
              <w:autoSpaceDE/>
              <w:autoSpaceDN/>
              <w:bidi w:val="0"/>
              <w:adjustRightInd/>
              <w:snapToGrid/>
              <w:spacing w:line="420" w:lineRule="exact"/>
              <w:ind w:firstLine="0" w:firstLineChars="0"/>
              <w:jc w:val="center"/>
              <w:textAlignment w:val="auto"/>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11  本项目建筑垃圾处理生产线</w:t>
            </w:r>
            <w:r>
              <w:rPr>
                <w:b/>
                <w:color w:val="auto"/>
                <w:sz w:val="21"/>
                <w:szCs w:val="21"/>
                <w:highlight w:val="none"/>
              </w:rPr>
              <w:t>物料平衡表</w:t>
            </w:r>
          </w:p>
          <w:tbl>
            <w:tblPr>
              <w:tblStyle w:val="23"/>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97"/>
              <w:gridCol w:w="855"/>
              <w:gridCol w:w="740"/>
              <w:gridCol w:w="958"/>
              <w:gridCol w:w="1307"/>
              <w:gridCol w:w="975"/>
              <w:gridCol w:w="1050"/>
              <w:gridCol w:w="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0"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tLeast"/>
                    <w:ind w:left="-48" w:leftChars="-20" w:right="-48" w:rightChars="-20" w:firstLine="0" w:firstLineChars="0"/>
                    <w:textAlignment w:val="auto"/>
                    <w:rPr>
                      <w:rFonts w:hint="eastAsia"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序号</w:t>
                  </w:r>
                </w:p>
              </w:tc>
              <w:tc>
                <w:tcPr>
                  <w:tcW w:w="3450" w:type="dxa"/>
                  <w:gridSpan w:val="4"/>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tLeast"/>
                    <w:ind w:left="-48" w:leftChars="-20" w:right="-48" w:rightChars="-20" w:firstLine="0" w:firstLineChars="0"/>
                    <w:textAlignment w:val="auto"/>
                    <w:rPr>
                      <w:b w:val="0"/>
                      <w:bCs w:val="0"/>
                      <w:color w:val="auto"/>
                      <w:sz w:val="21"/>
                      <w:szCs w:val="21"/>
                      <w:highlight w:val="none"/>
                    </w:rPr>
                  </w:pPr>
                  <w:r>
                    <w:rPr>
                      <w:b w:val="0"/>
                      <w:bCs w:val="0"/>
                      <w:color w:val="auto"/>
                      <w:sz w:val="21"/>
                      <w:szCs w:val="21"/>
                      <w:highlight w:val="none"/>
                    </w:rPr>
                    <w:t>投入</w:t>
                  </w:r>
                </w:p>
              </w:tc>
              <w:tc>
                <w:tcPr>
                  <w:tcW w:w="4304" w:type="dxa"/>
                  <w:gridSpan w:val="4"/>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tLeast"/>
                    <w:ind w:left="-48" w:leftChars="-20" w:right="-48" w:rightChars="-20" w:firstLine="0" w:firstLineChars="0"/>
                    <w:textAlignment w:val="auto"/>
                    <w:rPr>
                      <w:b w:val="0"/>
                      <w:bCs w:val="0"/>
                      <w:color w:val="auto"/>
                      <w:sz w:val="21"/>
                      <w:szCs w:val="21"/>
                      <w:highlight w:val="none"/>
                    </w:rPr>
                  </w:pPr>
                  <w:r>
                    <w:rPr>
                      <w:b w:val="0"/>
                      <w:bCs w:val="0"/>
                      <w:color w:val="auto"/>
                      <w:sz w:val="21"/>
                      <w:szCs w:val="21"/>
                      <w:highlight w:val="none"/>
                    </w:rPr>
                    <w:t>产出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10"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p>
              </w:tc>
              <w:tc>
                <w:tcPr>
                  <w:tcW w:w="897"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名称</w:t>
                  </w:r>
                </w:p>
              </w:tc>
              <w:tc>
                <w:tcPr>
                  <w:tcW w:w="2553" w:type="dxa"/>
                  <w:gridSpan w:val="3"/>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投入量（t/a）</w:t>
                  </w:r>
                </w:p>
              </w:tc>
              <w:tc>
                <w:tcPr>
                  <w:tcW w:w="1307"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r>
                    <w:rPr>
                      <w:color w:val="auto"/>
                      <w:sz w:val="21"/>
                      <w:szCs w:val="21"/>
                      <w:highlight w:val="none"/>
                    </w:rPr>
                    <w:t>名称</w:t>
                  </w:r>
                </w:p>
              </w:tc>
              <w:tc>
                <w:tcPr>
                  <w:tcW w:w="2997" w:type="dxa"/>
                  <w:gridSpan w:val="3"/>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r>
                    <w:rPr>
                      <w:color w:val="auto"/>
                      <w:sz w:val="21"/>
                      <w:szCs w:val="21"/>
                      <w:highlight w:val="none"/>
                    </w:rPr>
                    <w:t>产生量（t/a）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10"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highlight w:val="none"/>
                    </w:rPr>
                  </w:pPr>
                </w:p>
              </w:tc>
              <w:tc>
                <w:tcPr>
                  <w:tcW w:w="897"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highlight w:val="none"/>
                    </w:rPr>
                  </w:pP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湿重</w:t>
                  </w: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干重</w:t>
                  </w: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w:t>
                  </w:r>
                </w:p>
              </w:tc>
              <w:tc>
                <w:tcPr>
                  <w:tcW w:w="1307"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r>
                    <w:rPr>
                      <w:rFonts w:hint="eastAsia"/>
                      <w:color w:val="auto"/>
                      <w:sz w:val="21"/>
                      <w:szCs w:val="21"/>
                      <w:highlight w:val="none"/>
                      <w:lang w:val="en-US" w:eastAsia="zh-CN"/>
                    </w:rPr>
                    <w:t>湿重</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r>
                    <w:rPr>
                      <w:rFonts w:hint="eastAsia" w:cs="Times New Roman"/>
                      <w:color w:val="auto"/>
                      <w:kern w:val="2"/>
                      <w:sz w:val="21"/>
                      <w:szCs w:val="21"/>
                      <w:highlight w:val="none"/>
                      <w:lang w:val="en-US" w:eastAsia="zh-CN" w:bidi="ar-SA"/>
                    </w:rPr>
                    <w:t>干重</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建筑垃圾（建筑混凝土块等）</w:t>
                  </w: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40000</w:t>
                  </w: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39200</w:t>
                  </w: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800</w:t>
                  </w: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石碴</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29574.219</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28982.735</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591.484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建筑垃圾（建筑渣土等）</w:t>
                  </w: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10000</w:t>
                  </w: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9000</w:t>
                  </w: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1000</w:t>
                  </w: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再生细骨料</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20867.445</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18365.724</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2505.521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eastAsia="宋体"/>
                      <w:color w:val="auto"/>
                      <w:sz w:val="21"/>
                      <w:szCs w:val="21"/>
                      <w:highlight w:val="none"/>
                      <w:lang w:val="en-US" w:eastAsia="zh-CN"/>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新水</w:t>
                  </w: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1380.047</w:t>
                  </w: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1380.047</w:t>
                  </w: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颗粒物（含除尘灰、有组织排放颗粒物、无组织排放颗粒物、车间沉降颗粒物）</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393.383</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381.791</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eastAsia="宋体"/>
                      <w:color w:val="auto"/>
                      <w:sz w:val="21"/>
                      <w:szCs w:val="21"/>
                      <w:highlight w:val="none"/>
                      <w:lang w:val="en-US" w:eastAsia="zh-CN"/>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废钢筋</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color w:val="auto"/>
                      <w:sz w:val="21"/>
                      <w:szCs w:val="21"/>
                      <w:highlight w:val="none"/>
                      <w:lang w:val="en-US" w:eastAsia="zh-CN"/>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color w:val="auto"/>
                      <w:sz w:val="21"/>
                      <w:szCs w:val="21"/>
                      <w:highlight w:val="none"/>
                      <w:lang w:val="en-US" w:eastAsia="zh-CN"/>
                    </w:rPr>
                  </w:pP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废料</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4.75</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10" w:type="dxa"/>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p>
              </w:tc>
              <w:tc>
                <w:tcPr>
                  <w:tcW w:w="89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p>
              </w:tc>
              <w:tc>
                <w:tcPr>
                  <w:tcW w:w="85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p>
              </w:tc>
              <w:tc>
                <w:tcPr>
                  <w:tcW w:w="1307"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污泥</w:t>
                  </w:r>
                </w:p>
              </w:tc>
              <w:tc>
                <w:tcPr>
                  <w:tcW w:w="975"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500</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425</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0" w:type="dxa"/>
                  <w:vMerge w:val="restart"/>
                  <w:tcBorders>
                    <w:tl2br w:val="nil"/>
                    <w:tr2bl w:val="nil"/>
                  </w:tcBorders>
                  <w:noWrap w:val="0"/>
                  <w:vAlign w:val="center"/>
                </w:tcPr>
                <w:p>
                  <w:pPr>
                    <w:pStyle w:val="53"/>
                    <w:keepNext w:val="0"/>
                    <w:keepLines w:val="0"/>
                    <w:pageBreakBefore w:val="0"/>
                    <w:numPr>
                      <w:ilvl w:val="0"/>
                      <w:numId w:val="10"/>
                    </w:numPr>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p>
              </w:tc>
              <w:tc>
                <w:tcPr>
                  <w:tcW w:w="897"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highlight w:val="none"/>
                    </w:rPr>
                    <w:t>总计</w:t>
                  </w:r>
                </w:p>
              </w:tc>
              <w:tc>
                <w:tcPr>
                  <w:tcW w:w="855"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51380.047</w:t>
                  </w:r>
                </w:p>
              </w:tc>
              <w:tc>
                <w:tcPr>
                  <w:tcW w:w="74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48200</w:t>
                  </w:r>
                </w:p>
              </w:tc>
              <w:tc>
                <w:tcPr>
                  <w:tcW w:w="958"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3180.047</w:t>
                  </w:r>
                </w:p>
              </w:tc>
              <w:tc>
                <w:tcPr>
                  <w:tcW w:w="1307"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sz w:val="21"/>
                      <w:szCs w:val="21"/>
                      <w:highlight w:val="none"/>
                    </w:rPr>
                  </w:pPr>
                  <w:r>
                    <w:rPr>
                      <w:color w:val="auto"/>
                      <w:sz w:val="21"/>
                      <w:szCs w:val="21"/>
                      <w:highlight w:val="none"/>
                    </w:rPr>
                    <w:t>总计</w:t>
                  </w:r>
                </w:p>
              </w:tc>
              <w:tc>
                <w:tcPr>
                  <w:tcW w:w="975" w:type="dxa"/>
                  <w:vMerge w:val="restart"/>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51380.047</w:t>
                  </w:r>
                </w:p>
              </w:tc>
              <w:tc>
                <w:tcPr>
                  <w:tcW w:w="1050"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48200</w:t>
                  </w:r>
                </w:p>
              </w:tc>
              <w:tc>
                <w:tcPr>
                  <w:tcW w:w="972" w:type="dxa"/>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3180.047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10"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highlight w:val="none"/>
                    </w:rPr>
                  </w:pPr>
                </w:p>
              </w:tc>
              <w:tc>
                <w:tcPr>
                  <w:tcW w:w="897"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highlight w:val="none"/>
                    </w:rPr>
                  </w:pPr>
                </w:p>
              </w:tc>
              <w:tc>
                <w:tcPr>
                  <w:tcW w:w="855"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color w:val="auto"/>
                      <w:highlight w:val="none"/>
                    </w:rPr>
                  </w:pPr>
                </w:p>
              </w:tc>
              <w:tc>
                <w:tcPr>
                  <w:tcW w:w="1698" w:type="dxa"/>
                  <w:gridSpan w:val="2"/>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51380.047</w:t>
                  </w:r>
                </w:p>
              </w:tc>
              <w:tc>
                <w:tcPr>
                  <w:tcW w:w="1307"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p>
              </w:tc>
              <w:tc>
                <w:tcPr>
                  <w:tcW w:w="975" w:type="dxa"/>
                  <w:vMerge w:val="continue"/>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p>
              </w:tc>
              <w:tc>
                <w:tcPr>
                  <w:tcW w:w="2022" w:type="dxa"/>
                  <w:gridSpan w:val="2"/>
                  <w:tcBorders>
                    <w:tl2br w:val="nil"/>
                    <w:tr2bl w:val="nil"/>
                  </w:tcBorders>
                  <w:noWrap w:val="0"/>
                  <w:vAlign w:val="center"/>
                </w:tcPr>
                <w:p>
                  <w:pPr>
                    <w:pStyle w:val="53"/>
                    <w:keepNext w:val="0"/>
                    <w:keepLines w:val="0"/>
                    <w:pageBreakBefore w:val="0"/>
                    <w:kinsoku/>
                    <w:wordWrap/>
                    <w:overflowPunct/>
                    <w:topLinePunct w:val="0"/>
                    <w:autoSpaceDE/>
                    <w:autoSpaceDN/>
                    <w:bidi w:val="0"/>
                    <w:adjustRightInd/>
                    <w:snapToGrid/>
                    <w:spacing w:line="240" w:lineRule="auto"/>
                    <w:ind w:left="-48" w:leftChars="-20" w:right="-48" w:rightChars="-2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51380.047</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eastAsia="宋体"/>
                <w:color w:val="auto"/>
                <w:sz w:val="24"/>
                <w:szCs w:val="24"/>
                <w:highlight w:val="none"/>
                <w:lang w:val="en-US" w:eastAsia="zh-CN"/>
              </w:rPr>
            </w:pPr>
            <w:r>
              <w:rPr>
                <w:color w:val="auto"/>
                <w:highlight w:val="none"/>
              </w:rPr>
              <w:drawing>
                <wp:inline distT="0" distB="0" distL="114300" distR="114300">
                  <wp:extent cx="5182870" cy="2396490"/>
                  <wp:effectExtent l="0" t="0" r="17780" b="381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2"/>
                          <a:stretch>
                            <a:fillRect/>
                          </a:stretch>
                        </pic:blipFill>
                        <pic:spPr>
                          <a:xfrm>
                            <a:off x="0" y="0"/>
                            <a:ext cx="5182870" cy="2396490"/>
                          </a:xfrm>
                          <a:prstGeom prst="rect">
                            <a:avLst/>
                          </a:prstGeom>
                          <a:noFill/>
                          <a:ln>
                            <a:noFill/>
                          </a:ln>
                        </pic:spPr>
                      </pic:pic>
                    </a:graphicData>
                  </a:graphic>
                </wp:inline>
              </w:drawing>
            </w:r>
          </w:p>
          <w:p>
            <w:pPr>
              <w:pStyle w:val="29"/>
              <w:bidi w:val="0"/>
              <w:rPr>
                <w:rFonts w:hint="eastAsia"/>
                <w:color w:val="auto"/>
                <w:highlight w:val="none"/>
                <w:lang w:val="en-US" w:eastAsia="zh-CN"/>
              </w:rPr>
            </w:pPr>
            <w:r>
              <w:rPr>
                <w:rFonts w:hint="eastAsia"/>
                <w:color w:val="auto"/>
                <w:highlight w:val="none"/>
                <w:lang w:val="en-US" w:eastAsia="zh-CN"/>
              </w:rPr>
              <w:t>图1  项目物料平衡图  单位：t/a</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sz w:val="24"/>
                <w:szCs w:val="24"/>
                <w:highlight w:val="none"/>
              </w:rPr>
            </w:pPr>
            <w:r>
              <w:rPr>
                <w:rFonts w:hint="eastAsia" w:ascii="Times New Roman" w:eastAsia="宋体"/>
                <w:color w:val="auto"/>
                <w:sz w:val="24"/>
                <w:szCs w:val="24"/>
                <w:highlight w:val="none"/>
                <w:lang w:val="en-US" w:eastAsia="zh-CN"/>
              </w:rPr>
              <w:t>10、</w:t>
            </w:r>
            <w:r>
              <w:rPr>
                <w:rFonts w:hint="default"/>
                <w:color w:val="auto"/>
                <w:sz w:val="24"/>
                <w:szCs w:val="24"/>
                <w:highlight w:val="none"/>
              </w:rPr>
              <w:t>主要生产设备</w:t>
            </w:r>
            <w:r>
              <w:rPr>
                <w:rFonts w:hint="eastAsia"/>
                <w:color w:val="auto"/>
                <w:sz w:val="24"/>
                <w:szCs w:val="24"/>
                <w:highlight w:val="none"/>
                <w:lang w:eastAsia="zh-CN"/>
              </w:rPr>
              <w:t>、</w:t>
            </w:r>
            <w:r>
              <w:rPr>
                <w:rFonts w:hint="eastAsia"/>
                <w:color w:val="auto"/>
                <w:sz w:val="24"/>
                <w:szCs w:val="24"/>
                <w:highlight w:val="none"/>
                <w:lang w:val="en-US" w:eastAsia="zh-CN"/>
              </w:rPr>
              <w:t>设施</w:t>
            </w:r>
            <w:r>
              <w:rPr>
                <w:rFonts w:hint="default"/>
                <w:color w:val="auto"/>
                <w:sz w:val="24"/>
                <w:szCs w:val="24"/>
                <w:highlight w:val="none"/>
              </w:rPr>
              <w:t>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auto"/>
                <w:sz w:val="21"/>
                <w:szCs w:val="21"/>
                <w:highlight w:val="none"/>
                <w:lang w:val="en-US" w:eastAsia="zh-CN"/>
              </w:rPr>
            </w:pPr>
            <w:r>
              <w:rPr>
                <w:rFonts w:hint="eastAsia" w:asci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12</w:t>
            </w:r>
            <w:r>
              <w:rPr>
                <w:rFonts w:hint="eastAsia" w:ascii="Times New Roman" w:eastAsia="宋体"/>
                <w:b/>
                <w:bCs/>
                <w:color w:val="auto"/>
                <w:sz w:val="21"/>
                <w:szCs w:val="21"/>
                <w:highlight w:val="none"/>
                <w:lang w:val="en-US" w:eastAsia="zh-CN"/>
              </w:rPr>
              <w:t xml:space="preserve">  主要生产设备</w:t>
            </w:r>
            <w:r>
              <w:rPr>
                <w:rFonts w:hint="eastAsia"/>
                <w:b/>
                <w:bCs/>
                <w:color w:val="auto"/>
                <w:sz w:val="21"/>
                <w:szCs w:val="21"/>
                <w:highlight w:val="none"/>
                <w:lang w:val="en-US" w:eastAsia="zh-CN"/>
              </w:rPr>
              <w:t>、设施</w:t>
            </w:r>
            <w:r>
              <w:rPr>
                <w:rFonts w:hint="eastAsia" w:ascii="Times New Roman" w:eastAsia="宋体"/>
                <w:b/>
                <w:bCs/>
                <w:color w:val="auto"/>
                <w:sz w:val="21"/>
                <w:szCs w:val="21"/>
                <w:highlight w:val="none"/>
                <w:lang w:val="en-US" w:eastAsia="zh-CN"/>
              </w:rPr>
              <w:t>一览表</w:t>
            </w:r>
          </w:p>
          <w:tbl>
            <w:tblPr>
              <w:tblStyle w:val="24"/>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
              <w:gridCol w:w="798"/>
              <w:gridCol w:w="720"/>
              <w:gridCol w:w="1253"/>
              <w:gridCol w:w="1110"/>
              <w:gridCol w:w="1215"/>
              <w:gridCol w:w="945"/>
              <w:gridCol w:w="16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1"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序号</w:t>
                  </w:r>
                </w:p>
              </w:tc>
              <w:tc>
                <w:tcPr>
                  <w:tcW w:w="798"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eastAsia="zh-CN"/>
                    </w:rPr>
                    <w:t>主要</w:t>
                  </w:r>
                  <w:r>
                    <w:rPr>
                      <w:rFonts w:hint="eastAsia" w:ascii="Times New Roman" w:hAnsi="Times New Roman" w:cs="Times New Roman"/>
                      <w:bCs/>
                      <w:color w:val="auto"/>
                      <w:sz w:val="21"/>
                      <w:szCs w:val="21"/>
                      <w:highlight w:val="none"/>
                      <w:lang w:val="en-US" w:eastAsia="zh-CN"/>
                    </w:rPr>
                    <w:t>生产单元</w:t>
                  </w:r>
                </w:p>
              </w:tc>
              <w:tc>
                <w:tcPr>
                  <w:tcW w:w="72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主要工艺</w:t>
                  </w: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名称</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规格型号</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设备参数</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ascii="Times New Roman" w:hAnsi="Times New Roman" w:cs="Times New Roman"/>
                      <w:bCs/>
                      <w:color w:val="auto"/>
                      <w:sz w:val="21"/>
                      <w:szCs w:val="21"/>
                      <w:highlight w:val="none"/>
                    </w:rPr>
                    <w:t>数量</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台/套</w:t>
                  </w:r>
                  <w:r>
                    <w:rPr>
                      <w:rFonts w:hint="eastAsia" w:ascii="Times New Roman" w:hAnsi="Times New Roman" w:cs="Times New Roman"/>
                      <w:bCs/>
                      <w:color w:val="auto"/>
                      <w:sz w:val="21"/>
                      <w:szCs w:val="21"/>
                      <w:highlight w:val="none"/>
                      <w:lang w:eastAsia="zh-CN"/>
                    </w:rPr>
                    <w:t>）</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restart"/>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主体工程</w:t>
                  </w:r>
                </w:p>
              </w:tc>
              <w:tc>
                <w:tcPr>
                  <w:tcW w:w="720" w:type="dxa"/>
                  <w:vMerge w:val="restart"/>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建筑垃圾处理生产线</w:t>
                  </w: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铲车</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国四及以上排放标准或新能源</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上料斗</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3.5m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3.5m</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振动给料机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颚式破碎机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PE500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750</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台时能力：25</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60t/h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生产能力为15万t/a</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bidi="ar-SA"/>
                    </w:rPr>
                    <w:t>36万t/a，可满足生产需求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振动筛分机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生产能力为6万t/a</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bidi="ar-SA"/>
                    </w:rPr>
                    <w:t>12万t/a，可满足生产需求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锤式破碎机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PCH-040</w:t>
                  </w:r>
                  <w:r>
                    <w:rPr>
                      <w:rFonts w:hint="eastAsia" w:ascii="Times New Roman" w:hAnsi="Times New Roman" w:cs="Times New Roman"/>
                      <w:bCs/>
                      <w:color w:val="auto"/>
                      <w:sz w:val="21"/>
                      <w:szCs w:val="21"/>
                      <w:highlight w:val="none"/>
                      <w:lang w:val="en-US" w:eastAsia="zh-CN"/>
                    </w:rPr>
                    <w:t>4</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台时能力：16</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25t/h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生产能力为9.6万t/a</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bidi="ar-SA"/>
                    </w:rPr>
                    <w:t>15万t/a，可满足生产需求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冲击式破碎机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VSI-7611</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台时能力：120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180t/h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生产能力为72万t/a</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bidi="ar-SA"/>
                    </w:rPr>
                    <w:t>108万t/a，可满足生产需求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磁滑轮</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功率：4kW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螺旋洗砂机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10m</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功率：55kW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擦洗机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1.5m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2m</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功率：55kW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2</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脱泥桶</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功率：35kW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筛分机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8</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脱水筛</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台时能力：10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50t/h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7</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渣浆泵</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清水泵</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皮带输送机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B800</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功率：5.5kW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16</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restart"/>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辅助工程</w:t>
                  </w:r>
                </w:p>
              </w:tc>
              <w:tc>
                <w:tcPr>
                  <w:tcW w:w="720" w:type="dxa"/>
                  <w:vMerge w:val="restart"/>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废气处理设施</w:t>
                  </w: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脉冲布袋除尘器</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风机风量：55000m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处理生产废气，配套空压机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湿扫车</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国四及以上排放标准或新能源</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洒水车</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国四及以上排放标准或新能源</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洗车平台</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长6m，高2.5m</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雾炮</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喷淋抑尘装置</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restart"/>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废水治理设施</w:t>
                  </w: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一级沉淀池</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color w:val="auto"/>
                      <w:kern w:val="2"/>
                      <w:sz w:val="21"/>
                      <w:szCs w:val="21"/>
                      <w:highlight w:val="none"/>
                      <w:vertAlign w:val="baseline"/>
                      <w:lang w:val="en-US" w:eastAsia="zh-CN" w:bidi="ar-SA"/>
                    </w:rPr>
                    <w:t>4</w:t>
                  </w:r>
                  <w:r>
                    <w:rPr>
                      <w:rFonts w:hint="default" w:ascii="Times New Roman" w:hAnsi="Times New Roman" w:cs="Times New Roman"/>
                      <w:color w:val="auto"/>
                      <w:kern w:val="2"/>
                      <w:sz w:val="21"/>
                      <w:szCs w:val="21"/>
                      <w:highlight w:val="none"/>
                      <w:vertAlign w:val="baseline"/>
                      <w:lang w:val="en-US" w:eastAsia="zh-CN" w:bidi="ar-SA"/>
                    </w:rPr>
                    <w:t>m×</w:t>
                  </w:r>
                  <w:r>
                    <w:rPr>
                      <w:rFonts w:hint="eastAsia" w:ascii="Times New Roman" w:hAnsi="Times New Roman" w:cs="Times New Roman"/>
                      <w:color w:val="auto"/>
                      <w:kern w:val="2"/>
                      <w:sz w:val="21"/>
                      <w:szCs w:val="21"/>
                      <w:highlight w:val="none"/>
                      <w:vertAlign w:val="baseline"/>
                      <w:lang w:val="en-US" w:eastAsia="zh-CN" w:bidi="ar-SA"/>
                    </w:rPr>
                    <w:t>18</w:t>
                  </w:r>
                  <w:r>
                    <w:rPr>
                      <w:rFonts w:hint="default" w:ascii="Times New Roman" w:hAnsi="Times New Roman" w:cs="Times New Roman"/>
                      <w:color w:val="auto"/>
                      <w:kern w:val="2"/>
                      <w:sz w:val="21"/>
                      <w:szCs w:val="21"/>
                      <w:highlight w:val="none"/>
                      <w:vertAlign w:val="baseline"/>
                      <w:lang w:val="en-US" w:eastAsia="zh-CN" w:bidi="ar-SA"/>
                    </w:rPr>
                    <w:t>m×</w:t>
                  </w:r>
                  <w:r>
                    <w:rPr>
                      <w:rFonts w:hint="eastAsia" w:ascii="Times New Roman" w:hAnsi="Times New Roman" w:cs="Times New Roman"/>
                      <w:color w:val="auto"/>
                      <w:kern w:val="2"/>
                      <w:sz w:val="21"/>
                      <w:szCs w:val="21"/>
                      <w:highlight w:val="none"/>
                      <w:vertAlign w:val="baseline"/>
                      <w:lang w:val="en-US" w:eastAsia="zh-CN" w:bidi="ar-SA"/>
                    </w:rPr>
                    <w:t>6</w:t>
                  </w:r>
                  <w:r>
                    <w:rPr>
                      <w:rFonts w:hint="default" w:ascii="Times New Roman" w:hAnsi="Times New Roman" w:cs="Times New Roman"/>
                      <w:color w:val="auto"/>
                      <w:kern w:val="2"/>
                      <w:sz w:val="21"/>
                      <w:szCs w:val="21"/>
                      <w:highlight w:val="none"/>
                      <w:vertAlign w:val="baseline"/>
                      <w:lang w:val="en-US" w:eastAsia="zh-CN" w:bidi="ar-SA"/>
                    </w:rPr>
                    <w:t>m</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沉淀澄清池</w:t>
                  </w:r>
                </w:p>
              </w:tc>
              <w:tc>
                <w:tcPr>
                  <w:tcW w:w="2325" w:type="dxa"/>
                  <w:gridSpan w:val="2"/>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color w:val="auto"/>
                      <w:kern w:val="2"/>
                      <w:sz w:val="21"/>
                      <w:szCs w:val="21"/>
                      <w:highlight w:val="none"/>
                      <w:vertAlign w:val="baseline"/>
                      <w:lang w:val="en-US" w:eastAsia="zh-CN" w:bidi="ar-SA"/>
                    </w:rPr>
                    <w:t>48</w:t>
                  </w:r>
                  <w:r>
                    <w:rPr>
                      <w:rFonts w:hint="default" w:ascii="Times New Roman" w:hAnsi="Times New Roman" w:cs="Times New Roman"/>
                      <w:color w:val="auto"/>
                      <w:kern w:val="2"/>
                      <w:sz w:val="21"/>
                      <w:szCs w:val="21"/>
                      <w:highlight w:val="none"/>
                      <w:vertAlign w:val="baseline"/>
                      <w:lang w:val="en-US" w:eastAsia="zh-CN" w:bidi="ar-SA"/>
                    </w:rPr>
                    <w:t>m×</w:t>
                  </w:r>
                  <w:r>
                    <w:rPr>
                      <w:rFonts w:hint="eastAsia" w:ascii="Times New Roman" w:hAnsi="Times New Roman" w:cs="Times New Roman"/>
                      <w:color w:val="auto"/>
                      <w:kern w:val="2"/>
                      <w:sz w:val="21"/>
                      <w:szCs w:val="21"/>
                      <w:highlight w:val="none"/>
                      <w:vertAlign w:val="baseline"/>
                      <w:lang w:val="en-US" w:eastAsia="zh-CN" w:bidi="ar-SA"/>
                    </w:rPr>
                    <w:t>20</w:t>
                  </w:r>
                  <w:r>
                    <w:rPr>
                      <w:rFonts w:hint="default" w:ascii="Times New Roman" w:hAnsi="Times New Roman" w:cs="Times New Roman"/>
                      <w:color w:val="auto"/>
                      <w:kern w:val="2"/>
                      <w:sz w:val="21"/>
                      <w:szCs w:val="21"/>
                      <w:highlight w:val="none"/>
                      <w:vertAlign w:val="baseline"/>
                      <w:lang w:val="en-US" w:eastAsia="zh-CN" w:bidi="ar-SA"/>
                    </w:rPr>
                    <w:t>m×</w:t>
                  </w:r>
                  <w:r>
                    <w:rPr>
                      <w:rFonts w:hint="eastAsia" w:ascii="Times New Roman" w:hAnsi="Times New Roman" w:cs="Times New Roman"/>
                      <w:color w:val="auto"/>
                      <w:kern w:val="2"/>
                      <w:sz w:val="21"/>
                      <w:szCs w:val="21"/>
                      <w:highlight w:val="none"/>
                      <w:vertAlign w:val="baseline"/>
                      <w:lang w:val="en-US" w:eastAsia="zh-CN" w:bidi="ar-SA"/>
                    </w:rPr>
                    <w:t>6</w:t>
                  </w:r>
                  <w:r>
                    <w:rPr>
                      <w:rFonts w:hint="default" w:ascii="Times New Roman" w:hAnsi="Times New Roman" w:cs="Times New Roman"/>
                      <w:color w:val="auto"/>
                      <w:kern w:val="2"/>
                      <w:sz w:val="21"/>
                      <w:szCs w:val="21"/>
                      <w:highlight w:val="none"/>
                      <w:vertAlign w:val="baseline"/>
                      <w:lang w:val="en-US" w:eastAsia="zh-CN" w:bidi="ar-SA"/>
                    </w:rPr>
                    <w:t>m</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41" w:type="dxa"/>
                  <w:tcBorders>
                    <w:tl2br w:val="nil"/>
                    <w:tr2bl w:val="nil"/>
                  </w:tcBorders>
                  <w:noWrap w:val="0"/>
                  <w:vAlign w:val="center"/>
                </w:tcPr>
                <w:p>
                  <w:pPr>
                    <w:pStyle w:val="43"/>
                    <w:keepNext w:val="0"/>
                    <w:keepLines w:val="0"/>
                    <w:pageBreakBefore w:val="0"/>
                    <w:widowControl w:val="0"/>
                    <w:numPr>
                      <w:ilvl w:val="0"/>
                      <w:numId w:val="11"/>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98"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720" w:type="dxa"/>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p>
              </w:tc>
              <w:tc>
                <w:tcPr>
                  <w:tcW w:w="1253"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板框压滤机</w:t>
                  </w:r>
                </w:p>
              </w:tc>
              <w:tc>
                <w:tcPr>
                  <w:tcW w:w="1110"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c>
                <w:tcPr>
                  <w:tcW w:w="121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功率：50kW</w:t>
                  </w:r>
                </w:p>
              </w:tc>
              <w:tc>
                <w:tcPr>
                  <w:tcW w:w="945"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1</w:t>
                  </w:r>
                </w:p>
              </w:tc>
              <w:tc>
                <w:tcPr>
                  <w:tcW w:w="1682" w:type="dxa"/>
                  <w:tcBorders>
                    <w:tl2br w:val="nil"/>
                    <w:tr2bl w:val="nil"/>
                  </w:tcBorders>
                  <w:noWrap w:val="0"/>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w:t>
                  </w:r>
                </w:p>
              </w:tc>
            </w:tr>
          </w:tbl>
          <w:p>
            <w:pPr>
              <w:bidi w:val="0"/>
              <w:rPr>
                <w:rFonts w:hint="default"/>
                <w:color w:val="auto"/>
                <w:highlight w:val="none"/>
              </w:rPr>
            </w:pPr>
            <w:r>
              <w:rPr>
                <w:rFonts w:hint="eastAsia"/>
                <w:color w:val="auto"/>
                <w:highlight w:val="none"/>
                <w:lang w:val="en-US" w:eastAsia="zh-CN"/>
              </w:rPr>
              <w:t>11、</w:t>
            </w:r>
            <w:r>
              <w:rPr>
                <w:rFonts w:hint="default"/>
                <w:color w:val="auto"/>
                <w:highlight w:val="none"/>
              </w:rPr>
              <w:t xml:space="preserve">给排水及采暖 </w:t>
            </w:r>
          </w:p>
          <w:p>
            <w:pPr>
              <w:bidi w:val="0"/>
              <w:rPr>
                <w:rFonts w:hint="default"/>
                <w:color w:val="auto"/>
                <w:highlight w:val="none"/>
                <w:lang w:val="en-US" w:eastAsia="zh-CN"/>
              </w:rPr>
            </w:pPr>
            <w:r>
              <w:rPr>
                <w:rFonts w:hint="eastAsia"/>
                <w:color w:val="auto"/>
                <w:highlight w:val="none"/>
                <w:lang w:val="en-US" w:eastAsia="zh-CN"/>
              </w:rPr>
              <w:t>给排水</w:t>
            </w:r>
            <w:r>
              <w:rPr>
                <w:rFonts w:hint="default"/>
                <w:color w:val="auto"/>
                <w:highlight w:val="none"/>
              </w:rPr>
              <w:t>：本项目</w:t>
            </w:r>
            <w:r>
              <w:rPr>
                <w:rFonts w:hint="eastAsia"/>
                <w:color w:val="auto"/>
                <w:highlight w:val="none"/>
                <w:lang w:val="en-US" w:eastAsia="zh-CN"/>
              </w:rPr>
              <w:t>用水主要为生产用水（筛分、水洗）、洗车平台用水、喷淋系统及雾炮抑尘用水和职工生活用水</w:t>
            </w:r>
            <w:r>
              <w:rPr>
                <w:rFonts w:hint="eastAsia"/>
                <w:color w:val="auto"/>
                <w:sz w:val="24"/>
                <w:szCs w:val="24"/>
                <w:highlight w:val="none"/>
                <w:lang w:val="en-US" w:eastAsia="zh-CN"/>
              </w:rPr>
              <w:t>。</w:t>
            </w:r>
            <w:r>
              <w:rPr>
                <w:rFonts w:hint="eastAsia"/>
                <w:color w:val="auto"/>
                <w:highlight w:val="none"/>
                <w:lang w:val="en-US" w:eastAsia="zh-CN"/>
              </w:rPr>
              <w:t>废水主要为生产废水（筛分废水、脱泥废水、脱水废水、再生细骨料堆存废水）、洗车废水、职工生活污水。</w:t>
            </w:r>
          </w:p>
          <w:p>
            <w:pPr>
              <w:numPr>
                <w:ilvl w:val="0"/>
                <w:numId w:val="12"/>
              </w:numPr>
              <w:bidi w:val="0"/>
              <w:rPr>
                <w:rFonts w:hint="eastAsia"/>
                <w:color w:val="auto"/>
                <w:highlight w:val="none"/>
                <w:lang w:val="en-US" w:eastAsia="zh-CN"/>
              </w:rPr>
            </w:pPr>
            <w:r>
              <w:rPr>
                <w:rFonts w:hint="eastAsia"/>
                <w:color w:val="auto"/>
                <w:highlight w:val="none"/>
                <w:lang w:val="en-US" w:eastAsia="zh-CN"/>
              </w:rPr>
              <w:t>生产过程</w:t>
            </w:r>
          </w:p>
          <w:p>
            <w:pPr>
              <w:bidi w:val="0"/>
              <w:rPr>
                <w:rFonts w:hint="eastAsia"/>
                <w:color w:val="auto"/>
                <w:highlight w:val="none"/>
                <w:lang w:val="en-US" w:eastAsia="zh-CN"/>
              </w:rPr>
            </w:pPr>
            <w:r>
              <w:rPr>
                <w:rFonts w:hint="eastAsia"/>
                <w:color w:val="auto"/>
                <w:highlight w:val="none"/>
                <w:lang w:val="en-US" w:eastAsia="zh-CN"/>
              </w:rPr>
              <w:t>本项目生产过程用水主要为筛分用水和水洗用水，根据建设单位提供资料，筛分、水洗过程用水量为320m</w:t>
            </w:r>
            <w:r>
              <w:rPr>
                <w:rFonts w:hint="eastAsia"/>
                <w:color w:val="auto"/>
                <w:highlight w:val="none"/>
                <w:vertAlign w:val="superscript"/>
                <w:lang w:val="en-US" w:eastAsia="zh-CN"/>
              </w:rPr>
              <w:t>3</w:t>
            </w:r>
            <w:r>
              <w:rPr>
                <w:rFonts w:hint="eastAsia"/>
                <w:color w:val="auto"/>
                <w:highlight w:val="none"/>
                <w:lang w:val="en-US" w:eastAsia="zh-CN"/>
              </w:rPr>
              <w:t>/d（8万m</w:t>
            </w:r>
            <w:r>
              <w:rPr>
                <w:rFonts w:hint="eastAsia"/>
                <w:color w:val="auto"/>
                <w:highlight w:val="none"/>
                <w:vertAlign w:val="superscript"/>
                <w:lang w:val="en-US" w:eastAsia="zh-CN"/>
              </w:rPr>
              <w:t>3</w:t>
            </w:r>
            <w:r>
              <w:rPr>
                <w:rFonts w:hint="eastAsia"/>
                <w:color w:val="auto"/>
                <w:highlight w:val="none"/>
                <w:lang w:val="en-US" w:eastAsia="zh-CN"/>
              </w:rPr>
              <w:t>/a），物料带走水量约为10.019m</w:t>
            </w:r>
            <w:r>
              <w:rPr>
                <w:rFonts w:hint="eastAsia"/>
                <w:color w:val="auto"/>
                <w:highlight w:val="none"/>
                <w:vertAlign w:val="superscript"/>
                <w:lang w:val="en-US" w:eastAsia="zh-CN"/>
              </w:rPr>
              <w:t>3</w:t>
            </w:r>
            <w:r>
              <w:rPr>
                <w:rFonts w:hint="eastAsia"/>
                <w:color w:val="auto"/>
                <w:highlight w:val="none"/>
                <w:lang w:val="en-US" w:eastAsia="zh-CN"/>
              </w:rPr>
              <w:t>/d（2504.667m</w:t>
            </w:r>
            <w:r>
              <w:rPr>
                <w:rFonts w:hint="eastAsia"/>
                <w:color w:val="auto"/>
                <w:highlight w:val="none"/>
                <w:vertAlign w:val="superscript"/>
                <w:lang w:val="en-US" w:eastAsia="zh-CN"/>
              </w:rPr>
              <w:t>3</w:t>
            </w:r>
            <w:r>
              <w:rPr>
                <w:rFonts w:hint="eastAsia"/>
                <w:color w:val="auto"/>
                <w:highlight w:val="none"/>
                <w:lang w:val="en-US" w:eastAsia="zh-CN"/>
              </w:rPr>
              <w:t>/a），废水（筛分废水、脱泥废水、脱水废水、再生细骨料堆存废水）产生量为309.981m</w:t>
            </w:r>
            <w:r>
              <w:rPr>
                <w:rFonts w:hint="eastAsia"/>
                <w:color w:val="auto"/>
                <w:highlight w:val="none"/>
                <w:vertAlign w:val="superscript"/>
                <w:lang w:val="en-US" w:eastAsia="zh-CN"/>
              </w:rPr>
              <w:t>3</w:t>
            </w:r>
            <w:r>
              <w:rPr>
                <w:rFonts w:hint="eastAsia"/>
                <w:color w:val="auto"/>
                <w:highlight w:val="none"/>
                <w:lang w:val="en-US" w:eastAsia="zh-CN"/>
              </w:rPr>
              <w:t>/d（77495.333m</w:t>
            </w:r>
            <w:r>
              <w:rPr>
                <w:rFonts w:hint="eastAsia"/>
                <w:color w:val="auto"/>
                <w:highlight w:val="none"/>
                <w:vertAlign w:val="superscript"/>
                <w:lang w:val="en-US" w:eastAsia="zh-CN"/>
              </w:rPr>
              <w:t>3</w:t>
            </w:r>
            <w:r>
              <w:rPr>
                <w:rFonts w:hint="eastAsia"/>
                <w:color w:val="auto"/>
                <w:highlight w:val="none"/>
                <w:lang w:val="en-US" w:eastAsia="zh-CN"/>
              </w:rPr>
              <w:t>/a），进入一级沉淀池进行沉淀处理，上清液进入沉淀澄清池，沉淀澄清后回用于生产，沉淀澄清过程会损耗一部分水（污泥带走），损耗量为0.3m</w:t>
            </w:r>
            <w:r>
              <w:rPr>
                <w:rFonts w:hint="eastAsia"/>
                <w:color w:val="auto"/>
                <w:highlight w:val="none"/>
                <w:vertAlign w:val="superscript"/>
                <w:lang w:val="en-US" w:eastAsia="zh-CN"/>
              </w:rPr>
              <w:t>3</w:t>
            </w:r>
            <w:r>
              <w:rPr>
                <w:rFonts w:hint="eastAsia"/>
                <w:color w:val="auto"/>
                <w:highlight w:val="none"/>
                <w:lang w:val="en-US" w:eastAsia="zh-CN"/>
              </w:rPr>
              <w:t>/d（75m</w:t>
            </w:r>
            <w:r>
              <w:rPr>
                <w:rFonts w:hint="eastAsia"/>
                <w:color w:val="auto"/>
                <w:highlight w:val="none"/>
                <w:vertAlign w:val="superscript"/>
                <w:lang w:val="en-US" w:eastAsia="zh-CN"/>
              </w:rPr>
              <w:t>3</w:t>
            </w:r>
            <w:r>
              <w:rPr>
                <w:rFonts w:hint="eastAsia"/>
                <w:color w:val="auto"/>
                <w:highlight w:val="none"/>
                <w:lang w:val="en-US" w:eastAsia="zh-CN"/>
              </w:rPr>
              <w:t>/a），项目所用建筑渣土含水率约10%，石碴含水率约为2%（进行水洗、筛分等工序石碴约10000吨），则原料带入水量为4.798m</w:t>
            </w:r>
            <w:r>
              <w:rPr>
                <w:rFonts w:hint="eastAsia"/>
                <w:color w:val="auto"/>
                <w:highlight w:val="none"/>
                <w:vertAlign w:val="superscript"/>
                <w:lang w:val="en-US" w:eastAsia="zh-CN"/>
              </w:rPr>
              <w:t>3</w:t>
            </w:r>
            <w:r>
              <w:rPr>
                <w:rFonts w:hint="eastAsia"/>
                <w:color w:val="auto"/>
                <w:highlight w:val="none"/>
                <w:lang w:val="en-US" w:eastAsia="zh-CN"/>
              </w:rPr>
              <w:t>/d（1199.62m</w:t>
            </w:r>
            <w:r>
              <w:rPr>
                <w:rFonts w:hint="eastAsia"/>
                <w:color w:val="auto"/>
                <w:highlight w:val="none"/>
                <w:vertAlign w:val="superscript"/>
                <w:lang w:val="en-US" w:eastAsia="zh-CN"/>
              </w:rPr>
              <w:t>3</w:t>
            </w:r>
            <w:r>
              <w:rPr>
                <w:rFonts w:hint="eastAsia"/>
                <w:color w:val="auto"/>
                <w:highlight w:val="none"/>
                <w:lang w:val="en-US" w:eastAsia="zh-CN"/>
              </w:rPr>
              <w:t>/a），需补充新水量为5.52m</w:t>
            </w:r>
            <w:r>
              <w:rPr>
                <w:rFonts w:hint="eastAsia"/>
                <w:color w:val="auto"/>
                <w:highlight w:val="none"/>
                <w:vertAlign w:val="superscript"/>
                <w:lang w:val="en-US" w:eastAsia="zh-CN"/>
              </w:rPr>
              <w:t>3</w:t>
            </w:r>
            <w:r>
              <w:rPr>
                <w:rFonts w:hint="eastAsia"/>
                <w:color w:val="auto"/>
                <w:highlight w:val="none"/>
                <w:lang w:val="en-US" w:eastAsia="zh-CN"/>
              </w:rPr>
              <w:t>/d（1380.047m</w:t>
            </w:r>
            <w:r>
              <w:rPr>
                <w:rFonts w:hint="eastAsia"/>
                <w:color w:val="auto"/>
                <w:highlight w:val="none"/>
                <w:vertAlign w:val="superscript"/>
                <w:lang w:val="en-US" w:eastAsia="zh-CN"/>
              </w:rPr>
              <w:t>3</w:t>
            </w:r>
            <w:r>
              <w:rPr>
                <w:rFonts w:hint="eastAsia"/>
                <w:color w:val="auto"/>
                <w:highlight w:val="none"/>
                <w:lang w:val="en-US" w:eastAsia="zh-CN"/>
              </w:rPr>
              <w:t>/a），则生产过程总用水量为320m</w:t>
            </w:r>
            <w:r>
              <w:rPr>
                <w:rFonts w:hint="eastAsia"/>
                <w:color w:val="auto"/>
                <w:highlight w:val="none"/>
                <w:vertAlign w:val="superscript"/>
                <w:lang w:val="en-US" w:eastAsia="zh-CN"/>
              </w:rPr>
              <w:t>3</w:t>
            </w:r>
            <w:r>
              <w:rPr>
                <w:rFonts w:hint="eastAsia"/>
                <w:color w:val="auto"/>
                <w:highlight w:val="none"/>
                <w:lang w:val="en-US" w:eastAsia="zh-CN"/>
              </w:rPr>
              <w:t>/d（8万m</w:t>
            </w:r>
            <w:r>
              <w:rPr>
                <w:rFonts w:hint="eastAsia"/>
                <w:color w:val="auto"/>
                <w:highlight w:val="none"/>
                <w:vertAlign w:val="superscript"/>
                <w:lang w:val="en-US" w:eastAsia="zh-CN"/>
              </w:rPr>
              <w:t>3</w:t>
            </w:r>
            <w:r>
              <w:rPr>
                <w:rFonts w:hint="eastAsia"/>
                <w:color w:val="auto"/>
                <w:highlight w:val="none"/>
                <w:lang w:val="en-US" w:eastAsia="zh-CN"/>
              </w:rPr>
              <w:t>/a），新水用量为5.52m</w:t>
            </w:r>
            <w:r>
              <w:rPr>
                <w:rFonts w:hint="eastAsia"/>
                <w:color w:val="auto"/>
                <w:highlight w:val="none"/>
                <w:vertAlign w:val="superscript"/>
                <w:lang w:val="en-US" w:eastAsia="zh-CN"/>
              </w:rPr>
              <w:t>3</w:t>
            </w:r>
            <w:r>
              <w:rPr>
                <w:rFonts w:hint="eastAsia"/>
                <w:color w:val="auto"/>
                <w:highlight w:val="none"/>
                <w:lang w:val="en-US" w:eastAsia="zh-CN"/>
              </w:rPr>
              <w:t>/d（1380.047m</w:t>
            </w:r>
            <w:r>
              <w:rPr>
                <w:rFonts w:hint="eastAsia"/>
                <w:color w:val="auto"/>
                <w:highlight w:val="none"/>
                <w:vertAlign w:val="superscript"/>
                <w:lang w:val="en-US" w:eastAsia="zh-CN"/>
              </w:rPr>
              <w:t>3</w:t>
            </w:r>
            <w:r>
              <w:rPr>
                <w:rFonts w:hint="eastAsia"/>
                <w:color w:val="auto"/>
                <w:highlight w:val="none"/>
                <w:lang w:val="en-US" w:eastAsia="zh-CN"/>
              </w:rPr>
              <w:t>/a），原料带入水量为4.798m</w:t>
            </w:r>
            <w:r>
              <w:rPr>
                <w:rFonts w:hint="eastAsia"/>
                <w:color w:val="auto"/>
                <w:highlight w:val="none"/>
                <w:vertAlign w:val="superscript"/>
                <w:lang w:val="en-US" w:eastAsia="zh-CN"/>
              </w:rPr>
              <w:t>3</w:t>
            </w:r>
            <w:r>
              <w:rPr>
                <w:rFonts w:hint="eastAsia"/>
                <w:color w:val="auto"/>
                <w:highlight w:val="none"/>
                <w:lang w:val="en-US" w:eastAsia="zh-CN"/>
              </w:rPr>
              <w:t>/d（1199.62m</w:t>
            </w:r>
            <w:r>
              <w:rPr>
                <w:rFonts w:hint="eastAsia"/>
                <w:color w:val="auto"/>
                <w:highlight w:val="none"/>
                <w:vertAlign w:val="superscript"/>
                <w:lang w:val="en-US" w:eastAsia="zh-CN"/>
              </w:rPr>
              <w:t>3</w:t>
            </w:r>
            <w:r>
              <w:rPr>
                <w:rFonts w:hint="eastAsia"/>
                <w:color w:val="auto"/>
                <w:highlight w:val="none"/>
                <w:lang w:val="en-US" w:eastAsia="zh-CN"/>
              </w:rPr>
              <w:t>/a），损耗水量为10.319m</w:t>
            </w:r>
            <w:r>
              <w:rPr>
                <w:rFonts w:hint="eastAsia"/>
                <w:color w:val="auto"/>
                <w:highlight w:val="none"/>
                <w:vertAlign w:val="superscript"/>
                <w:lang w:val="en-US" w:eastAsia="zh-CN"/>
              </w:rPr>
              <w:t>3</w:t>
            </w:r>
            <w:r>
              <w:rPr>
                <w:rFonts w:hint="eastAsia"/>
                <w:color w:val="auto"/>
                <w:highlight w:val="none"/>
                <w:lang w:val="en-US" w:eastAsia="zh-CN"/>
              </w:rPr>
              <w:t>/d（2579.667m</w:t>
            </w:r>
            <w:r>
              <w:rPr>
                <w:rFonts w:hint="eastAsia"/>
                <w:color w:val="auto"/>
                <w:highlight w:val="none"/>
                <w:vertAlign w:val="superscript"/>
                <w:lang w:val="en-US" w:eastAsia="zh-CN"/>
              </w:rPr>
              <w:t>3</w:t>
            </w:r>
            <w:r>
              <w:rPr>
                <w:rFonts w:hint="eastAsia"/>
                <w:color w:val="auto"/>
                <w:highlight w:val="none"/>
                <w:lang w:val="en-US" w:eastAsia="zh-CN"/>
              </w:rPr>
              <w:t>/a），循环水量为309.681m</w:t>
            </w:r>
            <w:r>
              <w:rPr>
                <w:rFonts w:hint="eastAsia"/>
                <w:color w:val="auto"/>
                <w:highlight w:val="none"/>
                <w:vertAlign w:val="superscript"/>
                <w:lang w:val="en-US" w:eastAsia="zh-CN"/>
              </w:rPr>
              <w:t>3</w:t>
            </w:r>
            <w:r>
              <w:rPr>
                <w:rFonts w:hint="eastAsia"/>
                <w:color w:val="auto"/>
                <w:highlight w:val="none"/>
                <w:lang w:val="en-US" w:eastAsia="zh-CN"/>
              </w:rPr>
              <w:t>/d（77420.333m</w:t>
            </w:r>
            <w:r>
              <w:rPr>
                <w:rFonts w:hint="eastAsia"/>
                <w:color w:val="auto"/>
                <w:highlight w:val="none"/>
                <w:vertAlign w:val="superscript"/>
                <w:lang w:val="en-US" w:eastAsia="zh-CN"/>
              </w:rPr>
              <w:t>3</w:t>
            </w:r>
            <w:r>
              <w:rPr>
                <w:rFonts w:hint="eastAsia"/>
                <w:color w:val="auto"/>
                <w:highlight w:val="none"/>
                <w:lang w:val="en-US" w:eastAsia="zh-CN"/>
              </w:rPr>
              <w:t>/a），无废水外排。</w:t>
            </w:r>
          </w:p>
          <w:p>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（2）水雾喷淋系统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本项目</w:t>
            </w:r>
            <w:r>
              <w:rPr>
                <w:rFonts w:hint="eastAsia" w:ascii="宋体" w:hAnsi="宋体" w:cs="宋体"/>
                <w:b w:val="0"/>
                <w:bCs w:val="0"/>
                <w:color w:val="auto"/>
                <w:highlight w:val="none"/>
                <w:lang w:val="en-US" w:eastAsia="zh-CN"/>
              </w:rPr>
              <w:t>原料区、成品区、上料区顶部</w:t>
            </w:r>
            <w:r>
              <w:rPr>
                <w:rFonts w:hint="eastAsia"/>
                <w:color w:val="auto"/>
                <w:highlight w:val="none"/>
                <w:lang w:val="en-US" w:eastAsia="zh-CN"/>
              </w:rPr>
              <w:t>设置喷淋装置喷淋抑尘，重点部位设置喷雾，用水量为2m</w:t>
            </w:r>
            <w:r>
              <w:rPr>
                <w:rFonts w:hint="eastAsia"/>
                <w:color w:val="auto"/>
                <w:highlight w:val="none"/>
                <w:vertAlign w:val="superscript"/>
                <w:lang w:val="en-US" w:eastAsia="zh-CN"/>
              </w:rPr>
              <w:t>3</w:t>
            </w:r>
            <w:r>
              <w:rPr>
                <w:rFonts w:hint="eastAsia"/>
                <w:color w:val="auto"/>
                <w:highlight w:val="none"/>
                <w:lang w:val="en-US" w:eastAsia="zh-CN"/>
              </w:rPr>
              <w:t>/d（500m</w:t>
            </w:r>
            <w:r>
              <w:rPr>
                <w:rFonts w:hint="eastAsia"/>
                <w:color w:val="auto"/>
                <w:highlight w:val="none"/>
                <w:vertAlign w:val="superscript"/>
                <w:lang w:val="en-US" w:eastAsia="zh-CN"/>
              </w:rPr>
              <w:t>3</w:t>
            </w:r>
            <w:r>
              <w:rPr>
                <w:rFonts w:hint="eastAsia"/>
                <w:color w:val="auto"/>
                <w:highlight w:val="none"/>
                <w:lang w:val="en-US" w:eastAsia="zh-CN"/>
              </w:rPr>
              <w:t>/a），全部损耗，无废水外排。</w:t>
            </w:r>
          </w:p>
          <w:p>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（3）洗车平台用水</w:t>
            </w:r>
          </w:p>
          <w:p>
            <w:pPr>
              <w:bidi w:val="0"/>
              <w:rPr>
                <w:rFonts w:hint="eastAsia"/>
                <w:color w:val="auto"/>
                <w:highlight w:val="none"/>
                <w:lang w:val="en-US" w:eastAsia="zh-CN"/>
              </w:rPr>
            </w:pPr>
            <w:r>
              <w:rPr>
                <w:rFonts w:hint="eastAsia"/>
                <w:color w:val="auto"/>
                <w:highlight w:val="none"/>
                <w:lang w:val="en-US" w:eastAsia="zh-CN"/>
              </w:rPr>
              <w:t>本项目设置1座洗车平台（配套设有沉淀池、清水池），车辆清洗用水量为2m</w:t>
            </w:r>
            <w:r>
              <w:rPr>
                <w:rFonts w:hint="eastAsia"/>
                <w:color w:val="auto"/>
                <w:highlight w:val="none"/>
                <w:vertAlign w:val="superscript"/>
                <w:lang w:val="en-US" w:eastAsia="zh-CN"/>
              </w:rPr>
              <w:t>3</w:t>
            </w:r>
            <w:r>
              <w:rPr>
                <w:rFonts w:hint="eastAsia"/>
                <w:color w:val="auto"/>
                <w:highlight w:val="none"/>
                <w:lang w:val="en-US" w:eastAsia="zh-CN"/>
              </w:rPr>
              <w:t>/d（500m</w:t>
            </w:r>
            <w:r>
              <w:rPr>
                <w:rFonts w:hint="eastAsia"/>
                <w:color w:val="auto"/>
                <w:highlight w:val="none"/>
                <w:vertAlign w:val="superscript"/>
                <w:lang w:val="en-US" w:eastAsia="zh-CN"/>
              </w:rPr>
              <w:t>3</w:t>
            </w:r>
            <w:r>
              <w:rPr>
                <w:rFonts w:hint="eastAsia"/>
                <w:color w:val="auto"/>
                <w:highlight w:val="none"/>
                <w:lang w:val="en-US" w:eastAsia="zh-CN"/>
              </w:rPr>
              <w:t>/a），冲洗过程运输车辆会带走一部分水，损失水量按用水量的10%计，则损失水量为0.2m</w:t>
            </w:r>
            <w:r>
              <w:rPr>
                <w:rFonts w:hint="eastAsia"/>
                <w:color w:val="auto"/>
                <w:highlight w:val="none"/>
                <w:vertAlign w:val="superscript"/>
                <w:lang w:val="en-US" w:eastAsia="zh-CN"/>
              </w:rPr>
              <w:t>3</w:t>
            </w:r>
            <w:r>
              <w:rPr>
                <w:rFonts w:hint="eastAsia"/>
                <w:color w:val="auto"/>
                <w:highlight w:val="none"/>
                <w:lang w:val="en-US" w:eastAsia="zh-CN"/>
              </w:rPr>
              <w:t>/d（50m</w:t>
            </w:r>
            <w:r>
              <w:rPr>
                <w:rFonts w:hint="eastAsia"/>
                <w:color w:val="auto"/>
                <w:highlight w:val="none"/>
                <w:vertAlign w:val="superscript"/>
                <w:lang w:val="en-US" w:eastAsia="zh-CN"/>
              </w:rPr>
              <w:t>3</w:t>
            </w:r>
            <w:r>
              <w:rPr>
                <w:rFonts w:hint="eastAsia"/>
                <w:color w:val="auto"/>
                <w:highlight w:val="none"/>
                <w:lang w:val="en-US" w:eastAsia="zh-CN"/>
              </w:rPr>
              <w:t>/a），循环水量为1.8m</w:t>
            </w:r>
            <w:r>
              <w:rPr>
                <w:rFonts w:hint="eastAsia"/>
                <w:color w:val="auto"/>
                <w:highlight w:val="none"/>
                <w:vertAlign w:val="superscript"/>
                <w:lang w:val="en-US" w:eastAsia="zh-CN"/>
              </w:rPr>
              <w:t>3</w:t>
            </w:r>
            <w:r>
              <w:rPr>
                <w:rFonts w:hint="eastAsia"/>
                <w:color w:val="auto"/>
                <w:highlight w:val="none"/>
                <w:lang w:val="en-US" w:eastAsia="zh-CN"/>
              </w:rPr>
              <w:t>/d（450m</w:t>
            </w:r>
            <w:r>
              <w:rPr>
                <w:rFonts w:hint="eastAsia"/>
                <w:color w:val="auto"/>
                <w:highlight w:val="none"/>
                <w:vertAlign w:val="superscript"/>
                <w:lang w:val="en-US" w:eastAsia="zh-CN"/>
              </w:rPr>
              <w:t>3</w:t>
            </w:r>
            <w:r>
              <w:rPr>
                <w:rFonts w:hint="eastAsia"/>
                <w:color w:val="auto"/>
                <w:highlight w:val="none"/>
                <w:lang w:val="en-US" w:eastAsia="zh-CN"/>
              </w:rPr>
              <w:t>/a），定期补充新水量为0.2m</w:t>
            </w:r>
            <w:r>
              <w:rPr>
                <w:rFonts w:hint="eastAsia"/>
                <w:color w:val="auto"/>
                <w:highlight w:val="none"/>
                <w:vertAlign w:val="superscript"/>
                <w:lang w:val="en-US" w:eastAsia="zh-CN"/>
              </w:rPr>
              <w:t>3</w:t>
            </w:r>
            <w:r>
              <w:rPr>
                <w:rFonts w:hint="eastAsia"/>
                <w:color w:val="auto"/>
                <w:highlight w:val="none"/>
                <w:lang w:val="en-US" w:eastAsia="zh-CN"/>
              </w:rPr>
              <w:t>/d（50m</w:t>
            </w:r>
            <w:r>
              <w:rPr>
                <w:rFonts w:hint="eastAsia"/>
                <w:color w:val="auto"/>
                <w:highlight w:val="none"/>
                <w:vertAlign w:val="superscript"/>
                <w:lang w:val="en-US" w:eastAsia="zh-CN"/>
              </w:rPr>
              <w:t>3</w:t>
            </w:r>
            <w:r>
              <w:rPr>
                <w:rFonts w:hint="eastAsia"/>
                <w:color w:val="auto"/>
                <w:highlight w:val="none"/>
                <w:lang w:val="en-US" w:eastAsia="zh-CN"/>
              </w:rPr>
              <w:t>/a），洗车废水排入沉淀池沉淀后，清水进入洗车用清水池，返回洗车过程重复利用，不外排。</w:t>
            </w:r>
          </w:p>
          <w:p>
            <w:pPr>
              <w:bidi w:val="0"/>
              <w:rPr>
                <w:rFonts w:hint="default"/>
                <w:color w:val="auto"/>
                <w:highlight w:val="none"/>
                <w:lang w:val="en-US" w:eastAsia="zh-CN"/>
              </w:rPr>
            </w:pPr>
            <w:r>
              <w:rPr>
                <w:rFonts w:hint="eastAsia"/>
                <w:color w:val="auto"/>
                <w:highlight w:val="none"/>
                <w:lang w:val="en-US" w:eastAsia="zh-CN"/>
              </w:rPr>
              <w:t>（4）厂区抑尘</w:t>
            </w:r>
          </w:p>
          <w:p>
            <w:pPr>
              <w:bidi w:val="0"/>
              <w:rPr>
                <w:rFonts w:hint="default"/>
                <w:color w:val="auto"/>
                <w:highlight w:val="none"/>
                <w:lang w:val="en-US" w:eastAsia="zh-CN"/>
              </w:rPr>
            </w:pPr>
            <w:r>
              <w:rPr>
                <w:rFonts w:hint="eastAsia"/>
                <w:color w:val="auto"/>
                <w:highlight w:val="none"/>
                <w:lang w:val="en-US" w:eastAsia="zh-CN"/>
              </w:rPr>
              <w:t>本项目设置1台洒水车、1台湿扫车用于厂区抑尘，用水量为2m</w:t>
            </w:r>
            <w:r>
              <w:rPr>
                <w:rFonts w:hint="eastAsia"/>
                <w:color w:val="auto"/>
                <w:highlight w:val="none"/>
                <w:vertAlign w:val="superscript"/>
                <w:lang w:val="en-US" w:eastAsia="zh-CN"/>
              </w:rPr>
              <w:t>3</w:t>
            </w:r>
            <w:r>
              <w:rPr>
                <w:rFonts w:hint="eastAsia"/>
                <w:color w:val="auto"/>
                <w:highlight w:val="none"/>
                <w:lang w:val="en-US" w:eastAsia="zh-CN"/>
              </w:rPr>
              <w:t>/d（500m</w:t>
            </w:r>
            <w:r>
              <w:rPr>
                <w:rFonts w:hint="eastAsia"/>
                <w:color w:val="auto"/>
                <w:highlight w:val="none"/>
                <w:vertAlign w:val="superscript"/>
                <w:lang w:val="en-US" w:eastAsia="zh-CN"/>
              </w:rPr>
              <w:t>3</w:t>
            </w:r>
            <w:r>
              <w:rPr>
                <w:rFonts w:hint="eastAsia"/>
                <w:color w:val="auto"/>
                <w:highlight w:val="none"/>
                <w:lang w:val="en-US" w:eastAsia="zh-CN"/>
              </w:rPr>
              <w:t>/a），全部损耗，无废水外排。</w:t>
            </w:r>
          </w:p>
          <w:p>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（5）职工生活</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s="Times New Roman"/>
                <w:color w:val="auto"/>
                <w:sz w:val="24"/>
                <w:szCs w:val="24"/>
                <w:highlight w:val="none"/>
                <w:vertAlign w:val="baseline"/>
                <w:lang w:val="en-US" w:eastAsia="zh-CN"/>
              </w:rPr>
              <w:t>厂区不设宿舍、食堂、洗浴设施，厕所为防渗旱厕，生活用水主要为职工饮用、盥洗用水，用水量按</w:t>
            </w:r>
            <w:r>
              <w:rPr>
                <w:rFonts w:hint="eastAsia"/>
                <w:color w:val="auto"/>
                <w:highlight w:val="none"/>
                <w:lang w:val="en-US" w:eastAsia="zh-CN"/>
              </w:rPr>
              <w:t>10L</w:t>
            </w:r>
            <w:r>
              <w:rPr>
                <w:rFonts w:hint="default"/>
                <w:color w:val="auto"/>
                <w:highlight w:val="none"/>
              </w:rPr>
              <w:t>/</w:t>
            </w:r>
            <w:r>
              <w:rPr>
                <w:rFonts w:hint="eastAsia"/>
                <w:color w:val="auto"/>
                <w:highlight w:val="none"/>
                <w:lang w:eastAsia="zh-CN"/>
              </w:rPr>
              <w:t>（</w:t>
            </w:r>
            <w:r>
              <w:rPr>
                <w:rFonts w:hint="default"/>
                <w:color w:val="auto"/>
                <w:highlight w:val="none"/>
              </w:rPr>
              <w:t>人·d</w:t>
            </w:r>
            <w:r>
              <w:rPr>
                <w:rFonts w:hint="eastAsia"/>
                <w:color w:val="auto"/>
                <w:highlight w:val="none"/>
                <w:lang w:eastAsia="zh-CN"/>
              </w:rPr>
              <w:t>）</w:t>
            </w:r>
            <w:r>
              <w:rPr>
                <w:rFonts w:hint="default"/>
                <w:color w:val="auto"/>
                <w:highlight w:val="none"/>
              </w:rPr>
              <w:t>计</w:t>
            </w:r>
            <w:r>
              <w:rPr>
                <w:rFonts w:hint="eastAsia"/>
                <w:color w:val="auto"/>
                <w:highlight w:val="none"/>
                <w:lang w:eastAsia="zh-CN"/>
              </w:rPr>
              <w:t>，</w:t>
            </w:r>
            <w:r>
              <w:rPr>
                <w:rFonts w:hint="eastAsia"/>
                <w:color w:val="auto"/>
                <w:highlight w:val="none"/>
                <w:lang w:val="en-US" w:eastAsia="zh-CN"/>
              </w:rPr>
              <w:t>项目劳动定员20人，</w:t>
            </w:r>
            <w:r>
              <w:rPr>
                <w:rFonts w:hint="default"/>
                <w:color w:val="auto"/>
                <w:highlight w:val="none"/>
              </w:rPr>
              <w:t>用水量为</w:t>
            </w:r>
            <w:r>
              <w:rPr>
                <w:rFonts w:hint="eastAsia"/>
                <w:color w:val="auto"/>
                <w:highlight w:val="none"/>
                <w:lang w:val="en-US" w:eastAsia="zh-CN"/>
              </w:rPr>
              <w:t>0.2</w:t>
            </w:r>
            <w:r>
              <w:rPr>
                <w:rFonts w:hint="default"/>
                <w:color w:val="auto"/>
                <w:highlight w:val="none"/>
              </w:rPr>
              <w:t>m</w:t>
            </w:r>
            <w:r>
              <w:rPr>
                <w:rFonts w:hint="default"/>
                <w:color w:val="auto"/>
                <w:highlight w:val="none"/>
                <w:vertAlign w:val="superscript"/>
              </w:rPr>
              <w:t>3</w:t>
            </w:r>
            <w:r>
              <w:rPr>
                <w:rFonts w:hint="default"/>
                <w:color w:val="auto"/>
                <w:highlight w:val="none"/>
              </w:rPr>
              <w:t>/d（</w:t>
            </w:r>
            <w:r>
              <w:rPr>
                <w:rFonts w:hint="eastAsia"/>
                <w:color w:val="auto"/>
                <w:highlight w:val="none"/>
                <w:lang w:val="en-US" w:eastAsia="zh-CN"/>
              </w:rPr>
              <w:t>50</w:t>
            </w:r>
            <w:r>
              <w:rPr>
                <w:rFonts w:hint="default"/>
                <w:color w:val="auto"/>
                <w:highlight w:val="none"/>
              </w:rPr>
              <w:t>m</w:t>
            </w:r>
            <w:r>
              <w:rPr>
                <w:rFonts w:hint="default"/>
                <w:color w:val="auto"/>
                <w:highlight w:val="none"/>
                <w:vertAlign w:val="superscript"/>
              </w:rPr>
              <w:t>3</w:t>
            </w:r>
            <w:r>
              <w:rPr>
                <w:rFonts w:hint="default"/>
                <w:color w:val="auto"/>
                <w:highlight w:val="none"/>
              </w:rPr>
              <w:t>/a）</w:t>
            </w:r>
            <w:r>
              <w:rPr>
                <w:rFonts w:hint="eastAsia"/>
                <w:color w:val="auto"/>
                <w:highlight w:val="none"/>
                <w:lang w:eastAsia="zh-CN"/>
              </w:rPr>
              <w:t>。</w:t>
            </w:r>
            <w:r>
              <w:rPr>
                <w:rFonts w:hint="eastAsia"/>
                <w:color w:val="auto"/>
                <w:highlight w:val="none"/>
                <w:lang w:val="en-US" w:eastAsia="zh-CN"/>
              </w:rPr>
              <w:t>生活污水产生量按用水量80%计，则生活污水产生量为0.16</w:t>
            </w:r>
            <w:r>
              <w:rPr>
                <w:rFonts w:hint="default"/>
                <w:color w:val="auto"/>
                <w:highlight w:val="none"/>
              </w:rPr>
              <w:t>m</w:t>
            </w:r>
            <w:r>
              <w:rPr>
                <w:rFonts w:hint="default"/>
                <w:color w:val="auto"/>
                <w:highlight w:val="none"/>
                <w:vertAlign w:val="superscript"/>
              </w:rPr>
              <w:t>3</w:t>
            </w:r>
            <w:r>
              <w:rPr>
                <w:rFonts w:hint="default"/>
                <w:color w:val="auto"/>
                <w:highlight w:val="none"/>
              </w:rPr>
              <w:t>/d（</w:t>
            </w:r>
            <w:r>
              <w:rPr>
                <w:rFonts w:hint="eastAsia"/>
                <w:color w:val="auto"/>
                <w:highlight w:val="none"/>
                <w:lang w:val="en-US" w:eastAsia="zh-CN"/>
              </w:rPr>
              <w:t>40</w:t>
            </w:r>
            <w:r>
              <w:rPr>
                <w:rFonts w:hint="default"/>
                <w:color w:val="auto"/>
                <w:highlight w:val="none"/>
              </w:rPr>
              <w:t>m</w:t>
            </w:r>
            <w:r>
              <w:rPr>
                <w:rFonts w:hint="default"/>
                <w:color w:val="auto"/>
                <w:highlight w:val="none"/>
                <w:vertAlign w:val="superscript"/>
              </w:rPr>
              <w:t>3</w:t>
            </w:r>
            <w:r>
              <w:rPr>
                <w:rFonts w:hint="default"/>
                <w:color w:val="auto"/>
                <w:highlight w:val="none"/>
              </w:rPr>
              <w:t>/a）</w:t>
            </w:r>
            <w:r>
              <w:rPr>
                <w:rFonts w:hint="eastAsia"/>
                <w:color w:val="auto"/>
                <w:highlight w:val="none"/>
                <w:lang w:eastAsia="zh-CN"/>
              </w:rPr>
              <w:t>，</w:t>
            </w:r>
            <w:r>
              <w:rPr>
                <w:rFonts w:hint="eastAsia" w:ascii="Times New Roman" w:hAnsi="Times New Roman" w:eastAsia="宋体" w:cs="Times New Roman"/>
                <w:color w:val="auto"/>
                <w:spacing w:val="0"/>
                <w:szCs w:val="20"/>
                <w:highlight w:val="none"/>
                <w:lang w:val="en-US" w:eastAsia="zh-CN"/>
              </w:rPr>
              <w:t>产生量小，水质简单，直接泼洒地面抑尘，不外排</w:t>
            </w:r>
            <w:r>
              <w:rPr>
                <w:rFonts w:hint="eastAsia"/>
                <w:color w:val="auto"/>
                <w:sz w:val="24"/>
                <w:szCs w:val="24"/>
                <w:highlight w:val="none"/>
                <w:lang w:val="en-US" w:eastAsia="zh-CN"/>
              </w:rPr>
              <w:t>。</w:t>
            </w:r>
          </w:p>
          <w:p>
            <w:pPr>
              <w:bidi w:val="0"/>
              <w:rPr>
                <w:rFonts w:hint="eastAsia"/>
                <w:color w:val="auto"/>
                <w:highlight w:val="none"/>
                <w:lang w:val="en-US" w:eastAsia="zh-CN"/>
              </w:rPr>
            </w:pPr>
            <w:r>
              <w:rPr>
                <w:rFonts w:hint="eastAsia"/>
                <w:color w:val="auto"/>
                <w:highlight w:val="none"/>
                <w:lang w:val="en-US" w:eastAsia="zh-CN"/>
              </w:rPr>
              <w:t>项目给排水平衡表见表13，给排水平衡图见图2。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eastAsia="宋体"/>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auto"/>
                <w:sz w:val="21"/>
                <w:szCs w:val="21"/>
                <w:highlight w:val="none"/>
                <w:lang w:val="en-US" w:eastAsia="zh-CN"/>
              </w:rPr>
            </w:pPr>
            <w:r>
              <w:rPr>
                <w:rFonts w:hint="eastAsia" w:ascii="Times New Roman" w:eastAsia="宋体"/>
                <w:b/>
                <w:bCs/>
                <w:color w:val="auto"/>
                <w:sz w:val="21"/>
                <w:szCs w:val="21"/>
                <w:highlight w:val="none"/>
                <w:lang w:val="en-US" w:eastAsia="zh-CN"/>
              </w:rPr>
              <w:t>表</w:t>
            </w:r>
            <w:r>
              <w:rPr>
                <w:rFonts w:hint="eastAsia"/>
                <w:b/>
                <w:bCs/>
                <w:color w:val="auto"/>
                <w:sz w:val="21"/>
                <w:szCs w:val="21"/>
                <w:highlight w:val="none"/>
                <w:lang w:val="en-US" w:eastAsia="zh-CN"/>
              </w:rPr>
              <w:t>13</w:t>
            </w:r>
            <w:r>
              <w:rPr>
                <w:rFonts w:hint="eastAsia" w:ascii="Times New Roman" w:eastAsia="宋体"/>
                <w:b/>
                <w:bCs/>
                <w:color w:val="auto"/>
                <w:sz w:val="21"/>
                <w:szCs w:val="21"/>
                <w:highlight w:val="none"/>
                <w:lang w:val="en-US" w:eastAsia="zh-CN"/>
              </w:rPr>
              <w:t xml:space="preserve">  </w:t>
            </w:r>
            <w:r>
              <w:rPr>
                <w:rFonts w:hint="eastAsia"/>
                <w:b/>
                <w:bCs/>
                <w:color w:val="auto"/>
                <w:sz w:val="21"/>
                <w:szCs w:val="21"/>
                <w:highlight w:val="none"/>
                <w:lang w:val="en-US" w:eastAsia="zh-CN"/>
              </w:rPr>
              <w:t>项目水平衡一览表  单位m</w:t>
            </w:r>
            <w:r>
              <w:rPr>
                <w:rFonts w:hint="eastAsia"/>
                <w:b/>
                <w:bCs/>
                <w:color w:val="auto"/>
                <w:sz w:val="21"/>
                <w:szCs w:val="21"/>
                <w:highlight w:val="none"/>
                <w:vertAlign w:val="superscript"/>
                <w:lang w:val="en-US" w:eastAsia="zh-CN"/>
              </w:rPr>
              <w:t>3</w:t>
            </w:r>
            <w:r>
              <w:rPr>
                <w:rFonts w:hint="eastAsia"/>
                <w:b/>
                <w:bCs/>
                <w:color w:val="auto"/>
                <w:sz w:val="21"/>
                <w:szCs w:val="21"/>
                <w:highlight w:val="none"/>
                <w:lang w:val="en-US" w:eastAsia="zh-CN"/>
              </w:rPr>
              <w:t>/d</w:t>
            </w:r>
          </w:p>
          <w:tbl>
            <w:tblPr>
              <w:tblStyle w:val="24"/>
              <w:tblW w:w="81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004"/>
              <w:gridCol w:w="745"/>
              <w:gridCol w:w="745"/>
              <w:gridCol w:w="867"/>
              <w:gridCol w:w="921"/>
              <w:gridCol w:w="1153"/>
              <w:gridCol w:w="945"/>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序号</w:t>
                  </w: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用水项目</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总用水量</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新水</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原料带入量</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循环</w:t>
                  </w:r>
                  <w:r>
                    <w:rPr>
                      <w:rFonts w:hint="eastAsia" w:ascii="Times New Roman" w:hAnsi="Times New Roman" w:cs="Times New Roman"/>
                      <w:b w:val="0"/>
                      <w:bCs w:val="0"/>
                      <w:color w:val="auto"/>
                      <w:sz w:val="21"/>
                      <w:szCs w:val="21"/>
                      <w:highlight w:val="none"/>
                      <w:vertAlign w:val="baseline"/>
                      <w:lang w:val="en-US" w:eastAsia="zh-CN"/>
                    </w:rPr>
                    <w:t>水量</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损耗量</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废水产生量</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584" w:type="dxa"/>
                  <w:tcBorders>
                    <w:tl2br w:val="nil"/>
                    <w:tr2bl w:val="nil"/>
                  </w:tcBorders>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生产过程</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320</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5.52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4.799</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309.681</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10.019</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309.981</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沉淀后循环使用，沉淀处理过程污泥带走损耗0.3</w:t>
                  </w:r>
                  <w:r>
                    <w:rPr>
                      <w:rFonts w:hint="eastAsia"/>
                      <w:color w:val="auto"/>
                      <w:sz w:val="21"/>
                      <w:szCs w:val="21"/>
                      <w:highlight w:val="none"/>
                      <w:lang w:val="en-US" w:eastAsia="zh-CN"/>
                    </w:rPr>
                    <w:t>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84" w:type="dxa"/>
                  <w:tcBorders>
                    <w:tl2br w:val="nil"/>
                    <w:tr2bl w:val="nil"/>
                  </w:tcBorders>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喷淋、雾炮抑尘</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84" w:type="dxa"/>
                  <w:tcBorders>
                    <w:tl2br w:val="nil"/>
                    <w:tr2bl w:val="nil"/>
                  </w:tcBorders>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洗车过程</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1.8</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1.8</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沉淀后循环使用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84" w:type="dxa"/>
                  <w:tcBorders>
                    <w:tl2br w:val="nil"/>
                    <w:tr2bl w:val="nil"/>
                  </w:tcBorders>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厂区抑尘</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584" w:type="dxa"/>
                  <w:tcBorders>
                    <w:tl2br w:val="nil"/>
                    <w:tr2bl w:val="nil"/>
                  </w:tcBorders>
                  <w:vAlign w:val="center"/>
                </w:tcPr>
                <w:p>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p>
              </w:tc>
              <w:tc>
                <w:tcPr>
                  <w:tcW w:w="10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职工生活</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0.04</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0.16</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泼洒地面抑尘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8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合计</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326.2</w:t>
                  </w:r>
                </w:p>
              </w:tc>
              <w:tc>
                <w:tcPr>
                  <w:tcW w:w="7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9.92</w:t>
                  </w:r>
                </w:p>
              </w:tc>
              <w:tc>
                <w:tcPr>
                  <w:tcW w:w="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4.799</w:t>
                  </w:r>
                </w:p>
              </w:tc>
              <w:tc>
                <w:tcPr>
                  <w:tcW w:w="9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311.481</w:t>
                  </w:r>
                </w:p>
              </w:tc>
              <w:tc>
                <w:tcPr>
                  <w:tcW w:w="11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14.259</w:t>
                  </w: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default" w:cs="Times New Roman"/>
                      <w:b w:val="0"/>
                      <w:bCs w:val="0"/>
                      <w:color w:val="auto"/>
                      <w:sz w:val="21"/>
                      <w:szCs w:val="21"/>
                      <w:highlight w:val="none"/>
                      <w:vertAlign w:val="baseline"/>
                      <w:lang w:val="en-US" w:eastAsia="zh-CN"/>
                    </w:rPr>
                    <w:t>311.941</w:t>
                  </w:r>
                </w:p>
              </w:tc>
              <w:tc>
                <w:tcPr>
                  <w:tcW w:w="12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cs="Times New Roman"/>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before="63" w:beforeLines="20" w:line="240" w:lineRule="auto"/>
              <w:ind w:left="0" w:leftChars="0" w:firstLine="0" w:firstLineChars="0"/>
              <w:jc w:val="center"/>
              <w:textAlignment w:val="auto"/>
              <w:rPr>
                <w:rFonts w:hint="eastAsia" w:ascii="Times New Roman" w:hAnsi="Times New Roman" w:eastAsia="宋体" w:cs="Times New Roman"/>
                <w:b/>
                <w:bCs/>
                <w:color w:val="auto"/>
                <w:spacing w:val="0"/>
                <w:sz w:val="21"/>
                <w:szCs w:val="21"/>
                <w:highlight w:val="none"/>
                <w:lang w:val="en-US" w:eastAsia="zh-CN"/>
              </w:rPr>
            </w:pPr>
            <w:r>
              <w:rPr>
                <w:color w:val="auto"/>
                <w:highlight w:val="none"/>
              </w:rPr>
              <w:drawing>
                <wp:inline distT="0" distB="0" distL="114300" distR="114300">
                  <wp:extent cx="4246880" cy="3564255"/>
                  <wp:effectExtent l="0" t="0" r="1270" b="1714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3"/>
                          <a:stretch>
                            <a:fillRect/>
                          </a:stretch>
                        </pic:blipFill>
                        <pic:spPr>
                          <a:xfrm>
                            <a:off x="0" y="0"/>
                            <a:ext cx="4246880" cy="3564255"/>
                          </a:xfrm>
                          <a:prstGeom prst="rect">
                            <a:avLst/>
                          </a:prstGeom>
                          <a:noFill/>
                          <a:ln>
                            <a:noFill/>
                          </a:ln>
                        </pic:spPr>
                      </pic:pic>
                    </a:graphicData>
                  </a:graphic>
                </wp:inline>
              </w:drawing>
            </w:r>
          </w:p>
          <w:p>
            <w:pPr>
              <w:pStyle w:val="29"/>
              <w:bidi w:val="0"/>
              <w:rPr>
                <w:rFonts w:hint="default"/>
                <w:color w:val="auto"/>
                <w:highlight w:val="none"/>
              </w:rPr>
            </w:pPr>
            <w:r>
              <w:rPr>
                <w:rFonts w:hint="eastAsia" w:ascii="Times New Roman" w:hAnsi="Times New Roman" w:eastAsia="宋体" w:cs="Times New Roman"/>
                <w:b/>
                <w:bCs/>
                <w:color w:val="auto"/>
                <w:spacing w:val="0"/>
                <w:sz w:val="21"/>
                <w:szCs w:val="21"/>
                <w:highlight w:val="none"/>
                <w:lang w:val="en-US" w:eastAsia="zh-CN"/>
              </w:rPr>
              <w:t>图</w:t>
            </w:r>
            <w:r>
              <w:rPr>
                <w:rFonts w:hint="eastAsia" w:cs="Times New Roman"/>
                <w:b/>
                <w:bCs/>
                <w:color w:val="auto"/>
                <w:spacing w:val="0"/>
                <w:sz w:val="21"/>
                <w:szCs w:val="21"/>
                <w:highlight w:val="none"/>
                <w:lang w:val="en-US" w:eastAsia="zh-CN"/>
              </w:rPr>
              <w:t>2</w:t>
            </w:r>
            <w:r>
              <w:rPr>
                <w:rFonts w:hint="eastAsia" w:ascii="Times New Roman" w:hAnsi="Times New Roman" w:eastAsia="宋体" w:cs="Times New Roman"/>
                <w:b/>
                <w:bCs/>
                <w:color w:val="auto"/>
                <w:spacing w:val="0"/>
                <w:sz w:val="21"/>
                <w:szCs w:val="21"/>
                <w:highlight w:val="none"/>
                <w:lang w:val="en-US" w:eastAsia="zh-CN"/>
              </w:rPr>
              <w:t xml:space="preserve">  </w:t>
            </w:r>
            <w:r>
              <w:rPr>
                <w:rFonts w:hint="eastAsia" w:cs="Times New Roman"/>
                <w:b/>
                <w:bCs/>
                <w:color w:val="auto"/>
                <w:spacing w:val="0"/>
                <w:sz w:val="21"/>
                <w:szCs w:val="21"/>
                <w:highlight w:val="none"/>
                <w:lang w:val="en-US" w:eastAsia="zh-CN"/>
              </w:rPr>
              <w:t>项目水平衡</w:t>
            </w:r>
            <w:r>
              <w:rPr>
                <w:rFonts w:hint="eastAsia" w:ascii="Times New Roman" w:hAnsi="Times New Roman" w:eastAsia="宋体" w:cs="Times New Roman"/>
                <w:b/>
                <w:bCs/>
                <w:color w:val="auto"/>
                <w:spacing w:val="0"/>
                <w:sz w:val="21"/>
                <w:szCs w:val="21"/>
                <w:highlight w:val="none"/>
                <w:lang w:val="en-US" w:eastAsia="zh-CN"/>
              </w:rPr>
              <w:t>图</w:t>
            </w:r>
            <w:r>
              <w:rPr>
                <w:rFonts w:hint="eastAsia" w:cs="Times New Roman"/>
                <w:b/>
                <w:bCs/>
                <w:color w:val="auto"/>
                <w:spacing w:val="0"/>
                <w:sz w:val="21"/>
                <w:szCs w:val="21"/>
                <w:highlight w:val="none"/>
                <w:lang w:val="en-US" w:eastAsia="zh-CN"/>
              </w:rPr>
              <w:t xml:space="preserve">  单位：</w:t>
            </w:r>
            <w:r>
              <w:rPr>
                <w:rFonts w:hint="default"/>
                <w:b/>
                <w:bCs/>
                <w:color w:val="auto"/>
                <w:highlight w:val="none"/>
              </w:rPr>
              <w:t>m</w:t>
            </w:r>
            <w:r>
              <w:rPr>
                <w:rFonts w:hint="default"/>
                <w:b/>
                <w:bCs/>
                <w:color w:val="auto"/>
                <w:highlight w:val="none"/>
                <w:vertAlign w:val="superscript"/>
              </w:rPr>
              <w:t>3</w:t>
            </w:r>
            <w:r>
              <w:rPr>
                <w:rFonts w:hint="default"/>
                <w:b/>
                <w:bCs/>
                <w:color w:val="auto"/>
                <w:highlight w:val="none"/>
              </w:rPr>
              <w:t>/d</w:t>
            </w:r>
          </w:p>
          <w:p>
            <w:pPr>
              <w:bidi w:val="0"/>
              <w:rPr>
                <w:rFonts w:hint="default"/>
                <w:color w:val="auto"/>
                <w:sz w:val="24"/>
                <w:szCs w:val="24"/>
                <w:highlight w:val="none"/>
              </w:rPr>
            </w:pPr>
            <w:r>
              <w:rPr>
                <w:rFonts w:hint="default"/>
                <w:color w:val="auto"/>
                <w:sz w:val="24"/>
                <w:szCs w:val="24"/>
                <w:highlight w:val="none"/>
              </w:rPr>
              <w:t>取暖：</w:t>
            </w:r>
            <w:r>
              <w:rPr>
                <w:rFonts w:hint="eastAsia" w:ascii="Times New Roman" w:eastAsia="宋体"/>
                <w:color w:val="auto"/>
                <w:sz w:val="24"/>
                <w:szCs w:val="24"/>
                <w:highlight w:val="none"/>
                <w:lang w:val="en-US" w:eastAsia="zh-CN"/>
              </w:rPr>
              <w:t>本项目</w:t>
            </w:r>
            <w:r>
              <w:rPr>
                <w:rFonts w:hint="eastAsia"/>
                <w:color w:val="auto"/>
                <w:sz w:val="24"/>
                <w:szCs w:val="24"/>
                <w:highlight w:val="none"/>
                <w:lang w:val="en-US" w:eastAsia="zh-CN"/>
              </w:rPr>
              <w:t>车间不设取暖设施，办公室冬季取暖采用单体空调，以电为能源</w:t>
            </w:r>
            <w:r>
              <w:rPr>
                <w:rFonts w:hint="default"/>
                <w:color w:val="auto"/>
                <w:sz w:val="24"/>
                <w:szCs w:val="24"/>
                <w:highlight w:val="none"/>
              </w:rPr>
              <w:t>。</w:t>
            </w:r>
          </w:p>
          <w:p>
            <w:pPr>
              <w:bidi w:val="0"/>
              <w:rPr>
                <w:rFonts w:hint="default"/>
                <w:color w:val="auto"/>
                <w:sz w:val="24"/>
                <w:szCs w:val="24"/>
                <w:highlight w:val="none"/>
              </w:rPr>
            </w:pPr>
            <w:r>
              <w:rPr>
                <w:rFonts w:hint="eastAsia" w:ascii="Times New Roman" w:eastAsia="宋体"/>
                <w:color w:val="auto"/>
                <w:sz w:val="24"/>
                <w:szCs w:val="24"/>
                <w:highlight w:val="none"/>
                <w:lang w:val="en-US" w:eastAsia="zh-CN"/>
              </w:rPr>
              <w:t>12、</w:t>
            </w:r>
            <w:r>
              <w:rPr>
                <w:rFonts w:hint="default"/>
                <w:color w:val="auto"/>
                <w:sz w:val="24"/>
                <w:szCs w:val="24"/>
                <w:highlight w:val="none"/>
              </w:rPr>
              <w:t>项目的地理位置、平面布置与周边关系</w:t>
            </w:r>
          </w:p>
          <w:p>
            <w:pPr>
              <w:bidi w:val="0"/>
              <w:rPr>
                <w:rFonts w:hint="default"/>
                <w:color w:val="auto"/>
                <w:sz w:val="24"/>
                <w:szCs w:val="24"/>
                <w:highlight w:val="none"/>
              </w:rPr>
            </w:pPr>
            <w:r>
              <w:rPr>
                <w:rFonts w:hint="default"/>
                <w:color w:val="auto"/>
                <w:sz w:val="24"/>
                <w:szCs w:val="24"/>
                <w:highlight w:val="none"/>
              </w:rPr>
              <w:t>地理位置：本项目位于</w:t>
            </w:r>
            <w:r>
              <w:rPr>
                <w:rFonts w:hint="eastAsia"/>
                <w:color w:val="auto"/>
                <w:sz w:val="24"/>
                <w:szCs w:val="24"/>
                <w:highlight w:val="none"/>
                <w:lang w:val="en-US" w:eastAsia="zh-CN"/>
              </w:rPr>
              <w:t>唐山市高新区空港新城东南约353米</w:t>
            </w:r>
            <w:r>
              <w:rPr>
                <w:rFonts w:hint="default"/>
                <w:color w:val="auto"/>
                <w:sz w:val="24"/>
                <w:szCs w:val="24"/>
                <w:highlight w:val="none"/>
              </w:rPr>
              <w:t>（用地中心坐标为</w:t>
            </w:r>
            <w:r>
              <w:rPr>
                <w:rFonts w:hint="eastAsia" w:cs="Times New Roman"/>
                <w:color w:val="auto"/>
                <w:sz w:val="24"/>
                <w:szCs w:val="24"/>
                <w:highlight w:val="none"/>
                <w:lang w:val="en-US" w:eastAsia="zh-CN"/>
              </w:rPr>
              <w:t>东经：</w:t>
            </w:r>
            <w:r>
              <w:rPr>
                <w:rFonts w:hint="default" w:ascii="Times New Roman" w:hAnsi="Times New Roman" w:cs="Times New Roman"/>
                <w:color w:val="auto"/>
                <w:sz w:val="24"/>
                <w:szCs w:val="24"/>
                <w:highlight w:val="none"/>
                <w:lang w:val="en-US" w:eastAsia="zh-CN"/>
              </w:rPr>
              <w:t>118°03'02.521"；北纬：39°42'16.914"</w:t>
            </w:r>
            <w:r>
              <w:rPr>
                <w:rFonts w:hint="default"/>
                <w:color w:val="auto"/>
                <w:sz w:val="24"/>
                <w:szCs w:val="24"/>
                <w:highlight w:val="none"/>
              </w:rPr>
              <w:t>），地理位置图详见附图1。</w:t>
            </w:r>
          </w:p>
          <w:p>
            <w:pPr>
              <w:bidi w:val="0"/>
              <w:rPr>
                <w:rFonts w:hint="eastAsia" w:eastAsia="宋体"/>
                <w:color w:val="auto"/>
                <w:sz w:val="24"/>
                <w:szCs w:val="24"/>
                <w:highlight w:val="none"/>
                <w:shd w:val="clear" w:color="auto" w:fill="auto"/>
                <w:lang w:val="en-US" w:eastAsia="zh-CN"/>
              </w:rPr>
            </w:pPr>
            <w:r>
              <w:rPr>
                <w:rFonts w:hint="default"/>
                <w:color w:val="auto"/>
                <w:sz w:val="24"/>
                <w:szCs w:val="24"/>
                <w:highlight w:val="none"/>
                <w:shd w:val="clear" w:color="auto" w:fill="auto"/>
              </w:rPr>
              <w:t>平面布置：</w:t>
            </w:r>
            <w:r>
              <w:rPr>
                <w:rFonts w:hint="eastAsia"/>
                <w:color w:val="auto"/>
                <w:sz w:val="24"/>
                <w:szCs w:val="24"/>
                <w:highlight w:val="none"/>
                <w:shd w:val="clear" w:color="auto" w:fill="auto"/>
                <w:lang w:val="en-US" w:eastAsia="zh-CN"/>
              </w:rPr>
              <w:t>本项目设置一座综合车间，综合车间内西侧由南向北依次为原料储存区、建筑垃圾破碎、筛分等工序生产设备、石碴储存区，综合车间东侧由南向北依次为沉淀澄清池、一级沉淀池、水洗、脱泥、筛分等工序生产设备、再生细骨料储存区；危废间和油品储存间位于综合车间外西北侧</w:t>
            </w:r>
            <w:r>
              <w:rPr>
                <w:rFonts w:hint="eastAsia" w:ascii="Times New Roman" w:eastAsia="宋体"/>
                <w:color w:val="auto"/>
                <w:sz w:val="24"/>
                <w:szCs w:val="24"/>
                <w:highlight w:val="none"/>
                <w:shd w:val="clear" w:color="auto" w:fill="auto"/>
                <w:lang w:val="en-US" w:eastAsia="zh-CN"/>
              </w:rPr>
              <w:t>。</w:t>
            </w:r>
            <w:r>
              <w:rPr>
                <w:rFonts w:hint="default"/>
                <w:color w:val="auto"/>
                <w:sz w:val="24"/>
                <w:szCs w:val="24"/>
                <w:highlight w:val="none"/>
              </w:rPr>
              <w:t>平面布置见附图2</w:t>
            </w:r>
            <w:r>
              <w:rPr>
                <w:rFonts w:hint="eastAsia" w:eastAsia="宋体"/>
                <w:color w:val="auto"/>
                <w:sz w:val="24"/>
                <w:szCs w:val="24"/>
                <w:highlight w:val="none"/>
                <w:lang w:eastAsia="zh-CN"/>
              </w:rPr>
              <w:t>。</w:t>
            </w:r>
          </w:p>
          <w:p>
            <w:pPr>
              <w:bidi w:val="0"/>
              <w:rPr>
                <w:rFonts w:hint="default"/>
                <w:color w:val="auto"/>
                <w:sz w:val="24"/>
                <w:szCs w:val="24"/>
                <w:highlight w:val="none"/>
                <w:lang w:val="en-US" w:eastAsia="zh-CN"/>
              </w:rPr>
            </w:pPr>
            <w:r>
              <w:rPr>
                <w:rFonts w:hint="default"/>
                <w:color w:val="auto"/>
                <w:sz w:val="24"/>
                <w:szCs w:val="24"/>
                <w:highlight w:val="none"/>
              </w:rPr>
              <w:t>周边关系：</w:t>
            </w:r>
            <w:r>
              <w:rPr>
                <w:rFonts w:hint="eastAsia"/>
                <w:color w:val="auto"/>
                <w:sz w:val="24"/>
                <w:szCs w:val="24"/>
                <w:highlight w:val="none"/>
                <w:lang w:val="en-US" w:eastAsia="zh-CN"/>
              </w:rPr>
              <w:t>本项目东侧为唐山德顺金属制品有限公司，南侧为空地，西侧为在建企业，北侧隔规划纬三路为空地</w:t>
            </w:r>
            <w:r>
              <w:rPr>
                <w:rFonts w:hint="default"/>
                <w:color w:val="auto"/>
                <w:sz w:val="24"/>
                <w:szCs w:val="24"/>
                <w:highlight w:val="none"/>
              </w:rPr>
              <w:t>。</w:t>
            </w:r>
            <w:r>
              <w:rPr>
                <w:rFonts w:hint="eastAsia"/>
                <w:color w:val="auto"/>
                <w:sz w:val="24"/>
                <w:szCs w:val="24"/>
                <w:highlight w:val="none"/>
                <w:lang w:val="en-US" w:eastAsia="zh-CN"/>
              </w:rPr>
              <w:t>本</w:t>
            </w:r>
            <w:r>
              <w:rPr>
                <w:rFonts w:hint="eastAsia"/>
                <w:color w:val="auto"/>
                <w:highlight w:val="none"/>
                <w:lang w:val="en-US" w:eastAsia="zh-CN"/>
              </w:rPr>
              <w:t>项目厂界外500m范围内的大气环境保护目标为西侧125m处的三女河敬老院，西北侧130m、西南侧275m处的姚家庄回迁区（在建），245m处的港东铭郡小区，东北侧265m处的姚家庄村居民区，东南侧160m处的杨信庄村居民区</w:t>
            </w:r>
            <w:r>
              <w:rPr>
                <w:rFonts w:hint="eastAsia"/>
                <w:color w:val="auto"/>
                <w:sz w:val="24"/>
                <w:szCs w:val="24"/>
                <w:highlight w:val="none"/>
                <w:lang w:val="en-US" w:eastAsia="zh-CN"/>
              </w:rPr>
              <w:t>，项目</w:t>
            </w:r>
            <w:r>
              <w:rPr>
                <w:rFonts w:hint="eastAsia" w:ascii="Times New Roman" w:eastAsia="宋体"/>
                <w:color w:val="auto"/>
                <w:sz w:val="24"/>
                <w:szCs w:val="24"/>
                <w:highlight w:val="none"/>
                <w:lang w:val="en-US" w:eastAsia="zh-CN"/>
              </w:rPr>
              <w:t>周边关系见附图3，</w:t>
            </w:r>
            <w:r>
              <w:rPr>
                <w:rFonts w:hint="eastAsia"/>
                <w:color w:val="auto"/>
                <w:sz w:val="24"/>
                <w:szCs w:val="24"/>
                <w:highlight w:val="none"/>
                <w:lang w:val="en-US" w:eastAsia="zh-CN"/>
              </w:rPr>
              <w:t>大气环境保护目标分布图</w:t>
            </w:r>
            <w:r>
              <w:rPr>
                <w:rFonts w:hint="eastAsia" w:ascii="Times New Roman" w:eastAsia="宋体"/>
                <w:color w:val="auto"/>
                <w:sz w:val="24"/>
                <w:szCs w:val="24"/>
                <w:highlight w:val="none"/>
                <w:lang w:val="en-US" w:eastAsia="zh-CN"/>
              </w:rPr>
              <w:t>见附图4</w:t>
            </w: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6" w:type="dxa"/>
            <w:noWrap w:val="0"/>
            <w:vAlign w:val="center"/>
          </w:tcPr>
          <w:p>
            <w:pPr>
              <w:pStyle w:val="30"/>
              <w:bidi w:val="0"/>
              <w:rPr>
                <w:color w:val="auto"/>
                <w:sz w:val="24"/>
                <w:szCs w:val="24"/>
                <w:highlight w:val="none"/>
              </w:rPr>
            </w:pPr>
            <w:r>
              <w:rPr>
                <w:rFonts w:hint="eastAsia"/>
                <w:color w:val="auto"/>
                <w:sz w:val="24"/>
                <w:szCs w:val="24"/>
                <w:highlight w:val="none"/>
              </w:rPr>
              <w:t>工艺流程和产排污环节</w:t>
            </w:r>
          </w:p>
        </w:tc>
        <w:tc>
          <w:tcPr>
            <w:tcW w:w="8389" w:type="dxa"/>
            <w:noWrap w:val="0"/>
            <w:vAlign w:val="top"/>
          </w:tcPr>
          <w:p>
            <w:pPr>
              <w:keepNext w:val="0"/>
              <w:keepLines w:val="0"/>
              <w:pageBreakBefore w:val="0"/>
              <w:widowControl w:val="0"/>
              <w:numPr>
                <w:ilvl w:val="0"/>
                <w:numId w:val="14"/>
              </w:numPr>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ascii="Times New Roman" w:eastAsia="宋体"/>
                <w:b/>
                <w:bCs/>
                <w:color w:val="auto"/>
                <w:highlight w:val="none"/>
                <w:lang w:val="en-US" w:eastAsia="zh-CN"/>
              </w:rPr>
              <w:t>生产工艺流程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本项目主要建设</w:t>
            </w:r>
            <w:r>
              <w:rPr>
                <w:rFonts w:hint="default" w:ascii="Times New Roman" w:hAnsi="Times New Roman" w:eastAsia="宋体" w:cs="Times New Roman"/>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条建筑垃圾处理生产线，进行建筑垃圾处理，建筑垃圾包含建筑混凝土块、建筑渣土等，其中，建筑渣土无需破碎，直接进行筛分、水洗工序，具体生产工艺流程如下：</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备料：本项目所需建筑垃圾由国五及以上排放标准或新能源车辆运输至厂区，暂存于生产车间内的原料区</w:t>
            </w:r>
            <w:r>
              <w:rPr>
                <w:rFonts w:hint="eastAsia" w:ascii="Times New Roman" w:hAnsi="Times New Roman" w:eastAsia="宋体" w:cs="Times New Roman"/>
                <w:color w:val="auto"/>
                <w:sz w:val="24"/>
                <w:szCs w:val="24"/>
                <w:highlight w:val="none"/>
                <w:lang w:val="en-US" w:eastAsia="zh-CN"/>
              </w:rPr>
              <w:t>，本项目所用建筑垃圾均经过人工分拣，基本上不含木材、塑料等杂物，但由于建筑渣土粒径较小，其中可能混杂少量杂物</w:t>
            </w:r>
            <w:r>
              <w:rPr>
                <w:rFonts w:hint="default" w:ascii="Times New Roman" w:hAnsi="Times New Roman" w:eastAsia="宋体" w:cs="Times New Roman"/>
                <w:color w:val="auto"/>
                <w:sz w:val="24"/>
                <w:szCs w:val="24"/>
                <w:highlight w:val="none"/>
                <w:lang w:val="en-US" w:eastAsia="zh-CN"/>
              </w:rPr>
              <w:t>。</w:t>
            </w:r>
          </w:p>
          <w:p>
            <w:pPr>
              <w:bidi w:val="0"/>
              <w:rPr>
                <w:rFonts w:hint="default"/>
                <w:b/>
                <w:bCs/>
                <w:color w:val="auto"/>
                <w:highlight w:val="none"/>
                <w:lang w:val="en-US" w:eastAsia="zh-CN"/>
              </w:rPr>
            </w:pPr>
            <w:r>
              <w:rPr>
                <w:rFonts w:hint="eastAsia"/>
                <w:b/>
                <w:bCs/>
                <w:color w:val="auto"/>
                <w:highlight w:val="none"/>
                <w:lang w:val="en-US" w:eastAsia="zh-CN"/>
              </w:rPr>
              <w:t>本工序产污节点主要为：原料运输、卸车、堆存过程产生的颗粒物。</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粗破：生产时人工用铲车将建筑混凝土块等送至颚式破碎机的上料斗，上料斗下方设置振动给料机，经振动给料机给料至颚式破碎机进行粗破，粗破后的物料落料至封闭的</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皮带输送机，经封闭的</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皮带输送机输送至锤式破碎机进行</w:t>
            </w:r>
            <w:r>
              <w:rPr>
                <w:rFonts w:hint="eastAsia"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皮带输送机末端设置磁滑轮，用于去除物料中的废钢筋。</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本工序产污节点主要为：铲车上料</w:t>
            </w:r>
            <w:r>
              <w:rPr>
                <w:rFonts w:hint="eastAsia"/>
                <w:b/>
                <w:bCs/>
                <w:color w:val="auto"/>
                <w:highlight w:val="none"/>
                <w:lang w:val="en-US" w:eastAsia="zh-CN"/>
              </w:rPr>
              <w:t>过程产生的颗粒物，给料机给料过程产生的颗粒物，颚式破碎机入料、破碎、出料过程产生的颗粒物，皮带输送机受料、卸料过程产生的颗粒物；设备运行过程产生的噪声；生产过程产生的废钢筋。</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破：粗破后的物料经封闭的皮带输送机输送至锤式破碎机进行</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破，</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破后的物料落料至封闭的</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皮带输送机，经封闭的</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皮带输送机输送至</w:t>
            </w:r>
            <w:r>
              <w:rPr>
                <w:rFonts w:hint="eastAsia" w:ascii="Times New Roman" w:hAnsi="Times New Roman"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振动筛进行筛分，</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皮带输送机末端设置磁滑轮，用于去除物料中的废钢筋。</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本工序产污节点主要为：锤</w:t>
            </w:r>
            <w:r>
              <w:rPr>
                <w:rFonts w:hint="eastAsia"/>
                <w:b/>
                <w:bCs/>
                <w:color w:val="auto"/>
                <w:highlight w:val="none"/>
                <w:lang w:val="en-US" w:eastAsia="zh-CN"/>
              </w:rPr>
              <w:t>式破碎机入料、破碎、出料过程产生的颗粒物，皮带输送机受料、卸料过程产生的颗粒物；设备运行过程产生的噪声；生产过程产生的废钢筋。</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筛分：</w:t>
            </w:r>
            <w:r>
              <w:rPr>
                <w:rFonts w:hint="eastAsia"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en-US" w:eastAsia="zh-CN"/>
              </w:rPr>
              <w:t>破后的物料由封闭的</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皮带输送机输送至1#振动筛进行筛分，振动筛为</w:t>
            </w:r>
            <w:r>
              <w:rPr>
                <w:rFonts w:hint="eastAsia" w:ascii="Times New Roman" w:hAnsi="Times New Roman" w:eastAsia="宋体" w:cs="Times New Roman"/>
                <w:color w:val="auto"/>
                <w:sz w:val="24"/>
                <w:szCs w:val="24"/>
                <w:highlight w:val="none"/>
                <w:lang w:val="en-US" w:eastAsia="zh-CN"/>
              </w:rPr>
              <w:t>双层</w:t>
            </w:r>
            <w:r>
              <w:rPr>
                <w:rFonts w:hint="default" w:ascii="Times New Roman" w:hAnsi="Times New Roman" w:eastAsia="宋体" w:cs="Times New Roman"/>
                <w:color w:val="auto"/>
                <w:sz w:val="24"/>
                <w:szCs w:val="24"/>
                <w:highlight w:val="none"/>
                <w:lang w:val="en-US" w:eastAsia="zh-CN"/>
              </w:rPr>
              <w:t>筛，</w:t>
            </w:r>
            <w:r>
              <w:rPr>
                <w:rFonts w:hint="eastAsia" w:ascii="Times New Roman" w:hAnsi="Times New Roman" w:eastAsia="宋体" w:cs="Times New Roman"/>
                <w:color w:val="auto"/>
                <w:sz w:val="24"/>
                <w:szCs w:val="24"/>
                <w:highlight w:val="none"/>
                <w:lang w:val="en-US" w:eastAsia="zh-CN"/>
              </w:rPr>
              <w:t>将物料筛分为三层，由上至下粒径依次为&gt;7mm、5-7mm、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mm，&gt;7mm的物料经封闭的3#皮带输送机输送至锤式破碎机再次进行破碎，5-7mm的物料由封闭的4#皮带输送机输送至成品区，作为石碴成品外售，筛下物经封闭的5#皮带输送机输送至</w:t>
            </w:r>
            <w:r>
              <w:rPr>
                <w:rFonts w:hint="eastAsia" w:cs="Times New Roman"/>
                <w:color w:val="auto"/>
                <w:sz w:val="24"/>
                <w:szCs w:val="24"/>
                <w:highlight w:val="none"/>
                <w:lang w:val="en-US" w:eastAsia="zh-CN"/>
              </w:rPr>
              <w:t>冲击式破碎机</w:t>
            </w:r>
            <w:r>
              <w:rPr>
                <w:rFonts w:hint="eastAsia" w:ascii="Times New Roman" w:hAnsi="Times New Roman" w:eastAsia="宋体" w:cs="Times New Roman"/>
                <w:color w:val="auto"/>
                <w:sz w:val="24"/>
                <w:szCs w:val="24"/>
                <w:highlight w:val="none"/>
                <w:lang w:val="en-US" w:eastAsia="zh-CN"/>
              </w:rPr>
              <w:t>进行破碎。</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本工序产污节点主要为：1#振动筛分机</w:t>
            </w:r>
            <w:r>
              <w:rPr>
                <w:rFonts w:hint="eastAsia"/>
                <w:b/>
                <w:bCs/>
                <w:color w:val="auto"/>
                <w:highlight w:val="none"/>
                <w:lang w:val="en-US" w:eastAsia="zh-CN"/>
              </w:rPr>
              <w:t>入料、筛分、出料过程产生的颗粒物，皮带输送机受料、卸料过程产生的颗粒物，石碴成品堆存、装车、运输过程产生的颗粒物；设备运行过程产生的噪声。</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细破：筛下物经封闭的5#皮带输送机输送至</w:t>
            </w:r>
            <w:r>
              <w:rPr>
                <w:rFonts w:hint="eastAsia" w:cs="Times New Roman"/>
                <w:color w:val="auto"/>
                <w:sz w:val="24"/>
                <w:szCs w:val="24"/>
                <w:highlight w:val="none"/>
                <w:lang w:val="en-US" w:eastAsia="zh-CN"/>
              </w:rPr>
              <w:t>冲击式破碎机</w:t>
            </w:r>
            <w:r>
              <w:rPr>
                <w:rFonts w:hint="eastAsia" w:ascii="Times New Roman" w:hAnsi="Times New Roman" w:eastAsia="宋体" w:cs="Times New Roman"/>
                <w:color w:val="auto"/>
                <w:sz w:val="24"/>
                <w:szCs w:val="24"/>
                <w:highlight w:val="none"/>
                <w:lang w:val="en-US" w:eastAsia="zh-CN"/>
              </w:rPr>
              <w:t>进行细破，细破后的物料落料至封闭的6#皮带输送机，经封闭的6#皮带输送机输送至2#振动筛进行筛分，6#</w:t>
            </w:r>
            <w:r>
              <w:rPr>
                <w:rFonts w:hint="default" w:ascii="Times New Roman" w:hAnsi="Times New Roman" w:eastAsia="宋体" w:cs="Times New Roman"/>
                <w:color w:val="auto"/>
                <w:sz w:val="24"/>
                <w:szCs w:val="24"/>
                <w:highlight w:val="none"/>
                <w:lang w:val="en-US" w:eastAsia="zh-CN"/>
              </w:rPr>
              <w:t>皮带输送机末端设置磁滑轮，用于去除物料中的废钢筋。</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本工序产污节点主要为：冲击式破碎机</w:t>
            </w:r>
            <w:r>
              <w:rPr>
                <w:rFonts w:hint="eastAsia"/>
                <w:b/>
                <w:bCs/>
                <w:color w:val="auto"/>
                <w:highlight w:val="none"/>
                <w:lang w:val="en-US" w:eastAsia="zh-CN"/>
              </w:rPr>
              <w:t>入料、破碎、出料过程产生的颗粒物，皮带输送机受料、卸料过程产生的颗粒物；设备运行过程产生的噪声；生产过程产生的废钢筋。</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ascii="Times New Roman" w:hAnsi="Times New Roman" w:eastAsia="宋体" w:cs="Times New Roman"/>
                <w:color w:val="auto"/>
                <w:sz w:val="24"/>
                <w:szCs w:val="24"/>
                <w:highlight w:val="none"/>
                <w:lang w:val="en-US" w:eastAsia="zh-CN"/>
              </w:rPr>
              <w:t>筛分：细破后的物料经封闭的6#皮带输送机输送至2#振动筛进行筛分，筛分机为三层筛，将物料筛分为四层，由上至下粒径依次为&gt;</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mm、2-</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mm、1-2mm、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1mm，&gt;</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mm的物料由</w:t>
            </w:r>
            <w:r>
              <w:rPr>
                <w:rFonts w:hint="eastAsia" w:ascii="Times New Roman" w:hAnsi="Times New Roman" w:eastAsia="宋体" w:cs="Times New Roman"/>
                <w:b w:val="0"/>
                <w:bCs w:val="0"/>
                <w:color w:val="auto"/>
                <w:sz w:val="24"/>
                <w:szCs w:val="24"/>
                <w:highlight w:val="none"/>
                <w:lang w:val="en-US" w:eastAsia="zh-CN"/>
              </w:rPr>
              <w:t>封闭的7#皮带输送机输送至</w:t>
            </w:r>
            <w:r>
              <w:rPr>
                <w:rFonts w:hint="eastAsia" w:cs="Times New Roman"/>
                <w:b w:val="0"/>
                <w:bCs w:val="0"/>
                <w:color w:val="auto"/>
                <w:sz w:val="24"/>
                <w:szCs w:val="24"/>
                <w:highlight w:val="none"/>
                <w:lang w:val="en-US" w:eastAsia="zh-CN"/>
              </w:rPr>
              <w:t>冲击式破碎机</w:t>
            </w:r>
            <w:r>
              <w:rPr>
                <w:rFonts w:hint="eastAsia" w:ascii="Times New Roman" w:hAnsi="Times New Roman" w:eastAsia="宋体" w:cs="Times New Roman"/>
                <w:b w:val="0"/>
                <w:bCs w:val="0"/>
                <w:color w:val="auto"/>
                <w:sz w:val="24"/>
                <w:szCs w:val="24"/>
                <w:highlight w:val="none"/>
                <w:lang w:val="en-US" w:eastAsia="zh-CN"/>
              </w:rPr>
              <w:t>再次进行破碎，2-5mm和1-2mm的物料分别由封闭的8#、9#皮带输送机输送至成品区，作为石碴成品外售，筛下物由封闭的10#皮带输送机输送至3#振动筛进行筛分。</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本工序产污节点主要为：2#振动筛分机</w:t>
            </w:r>
            <w:r>
              <w:rPr>
                <w:rFonts w:hint="eastAsia"/>
                <w:b/>
                <w:bCs/>
                <w:color w:val="auto"/>
                <w:highlight w:val="none"/>
                <w:lang w:val="en-US" w:eastAsia="zh-CN"/>
              </w:rPr>
              <w:t>入料、筛分、出料过程产生的颗粒物，皮带输送机受料、卸料过程产生的颗粒物，石碴成品堆存、装车、运输过程产生的颗粒物；设备运行过程产生的噪声。</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ascii="Times New Roman" w:hAnsi="Times New Roman" w:eastAsia="宋体" w:cs="Times New Roman"/>
                <w:b w:val="0"/>
                <w:bCs w:val="0"/>
                <w:color w:val="auto"/>
                <w:sz w:val="24"/>
                <w:szCs w:val="24"/>
                <w:highlight w:val="none"/>
                <w:lang w:val="en-US" w:eastAsia="zh-CN"/>
              </w:rPr>
              <w:t>筛分：外购建筑渣土</w:t>
            </w:r>
            <w:r>
              <w:rPr>
                <w:rFonts w:hint="default" w:ascii="Times New Roman" w:hAnsi="Times New Roman" w:eastAsia="宋体" w:cs="Times New Roman"/>
                <w:b w:val="0"/>
                <w:bCs w:val="0"/>
                <w:color w:val="auto"/>
                <w:sz w:val="24"/>
                <w:szCs w:val="24"/>
                <w:highlight w:val="none"/>
                <w:lang w:val="en-US" w:eastAsia="zh-CN"/>
              </w:rPr>
              <w:t>人工用铲车</w:t>
            </w:r>
            <w:r>
              <w:rPr>
                <w:rFonts w:hint="eastAsia" w:ascii="Times New Roman" w:hAnsi="Times New Roman" w:eastAsia="宋体" w:cs="Times New Roman"/>
                <w:b w:val="0"/>
                <w:bCs w:val="0"/>
                <w:color w:val="auto"/>
                <w:sz w:val="24"/>
                <w:szCs w:val="24"/>
                <w:highlight w:val="none"/>
                <w:lang w:val="en-US" w:eastAsia="zh-CN"/>
              </w:rPr>
              <w:t>送至上料斗，上料斗下方设置</w:t>
            </w:r>
            <w:r>
              <w:rPr>
                <w:rFonts w:hint="default" w:ascii="Times New Roman" w:hAnsi="Times New Roman" w:eastAsia="宋体" w:cs="Times New Roman"/>
                <w:b w:val="0"/>
                <w:bCs w:val="0"/>
                <w:color w:val="auto"/>
                <w:sz w:val="24"/>
                <w:szCs w:val="24"/>
                <w:highlight w:val="none"/>
                <w:lang w:val="en-US" w:eastAsia="zh-CN"/>
              </w:rPr>
              <w:t>振动给料机，经振动给料机</w:t>
            </w:r>
            <w:r>
              <w:rPr>
                <w:rFonts w:hint="eastAsia" w:ascii="Times New Roman" w:hAnsi="Times New Roman" w:eastAsia="宋体" w:cs="Times New Roman"/>
                <w:b w:val="0"/>
                <w:bCs w:val="0"/>
                <w:color w:val="auto"/>
                <w:sz w:val="24"/>
                <w:szCs w:val="24"/>
                <w:highlight w:val="none"/>
                <w:lang w:val="en-US" w:eastAsia="zh-CN"/>
              </w:rPr>
              <w:t>给料，由封闭的11#皮带输送机输送至3#振动筛进行筛分，经10#皮带输送机和11#皮带输送机输送的物料均进入3#振动筛进行筛分，主要用于去除建筑渣土中含有的少量杂物，筛分过程加水，筛分机为单层筛，筛上物经12#皮带输送机输送至废料暂存区，筛下物自流进入1#擦洗机水洗。</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本工序产污节点主要为：铲车上料</w:t>
            </w:r>
            <w:r>
              <w:rPr>
                <w:rFonts w:hint="eastAsia"/>
                <w:b/>
                <w:bCs/>
                <w:color w:val="auto"/>
                <w:highlight w:val="none"/>
                <w:lang w:val="en-US" w:eastAsia="zh-CN"/>
              </w:rPr>
              <w:t>过程产生的颗粒物，给料机给料过程产生的颗粒物，</w:t>
            </w:r>
            <w:r>
              <w:rPr>
                <w:rFonts w:hint="eastAsia"/>
                <w:b/>
                <w:bCs/>
                <w:color w:val="auto"/>
                <w:kern w:val="0"/>
                <w:sz w:val="24"/>
                <w:szCs w:val="24"/>
                <w:highlight w:val="none"/>
                <w:lang w:val="en-US" w:eastAsia="zh-CN"/>
              </w:rPr>
              <w:t>3#振动筛分机</w:t>
            </w:r>
            <w:r>
              <w:rPr>
                <w:rFonts w:hint="eastAsia"/>
                <w:b/>
                <w:bCs/>
                <w:color w:val="auto"/>
                <w:highlight w:val="none"/>
                <w:lang w:val="en-US" w:eastAsia="zh-CN"/>
              </w:rPr>
              <w:t>入料过程产生的颗粒物，皮带输送机受料、卸料过程产生的颗粒物；设备运行过程产生的噪声；生产过程产生的废料。</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ascii="Times New Roman" w:hAnsi="Times New Roman" w:eastAsia="宋体" w:cs="Times New Roman"/>
                <w:b w:val="0"/>
                <w:bCs w:val="0"/>
                <w:color w:val="auto"/>
                <w:sz w:val="24"/>
                <w:szCs w:val="24"/>
                <w:highlight w:val="none"/>
                <w:lang w:val="en-US" w:eastAsia="zh-CN"/>
              </w:rPr>
              <w:t>水洗：筛分后的筛下物通过管道自流进入1#擦洗机进行水洗，在擦洗机内经叶轮搅拌，料浆产生剧烈的紊流，物料在其中有巨大的动量，并且相互产生剧烈的摩擦和碰撞，包裹在物料表面的泥土由于强度不大，经过摩擦和撞击被剥离下来，浆料进入螺旋洗砂机，螺旋洗砂机向2#擦洗机输送物料的同时对其进行水洗，浆料进入2#擦洗机再次进行水洗，水洗后由渣浆泵泵送至脱泥桶进行脱泥。</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b/>
                <w:bCs/>
                <w:color w:val="auto"/>
                <w:kern w:val="0"/>
                <w:sz w:val="24"/>
                <w:szCs w:val="24"/>
                <w:highlight w:val="none"/>
                <w:lang w:val="en-US" w:eastAsia="zh-CN"/>
              </w:rPr>
              <w:t>本工序产污节点主要为：</w:t>
            </w:r>
            <w:r>
              <w:rPr>
                <w:rFonts w:hint="eastAsia"/>
                <w:b/>
                <w:bCs/>
                <w:color w:val="auto"/>
                <w:highlight w:val="none"/>
                <w:lang w:val="en-US" w:eastAsia="zh-CN"/>
              </w:rPr>
              <w:t>设备运行过程产生的噪声。</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ascii="Times New Roman" w:hAnsi="Times New Roman" w:eastAsia="宋体" w:cs="Times New Roman"/>
                <w:b w:val="0"/>
                <w:bCs w:val="0"/>
                <w:color w:val="auto"/>
                <w:sz w:val="24"/>
                <w:szCs w:val="24"/>
                <w:highlight w:val="none"/>
                <w:lang w:val="en-US" w:eastAsia="zh-CN"/>
              </w:rPr>
              <w:t>脱泥：水洗后的料浆经渣浆泵泵送至脱泥桶，脱泥桶内叶轮带动料浆旋转，物料受到离心力的作用被抛到器壁附近，自脱泥桶下部排出，经管道自流进入振动筛分机进行筛分，泥浆自脱泥桶上部溢流，进入沉淀池进行沉淀处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b/>
                <w:bCs/>
                <w:color w:val="auto"/>
                <w:kern w:val="0"/>
                <w:sz w:val="24"/>
                <w:szCs w:val="24"/>
                <w:highlight w:val="none"/>
                <w:lang w:val="en-US" w:eastAsia="zh-CN"/>
              </w:rPr>
              <w:t>本工序产污节点主要为：脱泥过程产生的废水；</w:t>
            </w:r>
            <w:r>
              <w:rPr>
                <w:rFonts w:hint="eastAsia"/>
                <w:b/>
                <w:bCs/>
                <w:color w:val="auto"/>
                <w:highlight w:val="none"/>
                <w:lang w:val="en-US" w:eastAsia="zh-CN"/>
              </w:rPr>
              <w:t>设备运行过程产生的噪声。</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default" w:ascii="Times New Roman" w:hAnsi="Times New Roman" w:eastAsia="宋体" w:cs="Times New Roman"/>
                <w:b w:val="0"/>
                <w:bCs w:val="0"/>
                <w:color w:val="auto"/>
                <w:kern w:val="24"/>
                <w:sz w:val="24"/>
                <w:szCs w:val="24"/>
                <w:highlight w:val="none"/>
                <w:lang w:val="zh-CN" w:eastAsia="zh-CN"/>
              </w:rPr>
              <w:t>筛分：脱泥后的物料进入筛分机进行筛分，筛分机为四层筛，筛分机上方设置喷淋管道，筛分过程中喷水，筛分后将物料分成五种粒径范围，为</w:t>
            </w:r>
            <w:r>
              <w:rPr>
                <w:rFonts w:hint="eastAsia" w:cs="Times New Roman"/>
                <w:b w:val="0"/>
                <w:bCs w:val="0"/>
                <w:color w:val="auto"/>
                <w:kern w:val="24"/>
                <w:sz w:val="24"/>
                <w:szCs w:val="24"/>
                <w:highlight w:val="none"/>
                <w:lang w:val="en-US" w:eastAsia="zh-CN"/>
              </w:rPr>
              <w:t>16</w:t>
            </w:r>
            <w:r>
              <w:rPr>
                <w:rFonts w:hint="eastAsia" w:ascii="Times New Roman" w:hAnsi="Times New Roman" w:eastAsia="宋体" w:cs="Times New Roman"/>
                <w:b w:val="0"/>
                <w:bCs w:val="0"/>
                <w:color w:val="auto"/>
                <w:kern w:val="24"/>
                <w:sz w:val="24"/>
                <w:szCs w:val="24"/>
                <w:highlight w:val="none"/>
                <w:lang w:val="en-US" w:eastAsia="zh-CN"/>
              </w:rPr>
              <w:t>-40</w:t>
            </w:r>
            <w:r>
              <w:rPr>
                <w:rFonts w:hint="default" w:ascii="Times New Roman" w:hAnsi="Times New Roman" w:eastAsia="宋体" w:cs="Times New Roman"/>
                <w:b w:val="0"/>
                <w:bCs w:val="0"/>
                <w:color w:val="auto"/>
                <w:kern w:val="24"/>
                <w:sz w:val="24"/>
                <w:szCs w:val="24"/>
                <w:highlight w:val="none"/>
                <w:lang w:val="zh-CN" w:eastAsia="zh-CN"/>
              </w:rPr>
              <w:t>目、40~70目、50~100目、70~140目、</w:t>
            </w:r>
            <w:r>
              <w:rPr>
                <w:rFonts w:hint="eastAsia" w:ascii="Times New Roman" w:hAnsi="Times New Roman" w:cs="Times New Roman"/>
                <w:b w:val="0"/>
                <w:bCs w:val="0"/>
                <w:color w:val="auto"/>
                <w:kern w:val="24"/>
                <w:sz w:val="24"/>
                <w:szCs w:val="24"/>
                <w:highlight w:val="none"/>
                <w:lang w:val="en-US" w:eastAsia="zh-CN"/>
              </w:rPr>
              <w:t>&gt;</w:t>
            </w:r>
            <w:r>
              <w:rPr>
                <w:rFonts w:hint="default" w:ascii="Times New Roman" w:hAnsi="Times New Roman" w:eastAsia="宋体" w:cs="Times New Roman"/>
                <w:b w:val="0"/>
                <w:bCs w:val="0"/>
                <w:color w:val="auto"/>
                <w:kern w:val="24"/>
                <w:sz w:val="24"/>
                <w:szCs w:val="24"/>
                <w:highlight w:val="none"/>
                <w:lang w:val="zh-CN" w:eastAsia="zh-CN"/>
              </w:rPr>
              <w:t>140目。</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b/>
                <w:bCs/>
                <w:color w:val="auto"/>
                <w:kern w:val="0"/>
                <w:sz w:val="24"/>
                <w:szCs w:val="24"/>
                <w:highlight w:val="none"/>
                <w:lang w:val="en-US" w:eastAsia="zh-CN"/>
              </w:rPr>
              <w:t>本工序产污节点主要为：筛分过程产生的废水；</w:t>
            </w:r>
            <w:r>
              <w:rPr>
                <w:rFonts w:hint="eastAsia"/>
                <w:b/>
                <w:bCs/>
                <w:color w:val="auto"/>
                <w:highlight w:val="none"/>
                <w:lang w:val="en-US" w:eastAsia="zh-CN"/>
              </w:rPr>
              <w:t>设备运行过程产生的噪声。</w:t>
            </w:r>
          </w:p>
          <w:p>
            <w:pPr>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default" w:ascii="Times New Roman" w:hAnsi="Times New Roman" w:eastAsia="宋体" w:cs="Times New Roman"/>
                <w:b w:val="0"/>
                <w:bCs w:val="0"/>
                <w:color w:val="auto"/>
                <w:kern w:val="24"/>
                <w:sz w:val="24"/>
                <w:szCs w:val="24"/>
                <w:highlight w:val="none"/>
                <w:lang w:val="zh-CN" w:eastAsia="zh-CN"/>
              </w:rPr>
              <w:t>脱水：经筛分后，</w:t>
            </w:r>
            <w:r>
              <w:rPr>
                <w:rFonts w:hint="eastAsia" w:ascii="Times New Roman" w:hAnsi="Times New Roman" w:cs="Times New Roman"/>
                <w:b w:val="0"/>
                <w:bCs w:val="0"/>
                <w:color w:val="auto"/>
                <w:kern w:val="24"/>
                <w:sz w:val="24"/>
                <w:szCs w:val="24"/>
                <w:highlight w:val="none"/>
                <w:lang w:val="en-US" w:eastAsia="zh-CN"/>
              </w:rPr>
              <w:t>&gt;</w:t>
            </w:r>
            <w:r>
              <w:rPr>
                <w:rFonts w:hint="default" w:ascii="Times New Roman" w:hAnsi="Times New Roman" w:eastAsia="宋体" w:cs="Times New Roman"/>
                <w:b w:val="0"/>
                <w:bCs w:val="0"/>
                <w:color w:val="auto"/>
                <w:kern w:val="24"/>
                <w:sz w:val="24"/>
                <w:szCs w:val="24"/>
                <w:highlight w:val="none"/>
                <w:lang w:val="zh-CN" w:eastAsia="zh-CN"/>
              </w:rPr>
              <w:t>140目物料为泥浆，进入沉淀池进行沉淀处理，</w:t>
            </w:r>
            <w:r>
              <w:rPr>
                <w:rFonts w:hint="eastAsia" w:ascii="Times New Roman" w:hAnsi="Times New Roman" w:eastAsia="宋体" w:cs="Times New Roman"/>
                <w:b w:val="0"/>
                <w:bCs w:val="0"/>
                <w:color w:val="auto"/>
                <w:kern w:val="24"/>
                <w:sz w:val="24"/>
                <w:szCs w:val="24"/>
                <w:highlight w:val="none"/>
                <w:lang w:val="en-US" w:eastAsia="zh-CN"/>
              </w:rPr>
              <w:t>其余</w:t>
            </w:r>
            <w:r>
              <w:rPr>
                <w:rFonts w:hint="default" w:ascii="Times New Roman" w:hAnsi="Times New Roman" w:eastAsia="宋体" w:cs="Times New Roman"/>
                <w:b w:val="0"/>
                <w:bCs w:val="0"/>
                <w:color w:val="auto"/>
                <w:kern w:val="24"/>
                <w:sz w:val="24"/>
                <w:szCs w:val="24"/>
                <w:highlight w:val="none"/>
                <w:lang w:val="zh-CN" w:eastAsia="zh-CN"/>
              </w:rPr>
              <w:t>物料分别经管道自流进入脱水筛进行脱水，脱水后</w:t>
            </w:r>
            <w:r>
              <w:rPr>
                <w:rFonts w:hint="eastAsia" w:ascii="Times New Roman" w:hAnsi="Times New Roman" w:eastAsia="宋体" w:cs="Times New Roman"/>
                <w:b w:val="0"/>
                <w:bCs w:val="0"/>
                <w:color w:val="auto"/>
                <w:kern w:val="24"/>
                <w:sz w:val="24"/>
                <w:szCs w:val="24"/>
                <w:highlight w:val="none"/>
                <w:lang w:val="en-US" w:eastAsia="zh-CN"/>
              </w:rPr>
              <w:t>分别</w:t>
            </w:r>
            <w:r>
              <w:rPr>
                <w:rFonts w:hint="default" w:ascii="Times New Roman" w:hAnsi="Times New Roman" w:eastAsia="宋体" w:cs="Times New Roman"/>
                <w:b w:val="0"/>
                <w:bCs w:val="0"/>
                <w:color w:val="auto"/>
                <w:kern w:val="24"/>
                <w:sz w:val="24"/>
                <w:szCs w:val="24"/>
                <w:highlight w:val="none"/>
                <w:lang w:val="zh-CN" w:eastAsia="zh-CN"/>
              </w:rPr>
              <w:t>通过</w:t>
            </w:r>
            <w:r>
              <w:rPr>
                <w:rFonts w:hint="eastAsia" w:ascii="Times New Roman" w:hAnsi="Times New Roman" w:eastAsia="宋体" w:cs="Times New Roman"/>
                <w:b w:val="0"/>
                <w:bCs w:val="0"/>
                <w:color w:val="auto"/>
                <w:kern w:val="24"/>
                <w:sz w:val="24"/>
                <w:szCs w:val="24"/>
                <w:highlight w:val="none"/>
                <w:lang w:val="en-US" w:eastAsia="zh-CN"/>
              </w:rPr>
              <w:t>13#-16#</w:t>
            </w:r>
            <w:r>
              <w:rPr>
                <w:rFonts w:hint="default" w:ascii="Times New Roman" w:hAnsi="Times New Roman" w:eastAsia="宋体" w:cs="Times New Roman"/>
                <w:b w:val="0"/>
                <w:bCs w:val="0"/>
                <w:color w:val="auto"/>
                <w:kern w:val="24"/>
                <w:sz w:val="24"/>
                <w:szCs w:val="24"/>
                <w:highlight w:val="none"/>
                <w:lang w:val="zh-CN" w:eastAsia="zh-CN"/>
              </w:rPr>
              <w:t>皮带输送机输送至</w:t>
            </w:r>
            <w:r>
              <w:rPr>
                <w:rFonts w:hint="eastAsia" w:ascii="Times New Roman" w:hAnsi="Times New Roman" w:eastAsia="宋体" w:cs="Times New Roman"/>
                <w:b w:val="0"/>
                <w:bCs w:val="0"/>
                <w:color w:val="auto"/>
                <w:kern w:val="24"/>
                <w:sz w:val="24"/>
                <w:szCs w:val="24"/>
                <w:highlight w:val="none"/>
                <w:lang w:val="en-US" w:eastAsia="zh-CN"/>
              </w:rPr>
              <w:t>成品区暂存</w:t>
            </w:r>
            <w:r>
              <w:rPr>
                <w:rFonts w:hint="default" w:ascii="Times New Roman" w:hAnsi="Times New Roman" w:eastAsia="宋体" w:cs="Times New Roman"/>
                <w:b w:val="0"/>
                <w:bCs w:val="0"/>
                <w:color w:val="auto"/>
                <w:kern w:val="24"/>
                <w:sz w:val="24"/>
                <w:szCs w:val="24"/>
                <w:highlight w:val="none"/>
                <w:lang w:val="zh-CN" w:eastAsia="zh-CN"/>
              </w:rPr>
              <w:t>，废水进入沉淀池沉淀处理。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b/>
                <w:bCs/>
                <w:color w:val="auto"/>
                <w:kern w:val="0"/>
                <w:sz w:val="24"/>
                <w:szCs w:val="24"/>
                <w:highlight w:val="none"/>
                <w:lang w:val="en-US" w:eastAsia="zh-CN"/>
              </w:rPr>
              <w:t>本工序产污节点主要为：脱水过程产生的废水；</w:t>
            </w:r>
            <w:r>
              <w:rPr>
                <w:rFonts w:hint="eastAsia"/>
                <w:b/>
                <w:bCs/>
                <w:color w:val="auto"/>
                <w:highlight w:val="none"/>
                <w:lang w:val="en-US" w:eastAsia="zh-CN"/>
              </w:rPr>
              <w:t>设备运行过程产生的噪声。</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24"/>
                <w:sz w:val="24"/>
                <w:szCs w:val="24"/>
                <w:highlight w:val="none"/>
                <w:lang w:val="zh-CN" w:eastAsia="zh-CN"/>
              </w:rPr>
            </w:pPr>
            <w:r>
              <w:rPr>
                <w:rFonts w:hint="eastAsia" w:ascii="Times New Roman" w:hAnsi="Times New Roman" w:eastAsia="宋体" w:cs="Times New Roman"/>
                <w:b w:val="0"/>
                <w:bCs w:val="0"/>
                <w:color w:val="auto"/>
                <w:kern w:val="24"/>
                <w:sz w:val="24"/>
                <w:szCs w:val="24"/>
                <w:highlight w:val="none"/>
                <w:lang w:val="en-US" w:eastAsia="zh-CN"/>
              </w:rPr>
              <w:t>废水处理：</w:t>
            </w:r>
            <w:r>
              <w:rPr>
                <w:rFonts w:hint="default" w:ascii="Times New Roman" w:hAnsi="Times New Roman" w:eastAsia="宋体" w:cs="Times New Roman"/>
                <w:b w:val="0"/>
                <w:bCs w:val="0"/>
                <w:color w:val="auto"/>
                <w:kern w:val="24"/>
                <w:sz w:val="24"/>
                <w:szCs w:val="24"/>
                <w:highlight w:val="none"/>
                <w:lang w:val="zh-CN" w:eastAsia="zh-CN"/>
              </w:rPr>
              <w:t>生产过程产生的废水经集水沟或管道收集，</w:t>
            </w:r>
            <w:r>
              <w:rPr>
                <w:rFonts w:hint="eastAsia" w:ascii="Times New Roman" w:hAnsi="Times New Roman" w:eastAsia="宋体" w:cs="Times New Roman"/>
                <w:b w:val="0"/>
                <w:bCs w:val="0"/>
                <w:color w:val="auto"/>
                <w:kern w:val="24"/>
                <w:sz w:val="24"/>
                <w:szCs w:val="24"/>
                <w:highlight w:val="none"/>
                <w:lang w:val="en-US" w:eastAsia="zh-CN"/>
              </w:rPr>
              <w:t>首先进入一级</w:t>
            </w:r>
            <w:r>
              <w:rPr>
                <w:rFonts w:hint="default" w:ascii="Times New Roman" w:hAnsi="Times New Roman" w:eastAsia="宋体" w:cs="Times New Roman"/>
                <w:b w:val="0"/>
                <w:bCs w:val="0"/>
                <w:color w:val="auto"/>
                <w:kern w:val="24"/>
                <w:sz w:val="24"/>
                <w:szCs w:val="24"/>
                <w:highlight w:val="none"/>
                <w:lang w:val="zh-CN" w:eastAsia="zh-CN"/>
              </w:rPr>
              <w:t>沉淀池进行沉淀处理，</w:t>
            </w:r>
            <w:r>
              <w:rPr>
                <w:rFonts w:hint="eastAsia" w:ascii="Times New Roman" w:hAnsi="Times New Roman" w:eastAsia="宋体" w:cs="Times New Roman"/>
                <w:b w:val="0"/>
                <w:bCs w:val="0"/>
                <w:color w:val="auto"/>
                <w:kern w:val="24"/>
                <w:sz w:val="24"/>
                <w:szCs w:val="24"/>
                <w:highlight w:val="none"/>
                <w:lang w:val="en-US" w:eastAsia="zh-CN"/>
              </w:rPr>
              <w:t>上清液溢流进入二级沉淀池</w:t>
            </w:r>
            <w:r>
              <w:rPr>
                <w:rFonts w:hint="default" w:ascii="Times New Roman" w:hAnsi="Times New Roman" w:eastAsia="宋体" w:cs="Times New Roman"/>
                <w:b w:val="0"/>
                <w:bCs w:val="0"/>
                <w:color w:val="auto"/>
                <w:kern w:val="24"/>
                <w:sz w:val="24"/>
                <w:szCs w:val="24"/>
                <w:highlight w:val="none"/>
                <w:lang w:val="zh-CN" w:eastAsia="zh-CN"/>
              </w:rPr>
              <w:t>，</w:t>
            </w:r>
            <w:r>
              <w:rPr>
                <w:rFonts w:hint="eastAsia" w:ascii="Times New Roman" w:hAnsi="Times New Roman" w:eastAsia="宋体" w:cs="Times New Roman"/>
                <w:b w:val="0"/>
                <w:bCs w:val="0"/>
                <w:color w:val="auto"/>
                <w:kern w:val="24"/>
                <w:sz w:val="24"/>
                <w:szCs w:val="24"/>
                <w:highlight w:val="none"/>
                <w:lang w:val="en-US" w:eastAsia="zh-CN"/>
              </w:rPr>
              <w:t>经沉淀澄清后</w:t>
            </w:r>
            <w:r>
              <w:rPr>
                <w:rFonts w:hint="default" w:ascii="Times New Roman" w:hAnsi="Times New Roman" w:eastAsia="宋体" w:cs="Times New Roman"/>
                <w:b w:val="0"/>
                <w:bCs w:val="0"/>
                <w:color w:val="auto"/>
                <w:kern w:val="24"/>
                <w:sz w:val="24"/>
                <w:szCs w:val="24"/>
                <w:highlight w:val="none"/>
                <w:lang w:val="zh-CN" w:eastAsia="zh-CN"/>
              </w:rPr>
              <w:t>回用于生产，</w:t>
            </w:r>
            <w:r>
              <w:rPr>
                <w:rFonts w:hint="eastAsia" w:ascii="Times New Roman" w:hAnsi="Times New Roman" w:eastAsia="宋体" w:cs="Times New Roman"/>
                <w:b w:val="0"/>
                <w:bCs w:val="0"/>
                <w:color w:val="auto"/>
                <w:kern w:val="24"/>
                <w:sz w:val="24"/>
                <w:szCs w:val="24"/>
                <w:highlight w:val="none"/>
                <w:lang w:val="en-US" w:eastAsia="zh-CN"/>
              </w:rPr>
              <w:t>底部</w:t>
            </w:r>
            <w:r>
              <w:rPr>
                <w:rFonts w:hint="eastAsia" w:ascii="Times New Roman" w:hAnsi="Times New Roman" w:cs="Times New Roman"/>
                <w:b w:val="0"/>
                <w:bCs w:val="0"/>
                <w:color w:val="auto"/>
                <w:kern w:val="24"/>
                <w:sz w:val="24"/>
                <w:szCs w:val="24"/>
                <w:highlight w:val="none"/>
                <w:lang w:val="en-US" w:eastAsia="zh-CN"/>
              </w:rPr>
              <w:t>沉泥</w:t>
            </w:r>
            <w:r>
              <w:rPr>
                <w:rFonts w:hint="default" w:ascii="Times New Roman" w:hAnsi="Times New Roman" w:eastAsia="宋体" w:cs="Times New Roman"/>
                <w:b w:val="0"/>
                <w:bCs w:val="0"/>
                <w:color w:val="auto"/>
                <w:kern w:val="24"/>
                <w:sz w:val="24"/>
                <w:szCs w:val="24"/>
                <w:highlight w:val="none"/>
                <w:lang w:val="zh-CN" w:eastAsia="zh-CN"/>
              </w:rPr>
              <w:t>经板框压滤机压滤后，废水返回沉淀池进行沉淀处理，污泥</w:t>
            </w:r>
            <w:r>
              <w:rPr>
                <w:rFonts w:hint="eastAsia" w:ascii="Times New Roman" w:hAnsi="Times New Roman" w:eastAsia="宋体" w:cs="Times New Roman"/>
                <w:b w:val="0"/>
                <w:bCs w:val="0"/>
                <w:color w:val="auto"/>
                <w:kern w:val="24"/>
                <w:sz w:val="24"/>
                <w:szCs w:val="24"/>
                <w:highlight w:val="none"/>
                <w:lang w:val="en-US" w:eastAsia="zh-CN"/>
              </w:rPr>
              <w:t>直接外运，填坑铺路</w:t>
            </w:r>
            <w:r>
              <w:rPr>
                <w:rFonts w:hint="default" w:ascii="Times New Roman" w:hAnsi="Times New Roman" w:eastAsia="宋体" w:cs="Times New Roman"/>
                <w:b w:val="0"/>
                <w:bCs w:val="0"/>
                <w:color w:val="auto"/>
                <w:kern w:val="24"/>
                <w:sz w:val="24"/>
                <w:szCs w:val="24"/>
                <w:highlight w:val="none"/>
                <w:lang w:val="zh-CN" w:eastAsia="zh-CN"/>
              </w:rPr>
              <w:t>。</w:t>
            </w:r>
          </w:p>
          <w:p>
            <w:pPr>
              <w:bidi w:val="0"/>
              <w:rPr>
                <w:rFonts w:hint="eastAsia"/>
                <w:b/>
                <w:bCs/>
                <w:color w:val="auto"/>
                <w:highlight w:val="none"/>
                <w:lang w:val="en-US" w:eastAsia="zh-CN"/>
              </w:rPr>
            </w:pPr>
            <w:r>
              <w:rPr>
                <w:rFonts w:hint="eastAsia"/>
                <w:b/>
                <w:bCs/>
                <w:color w:val="auto"/>
                <w:kern w:val="0"/>
                <w:sz w:val="24"/>
                <w:szCs w:val="24"/>
                <w:highlight w:val="none"/>
                <w:lang w:val="en-US" w:eastAsia="zh-CN"/>
              </w:rPr>
              <w:t>本工序产污节点主要为：废水处理过程产生的污泥；</w:t>
            </w:r>
            <w:r>
              <w:rPr>
                <w:rFonts w:hint="eastAsia"/>
                <w:b/>
                <w:bCs/>
                <w:color w:val="auto"/>
                <w:highlight w:val="none"/>
                <w:lang w:val="en-US" w:eastAsia="zh-CN"/>
              </w:rPr>
              <w:t>设备运行过程产生的噪声。</w:t>
            </w: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rPr>
                <w:rFonts w:hint="eastAsia"/>
                <w:b/>
                <w:bCs/>
                <w:color w:val="auto"/>
                <w:highlight w:val="none"/>
                <w:lang w:val="en-US" w:eastAsia="zh-CN"/>
              </w:rPr>
            </w:pPr>
          </w:p>
          <w:p>
            <w:pPr>
              <w:bidi w:val="0"/>
              <w:ind w:left="0" w:leftChars="0" w:firstLine="0" w:firstLineChars="0"/>
              <w:rPr>
                <w:rFonts w:hint="eastAsia"/>
                <w:b/>
                <w:bCs/>
                <w:color w:val="auto"/>
                <w:highlight w:val="none"/>
                <w:lang w:val="en-US" w:eastAsia="zh-CN"/>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highlight w:val="none"/>
                <w:lang w:val="en-US" w:eastAsia="zh-CN"/>
              </w:rPr>
            </w:pPr>
            <w:r>
              <w:rPr>
                <w:color w:val="auto"/>
                <w:highlight w:val="none"/>
              </w:rPr>
              <w:drawing>
                <wp:inline distT="0" distB="0" distL="114300" distR="114300">
                  <wp:extent cx="5241925" cy="6120130"/>
                  <wp:effectExtent l="0" t="0" r="15875" b="1397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14"/>
                          <a:stretch>
                            <a:fillRect/>
                          </a:stretch>
                        </pic:blipFill>
                        <pic:spPr>
                          <a:xfrm>
                            <a:off x="0" y="0"/>
                            <a:ext cx="5241925" cy="6120130"/>
                          </a:xfrm>
                          <a:prstGeom prst="rect">
                            <a:avLst/>
                          </a:prstGeom>
                          <a:noFill/>
                          <a:ln>
                            <a:noFill/>
                          </a:ln>
                        </pic:spPr>
                      </pic:pic>
                    </a:graphicData>
                  </a:graphic>
                </wp:inline>
              </w:drawing>
            </w:r>
          </w:p>
          <w:p>
            <w:pPr>
              <w:pStyle w:val="29"/>
              <w:bidi w:val="0"/>
              <w:rPr>
                <w:rFonts w:hint="eastAsia"/>
                <w:color w:val="auto"/>
                <w:highlight w:val="none"/>
                <w:lang w:val="en-US" w:eastAsia="zh-CN"/>
              </w:rPr>
            </w:pPr>
            <w:r>
              <w:rPr>
                <w:rFonts w:hint="eastAsia"/>
                <w:color w:val="auto"/>
                <w:highlight w:val="none"/>
                <w:lang w:val="en-US" w:eastAsia="zh-CN"/>
              </w:rPr>
              <w:t>图3  生产工艺流程及排污节点图</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highlight w:val="none"/>
                <w:lang w:val="en-US" w:eastAsia="zh-CN"/>
              </w:rPr>
            </w:pPr>
            <w:r>
              <w:rPr>
                <w:rFonts w:hint="eastAsia" w:ascii="Times New Roman" w:eastAsia="宋体"/>
                <w:b/>
                <w:bCs/>
                <w:color w:val="auto"/>
                <w:highlight w:val="none"/>
                <w:lang w:val="en-US" w:eastAsia="zh-CN"/>
              </w:rPr>
              <w:t>2、环保工程</w:t>
            </w:r>
          </w:p>
          <w:p>
            <w:pPr>
              <w:bidi w:val="0"/>
              <w:rPr>
                <w:rFonts w:hint="eastAsia"/>
                <w:b w:val="0"/>
                <w:bCs w:val="0"/>
                <w:color w:val="auto"/>
                <w:sz w:val="24"/>
                <w:szCs w:val="24"/>
                <w:highlight w:val="none"/>
                <w:lang w:val="en-US" w:eastAsia="zh-CN"/>
              </w:rPr>
            </w:pPr>
            <w:r>
              <w:rPr>
                <w:rFonts w:hint="eastAsia"/>
                <w:b w:val="0"/>
                <w:bCs w:val="0"/>
                <w:color w:val="auto"/>
                <w:highlight w:val="none"/>
                <w:lang w:val="en-US" w:eastAsia="zh-CN"/>
              </w:rPr>
              <w:t>（1）建筑垃圾处理生产线废气处理措施：</w:t>
            </w:r>
            <w:r>
              <w:rPr>
                <w:rFonts w:hint="eastAsia"/>
                <w:b w:val="0"/>
                <w:bCs w:val="0"/>
                <w:color w:val="auto"/>
                <w:sz w:val="24"/>
                <w:szCs w:val="24"/>
                <w:highlight w:val="none"/>
                <w:lang w:val="en-US" w:eastAsia="zh-CN"/>
              </w:rPr>
              <w:t>入料口三面围挡，一面设置软帘，上方设置封闭的集气罩；物料通过封闭的皮带输送机进行转运，其受料点、卸料点设置封闭的集气罩；破碎机、筛分机封闭，其入料点、出料点设置封闭的集气罩；振动给料机封闭；采用风机将上述环节产生的颗粒物引入1套脉冲布袋除尘器（TA001）进行处理，处理后通过1根15m高排气筒（DA001）排放至大气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4"/>
                <w:szCs w:val="24"/>
                <w:highlight w:val="none"/>
                <w:lang w:val="en-US" w:eastAsia="zh-CN"/>
              </w:rPr>
            </w:pPr>
            <w:r>
              <w:rPr>
                <w:color w:val="auto"/>
                <w:highlight w:val="none"/>
              </w:rPr>
              <w:drawing>
                <wp:inline distT="0" distB="0" distL="114300" distR="114300">
                  <wp:extent cx="3668395" cy="756285"/>
                  <wp:effectExtent l="0" t="0" r="8255" b="571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5"/>
                          <a:stretch>
                            <a:fillRect/>
                          </a:stretch>
                        </pic:blipFill>
                        <pic:spPr>
                          <a:xfrm>
                            <a:off x="0" y="0"/>
                            <a:ext cx="3668395" cy="756285"/>
                          </a:xfrm>
                          <a:prstGeom prst="rect">
                            <a:avLst/>
                          </a:prstGeom>
                          <a:noFill/>
                          <a:ln>
                            <a:noFill/>
                          </a:ln>
                        </pic:spPr>
                      </pic:pic>
                    </a:graphicData>
                  </a:graphic>
                </wp:inline>
              </w:drawing>
            </w:r>
          </w:p>
          <w:p>
            <w:pPr>
              <w:pStyle w:val="29"/>
              <w:bidi w:val="0"/>
              <w:rPr>
                <w:rFonts w:hint="eastAsia"/>
                <w:color w:val="auto"/>
                <w:highlight w:val="none"/>
                <w:lang w:val="en-US" w:eastAsia="zh-CN"/>
              </w:rPr>
            </w:pPr>
            <w:r>
              <w:rPr>
                <w:rFonts w:hint="eastAsia"/>
                <w:color w:val="auto"/>
                <w:highlight w:val="none"/>
                <w:lang w:val="en-US" w:eastAsia="zh-CN"/>
              </w:rPr>
              <w:t>图4  废气治理工艺流程及排污节点图</w:t>
            </w:r>
          </w:p>
          <w:p>
            <w:pPr>
              <w:bidi w:val="0"/>
              <w:rPr>
                <w:rFonts w:hint="eastAsia" w:ascii="宋体" w:hAnsi="宋体" w:eastAsia="宋体" w:cs="宋体"/>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原料和成品堆存、转运过程废气及建筑垃圾处理生产线生产</w:t>
            </w:r>
            <w:r>
              <w:rPr>
                <w:rFonts w:hint="eastAsia" w:ascii="宋体" w:hAnsi="宋体" w:eastAsia="宋体" w:cs="宋体"/>
                <w:b w:val="0"/>
                <w:bCs w:val="0"/>
                <w:color w:val="auto"/>
                <w:highlight w:val="none"/>
                <w:lang w:val="en-US" w:eastAsia="zh-CN"/>
              </w:rPr>
              <w:t>过程未捕集废气</w:t>
            </w:r>
            <w:r>
              <w:rPr>
                <w:rFonts w:hint="eastAsia"/>
                <w:b w:val="0"/>
                <w:bCs w:val="0"/>
                <w:color w:val="auto"/>
                <w:highlight w:val="none"/>
                <w:lang w:val="en-US" w:eastAsia="zh-CN"/>
              </w:rPr>
              <w:t>处</w:t>
            </w:r>
            <w:r>
              <w:rPr>
                <w:rFonts w:hint="eastAsia" w:ascii="宋体" w:hAnsi="宋体" w:eastAsia="宋体" w:cs="宋体"/>
                <w:b w:val="0"/>
                <w:bCs w:val="0"/>
                <w:color w:val="auto"/>
                <w:highlight w:val="none"/>
                <w:lang w:val="en-US" w:eastAsia="zh-CN"/>
              </w:rPr>
              <w:t>理措施：车间封闭，</w:t>
            </w:r>
            <w:r>
              <w:rPr>
                <w:rFonts w:hint="eastAsia" w:ascii="宋体" w:hAnsi="宋体" w:cs="宋体"/>
                <w:b w:val="0"/>
                <w:bCs w:val="0"/>
                <w:color w:val="auto"/>
                <w:highlight w:val="none"/>
                <w:lang w:val="en-US" w:eastAsia="zh-CN"/>
              </w:rPr>
              <w:t>原料区、成品区、上料区</w:t>
            </w:r>
            <w:r>
              <w:rPr>
                <w:rFonts w:hint="eastAsia" w:ascii="宋体" w:hAnsi="宋体" w:eastAsia="宋体" w:cs="宋体"/>
                <w:b w:val="0"/>
                <w:bCs w:val="0"/>
                <w:color w:val="auto"/>
                <w:highlight w:val="none"/>
                <w:lang w:val="en-US" w:eastAsia="zh-CN"/>
              </w:rPr>
              <w:t>顶部设置喷淋抑尘装置，重点部位喷雾抑尘，物料通过封闭的皮带输送机进行转运。</w:t>
            </w:r>
          </w:p>
          <w:p>
            <w:pPr>
              <w:bidi w:val="0"/>
              <w:rPr>
                <w:rFonts w:hint="default" w:ascii="宋体" w:hAnsi="宋体" w:eastAsia="宋体" w:cs="宋体"/>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r>
              <w:rPr>
                <w:rFonts w:hint="eastAsia"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val="en-US" w:eastAsia="zh-CN"/>
              </w:rPr>
              <w:t>）</w:t>
            </w:r>
            <w:r>
              <w:rPr>
                <w:rFonts w:hint="eastAsia" w:cs="Times New Roman"/>
                <w:color w:val="auto"/>
                <w:highlight w:val="none"/>
                <w:lang w:val="en-US" w:eastAsia="zh-CN"/>
              </w:rPr>
              <w:t>原料、成品、废料、污泥运输过程产生的颗粒物</w:t>
            </w:r>
            <w:r>
              <w:rPr>
                <w:rFonts w:hint="eastAsia"/>
                <w:b w:val="0"/>
                <w:bCs w:val="0"/>
                <w:color w:val="auto"/>
                <w:highlight w:val="none"/>
                <w:lang w:val="en-US" w:eastAsia="zh-CN"/>
              </w:rPr>
              <w:t>处</w:t>
            </w:r>
            <w:r>
              <w:rPr>
                <w:rFonts w:hint="eastAsia" w:cs="Times New Roman"/>
                <w:color w:val="auto"/>
                <w:highlight w:val="none"/>
                <w:lang w:val="en-US" w:eastAsia="zh-CN"/>
              </w:rPr>
              <w:t>理措施：</w:t>
            </w:r>
            <w:r>
              <w:rPr>
                <w:rFonts w:hint="eastAsia"/>
                <w:color w:val="auto"/>
                <w:highlight w:val="none"/>
                <w:lang w:val="en-US" w:eastAsia="zh-CN"/>
              </w:rPr>
              <w:t>原料、成品、废料、污泥运输过程会产生一定量的颗粒物，采取运输车辆加盖苫布，厂区道路洒水抑尘，厂区出入口设置车辆清洗平台，配备1台湿扫车，1台洒水车对厂区路面进行洒水、湿扫等措施减少颗粒物排放。</w:t>
            </w:r>
          </w:p>
          <w:p>
            <w:pPr>
              <w:bidi w:val="0"/>
              <w:rPr>
                <w:rFonts w:hint="eastAsia" w:ascii="Times New Roman" w:hAnsi="Times New Roman" w:cs="Times New Roman"/>
                <w:b/>
                <w:bCs/>
                <w:color w:val="auto"/>
                <w:sz w:val="24"/>
                <w:szCs w:val="24"/>
                <w:highlight w:val="none"/>
                <w:lang w:val="en-US" w:eastAsia="zh-CN"/>
              </w:rPr>
            </w:pPr>
            <w:r>
              <w:rPr>
                <w:rFonts w:hint="eastAsia"/>
                <w:b/>
                <w:bCs/>
                <w:color w:val="auto"/>
                <w:highlight w:val="none"/>
                <w:lang w:val="en-US" w:eastAsia="zh-CN"/>
              </w:rPr>
              <w:t>废气处理设施</w:t>
            </w:r>
            <w:r>
              <w:rPr>
                <w:rFonts w:hint="eastAsia" w:ascii="Times New Roman" w:eastAsia="宋体"/>
                <w:b/>
                <w:bCs/>
                <w:color w:val="auto"/>
                <w:highlight w:val="none"/>
                <w:lang w:val="en-US" w:eastAsia="zh-CN"/>
              </w:rPr>
              <w:t>产污节点主要为：风机</w:t>
            </w:r>
            <w:r>
              <w:rPr>
                <w:rFonts w:hint="eastAsia"/>
                <w:b/>
                <w:bCs/>
                <w:color w:val="auto"/>
                <w:highlight w:val="none"/>
                <w:lang w:val="en-US" w:eastAsia="zh-CN"/>
              </w:rPr>
              <w:t>和空压机</w:t>
            </w:r>
            <w:r>
              <w:rPr>
                <w:rFonts w:hint="eastAsia" w:ascii="Times New Roman" w:hAnsi="Times New Roman" w:eastAsia="宋体" w:cs="Times New Roman"/>
                <w:b/>
                <w:bCs/>
                <w:color w:val="auto"/>
                <w:sz w:val="24"/>
                <w:szCs w:val="24"/>
                <w:highlight w:val="none"/>
              </w:rPr>
              <w:t>运行</w:t>
            </w:r>
            <w:r>
              <w:rPr>
                <w:rFonts w:hint="eastAsia" w:ascii="Times New Roman" w:hAnsi="Times New Roman" w:eastAsia="宋体" w:cs="Times New Roman"/>
                <w:b/>
                <w:bCs/>
                <w:color w:val="auto"/>
                <w:sz w:val="24"/>
                <w:szCs w:val="24"/>
                <w:highlight w:val="none"/>
                <w:lang w:val="en-US" w:eastAsia="zh-CN"/>
              </w:rPr>
              <w:t>时产生的</w:t>
            </w:r>
            <w:r>
              <w:rPr>
                <w:rFonts w:ascii="Times New Roman" w:hAnsi="Times New Roman" w:eastAsia="宋体" w:cs="Times New Roman"/>
                <w:b/>
                <w:bCs/>
                <w:color w:val="auto"/>
                <w:sz w:val="24"/>
                <w:szCs w:val="24"/>
                <w:highlight w:val="none"/>
              </w:rPr>
              <w:t>噪声；</w:t>
            </w:r>
            <w:r>
              <w:rPr>
                <w:rFonts w:hint="eastAsia" w:cs="Times New Roman"/>
                <w:b/>
                <w:bCs/>
                <w:color w:val="auto"/>
                <w:sz w:val="24"/>
                <w:szCs w:val="24"/>
                <w:highlight w:val="none"/>
                <w:lang w:val="en-US" w:eastAsia="zh-CN"/>
              </w:rPr>
              <w:t>除尘器收集的除尘灰，除尘器定期更换的废布袋</w:t>
            </w:r>
            <w:r>
              <w:rPr>
                <w:rFonts w:hint="eastAsia" w:ascii="Times New Roman" w:hAnsi="Times New Roman" w:cs="Times New Roman"/>
                <w:b/>
                <w:bCs/>
                <w:color w:val="auto"/>
                <w:sz w:val="24"/>
                <w:szCs w:val="24"/>
                <w:highlight w:val="none"/>
                <w:lang w:val="en-US" w:eastAsia="zh-CN"/>
              </w:rPr>
              <w:t>。</w:t>
            </w:r>
          </w:p>
          <w:p>
            <w:pPr>
              <w:numPr>
                <w:ilvl w:val="0"/>
                <w:numId w:val="0"/>
              </w:numPr>
              <w:bidi w:val="0"/>
              <w:ind w:leftChars="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3、设备维护保养</w:t>
            </w:r>
          </w:p>
          <w:p>
            <w:pPr>
              <w:bidi w:val="0"/>
              <w:rPr>
                <w:rFonts w:hint="eastAsia"/>
                <w:color w:val="auto"/>
                <w:highlight w:val="none"/>
                <w:lang w:val="en-US" w:eastAsia="zh-CN"/>
              </w:rPr>
            </w:pPr>
            <w:r>
              <w:rPr>
                <w:rFonts w:hint="eastAsia"/>
                <w:color w:val="auto"/>
                <w:highlight w:val="none"/>
                <w:lang w:val="en-US" w:eastAsia="zh-CN"/>
              </w:rPr>
              <w:t>本项目设备维护保养过程会产生一定量的含油废抹布、废润滑油、废液压油和废油桶。</w:t>
            </w:r>
          </w:p>
          <w:p>
            <w:pPr>
              <w:bidi w:val="0"/>
              <w:ind w:left="0" w:leftChars="0" w:firstLine="0" w:firstLineChars="0"/>
              <w:rPr>
                <w:rFonts w:hint="eastAsia"/>
                <w:color w:val="auto"/>
                <w:highlight w:val="none"/>
              </w:rPr>
            </w:pPr>
            <w:r>
              <w:rPr>
                <w:rFonts w:hint="eastAsia" w:cs="Times New Roman"/>
                <w:b/>
                <w:bCs/>
                <w:color w:val="auto"/>
                <w:sz w:val="24"/>
                <w:szCs w:val="24"/>
                <w:highlight w:val="none"/>
                <w:lang w:val="en-US" w:eastAsia="zh-CN"/>
              </w:rPr>
              <w:t>4、职工生活</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auto"/>
                <w:highlight w:val="none"/>
                <w:lang w:val="en-US" w:eastAsia="zh-CN"/>
              </w:rPr>
            </w:pPr>
            <w:r>
              <w:rPr>
                <w:rFonts w:hint="eastAsia"/>
                <w:b w:val="0"/>
                <w:bCs w:val="0"/>
                <w:color w:val="auto"/>
                <w:sz w:val="24"/>
                <w:szCs w:val="24"/>
                <w:highlight w:val="none"/>
                <w:lang w:val="en-US" w:eastAsia="zh-CN"/>
              </w:rPr>
              <w:t>职工生活过程会产生一定量的生活垃圾、生活污水。</w:t>
            </w:r>
          </w:p>
          <w:p>
            <w:pPr>
              <w:bidi w:val="0"/>
              <w:ind w:left="0" w:leftChars="0" w:firstLine="0" w:firstLineChars="0"/>
              <w:rPr>
                <w:rFonts w:hint="default"/>
                <w:b/>
                <w:bCs/>
                <w:color w:val="auto"/>
                <w:sz w:val="24"/>
                <w:szCs w:val="24"/>
                <w:highlight w:val="none"/>
              </w:rPr>
            </w:pPr>
            <w:r>
              <w:rPr>
                <w:rFonts w:hint="default"/>
                <w:b/>
                <w:bCs/>
                <w:color w:val="auto"/>
                <w:sz w:val="24"/>
                <w:szCs w:val="24"/>
                <w:highlight w:val="none"/>
              </w:rPr>
              <w:t>主要污染工序：</w:t>
            </w:r>
          </w:p>
          <w:p>
            <w:pPr>
              <w:bidi w:val="0"/>
              <w:rPr>
                <w:rFonts w:hint="default"/>
                <w:color w:val="auto"/>
                <w:sz w:val="24"/>
                <w:szCs w:val="24"/>
                <w:highlight w:val="none"/>
              </w:rPr>
            </w:pPr>
            <w:r>
              <w:rPr>
                <w:rFonts w:hint="default"/>
                <w:color w:val="auto"/>
                <w:sz w:val="24"/>
                <w:szCs w:val="24"/>
                <w:highlight w:val="none"/>
              </w:rPr>
              <w:t>（1）废气：</w:t>
            </w:r>
            <w:r>
              <w:rPr>
                <w:rFonts w:hint="eastAsia" w:ascii="Times New Roman" w:eastAsia="宋体"/>
                <w:color w:val="auto"/>
                <w:sz w:val="24"/>
                <w:szCs w:val="24"/>
                <w:highlight w:val="none"/>
                <w:lang w:val="en-US" w:eastAsia="zh-CN"/>
              </w:rPr>
              <w:t>本项目废气污染源主要</w:t>
            </w:r>
            <w:r>
              <w:rPr>
                <w:rFonts w:hint="default"/>
                <w:color w:val="auto"/>
                <w:sz w:val="24"/>
                <w:szCs w:val="24"/>
                <w:highlight w:val="none"/>
              </w:rPr>
              <w:t>为</w:t>
            </w:r>
            <w:r>
              <w:rPr>
                <w:rFonts w:hint="eastAsia"/>
                <w:color w:val="auto"/>
                <w:sz w:val="24"/>
                <w:szCs w:val="24"/>
                <w:highlight w:val="none"/>
                <w:lang w:val="en-US" w:eastAsia="zh-CN"/>
              </w:rPr>
              <w:t>铲车上料、破碎、筛分、转运过程产生的颗粒物；原料和成品堆存、转运过程产生的颗粒物；原料、成品、废料、污泥运输过程产生的颗粒物</w:t>
            </w:r>
            <w:r>
              <w:rPr>
                <w:rFonts w:hint="default"/>
                <w:color w:val="auto"/>
                <w:sz w:val="24"/>
                <w:szCs w:val="24"/>
                <w:highlight w:val="none"/>
              </w:rPr>
              <w:t>。</w:t>
            </w:r>
          </w:p>
          <w:p>
            <w:pPr>
              <w:bidi w:val="0"/>
              <w:rPr>
                <w:rFonts w:hint="default"/>
                <w:color w:val="auto"/>
                <w:sz w:val="24"/>
                <w:szCs w:val="24"/>
                <w:highlight w:val="none"/>
                <w:lang w:val="en-US"/>
              </w:rPr>
            </w:pPr>
            <w:r>
              <w:rPr>
                <w:rFonts w:hint="default"/>
                <w:color w:val="auto"/>
                <w:sz w:val="24"/>
                <w:szCs w:val="24"/>
                <w:highlight w:val="none"/>
              </w:rPr>
              <w:t>（2）废水：</w:t>
            </w:r>
            <w:r>
              <w:rPr>
                <w:rFonts w:hint="eastAsia" w:ascii="Times New Roman" w:eastAsia="宋体"/>
                <w:color w:val="auto"/>
                <w:sz w:val="24"/>
                <w:szCs w:val="24"/>
                <w:highlight w:val="none"/>
                <w:lang w:val="en-US" w:eastAsia="zh-CN"/>
              </w:rPr>
              <w:t>本项目</w:t>
            </w:r>
            <w:r>
              <w:rPr>
                <w:rFonts w:hint="eastAsia"/>
                <w:color w:val="auto"/>
                <w:sz w:val="24"/>
                <w:szCs w:val="24"/>
                <w:highlight w:val="none"/>
                <w:lang w:val="en-US" w:eastAsia="zh-CN"/>
              </w:rPr>
              <w:t>废水污染源主要为生产过程（筛分、脱泥、脱水、再生细骨料堆存过程）、洗车过程产生的废水，职工生活产生的生活污水。</w:t>
            </w:r>
          </w:p>
          <w:p>
            <w:pPr>
              <w:bidi w:val="0"/>
              <w:rPr>
                <w:rFonts w:hint="default"/>
                <w:color w:val="auto"/>
                <w:sz w:val="24"/>
                <w:szCs w:val="24"/>
                <w:highlight w:val="none"/>
              </w:rPr>
            </w:pPr>
            <w:r>
              <w:rPr>
                <w:rFonts w:hint="default"/>
                <w:color w:val="auto"/>
                <w:sz w:val="24"/>
                <w:szCs w:val="24"/>
                <w:highlight w:val="none"/>
              </w:rPr>
              <w:t>（3）噪声：</w:t>
            </w:r>
            <w:r>
              <w:rPr>
                <w:rFonts w:hint="eastAsia" w:ascii="Times New Roman" w:eastAsia="宋体"/>
                <w:color w:val="auto"/>
                <w:sz w:val="24"/>
                <w:szCs w:val="24"/>
                <w:highlight w:val="none"/>
                <w:lang w:val="en-US" w:eastAsia="zh-CN"/>
              </w:rPr>
              <w:t>本项目噪声污染</w:t>
            </w:r>
            <w:r>
              <w:rPr>
                <w:rFonts w:hint="eastAsia"/>
                <w:color w:val="auto"/>
                <w:sz w:val="24"/>
                <w:szCs w:val="24"/>
                <w:highlight w:val="none"/>
                <w:lang w:val="en-US" w:eastAsia="zh-CN"/>
              </w:rPr>
              <w:t>源</w:t>
            </w:r>
            <w:r>
              <w:rPr>
                <w:rFonts w:hint="default"/>
                <w:color w:val="auto"/>
                <w:sz w:val="24"/>
                <w:szCs w:val="24"/>
                <w:highlight w:val="none"/>
              </w:rPr>
              <w:t>主要为</w:t>
            </w:r>
            <w:r>
              <w:rPr>
                <w:rFonts w:hint="eastAsia"/>
                <w:color w:val="auto"/>
                <w:sz w:val="24"/>
                <w:szCs w:val="24"/>
                <w:highlight w:val="none"/>
                <w:lang w:val="en-US" w:eastAsia="zh-CN"/>
              </w:rPr>
              <w:t>设备</w:t>
            </w:r>
            <w:r>
              <w:rPr>
                <w:rFonts w:hint="default"/>
                <w:color w:val="auto"/>
                <w:sz w:val="24"/>
                <w:szCs w:val="24"/>
                <w:highlight w:val="none"/>
              </w:rPr>
              <w:t>运行</w:t>
            </w:r>
            <w:r>
              <w:rPr>
                <w:rFonts w:hint="eastAsia"/>
                <w:color w:val="auto"/>
                <w:sz w:val="24"/>
                <w:szCs w:val="24"/>
                <w:highlight w:val="none"/>
                <w:lang w:val="en-US" w:eastAsia="zh-CN"/>
              </w:rPr>
              <w:t>过程</w:t>
            </w:r>
            <w:r>
              <w:rPr>
                <w:rFonts w:hint="default"/>
                <w:color w:val="auto"/>
                <w:sz w:val="24"/>
                <w:szCs w:val="24"/>
                <w:highlight w:val="none"/>
              </w:rPr>
              <w:t>产生的噪声。</w:t>
            </w:r>
          </w:p>
          <w:p>
            <w:pPr>
              <w:keepNext w:val="0"/>
              <w:keepLines w:val="0"/>
              <w:pageBreakBefore w:val="0"/>
              <w:widowControl w:val="0"/>
              <w:tabs>
                <w:tab w:val="left" w:pos="6310"/>
              </w:tabs>
              <w:kinsoku/>
              <w:wordWrap/>
              <w:overflowPunct/>
              <w:topLinePunct w:val="0"/>
              <w:autoSpaceDE/>
              <w:autoSpaceDN/>
              <w:bidi w:val="0"/>
              <w:spacing w:line="480" w:lineRule="exact"/>
              <w:ind w:right="0" w:firstLine="480" w:firstLineChars="200"/>
              <w:textAlignment w:val="auto"/>
              <w:outlineLvl w:val="9"/>
              <w:rPr>
                <w:rFonts w:hint="default" w:cs="Times New Roman"/>
                <w:b w:val="0"/>
                <w:bCs w:val="0"/>
                <w:snapToGrid w:val="0"/>
                <w:color w:val="auto"/>
                <w:kern w:val="0"/>
                <w:sz w:val="24"/>
                <w:szCs w:val="21"/>
                <w:highlight w:val="none"/>
                <w:shd w:val="clear" w:color="auto" w:fill="auto"/>
                <w:lang w:val="en-US" w:eastAsia="zh-CN" w:bidi="ar-SA"/>
              </w:rPr>
            </w:pPr>
            <w:r>
              <w:rPr>
                <w:rFonts w:hint="default"/>
                <w:b w:val="0"/>
                <w:bCs w:val="0"/>
                <w:color w:val="auto"/>
                <w:sz w:val="24"/>
                <w:szCs w:val="24"/>
                <w:highlight w:val="none"/>
              </w:rPr>
              <w:t>（4）固体废物：</w:t>
            </w:r>
            <w:r>
              <w:rPr>
                <w:rFonts w:hint="eastAsia" w:ascii="Times New Roman" w:eastAsia="宋体"/>
                <w:b w:val="0"/>
                <w:bCs w:val="0"/>
                <w:color w:val="auto"/>
                <w:sz w:val="24"/>
                <w:szCs w:val="24"/>
                <w:highlight w:val="none"/>
                <w:lang w:val="en-US" w:eastAsia="zh-CN"/>
              </w:rPr>
              <w:t>本项目固体废物主要</w:t>
            </w:r>
            <w:r>
              <w:rPr>
                <w:rFonts w:hint="default" w:ascii="Times New Roman" w:hAnsi="Times New Roman" w:eastAsia="宋体" w:cs="Times New Roman"/>
                <w:b w:val="0"/>
                <w:bCs w:val="0"/>
                <w:snapToGrid w:val="0"/>
                <w:color w:val="auto"/>
                <w:kern w:val="0"/>
                <w:sz w:val="24"/>
                <w:szCs w:val="21"/>
                <w:highlight w:val="none"/>
                <w:shd w:val="clear" w:color="auto" w:fill="auto"/>
                <w:lang w:val="en-US" w:eastAsia="zh-CN" w:bidi="ar-SA"/>
              </w:rPr>
              <w:t>为</w:t>
            </w:r>
            <w:r>
              <w:rPr>
                <w:rFonts w:hint="eastAsia" w:cs="Times New Roman"/>
                <w:b w:val="0"/>
                <w:bCs w:val="0"/>
                <w:snapToGrid w:val="0"/>
                <w:color w:val="auto"/>
                <w:kern w:val="0"/>
                <w:sz w:val="24"/>
                <w:szCs w:val="21"/>
                <w:highlight w:val="none"/>
                <w:shd w:val="clear" w:color="auto" w:fill="auto"/>
                <w:lang w:val="en-US" w:eastAsia="zh-CN" w:bidi="ar-SA"/>
              </w:rPr>
              <w:t>生产过程产生的废料、废钢筋；洗车平台产生的污泥；</w:t>
            </w:r>
            <w:r>
              <w:rPr>
                <w:rFonts w:hint="eastAsia" w:cs="Times New Roman"/>
                <w:b w:val="0"/>
                <w:bCs w:val="0"/>
                <w:color w:val="auto"/>
                <w:sz w:val="24"/>
                <w:szCs w:val="24"/>
                <w:highlight w:val="none"/>
                <w:lang w:val="en-US" w:eastAsia="zh-CN"/>
              </w:rPr>
              <w:t>除尘器收集的除尘灰；除尘器定期更换的废布袋；废水处理过程产生的污泥；</w:t>
            </w:r>
            <w:r>
              <w:rPr>
                <w:rFonts w:hint="eastAsia" w:eastAsia="宋体"/>
                <w:b w:val="0"/>
                <w:bCs w:val="0"/>
                <w:color w:val="auto"/>
                <w:highlight w:val="none"/>
                <w:lang w:val="en-US" w:eastAsia="zh-CN"/>
              </w:rPr>
              <w:t>设备维护保养过程产生的含油废抹布、废润滑油、</w:t>
            </w:r>
            <w:r>
              <w:rPr>
                <w:rFonts w:hint="eastAsia"/>
                <w:b w:val="0"/>
                <w:bCs w:val="0"/>
                <w:color w:val="auto"/>
                <w:highlight w:val="none"/>
                <w:lang w:val="en-US" w:eastAsia="zh-CN"/>
              </w:rPr>
              <w:t>废液压油、废油桶</w:t>
            </w:r>
            <w:r>
              <w:rPr>
                <w:rFonts w:hint="eastAsia" w:eastAsia="宋体"/>
                <w:b w:val="0"/>
                <w:bCs w:val="0"/>
                <w:color w:val="auto"/>
                <w:highlight w:val="none"/>
                <w:lang w:val="en-US" w:eastAsia="zh-CN"/>
              </w:rPr>
              <w:t>；职工生活产生的生活垃圾</w:t>
            </w:r>
            <w:r>
              <w:rPr>
                <w:rFonts w:hint="eastAsia" w:cs="Times New Roman"/>
                <w:b w:val="0"/>
                <w:bCs w:val="0"/>
                <w:snapToGrid w:val="0"/>
                <w:color w:val="auto"/>
                <w:kern w:val="0"/>
                <w:sz w:val="24"/>
                <w:szCs w:val="21"/>
                <w:highlight w:val="none"/>
                <w:shd w:val="clear" w:color="auto" w:fill="auto"/>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776" w:type="dxa"/>
            <w:noWrap w:val="0"/>
            <w:vAlign w:val="center"/>
          </w:tcPr>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bCs/>
                <w:color w:val="auto"/>
                <w:kern w:val="2"/>
                <w:sz w:val="24"/>
                <w:szCs w:val="24"/>
                <w:highlight w:val="none"/>
                <w:shd w:val="clear" w:color="auto" w:fill="auto"/>
              </w:rPr>
              <w:t>与项目有关的原有环境污染问题</w:t>
            </w:r>
          </w:p>
        </w:tc>
        <w:tc>
          <w:tcPr>
            <w:tcW w:w="8389" w:type="dxa"/>
            <w:noWrap w:val="0"/>
            <w:vAlign w:val="top"/>
          </w:tcPr>
          <w:p>
            <w:pPr>
              <w:bidi w:val="0"/>
              <w:rPr>
                <w:rFonts w:hint="eastAsia"/>
                <w:color w:val="auto"/>
                <w:highlight w:val="none"/>
              </w:rPr>
            </w:pPr>
            <w:r>
              <w:rPr>
                <w:rFonts w:hint="eastAsia"/>
                <w:color w:val="auto"/>
                <w:highlight w:val="none"/>
              </w:rPr>
              <w:t>本项目属于新建项目</w:t>
            </w:r>
            <w:r>
              <w:rPr>
                <w:rFonts w:hint="eastAsia"/>
                <w:color w:val="auto"/>
                <w:highlight w:val="none"/>
                <w:lang w:eastAsia="zh-CN"/>
              </w:rPr>
              <w:t>，</w:t>
            </w:r>
            <w:r>
              <w:rPr>
                <w:rFonts w:hint="eastAsia"/>
                <w:color w:val="auto"/>
                <w:highlight w:val="none"/>
                <w:lang w:val="en-US" w:eastAsia="zh-CN"/>
              </w:rPr>
              <w:t>租赁现有废弃厂区进行建设，根据现场踏勘和与建设单位核实，本项目租赁厂区内厂房现已拆除，不存在环境遗留</w:t>
            </w:r>
            <w:r>
              <w:rPr>
                <w:rFonts w:hint="eastAsia"/>
                <w:color w:val="auto"/>
                <w:highlight w:val="none"/>
              </w:rPr>
              <w:t>问题。</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ind w:left="0" w:leftChars="0" w:firstLine="0" w:firstLineChars="0"/>
              <w:rPr>
                <w:rFonts w:hint="default"/>
                <w:color w:val="auto"/>
                <w:highlight w:val="none"/>
              </w:rPr>
            </w:pPr>
          </w:p>
          <w:p>
            <w:pPr>
              <w:pStyle w:val="14"/>
              <w:keepNext w:val="0"/>
              <w:keepLines w:val="0"/>
              <w:pageBreakBefore w:val="0"/>
              <w:kinsoku/>
              <w:wordWrap/>
              <w:overflowPunct/>
              <w:topLinePunct w:val="0"/>
              <w:bidi w:val="0"/>
              <w:ind w:left="0" w:leftChars="0" w:right="0" w:rightChars="0" w:firstLine="0" w:firstLineChars="0"/>
              <w:textAlignment w:val="auto"/>
              <w:rPr>
                <w:rFonts w:hint="eastAsia"/>
                <w:color w:val="auto"/>
                <w:highlight w:val="none"/>
              </w:rPr>
            </w:pPr>
          </w:p>
          <w:p>
            <w:pPr>
              <w:pStyle w:val="34"/>
              <w:ind w:left="0" w:leftChars="0" w:firstLine="0" w:firstLineChars="0"/>
              <w:rPr>
                <w:rFonts w:hint="eastAsia"/>
                <w:color w:val="auto"/>
                <w:highlight w:val="none"/>
                <w:lang w:val="en-US" w:eastAsia="zh-CN"/>
              </w:rPr>
            </w:pPr>
          </w:p>
          <w:p>
            <w:pPr>
              <w:pStyle w:val="34"/>
              <w:ind w:left="0" w:leftChars="0" w:firstLine="0" w:firstLineChars="0"/>
              <w:rPr>
                <w:rFonts w:hint="eastAsia"/>
                <w:color w:val="auto"/>
                <w:highlight w:val="none"/>
                <w:lang w:val="en-US" w:eastAsia="zh-CN"/>
              </w:rPr>
            </w:pPr>
          </w:p>
          <w:p>
            <w:pPr>
              <w:pStyle w:val="34"/>
              <w:ind w:left="0" w:leftChars="0" w:firstLine="0" w:firstLineChars="0"/>
              <w:rPr>
                <w:rFonts w:hint="eastAsia"/>
                <w:color w:val="auto"/>
                <w:highlight w:val="none"/>
                <w:lang w:val="en-US" w:eastAsia="zh-CN"/>
              </w:rPr>
            </w:pPr>
          </w:p>
          <w:p>
            <w:pPr>
              <w:pStyle w:val="34"/>
              <w:ind w:left="0" w:leftChars="0" w:firstLine="0" w:firstLineChars="0"/>
              <w:rPr>
                <w:rFonts w:hint="eastAsia"/>
                <w:color w:val="auto"/>
                <w:highlight w:val="none"/>
                <w:lang w:val="en-US" w:eastAsia="zh-CN"/>
              </w:rPr>
            </w:pPr>
          </w:p>
          <w:p>
            <w:pPr>
              <w:pStyle w:val="34"/>
              <w:ind w:left="0" w:leftChars="0" w:firstLine="0" w:firstLineChars="0"/>
              <w:rPr>
                <w:rFonts w:hint="eastAsia"/>
                <w:color w:val="auto"/>
                <w:highlight w:val="none"/>
                <w:lang w:val="en-US" w:eastAsia="zh-CN"/>
              </w:rPr>
            </w:pPr>
          </w:p>
        </w:tc>
      </w:tr>
    </w:tbl>
    <w:p>
      <w:pPr>
        <w:rPr>
          <w:color w:val="auto"/>
          <w:highlight w:val="none"/>
        </w:rPr>
      </w:pPr>
      <w:r>
        <w:rPr>
          <w:color w:val="auto"/>
          <w:highlight w:val="none"/>
        </w:rPr>
        <w:br w:type="page"/>
      </w:r>
    </w:p>
    <w:p>
      <w:pPr>
        <w:pStyle w:val="2"/>
        <w:bidi w:val="0"/>
        <w:rPr>
          <w:rFonts w:hint="eastAsia"/>
          <w:color w:val="auto"/>
          <w:highlight w:val="none"/>
        </w:rPr>
      </w:pPr>
      <w:bookmarkStart w:id="4" w:name="_Toc4206"/>
      <w:r>
        <w:rPr>
          <w:rFonts w:hint="eastAsia"/>
          <w:color w:val="auto"/>
          <w:highlight w:val="none"/>
        </w:rPr>
        <w:t>三、区域环境质量现状、环境保护目标及评价标准</w:t>
      </w:r>
      <w:bookmarkEnd w:id="4"/>
    </w:p>
    <w:tbl>
      <w:tblPr>
        <w:tblStyle w:val="23"/>
        <w:tblW w:w="91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3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0" w:hRule="atLeast"/>
          <w:jc w:val="center"/>
        </w:trPr>
        <w:tc>
          <w:tcPr>
            <w:tcW w:w="800" w:type="dxa"/>
            <w:noWrap w:val="0"/>
            <w:vAlign w:val="center"/>
          </w:tcPr>
          <w:p>
            <w:pPr>
              <w:pStyle w:val="30"/>
              <w:bidi w:val="0"/>
              <w:rPr>
                <w:color w:val="auto"/>
                <w:highlight w:val="none"/>
              </w:rPr>
            </w:pPr>
            <w:r>
              <w:rPr>
                <w:rFonts w:hint="eastAsia"/>
                <w:color w:val="auto"/>
                <w:sz w:val="24"/>
                <w:szCs w:val="24"/>
                <w:highlight w:val="none"/>
              </w:rPr>
              <w:t>区域环境质量现状</w:t>
            </w:r>
          </w:p>
        </w:tc>
        <w:tc>
          <w:tcPr>
            <w:tcW w:w="8346"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b/>
                <w:bCs/>
                <w:color w:val="auto"/>
                <w:highlight w:val="none"/>
              </w:rPr>
            </w:pPr>
            <w:r>
              <w:rPr>
                <w:rFonts w:hint="default" w:ascii="Times New Roman" w:hAnsi="Times New Roman" w:cs="Times New Roman"/>
                <w:b/>
                <w:bCs/>
                <w:color w:val="auto"/>
                <w:highlight w:val="none"/>
              </w:rPr>
              <w:t>1</w:t>
            </w:r>
            <w:r>
              <w:rPr>
                <w:rFonts w:hint="default" w:ascii="Times New Roman" w:hAnsi="Times New Roman" w:eastAsia="宋体" w:cs="Times New Roman"/>
                <w:b/>
                <w:bCs/>
                <w:color w:val="auto"/>
                <w:highlight w:val="none"/>
                <w:lang w:eastAsia="zh-CN"/>
              </w:rPr>
              <w:t>、</w:t>
            </w:r>
            <w:r>
              <w:rPr>
                <w:rFonts w:hint="default"/>
                <w:b/>
                <w:bCs/>
                <w:color w:val="auto"/>
                <w:highlight w:val="none"/>
              </w:rPr>
              <w:t>环境空气</w:t>
            </w:r>
          </w:p>
          <w:p>
            <w:pPr>
              <w:bidi w:val="0"/>
              <w:rPr>
                <w:rFonts w:hint="default"/>
                <w:color w:val="auto"/>
                <w:highlight w:val="none"/>
              </w:rPr>
            </w:pPr>
            <w:r>
              <w:rPr>
                <w:rFonts w:hint="eastAsia"/>
                <w:color w:val="auto"/>
                <w:highlight w:val="none"/>
              </w:rPr>
              <w:t>（1）</w:t>
            </w:r>
            <w:r>
              <w:rPr>
                <w:rFonts w:hint="default"/>
                <w:color w:val="auto"/>
                <w:highlight w:val="none"/>
              </w:rPr>
              <w:t>项目所在区域环境质量达标情况</w:t>
            </w:r>
          </w:p>
          <w:p>
            <w:pPr>
              <w:bidi w:val="0"/>
              <w:rPr>
                <w:rFonts w:hint="default"/>
                <w:color w:val="auto"/>
                <w:highlight w:val="none"/>
              </w:rPr>
            </w:pPr>
            <w:r>
              <w:rPr>
                <w:rFonts w:hint="default"/>
                <w:color w:val="auto"/>
                <w:highlight w:val="none"/>
              </w:rPr>
              <w:t>项目所在区域环境空气质量现状数据采用唐山市生态环境局公开发布的</w:t>
            </w:r>
            <w:r>
              <w:rPr>
                <w:rFonts w:hint="default"/>
                <w:color w:val="auto"/>
                <w:highlight w:val="none"/>
                <w:lang w:val="zh-CN"/>
              </w:rPr>
              <w:t>《20</w:t>
            </w:r>
            <w:r>
              <w:rPr>
                <w:rFonts w:hint="eastAsia"/>
                <w:color w:val="auto"/>
                <w:highlight w:val="none"/>
                <w:lang w:val="en-US" w:eastAsia="zh-CN"/>
              </w:rPr>
              <w:t>22</w:t>
            </w:r>
            <w:r>
              <w:rPr>
                <w:rFonts w:hint="default"/>
                <w:color w:val="auto"/>
                <w:highlight w:val="none"/>
                <w:lang w:val="zh-CN"/>
              </w:rPr>
              <w:t>年唐山市</w:t>
            </w:r>
            <w:r>
              <w:rPr>
                <w:rFonts w:hint="eastAsia"/>
                <w:color w:val="auto"/>
                <w:highlight w:val="none"/>
                <w:lang w:val="en-US" w:eastAsia="zh-CN"/>
              </w:rPr>
              <w:t>生态</w:t>
            </w:r>
            <w:r>
              <w:rPr>
                <w:rFonts w:hint="default"/>
                <w:color w:val="auto"/>
                <w:highlight w:val="none"/>
                <w:lang w:val="zh-CN"/>
              </w:rPr>
              <w:t>环境状况公报》中唐山市空气质量数据，</w:t>
            </w:r>
            <w:r>
              <w:rPr>
                <w:rFonts w:hint="default"/>
                <w:color w:val="auto"/>
                <w:highlight w:val="none"/>
              </w:rPr>
              <w:t>具体情况见下表。</w:t>
            </w:r>
          </w:p>
          <w:p>
            <w:pPr>
              <w:pStyle w:val="29"/>
              <w:bidi w:val="0"/>
              <w:rPr>
                <w:rFonts w:hint="default"/>
                <w:color w:val="auto"/>
                <w:highlight w:val="none"/>
              </w:rPr>
            </w:pPr>
            <w:r>
              <w:rPr>
                <w:rFonts w:hint="default"/>
                <w:color w:val="auto"/>
                <w:sz w:val="21"/>
                <w:szCs w:val="21"/>
                <w:highlight w:val="none"/>
              </w:rPr>
              <w:t>表</w:t>
            </w:r>
            <w:r>
              <w:rPr>
                <w:rFonts w:hint="eastAsia"/>
                <w:color w:val="auto"/>
                <w:sz w:val="21"/>
                <w:szCs w:val="21"/>
                <w:highlight w:val="none"/>
                <w:lang w:val="en-US" w:eastAsia="zh-CN"/>
              </w:rPr>
              <w:t xml:space="preserve">14  </w:t>
            </w: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年区域环境质量现状评价表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2"/>
              <w:gridCol w:w="1813"/>
              <w:gridCol w:w="1625"/>
              <w:gridCol w:w="1500"/>
              <w:gridCol w:w="1199"/>
              <w:gridCol w:w="1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13.3</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32</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80</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67</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95.7</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105.7</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9"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1500</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37.5</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113.8</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超标</w:t>
                  </w:r>
                </w:p>
              </w:tc>
            </w:tr>
          </w:tbl>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default" w:ascii="Times New Roman" w:hAnsi="Times New Roman" w:eastAsia="宋体" w:cs="Times New Roman"/>
                <w:color w:val="auto"/>
                <w:kern w:val="2"/>
                <w:sz w:val="24"/>
                <w:szCs w:val="21"/>
                <w:highlight w:val="none"/>
                <w:shd w:val="clear" w:color="auto" w:fill="auto"/>
                <w:lang w:val="en-US" w:eastAsia="zh-CN" w:bidi="ar"/>
              </w:rPr>
            </w:pPr>
            <w:r>
              <w:rPr>
                <w:rFonts w:hint="default" w:ascii="Times New Roman" w:hAnsi="Times New Roman" w:eastAsia="宋体" w:cs="Times New Roman"/>
                <w:color w:val="auto"/>
                <w:kern w:val="2"/>
                <w:sz w:val="24"/>
                <w:szCs w:val="21"/>
                <w:highlight w:val="none"/>
                <w:shd w:val="clear" w:color="auto" w:fill="auto"/>
                <w:lang w:val="en-US" w:eastAsia="zh-CN" w:bidi="ar"/>
              </w:rPr>
              <w:t>由上表可知，SO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eastAsia"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达标，PM</w:t>
            </w:r>
            <w:r>
              <w:rPr>
                <w:rFonts w:hint="eastAsia"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的年平均质量浓度不达标，O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的日最大8h平均第90百分位浓度不达标，故项目所在区域环境空气质量不达标，属于不达标区。</w:t>
            </w:r>
          </w:p>
          <w:p>
            <w:pPr>
              <w:bidi w:val="0"/>
              <w:rPr>
                <w:rFonts w:hint="default"/>
                <w:color w:val="auto"/>
                <w:highlight w:val="none"/>
              </w:rPr>
            </w:pPr>
            <w:r>
              <w:rPr>
                <w:rFonts w:hint="default"/>
                <w:color w:val="auto"/>
                <w:highlight w:val="none"/>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w:t>
            </w:r>
            <w:r>
              <w:rPr>
                <w:rFonts w:ascii="Times New Roman" w:hAnsi="Times New Roman" w:eastAsia="宋体" w:cs="Times New Roman"/>
                <w:color w:val="auto"/>
                <w:sz w:val="24"/>
                <w:szCs w:val="24"/>
                <w:highlight w:val="none"/>
              </w:rPr>
              <w:t>根据</w:t>
            </w:r>
            <w:r>
              <w:rPr>
                <w:rFonts w:hint="eastAsia" w:cs="Times New Roman"/>
                <w:color w:val="auto"/>
                <w:sz w:val="24"/>
                <w:szCs w:val="24"/>
                <w:highlight w:val="none"/>
                <w:lang w:eastAsia="zh-CN"/>
              </w:rPr>
              <w:t>《京津冀及周边地区、汾渭平原2020—2021年秋冬季大气污染综合治理攻坚行动方案》、《唐山市2023年第一季度大气污染综合治理工作方案》</w:t>
            </w:r>
            <w:r>
              <w:rPr>
                <w:rFonts w:hint="default" w:ascii="Times New Roman" w:hAnsi="Times New Roman" w:eastAsia="宋体" w:cs="Times New Roman"/>
                <w:color w:val="auto"/>
                <w:sz w:val="24"/>
                <w:szCs w:val="24"/>
                <w:highlight w:val="none"/>
                <w:lang w:val="en-US" w:eastAsia="zh-CN"/>
              </w:rPr>
              <w:t>可知，按照</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分级、分类、分区域、分气象</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原则，实施精准治理、精细管控，做到问题、时间、区位、对象和措施</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五个精准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，推动大气环境质量持续有效改善，项目所在区域空气质量将会逐步得到改善。</w:t>
            </w:r>
          </w:p>
          <w:p>
            <w:pPr>
              <w:bidi w:val="0"/>
              <w:rPr>
                <w:rFonts w:hint="default"/>
                <w:color w:val="auto"/>
                <w:highlight w:val="none"/>
              </w:rPr>
            </w:pPr>
            <w:r>
              <w:rPr>
                <w:rFonts w:hint="eastAsia"/>
                <w:color w:val="auto"/>
                <w:highlight w:val="none"/>
              </w:rPr>
              <w:t>（2）</w:t>
            </w:r>
            <w:r>
              <w:rPr>
                <w:rFonts w:hint="default"/>
                <w:color w:val="auto"/>
                <w:highlight w:val="none"/>
              </w:rPr>
              <w:t>项目所在区域污染物环境质量现状</w:t>
            </w:r>
          </w:p>
          <w:p>
            <w:pPr>
              <w:bidi w:val="0"/>
              <w:rPr>
                <w:rFonts w:hint="default"/>
                <w:color w:val="auto"/>
                <w:highlight w:val="none"/>
              </w:rPr>
            </w:pPr>
            <w:r>
              <w:rPr>
                <w:rFonts w:hint="eastAsia"/>
                <w:color w:val="auto"/>
                <w:highlight w:val="none"/>
              </w:rPr>
              <w:t>①</w:t>
            </w:r>
            <w:r>
              <w:rPr>
                <w:rFonts w:hint="default"/>
                <w:color w:val="auto"/>
                <w:highlight w:val="none"/>
              </w:rPr>
              <w:t>基本污染物环境质量现状评价</w:t>
            </w:r>
          </w:p>
          <w:p>
            <w:pPr>
              <w:bidi w:val="0"/>
              <w:rPr>
                <w:rFonts w:hint="eastAsia"/>
                <w:color w:val="auto"/>
                <w:szCs w:val="24"/>
                <w:highlight w:val="none"/>
                <w:lang w:val="en-US" w:eastAsia="zh-CN"/>
              </w:rPr>
            </w:pPr>
            <w:r>
              <w:rPr>
                <w:rFonts w:hint="eastAsia" w:ascii="Times New Roman" w:hAnsi="Times New Roman" w:eastAsia="宋体" w:cs="Times New Roman"/>
                <w:color w:val="auto"/>
                <w:sz w:val="24"/>
                <w:szCs w:val="21"/>
                <w:highlight w:val="none"/>
                <w:shd w:val="clear" w:color="auto" w:fill="auto"/>
                <w:lang w:val="en-US" w:eastAsia="zh-CN"/>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因此，本评价在分析区域大气环境质量现状时，对于常规因子</w:t>
            </w:r>
            <w:r>
              <w:rPr>
                <w:rFonts w:hint="eastAsia" w:ascii="Times New Roman" w:hAnsi="Times New Roman" w:cs="Times New Roman"/>
                <w:color w:val="auto"/>
                <w:sz w:val="24"/>
                <w:szCs w:val="21"/>
                <w:highlight w:val="none"/>
                <w:shd w:val="clear" w:color="auto" w:fill="auto"/>
                <w:lang w:val="en-US" w:eastAsia="zh-CN"/>
              </w:rPr>
              <w:t>，引用</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202</w:t>
            </w:r>
            <w:r>
              <w:rPr>
                <w:rFonts w:hint="eastAsia"/>
                <w:color w:val="auto"/>
                <w:szCs w:val="24"/>
                <w:highlight w:val="none"/>
                <w:lang w:val="en-US" w:eastAsia="zh-CN"/>
              </w:rPr>
              <w:t>2</w:t>
            </w:r>
            <w:r>
              <w:rPr>
                <w:rFonts w:hint="eastAsia" w:ascii="Times New Roman" w:hAnsi="Times New Roman"/>
                <w:color w:val="auto"/>
                <w:szCs w:val="24"/>
                <w:highlight w:val="none"/>
                <w:lang w:val="en-US" w:eastAsia="zh-CN"/>
              </w:rPr>
              <w:t>年唐山市生态环境状况公报</w:t>
            </w:r>
            <w:r>
              <w:rPr>
                <w:rFonts w:ascii="Times New Roman" w:hAnsi="Times New Roman"/>
                <w:color w:val="auto"/>
                <w:szCs w:val="24"/>
                <w:highlight w:val="none"/>
                <w:lang w:val="en-US" w:eastAsia="zh-CN"/>
              </w:rPr>
              <w:t>》</w:t>
            </w:r>
            <w:r>
              <w:rPr>
                <w:rFonts w:hint="eastAsia" w:ascii="Times New Roman" w:hAnsi="Times New Roman"/>
                <w:color w:val="auto"/>
                <w:szCs w:val="24"/>
                <w:highlight w:val="none"/>
                <w:lang w:val="en-US" w:eastAsia="zh-CN"/>
              </w:rPr>
              <w:t>中</w:t>
            </w:r>
            <w:r>
              <w:rPr>
                <w:rFonts w:hint="eastAsia"/>
                <w:color w:val="auto"/>
                <w:szCs w:val="24"/>
                <w:highlight w:val="none"/>
                <w:lang w:val="en-US" w:eastAsia="zh-CN"/>
              </w:rPr>
              <w:t>高新技术开发区</w:t>
            </w:r>
            <w:r>
              <w:rPr>
                <w:rFonts w:hint="eastAsia" w:ascii="Times New Roman" w:hAnsi="Times New Roman"/>
                <w:color w:val="auto"/>
                <w:szCs w:val="24"/>
                <w:highlight w:val="none"/>
                <w:lang w:val="en-US" w:eastAsia="zh-CN"/>
              </w:rPr>
              <w:t>环境空气质量数据，环境空气质量数据</w:t>
            </w:r>
            <w:r>
              <w:rPr>
                <w:rFonts w:hint="eastAsia"/>
                <w:color w:val="auto"/>
                <w:szCs w:val="24"/>
                <w:highlight w:val="none"/>
                <w:lang w:val="en-US" w:eastAsia="zh-CN"/>
              </w:rPr>
              <w:t>见下表。</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eastAsia" w:cs="Times New Roman"/>
                <w:b/>
                <w:bCs/>
                <w:color w:val="auto"/>
                <w:sz w:val="21"/>
                <w:szCs w:val="21"/>
                <w:highlight w:val="none"/>
                <w:lang w:val="en-US" w:eastAsia="zh-CN"/>
              </w:rPr>
              <w:t>15</w:t>
            </w:r>
            <w:r>
              <w:rPr>
                <w:rFonts w:hint="default" w:ascii="Times New Roman" w:hAnsi="Times New Roman" w:eastAsia="宋体" w:cs="Times New Roman"/>
                <w:b/>
                <w:bCs/>
                <w:color w:val="auto"/>
                <w:sz w:val="21"/>
                <w:szCs w:val="21"/>
                <w:highlight w:val="none"/>
              </w:rPr>
              <w:t xml:space="preserve">  202</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年</w:t>
            </w:r>
            <w:r>
              <w:rPr>
                <w:rFonts w:hint="eastAsia" w:cs="Times New Roman"/>
                <w:b/>
                <w:bCs/>
                <w:color w:val="auto"/>
                <w:sz w:val="21"/>
                <w:szCs w:val="21"/>
                <w:highlight w:val="none"/>
                <w:lang w:val="en-US" w:eastAsia="zh-CN"/>
              </w:rPr>
              <w:t>高新技术开发区</w:t>
            </w:r>
            <w:r>
              <w:rPr>
                <w:rFonts w:hint="default" w:ascii="Times New Roman" w:hAnsi="Times New Roman" w:eastAsia="宋体" w:cs="Times New Roman"/>
                <w:b/>
                <w:bCs/>
                <w:color w:val="auto"/>
                <w:sz w:val="21"/>
                <w:szCs w:val="21"/>
                <w:highlight w:val="none"/>
              </w:rPr>
              <w:t>环境空气质量浓度值情况</w:t>
            </w:r>
            <w:r>
              <w:rPr>
                <w:rFonts w:hint="eastAsia" w:ascii="Times New Roman" w:hAnsi="Times New Roman" w:eastAsia="宋体" w:cs="Times New Roman"/>
                <w:b/>
                <w:bCs/>
                <w:color w:val="auto"/>
                <w:sz w:val="21"/>
                <w:szCs w:val="21"/>
                <w:highlight w:val="none"/>
                <w:lang w:val="en-US" w:eastAsia="zh-CN"/>
              </w:rPr>
              <w:t>一览</w:t>
            </w:r>
            <w:r>
              <w:rPr>
                <w:rFonts w:hint="default" w:ascii="Times New Roman" w:hAnsi="Times New Roman" w:eastAsia="宋体" w:cs="Times New Roman"/>
                <w:b/>
                <w:bCs/>
                <w:color w:val="auto"/>
                <w:sz w:val="21"/>
                <w:szCs w:val="21"/>
                <w:highlight w:val="none"/>
              </w:rPr>
              <w:t>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2"/>
              <w:gridCol w:w="1813"/>
              <w:gridCol w:w="1625"/>
              <w:gridCol w:w="1500"/>
              <w:gridCol w:w="1199"/>
              <w:gridCol w:w="1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污染物</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年评价指标</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现状浓度</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标准值</w:t>
                  </w:r>
                  <w:r>
                    <w:rPr>
                      <w:rFonts w:hint="eastAsia"/>
                      <w:color w:val="auto"/>
                      <w:sz w:val="21"/>
                      <w:szCs w:val="21"/>
                      <w:highlight w:val="none"/>
                      <w:lang w:eastAsia="zh-CN"/>
                    </w:rPr>
                    <w:t>（</w:t>
                  </w:r>
                  <w:r>
                    <w:rPr>
                      <w:rFonts w:hint="default"/>
                      <w:color w:val="auto"/>
                      <w:sz w:val="21"/>
                      <w:szCs w:val="21"/>
                      <w:highlight w:val="none"/>
                    </w:rPr>
                    <w:t>μg/m</w:t>
                  </w:r>
                  <w:r>
                    <w:rPr>
                      <w:rFonts w:hint="default"/>
                      <w:color w:val="auto"/>
                      <w:sz w:val="21"/>
                      <w:szCs w:val="21"/>
                      <w:highlight w:val="none"/>
                      <w:vertAlign w:val="superscript"/>
                    </w:rPr>
                    <w:t>3</w:t>
                  </w:r>
                  <w:r>
                    <w:rPr>
                      <w:rFonts w:hint="eastAsia"/>
                      <w:color w:val="auto"/>
                      <w:sz w:val="21"/>
                      <w:szCs w:val="21"/>
                      <w:highlight w:val="none"/>
                      <w:lang w:eastAsia="zh-CN"/>
                    </w:rPr>
                    <w:t>）</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占标率</w:t>
                  </w:r>
                  <w:r>
                    <w:rPr>
                      <w:rFonts w:hint="eastAsia"/>
                      <w:color w:val="auto"/>
                      <w:sz w:val="21"/>
                      <w:szCs w:val="21"/>
                      <w:highlight w:val="none"/>
                      <w:lang w:eastAsia="zh-CN"/>
                    </w:rPr>
                    <w:t>（</w:t>
                  </w:r>
                  <w:r>
                    <w:rPr>
                      <w:rFonts w:hint="default"/>
                      <w:color w:val="auto"/>
                      <w:sz w:val="21"/>
                      <w:szCs w:val="21"/>
                      <w:highlight w:val="none"/>
                    </w:rPr>
                    <w:t>%</w:t>
                  </w:r>
                  <w:r>
                    <w:rPr>
                      <w:rFonts w:hint="eastAsia"/>
                      <w:color w:val="auto"/>
                      <w:sz w:val="21"/>
                      <w:szCs w:val="21"/>
                      <w:highlight w:val="none"/>
                      <w:lang w:eastAsia="zh-CN"/>
                    </w:rPr>
                    <w:t>）</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60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15.0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31</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77.5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60</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70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85.7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年平均质量浓度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35</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94.3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达</w:t>
                  </w:r>
                  <w:r>
                    <w:rPr>
                      <w:rFonts w:hint="default"/>
                      <w:color w:val="auto"/>
                      <w:sz w:val="21"/>
                      <w:szCs w:val="21"/>
                      <w:highlight w:val="none"/>
                    </w:rPr>
                    <w:t>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CO</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日均值第95百分位浓度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1600</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4000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40.0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80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181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日最大8h平均第90百分位浓度</w:t>
                  </w:r>
                </w:p>
              </w:tc>
              <w:tc>
                <w:tcPr>
                  <w:tcW w:w="162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182</w:t>
                  </w:r>
                </w:p>
              </w:tc>
              <w:tc>
                <w:tcPr>
                  <w:tcW w:w="150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default"/>
                      <w:color w:val="auto"/>
                      <w:sz w:val="21"/>
                      <w:szCs w:val="21"/>
                      <w:highlight w:val="none"/>
                    </w:rPr>
                    <w:t>160</w:t>
                  </w:r>
                </w:p>
              </w:tc>
              <w:tc>
                <w:tcPr>
                  <w:tcW w:w="119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113.8 </w:t>
                  </w:r>
                </w:p>
              </w:tc>
              <w:tc>
                <w:tcPr>
                  <w:tcW w:w="112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color w:val="auto"/>
                      <w:sz w:val="21"/>
                      <w:szCs w:val="21"/>
                      <w:highlight w:val="none"/>
                    </w:rPr>
                  </w:pPr>
                  <w:r>
                    <w:rPr>
                      <w:rFonts w:hint="eastAsia"/>
                      <w:color w:val="auto"/>
                      <w:sz w:val="21"/>
                      <w:szCs w:val="21"/>
                      <w:highlight w:val="none"/>
                      <w:lang w:val="en-US" w:eastAsia="zh-CN"/>
                    </w:rPr>
                    <w:t>超标</w:t>
                  </w:r>
                </w:p>
              </w:tc>
            </w:tr>
          </w:tbl>
          <w:p>
            <w:pPr>
              <w:keepNext w:val="0"/>
              <w:keepLines w:val="0"/>
              <w:pageBreakBefore w:val="0"/>
              <w:widowControl w:val="0"/>
              <w:kinsoku/>
              <w:wordWrap/>
              <w:overflowPunct/>
              <w:topLinePunct w:val="0"/>
              <w:autoSpaceDE/>
              <w:autoSpaceDN/>
              <w:bidi w:val="0"/>
              <w:adjustRightInd/>
              <w:snapToGrid/>
              <w:spacing w:line="480" w:lineRule="exact"/>
              <w:ind w:firstLine="500" w:firstLineChars="200"/>
              <w:textAlignment w:val="auto"/>
              <w:rPr>
                <w:color w:val="auto"/>
                <w:spacing w:val="5"/>
                <w:szCs w:val="21"/>
                <w:highlight w:val="none"/>
              </w:rPr>
            </w:pPr>
            <w:r>
              <w:rPr>
                <w:color w:val="auto"/>
                <w:spacing w:val="5"/>
                <w:szCs w:val="21"/>
                <w:highlight w:val="none"/>
              </w:rPr>
              <w:t>根据上表可知，项目所在区域环境空气质量评价指标中</w:t>
            </w:r>
            <w:r>
              <w:rPr>
                <w:rFonts w:hint="default" w:ascii="Times New Roman" w:hAnsi="Times New Roman" w:eastAsia="宋体" w:cs="Times New Roman"/>
                <w:color w:val="auto"/>
                <w:kern w:val="2"/>
                <w:sz w:val="24"/>
                <w:szCs w:val="21"/>
                <w:highlight w:val="none"/>
                <w:shd w:val="clear" w:color="auto" w:fill="auto"/>
                <w:lang w:val="en-US" w:eastAsia="zh-CN" w:bidi="ar"/>
              </w:rPr>
              <w:t>，SO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w:t>
            </w:r>
            <w:r>
              <w:rPr>
                <w:rFonts w:hint="eastAsia" w:ascii="Times New Roman" w:hAnsi="Times New Roman" w:eastAsia="宋体" w:cs="Times New Roman"/>
                <w:color w:val="auto"/>
                <w:kern w:val="2"/>
                <w:sz w:val="24"/>
                <w:szCs w:val="21"/>
                <w:highlight w:val="none"/>
                <w:shd w:val="clear" w:color="auto" w:fill="auto"/>
                <w:vertAlign w:val="baseline"/>
                <w:lang w:val="en-US" w:eastAsia="zh-CN" w:bidi="ar"/>
              </w:rPr>
              <w:t>、</w:t>
            </w:r>
            <w:r>
              <w:rPr>
                <w:rFonts w:hint="default"/>
                <w:color w:val="auto"/>
                <w:sz w:val="24"/>
                <w:szCs w:val="24"/>
                <w:highlight w:val="none"/>
              </w:rPr>
              <w:t>NO</w:t>
            </w:r>
            <w:r>
              <w:rPr>
                <w:rFonts w:hint="default"/>
                <w:color w:val="auto"/>
                <w:sz w:val="24"/>
                <w:szCs w:val="24"/>
                <w:highlight w:val="none"/>
                <w:vertAlign w:val="subscript"/>
              </w:rPr>
              <w:t>2</w:t>
            </w:r>
            <w:r>
              <w:rPr>
                <w:rFonts w:hint="eastAsia"/>
                <w:color w:val="auto"/>
                <w:sz w:val="24"/>
                <w:szCs w:val="24"/>
                <w:highlight w:val="none"/>
                <w:vertAlign w:val="baseline"/>
                <w:lang w:eastAsia="zh-CN"/>
              </w:rPr>
              <w:t>、</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2.5</w:t>
            </w:r>
            <w:r>
              <w:rPr>
                <w:rFonts w:hint="default" w:ascii="Times New Roman" w:hAnsi="Times New Roman" w:eastAsia="宋体" w:cs="Times New Roman"/>
                <w:color w:val="auto"/>
                <w:kern w:val="2"/>
                <w:sz w:val="24"/>
                <w:szCs w:val="21"/>
                <w:highlight w:val="none"/>
                <w:shd w:val="clear" w:color="auto" w:fill="auto"/>
                <w:lang w:val="en-US" w:eastAsia="zh-CN" w:bidi="ar"/>
              </w:rPr>
              <w:t>、PM</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10</w:t>
            </w:r>
            <w:r>
              <w:rPr>
                <w:rFonts w:hint="default" w:ascii="Times New Roman" w:hAnsi="Times New Roman" w:eastAsia="宋体" w:cs="Times New Roman"/>
                <w:color w:val="auto"/>
                <w:kern w:val="2"/>
                <w:sz w:val="24"/>
                <w:szCs w:val="21"/>
                <w:highlight w:val="none"/>
                <w:shd w:val="clear" w:color="auto" w:fill="auto"/>
                <w:lang w:val="en-US" w:eastAsia="zh-CN" w:bidi="ar"/>
              </w:rPr>
              <w:t>的年平均质量浓度达标，CO</w:t>
            </w:r>
            <w:r>
              <w:rPr>
                <w:rFonts w:hint="eastAsia" w:ascii="Times New Roman" w:hAnsi="Times New Roman" w:eastAsia="宋体" w:cs="Times New Roman"/>
                <w:color w:val="auto"/>
                <w:kern w:val="2"/>
                <w:sz w:val="24"/>
                <w:szCs w:val="21"/>
                <w:highlight w:val="none"/>
                <w:shd w:val="clear" w:color="auto" w:fill="auto"/>
                <w:lang w:val="en-US" w:eastAsia="zh-CN" w:bidi="ar"/>
              </w:rPr>
              <w:t>的日均值第95百分位浓度</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rFonts w:hint="eastAsia" w:ascii="Times New Roman" w:hAnsi="Times New Roman" w:eastAsia="宋体" w:cs="Times New Roman"/>
                <w:color w:val="auto"/>
                <w:kern w:val="2"/>
                <w:sz w:val="24"/>
                <w:szCs w:val="21"/>
                <w:highlight w:val="none"/>
                <w:shd w:val="clear" w:color="auto" w:fill="auto"/>
                <w:lang w:val="en-US" w:eastAsia="zh-CN" w:bidi="ar"/>
              </w:rPr>
              <w:t>，</w:t>
            </w:r>
            <w:r>
              <w:rPr>
                <w:rFonts w:hint="default" w:ascii="Times New Roman" w:hAnsi="Times New Roman" w:eastAsia="宋体" w:cs="Times New Roman"/>
                <w:color w:val="auto"/>
                <w:kern w:val="2"/>
                <w:sz w:val="24"/>
                <w:szCs w:val="21"/>
                <w:highlight w:val="none"/>
                <w:shd w:val="clear" w:color="auto" w:fill="auto"/>
                <w:lang w:val="en-US" w:eastAsia="zh-CN" w:bidi="ar"/>
              </w:rPr>
              <w:t>O</w:t>
            </w:r>
            <w:r>
              <w:rPr>
                <w:rFonts w:hint="default" w:ascii="Times New Roman" w:hAnsi="Times New Roman" w:eastAsia="宋体" w:cs="Times New Roman"/>
                <w:color w:val="auto"/>
                <w:kern w:val="2"/>
                <w:sz w:val="24"/>
                <w:szCs w:val="21"/>
                <w:highlight w:val="none"/>
                <w:shd w:val="clear" w:color="auto" w:fill="auto"/>
                <w:vertAlign w:val="subscript"/>
                <w:lang w:val="en-US" w:eastAsia="zh-CN" w:bidi="ar"/>
              </w:rPr>
              <w:t>3</w:t>
            </w:r>
            <w:r>
              <w:rPr>
                <w:rFonts w:hint="default" w:ascii="Times New Roman" w:hAnsi="Times New Roman" w:eastAsia="宋体" w:cs="Times New Roman"/>
                <w:color w:val="auto"/>
                <w:kern w:val="2"/>
                <w:sz w:val="24"/>
                <w:szCs w:val="21"/>
                <w:highlight w:val="none"/>
                <w:shd w:val="clear" w:color="auto" w:fill="auto"/>
                <w:lang w:val="en-US" w:eastAsia="zh-CN" w:bidi="ar"/>
              </w:rPr>
              <w:t>的日最大8h平均第90百分位浓度</w:t>
            </w:r>
            <w:r>
              <w:rPr>
                <w:rFonts w:hint="eastAsia" w:cs="Times New Roman"/>
                <w:color w:val="auto"/>
                <w:kern w:val="2"/>
                <w:sz w:val="24"/>
                <w:szCs w:val="21"/>
                <w:highlight w:val="none"/>
                <w:shd w:val="clear" w:color="auto" w:fill="auto"/>
                <w:lang w:val="en-US" w:eastAsia="zh-CN" w:bidi="ar"/>
              </w:rPr>
              <w:t>不</w:t>
            </w:r>
            <w:r>
              <w:rPr>
                <w:rFonts w:hint="default" w:ascii="Times New Roman" w:hAnsi="Times New Roman" w:eastAsia="宋体" w:cs="Times New Roman"/>
                <w:color w:val="auto"/>
                <w:kern w:val="2"/>
                <w:sz w:val="24"/>
                <w:szCs w:val="21"/>
                <w:highlight w:val="none"/>
                <w:shd w:val="clear" w:color="auto" w:fill="auto"/>
                <w:lang w:val="en-US" w:eastAsia="zh-CN" w:bidi="ar"/>
              </w:rPr>
              <w:t>达标</w:t>
            </w:r>
            <w:r>
              <w:rPr>
                <w:color w:val="auto"/>
                <w:spacing w:val="5"/>
                <w:szCs w:val="21"/>
                <w:highlight w:val="none"/>
              </w:rPr>
              <w:t>。</w:t>
            </w:r>
          </w:p>
          <w:p>
            <w:pPr>
              <w:bidi w:val="0"/>
              <w:rPr>
                <w:rFonts w:hint="default"/>
                <w:color w:val="auto"/>
                <w:highlight w:val="none"/>
              </w:rPr>
            </w:pPr>
            <w:r>
              <w:rPr>
                <w:rFonts w:hint="eastAsia"/>
                <w:color w:val="auto"/>
                <w:highlight w:val="none"/>
              </w:rPr>
              <w:t>②</w:t>
            </w:r>
            <w:r>
              <w:rPr>
                <w:rFonts w:hint="default"/>
                <w:color w:val="auto"/>
                <w:highlight w:val="none"/>
              </w:rPr>
              <w:t>其他污染物环境质量现状评价</w:t>
            </w:r>
          </w:p>
          <w:p>
            <w:pPr>
              <w:bidi w:val="0"/>
              <w:rPr>
                <w:rFonts w:hint="eastAsia"/>
                <w:color w:val="auto"/>
                <w:highlight w:val="none"/>
                <w:lang w:val="en-US" w:eastAsia="zh-CN"/>
              </w:rPr>
            </w:pPr>
            <w:r>
              <w:rPr>
                <w:rFonts w:hint="eastAsia"/>
                <w:color w:val="auto"/>
                <w:highlight w:val="none"/>
                <w:lang w:val="en-US" w:eastAsia="zh-CN"/>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涉及排放的有环境空气质量标准限值的特征污染物为颗粒物（TSP）。本次在评价特征污染物环境质量现状时，引用建设项目周边5千米范围内近3年的现有监测数据进行分析。</w:t>
            </w:r>
          </w:p>
          <w:p>
            <w:pPr>
              <w:bidi w:val="0"/>
              <w:rPr>
                <w:rFonts w:hint="default" w:ascii="Times New Roman" w:hAnsi="Times New Roman" w:eastAsia="宋体" w:cs="Times New Roman"/>
                <w:color w:val="auto"/>
                <w:spacing w:val="0"/>
                <w:position w:val="0"/>
                <w:sz w:val="24"/>
                <w:szCs w:val="21"/>
                <w:highlight w:val="none"/>
                <w:shd w:val="clear" w:color="auto" w:fill="auto"/>
                <w:lang w:eastAsia="zh-TW"/>
              </w:rPr>
            </w:pPr>
            <w:r>
              <w:rPr>
                <w:rFonts w:hint="eastAsia" w:cs="Times New Roman"/>
                <w:color w:val="auto"/>
                <w:spacing w:val="0"/>
                <w:position w:val="0"/>
                <w:sz w:val="24"/>
                <w:szCs w:val="21"/>
                <w:highlight w:val="none"/>
                <w:shd w:val="clear" w:color="auto" w:fill="auto"/>
                <w:lang w:val="en-US" w:eastAsia="zh-CN"/>
              </w:rPr>
              <w:t>TSP</w:t>
            </w:r>
            <w:r>
              <w:rPr>
                <w:rFonts w:hint="default" w:ascii="Times New Roman" w:hAnsi="Times New Roman" w:eastAsia="宋体" w:cs="Times New Roman"/>
                <w:color w:val="auto"/>
                <w:spacing w:val="0"/>
                <w:position w:val="0"/>
                <w:sz w:val="24"/>
                <w:szCs w:val="21"/>
                <w:highlight w:val="none"/>
                <w:shd w:val="clear" w:color="auto" w:fill="auto"/>
                <w:lang w:eastAsia="zh-TW"/>
              </w:rPr>
              <w:t>环境质量现状</w:t>
            </w:r>
            <w:r>
              <w:rPr>
                <w:rFonts w:hint="eastAsia" w:cs="Times New Roman"/>
                <w:color w:val="auto"/>
                <w:spacing w:val="0"/>
                <w:position w:val="0"/>
                <w:sz w:val="24"/>
                <w:szCs w:val="21"/>
                <w:highlight w:val="none"/>
                <w:shd w:val="clear" w:color="auto" w:fill="auto"/>
                <w:lang w:val="en-US" w:eastAsia="zh-CN"/>
              </w:rPr>
              <w:t>监</w:t>
            </w:r>
            <w:r>
              <w:rPr>
                <w:rFonts w:hint="eastAsia" w:ascii="Times New Roman" w:hAnsi="Times New Roman" w:eastAsia="宋体" w:cs="Times New Roman"/>
                <w:color w:val="auto"/>
                <w:spacing w:val="0"/>
                <w:position w:val="0"/>
                <w:sz w:val="24"/>
                <w:szCs w:val="21"/>
                <w:highlight w:val="none"/>
                <w:shd w:val="clear" w:color="auto" w:fill="auto"/>
                <w:lang w:eastAsia="zh-CN"/>
              </w:rPr>
              <w:t>测</w:t>
            </w:r>
            <w:r>
              <w:rPr>
                <w:rFonts w:hint="default" w:ascii="Times New Roman" w:hAnsi="Times New Roman" w:eastAsia="宋体" w:cs="Times New Roman"/>
                <w:color w:val="auto"/>
                <w:spacing w:val="0"/>
                <w:position w:val="0"/>
                <w:sz w:val="24"/>
                <w:szCs w:val="21"/>
                <w:highlight w:val="none"/>
                <w:shd w:val="clear" w:color="auto" w:fill="auto"/>
                <w:lang w:eastAsia="zh-TW"/>
              </w:rPr>
              <w:t>数据引用</w:t>
            </w:r>
            <w:r>
              <w:rPr>
                <w:rFonts w:hint="eastAsia" w:cs="Times New Roman"/>
                <w:color w:val="auto"/>
                <w:spacing w:val="0"/>
                <w:position w:val="0"/>
                <w:sz w:val="24"/>
                <w:szCs w:val="21"/>
                <w:highlight w:val="none"/>
                <w:shd w:val="clear" w:color="auto" w:fill="auto"/>
                <w:lang w:val="en-US" w:eastAsia="zh-CN"/>
              </w:rPr>
              <w:t>唐山市冀唐德普环境检测有限公司于2022年05月27日出具的大型成套筛分装备数字化制造基地项目环境质量现状检测报告（冀唐德普（2022）环检第H220705号）</w:t>
            </w:r>
            <w:r>
              <w:rPr>
                <w:rFonts w:hint="eastAsia" w:ascii="Times New Roman" w:hAnsi="Times New Roman" w:eastAsia="宋体" w:cs="Times New Roman"/>
                <w:color w:val="auto"/>
                <w:spacing w:val="0"/>
                <w:position w:val="0"/>
                <w:sz w:val="24"/>
                <w:szCs w:val="21"/>
                <w:highlight w:val="none"/>
                <w:shd w:val="clear" w:color="auto" w:fill="auto"/>
                <w:lang w:val="en-US" w:eastAsia="zh-CN"/>
              </w:rPr>
              <w:t>，检测时间为</w:t>
            </w:r>
            <w:r>
              <w:rPr>
                <w:rFonts w:hint="default" w:ascii="Times New Roman" w:hAnsi="Times New Roman" w:eastAsia="宋体" w:cs="Times New Roman"/>
                <w:color w:val="auto"/>
                <w:spacing w:val="0"/>
                <w:position w:val="0"/>
                <w:sz w:val="24"/>
                <w:szCs w:val="21"/>
                <w:highlight w:val="none"/>
                <w:shd w:val="clear" w:color="auto" w:fill="auto"/>
                <w:lang w:eastAsia="zh-TW"/>
              </w:rPr>
              <w:t>20</w:t>
            </w:r>
            <w:r>
              <w:rPr>
                <w:rFonts w:hint="eastAsia" w:cs="Times New Roman"/>
                <w:color w:val="auto"/>
                <w:spacing w:val="0"/>
                <w:position w:val="0"/>
                <w:sz w:val="24"/>
                <w:szCs w:val="21"/>
                <w:highlight w:val="none"/>
                <w:shd w:val="clear" w:color="auto" w:fill="auto"/>
                <w:lang w:val="en-US" w:eastAsia="zh-CN"/>
              </w:rPr>
              <w:t>22</w:t>
            </w:r>
            <w:r>
              <w:rPr>
                <w:rFonts w:hint="default" w:ascii="Times New Roman" w:hAnsi="Times New Roman" w:eastAsia="宋体" w:cs="Times New Roman"/>
                <w:color w:val="auto"/>
                <w:spacing w:val="0"/>
                <w:position w:val="0"/>
                <w:sz w:val="24"/>
                <w:szCs w:val="21"/>
                <w:highlight w:val="none"/>
                <w:shd w:val="clear" w:color="auto" w:fill="auto"/>
                <w:lang w:eastAsia="zh-TW"/>
              </w:rPr>
              <w:t>年</w:t>
            </w:r>
            <w:r>
              <w:rPr>
                <w:rFonts w:hint="eastAsia" w:cs="Times New Roman"/>
                <w:color w:val="auto"/>
                <w:spacing w:val="0"/>
                <w:position w:val="0"/>
                <w:sz w:val="24"/>
                <w:szCs w:val="21"/>
                <w:highlight w:val="none"/>
                <w:shd w:val="clear" w:color="auto" w:fill="auto"/>
                <w:lang w:val="en-US" w:eastAsia="zh-CN"/>
              </w:rPr>
              <w:t>05</w:t>
            </w:r>
            <w:r>
              <w:rPr>
                <w:rFonts w:hint="default" w:ascii="Times New Roman" w:hAnsi="Times New Roman" w:eastAsia="宋体" w:cs="Times New Roman"/>
                <w:color w:val="auto"/>
                <w:spacing w:val="0"/>
                <w:position w:val="0"/>
                <w:sz w:val="24"/>
                <w:szCs w:val="21"/>
                <w:highlight w:val="none"/>
                <w:shd w:val="clear" w:color="auto" w:fill="auto"/>
                <w:lang w:eastAsia="zh-TW"/>
              </w:rPr>
              <w:t>月</w:t>
            </w:r>
            <w:r>
              <w:rPr>
                <w:rFonts w:hint="eastAsia" w:ascii="Times New Roman" w:hAnsi="Times New Roman" w:eastAsia="宋体" w:cs="Times New Roman"/>
                <w:color w:val="auto"/>
                <w:spacing w:val="0"/>
                <w:position w:val="0"/>
                <w:sz w:val="24"/>
                <w:szCs w:val="21"/>
                <w:highlight w:val="none"/>
                <w:shd w:val="clear" w:color="auto" w:fill="auto"/>
                <w:lang w:val="en-US" w:eastAsia="zh-CN"/>
              </w:rPr>
              <w:t>1</w:t>
            </w:r>
            <w:r>
              <w:rPr>
                <w:rFonts w:hint="eastAsia" w:cs="Times New Roman"/>
                <w:color w:val="auto"/>
                <w:spacing w:val="0"/>
                <w:position w:val="0"/>
                <w:sz w:val="24"/>
                <w:szCs w:val="21"/>
                <w:highlight w:val="none"/>
                <w:shd w:val="clear" w:color="auto" w:fill="auto"/>
                <w:lang w:val="en-US" w:eastAsia="zh-CN"/>
              </w:rPr>
              <w:t>0</w:t>
            </w:r>
            <w:r>
              <w:rPr>
                <w:rFonts w:hint="default" w:ascii="Times New Roman" w:hAnsi="Times New Roman" w:eastAsia="宋体" w:cs="Times New Roman"/>
                <w:color w:val="auto"/>
                <w:spacing w:val="0"/>
                <w:position w:val="0"/>
                <w:sz w:val="24"/>
                <w:szCs w:val="21"/>
                <w:highlight w:val="none"/>
                <w:shd w:val="clear" w:color="auto" w:fill="auto"/>
                <w:lang w:eastAsia="zh-TW"/>
              </w:rPr>
              <w:t>日～20</w:t>
            </w:r>
            <w:r>
              <w:rPr>
                <w:rFonts w:hint="eastAsia" w:cs="Times New Roman"/>
                <w:color w:val="auto"/>
                <w:spacing w:val="0"/>
                <w:position w:val="0"/>
                <w:sz w:val="24"/>
                <w:szCs w:val="21"/>
                <w:highlight w:val="none"/>
                <w:shd w:val="clear" w:color="auto" w:fill="auto"/>
                <w:lang w:val="en-US" w:eastAsia="zh-CN"/>
              </w:rPr>
              <w:t>22</w:t>
            </w:r>
            <w:r>
              <w:rPr>
                <w:rFonts w:hint="default" w:ascii="Times New Roman" w:hAnsi="Times New Roman" w:eastAsia="宋体" w:cs="Times New Roman"/>
                <w:color w:val="auto"/>
                <w:spacing w:val="0"/>
                <w:position w:val="0"/>
                <w:sz w:val="24"/>
                <w:szCs w:val="21"/>
                <w:highlight w:val="none"/>
                <w:shd w:val="clear" w:color="auto" w:fill="auto"/>
                <w:lang w:eastAsia="zh-TW"/>
              </w:rPr>
              <w:t>年</w:t>
            </w:r>
            <w:r>
              <w:rPr>
                <w:rFonts w:hint="eastAsia" w:cs="Times New Roman"/>
                <w:color w:val="auto"/>
                <w:spacing w:val="0"/>
                <w:position w:val="0"/>
                <w:sz w:val="24"/>
                <w:szCs w:val="21"/>
                <w:highlight w:val="none"/>
                <w:shd w:val="clear" w:color="auto" w:fill="auto"/>
                <w:lang w:val="en-US" w:eastAsia="zh-CN"/>
              </w:rPr>
              <w:t>05</w:t>
            </w:r>
            <w:r>
              <w:rPr>
                <w:rFonts w:hint="default" w:ascii="Times New Roman" w:hAnsi="Times New Roman" w:eastAsia="宋体" w:cs="Times New Roman"/>
                <w:color w:val="auto"/>
                <w:spacing w:val="0"/>
                <w:position w:val="0"/>
                <w:sz w:val="24"/>
                <w:szCs w:val="21"/>
                <w:highlight w:val="none"/>
                <w:shd w:val="clear" w:color="auto" w:fill="auto"/>
                <w:lang w:eastAsia="zh-TW"/>
              </w:rPr>
              <w:t>月</w:t>
            </w:r>
            <w:r>
              <w:rPr>
                <w:rFonts w:hint="eastAsia" w:ascii="Times New Roman" w:hAnsi="Times New Roman" w:eastAsia="宋体" w:cs="Times New Roman"/>
                <w:color w:val="auto"/>
                <w:spacing w:val="0"/>
                <w:position w:val="0"/>
                <w:sz w:val="24"/>
                <w:szCs w:val="21"/>
                <w:highlight w:val="none"/>
                <w:shd w:val="clear" w:color="auto" w:fill="auto"/>
                <w:lang w:val="en-US" w:eastAsia="zh-CN"/>
              </w:rPr>
              <w:t>1</w:t>
            </w:r>
            <w:r>
              <w:rPr>
                <w:rFonts w:hint="eastAsia" w:cs="Times New Roman"/>
                <w:color w:val="auto"/>
                <w:spacing w:val="0"/>
                <w:position w:val="0"/>
                <w:sz w:val="24"/>
                <w:szCs w:val="21"/>
                <w:highlight w:val="none"/>
                <w:shd w:val="clear" w:color="auto" w:fill="auto"/>
                <w:lang w:val="en-US" w:eastAsia="zh-CN"/>
              </w:rPr>
              <w:t>2</w:t>
            </w:r>
            <w:r>
              <w:rPr>
                <w:rFonts w:hint="default" w:ascii="Times New Roman" w:hAnsi="Times New Roman" w:eastAsia="宋体" w:cs="Times New Roman"/>
                <w:color w:val="auto"/>
                <w:spacing w:val="0"/>
                <w:position w:val="0"/>
                <w:sz w:val="24"/>
                <w:szCs w:val="21"/>
                <w:highlight w:val="none"/>
                <w:shd w:val="clear" w:color="auto" w:fill="auto"/>
                <w:lang w:eastAsia="zh-TW"/>
              </w:rPr>
              <w:t>日</w:t>
            </w:r>
            <w:r>
              <w:rPr>
                <w:rFonts w:hint="eastAsia" w:cs="Times New Roman"/>
                <w:color w:val="auto"/>
                <w:spacing w:val="0"/>
                <w:position w:val="0"/>
                <w:sz w:val="24"/>
                <w:szCs w:val="21"/>
                <w:highlight w:val="none"/>
                <w:shd w:val="clear" w:color="auto" w:fill="auto"/>
                <w:lang w:eastAsia="zh-CN"/>
              </w:rPr>
              <w:t>，</w:t>
            </w:r>
            <w:r>
              <w:rPr>
                <w:rFonts w:hint="eastAsia" w:ascii="Times New Roman" w:hAnsi="Times New Roman" w:eastAsia="宋体" w:cs="Times New Roman"/>
                <w:color w:val="auto"/>
                <w:spacing w:val="0"/>
                <w:position w:val="0"/>
                <w:sz w:val="24"/>
                <w:szCs w:val="21"/>
                <w:highlight w:val="none"/>
                <w:shd w:val="clear" w:color="auto" w:fill="auto"/>
                <w:lang w:eastAsia="zh-CN"/>
              </w:rPr>
              <w:t>检测点位</w:t>
            </w:r>
            <w:r>
              <w:rPr>
                <w:rFonts w:hint="eastAsia" w:cs="Times New Roman"/>
                <w:color w:val="auto"/>
                <w:spacing w:val="0"/>
                <w:position w:val="0"/>
                <w:sz w:val="24"/>
                <w:szCs w:val="21"/>
                <w:highlight w:val="none"/>
                <w:shd w:val="clear" w:color="auto" w:fill="auto"/>
                <w:lang w:val="en-US" w:eastAsia="zh-CN"/>
              </w:rPr>
              <w:t>为唐山市陆凯科技有限公司厂区内，</w:t>
            </w:r>
            <w:r>
              <w:rPr>
                <w:rFonts w:hint="eastAsia" w:ascii="Times New Roman" w:hAnsi="Times New Roman" w:eastAsia="宋体" w:cs="Times New Roman"/>
                <w:color w:val="auto"/>
                <w:spacing w:val="0"/>
                <w:position w:val="0"/>
                <w:sz w:val="24"/>
                <w:szCs w:val="21"/>
                <w:highlight w:val="none"/>
                <w:shd w:val="clear" w:color="auto" w:fill="auto"/>
                <w:lang w:eastAsia="zh-CN"/>
              </w:rPr>
              <w:t>位于</w:t>
            </w:r>
            <w:r>
              <w:rPr>
                <w:rFonts w:hint="default" w:ascii="Times New Roman" w:hAnsi="Times New Roman" w:eastAsia="宋体" w:cs="Times New Roman"/>
                <w:color w:val="auto"/>
                <w:spacing w:val="0"/>
                <w:position w:val="0"/>
                <w:sz w:val="24"/>
                <w:szCs w:val="21"/>
                <w:highlight w:val="none"/>
                <w:shd w:val="clear" w:color="auto" w:fill="auto"/>
                <w:lang w:eastAsia="zh-TW"/>
              </w:rPr>
              <w:t>本项目</w:t>
            </w:r>
            <w:r>
              <w:rPr>
                <w:rFonts w:hint="eastAsia" w:cs="Times New Roman"/>
                <w:color w:val="auto"/>
                <w:spacing w:val="0"/>
                <w:position w:val="0"/>
                <w:sz w:val="24"/>
                <w:szCs w:val="21"/>
                <w:highlight w:val="none"/>
                <w:shd w:val="clear" w:color="auto" w:fill="auto"/>
                <w:lang w:val="en-US" w:eastAsia="zh-CN"/>
              </w:rPr>
              <w:t>西侧3525</w:t>
            </w:r>
            <w:r>
              <w:rPr>
                <w:rFonts w:hint="default" w:ascii="Times New Roman" w:hAnsi="Times New Roman" w:eastAsia="宋体" w:cs="Times New Roman"/>
                <w:color w:val="auto"/>
                <w:spacing w:val="0"/>
                <w:position w:val="0"/>
                <w:sz w:val="24"/>
                <w:szCs w:val="21"/>
                <w:highlight w:val="none"/>
                <w:shd w:val="clear" w:color="auto" w:fill="auto"/>
                <w:lang w:eastAsia="zh-TW"/>
              </w:rPr>
              <w:t>米</w:t>
            </w:r>
            <w:r>
              <w:rPr>
                <w:rFonts w:hint="eastAsia" w:ascii="Times New Roman" w:hAnsi="Times New Roman" w:eastAsia="宋体" w:cs="Times New Roman"/>
                <w:color w:val="auto"/>
                <w:spacing w:val="0"/>
                <w:position w:val="0"/>
                <w:sz w:val="24"/>
                <w:szCs w:val="21"/>
                <w:highlight w:val="none"/>
                <w:shd w:val="clear" w:color="auto" w:fill="auto"/>
                <w:lang w:eastAsia="zh-CN"/>
              </w:rPr>
              <w:t>处</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w:t>
            </w:r>
            <w:r>
              <w:rPr>
                <w:rFonts w:hint="eastAsia" w:ascii="Times New Roman" w:hAnsi="Times New Roman" w:eastAsia="宋体" w:cs="Times New Roman"/>
                <w:color w:val="auto"/>
                <w:spacing w:val="0"/>
                <w:position w:val="0"/>
                <w:sz w:val="24"/>
                <w:szCs w:val="21"/>
                <w:highlight w:val="none"/>
                <w:shd w:val="clear" w:color="auto" w:fill="auto"/>
                <w:lang w:val="en-US" w:eastAsia="zh-CN"/>
              </w:rPr>
              <w:t>符合</w:t>
            </w:r>
            <w:r>
              <w:rPr>
                <w:rFonts w:hint="eastAsia" w:ascii="Times New Roman" w:hAnsi="Times New Roman" w:eastAsia="宋体" w:cs="Times New Roman"/>
                <w:color w:val="auto"/>
                <w:sz w:val="24"/>
                <w:szCs w:val="21"/>
                <w:highlight w:val="none"/>
                <w:shd w:val="clear" w:color="auto" w:fill="auto"/>
                <w:lang w:val="en-US" w:eastAsia="zh-CN"/>
              </w:rPr>
              <w:t>《建设项目环境影响报告表编制技术指南（污染影响类）（试行）》要求，</w:t>
            </w:r>
            <w:r>
              <w:rPr>
                <w:rFonts w:hint="default" w:ascii="Times New Roman" w:hAnsi="Times New Roman" w:eastAsia="宋体" w:cs="Times New Roman"/>
                <w:color w:val="auto"/>
                <w:spacing w:val="0"/>
                <w:position w:val="0"/>
                <w:sz w:val="24"/>
                <w:szCs w:val="21"/>
                <w:highlight w:val="none"/>
                <w:shd w:val="clear" w:color="auto" w:fill="auto"/>
                <w:lang w:eastAsia="zh-TW"/>
              </w:rPr>
              <w:t>引用数据可用。</w:t>
            </w:r>
          </w:p>
          <w:p>
            <w:pPr>
              <w:pStyle w:val="29"/>
              <w:bidi w:val="0"/>
              <w:rPr>
                <w:rFonts w:hint="default" w:ascii="Times New Roman" w:hAnsi="Times New Roman" w:eastAsia="宋体" w:cs="Times New Roman"/>
                <w:b/>
                <w:color w:val="auto"/>
                <w:spacing w:val="0"/>
                <w:kern w:val="0"/>
                <w:position w:val="0"/>
                <w:szCs w:val="21"/>
                <w:highlight w:val="none"/>
                <w:shd w:val="clear" w:color="auto" w:fill="auto"/>
                <w:lang w:val="en-US" w:eastAsia="zh-CN"/>
              </w:rPr>
            </w:pPr>
            <w:r>
              <w:rPr>
                <w:rFonts w:hint="default"/>
                <w:color w:val="auto"/>
                <w:highlight w:val="none"/>
                <w:lang w:val="en-US" w:eastAsia="zh-CN"/>
              </w:rPr>
              <w:t>表</w:t>
            </w:r>
            <w:r>
              <w:rPr>
                <w:rFonts w:hint="eastAsia"/>
                <w:color w:val="auto"/>
                <w:highlight w:val="none"/>
                <w:lang w:val="en-US" w:eastAsia="zh-CN"/>
              </w:rPr>
              <w:t xml:space="preserve">16  </w:t>
            </w:r>
            <w:r>
              <w:rPr>
                <w:rFonts w:hint="default"/>
                <w:color w:val="auto"/>
                <w:highlight w:val="none"/>
                <w:lang w:val="en-US" w:eastAsia="zh-CN"/>
              </w:rPr>
              <w:t>其他污染物环境质量现状</w:t>
            </w:r>
            <w:r>
              <w:rPr>
                <w:rFonts w:hint="eastAsia"/>
                <w:color w:val="auto"/>
                <w:highlight w:val="none"/>
                <w:lang w:val="en-US" w:eastAsia="zh-CN"/>
              </w:rPr>
              <w:t>检测</w:t>
            </w:r>
            <w:r>
              <w:rPr>
                <w:rFonts w:hint="default"/>
                <w:color w:val="auto"/>
                <w:highlight w:val="none"/>
                <w:lang w:val="en-US" w:eastAsia="zh-CN"/>
              </w:rPr>
              <w:t>结果</w:t>
            </w:r>
            <w:r>
              <w:rPr>
                <w:rFonts w:hint="eastAsia"/>
                <w:color w:val="auto"/>
                <w:highlight w:val="none"/>
                <w:lang w:val="en-US" w:eastAsia="zh-CN"/>
              </w:rPr>
              <w:t>一览表</w:t>
            </w:r>
          </w:p>
          <w:tbl>
            <w:tblPr>
              <w:tblStyle w:val="23"/>
              <w:tblW w:w="81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77"/>
              <w:gridCol w:w="1005"/>
              <w:gridCol w:w="1150"/>
              <w:gridCol w:w="1220"/>
              <w:gridCol w:w="1110"/>
              <w:gridCol w:w="1060"/>
              <w:gridCol w:w="795"/>
              <w:gridCol w:w="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7"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点位</w:t>
                  </w:r>
                </w:p>
              </w:tc>
              <w:tc>
                <w:tcPr>
                  <w:tcW w:w="1005"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污染物</w:t>
                  </w:r>
                </w:p>
              </w:tc>
              <w:tc>
                <w:tcPr>
                  <w:tcW w:w="1150"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平均时间</w:t>
                  </w:r>
                </w:p>
              </w:tc>
              <w:tc>
                <w:tcPr>
                  <w:tcW w:w="1220"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评价标准（μg/m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110"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检测</w:t>
                  </w:r>
                  <w:r>
                    <w:rPr>
                      <w:rFonts w:hint="default" w:ascii="Times New Roman" w:hAnsi="Times New Roman" w:eastAsia="宋体" w:cs="Times New Roman"/>
                      <w:color w:val="auto"/>
                      <w:sz w:val="21"/>
                      <w:szCs w:val="21"/>
                      <w:highlight w:val="none"/>
                      <w:shd w:val="clear" w:color="auto" w:fill="auto"/>
                      <w:lang w:val="en-US" w:eastAsia="zh-CN"/>
                    </w:rPr>
                    <w:t>浓度范围（μg/m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w:t>
                  </w:r>
                </w:p>
              </w:tc>
              <w:tc>
                <w:tcPr>
                  <w:tcW w:w="1060"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最大浓度占标率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795"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超标率</w:t>
                  </w:r>
                  <w:r>
                    <w:rPr>
                      <w:rFonts w:hint="eastAsia" w:eastAsia="宋体"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w:t>
                  </w:r>
                </w:p>
              </w:tc>
              <w:tc>
                <w:tcPr>
                  <w:tcW w:w="712" w:type="dxa"/>
                  <w:vMerge w:val="restart"/>
                  <w:noWrap w:val="0"/>
                  <w:vAlign w:val="center"/>
                </w:tcPr>
                <w:p>
                  <w:pPr>
                    <w:pStyle w:val="46"/>
                    <w:keepNext w:val="0"/>
                    <w:keepLines w:val="0"/>
                    <w:pageBreakBefore w:val="0"/>
                    <w:shd w:val="clear" w:color="auto" w:fill="auto"/>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77"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05"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50"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220"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110"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1060"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95" w:type="dxa"/>
                  <w:vMerge w:val="continue"/>
                  <w:noWrap w:val="0"/>
                  <w:vAlign w:val="center"/>
                </w:tcPr>
                <w:p>
                  <w:pPr>
                    <w:pStyle w:val="46"/>
                    <w:keepNext w:val="0"/>
                    <w:keepLines w:val="0"/>
                    <w:pageBreakBefore w:val="0"/>
                    <w:kinsoku/>
                    <w:wordWrap/>
                    <w:overflowPunct/>
                    <w:topLinePunct w:val="0"/>
                    <w:autoSpaceDE/>
                    <w:autoSpaceDN/>
                    <w:bidi w:val="0"/>
                    <w:adjustRightInd w:val="0"/>
                    <w:snapToGrid/>
                    <w:ind w:firstLine="0" w:firstLineChars="0"/>
                    <w:jc w:val="center"/>
                    <w:textAlignment w:val="auto"/>
                    <w:rPr>
                      <w:rFonts w:hint="default" w:ascii="Times New Roman" w:hAnsi="Times New Roman" w:eastAsia="宋体" w:cs="Times New Roman"/>
                      <w:color w:val="auto"/>
                      <w:sz w:val="21"/>
                      <w:szCs w:val="21"/>
                      <w:highlight w:val="none"/>
                      <w:shd w:val="clear" w:color="auto" w:fill="auto"/>
                    </w:rPr>
                  </w:pPr>
                </w:p>
              </w:tc>
              <w:tc>
                <w:tcPr>
                  <w:tcW w:w="712" w:type="dxa"/>
                  <w:vMerge w:val="continue"/>
                  <w:noWrap w:val="0"/>
                  <w:vAlign w:val="center"/>
                </w:tcPr>
                <w:p>
                  <w:pPr>
                    <w:pStyle w:val="46"/>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2" w:hRule="atLeast"/>
                <w:jc w:val="center"/>
              </w:trPr>
              <w:tc>
                <w:tcPr>
                  <w:tcW w:w="1077"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唐山市陆凯科技有限公司厂区内</w:t>
                  </w:r>
                </w:p>
              </w:tc>
              <w:tc>
                <w:tcPr>
                  <w:tcW w:w="1005"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TSP</w:t>
                  </w:r>
                </w:p>
              </w:tc>
              <w:tc>
                <w:tcPr>
                  <w:tcW w:w="1150"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24小时平均</w:t>
                  </w:r>
                </w:p>
              </w:tc>
              <w:tc>
                <w:tcPr>
                  <w:tcW w:w="1220" w:type="dxa"/>
                  <w:noWrap w:val="0"/>
                  <w:vAlign w:val="center"/>
                </w:tcPr>
                <w:p>
                  <w:pPr>
                    <w:pStyle w:val="44"/>
                    <w:keepNext w:val="0"/>
                    <w:keepLines w:val="0"/>
                    <w:pageBreakBefore w:val="0"/>
                    <w:widowControl w:val="0"/>
                    <w:kinsoku/>
                    <w:wordWrap/>
                    <w:overflowPunct/>
                    <w:topLinePunct w:val="0"/>
                    <w:autoSpaceDE/>
                    <w:autoSpaceDN/>
                    <w:bidi w:val="0"/>
                    <w:adjustRightInd w:val="0"/>
                    <w:snapToGrid/>
                    <w:spacing w:line="240" w:lineRule="auto"/>
                    <w:ind w:left="0" w:leftChars="0" w:right="0" w:rightChars="0" w:firstLine="0" w:firstLineChars="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300</w:t>
                  </w:r>
                </w:p>
              </w:tc>
              <w:tc>
                <w:tcPr>
                  <w:tcW w:w="1110"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70-138</w:t>
                  </w:r>
                </w:p>
              </w:tc>
              <w:tc>
                <w:tcPr>
                  <w:tcW w:w="1060"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46</w:t>
                  </w:r>
                </w:p>
              </w:tc>
              <w:tc>
                <w:tcPr>
                  <w:tcW w:w="795" w:type="dxa"/>
                  <w:noWrap w:val="0"/>
                  <w:vAlign w:val="center"/>
                </w:tcPr>
                <w:p>
                  <w:pPr>
                    <w:pStyle w:val="46"/>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0</w:t>
                  </w:r>
                </w:p>
              </w:tc>
              <w:tc>
                <w:tcPr>
                  <w:tcW w:w="712" w:type="dxa"/>
                  <w:noWrap w:val="0"/>
                  <w:vAlign w:val="center"/>
                </w:tcPr>
                <w:p>
                  <w:pPr>
                    <w:pStyle w:val="46"/>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达标</w:t>
                  </w:r>
                </w:p>
              </w:tc>
            </w:tr>
          </w:tbl>
          <w:p>
            <w:pPr>
              <w:bidi w:val="0"/>
              <w:rPr>
                <w:rFonts w:hint="default"/>
                <w:color w:val="auto"/>
                <w:highlight w:val="none"/>
              </w:rPr>
            </w:pPr>
            <w:r>
              <w:rPr>
                <w:rFonts w:hint="default"/>
                <w:color w:val="auto"/>
                <w:highlight w:val="none"/>
              </w:rPr>
              <w:t>由上表可以看出，其他污染物TSP</w:t>
            </w:r>
            <w:r>
              <w:rPr>
                <w:rFonts w:hint="eastAsia"/>
                <w:color w:val="auto"/>
                <w:highlight w:val="none"/>
              </w:rPr>
              <w:t xml:space="preserve"> </w:t>
            </w:r>
            <w:r>
              <w:rPr>
                <w:rFonts w:hint="default"/>
                <w:color w:val="auto"/>
                <w:highlight w:val="none"/>
              </w:rPr>
              <w:t>24小时浓度满足《环境空气质量标准》（GB3095</w:t>
            </w:r>
            <w:r>
              <w:rPr>
                <w:rFonts w:hint="eastAsia"/>
                <w:color w:val="auto"/>
                <w:highlight w:val="none"/>
                <w:lang w:val="en-US" w:eastAsia="zh-CN"/>
              </w:rPr>
              <w:t>-</w:t>
            </w:r>
            <w:r>
              <w:rPr>
                <w:rFonts w:hint="default"/>
                <w:color w:val="auto"/>
                <w:highlight w:val="none"/>
              </w:rPr>
              <w:t>2012）中二级标准及其修改单</w:t>
            </w:r>
            <w:r>
              <w:rPr>
                <w:rFonts w:hint="eastAsia"/>
                <w:color w:val="auto"/>
                <w:highlight w:val="none"/>
                <w:lang w:val="en-US" w:eastAsia="zh-CN"/>
              </w:rPr>
              <w:t>的要求。</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b/>
                <w:bCs/>
                <w:color w:val="auto"/>
                <w:highlight w:val="none"/>
              </w:rPr>
            </w:pPr>
            <w:r>
              <w:rPr>
                <w:rFonts w:hint="eastAsia" w:ascii="Times New Roman" w:eastAsia="宋体"/>
                <w:b/>
                <w:bCs/>
                <w:color w:val="auto"/>
                <w:highlight w:val="none"/>
                <w:lang w:val="en-US" w:eastAsia="zh-CN"/>
              </w:rPr>
              <w:t>2、</w:t>
            </w:r>
            <w:r>
              <w:rPr>
                <w:rFonts w:hint="default"/>
                <w:b/>
                <w:bCs/>
                <w:color w:val="auto"/>
                <w:highlight w:val="none"/>
              </w:rPr>
              <w:t>声环境</w:t>
            </w:r>
          </w:p>
          <w:p>
            <w:pPr>
              <w:bidi w:val="0"/>
              <w:rPr>
                <w:rFonts w:hint="default"/>
                <w:color w:val="auto"/>
                <w:highlight w:val="none"/>
                <w:lang w:val="en-US" w:eastAsia="zh-CN"/>
              </w:rPr>
            </w:pPr>
            <w:r>
              <w:rPr>
                <w:rFonts w:hint="default"/>
                <w:color w:val="auto"/>
                <w:highlight w:val="none"/>
                <w:lang w:val="en-US" w:eastAsia="zh-CN"/>
              </w:rPr>
              <w:t>本项目周边50m范围内无声环境保护目标。</w:t>
            </w:r>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highlight w:val="none"/>
              </w:rPr>
            </w:pPr>
            <w:r>
              <w:rPr>
                <w:b/>
                <w:bCs/>
                <w:color w:val="auto"/>
                <w:highlight w:val="none"/>
              </w:rPr>
              <w:t>3、地表水</w:t>
            </w:r>
          </w:p>
          <w:p>
            <w:pPr>
              <w:pStyle w:val="34"/>
              <w:keepNext w:val="0"/>
              <w:keepLines w:val="0"/>
              <w:pageBreakBefore w:val="0"/>
              <w:kinsoku/>
              <w:wordWrap/>
              <w:overflowPunct/>
              <w:topLinePunct w:val="0"/>
              <w:autoSpaceDE/>
              <w:autoSpaceDN/>
              <w:bidi w:val="0"/>
              <w:snapToGrid/>
              <w:spacing w:line="480" w:lineRule="exact"/>
              <w:ind w:firstLine="480" w:firstLineChars="200"/>
              <w:textAlignment w:val="auto"/>
              <w:rPr>
                <w:rFonts w:hint="eastAsia" w:eastAsia="宋体" w:cs="Times New Roman"/>
                <w:bCs/>
                <w:smallCaps w:val="0"/>
                <w:snapToGrid/>
                <w:color w:val="auto"/>
                <w:spacing w:val="0"/>
                <w:kern w:val="2"/>
                <w:position w:val="0"/>
                <w:sz w:val="24"/>
                <w:szCs w:val="24"/>
                <w:highlight w:val="none"/>
                <w:lang w:val="en-US" w:eastAsia="zh-CN" w:bidi="ar-SA"/>
              </w:rPr>
            </w:pPr>
            <w:r>
              <w:rPr>
                <w:rFonts w:hint="eastAsia" w:eastAsia="宋体" w:cs="Times New Roman"/>
                <w:bCs/>
                <w:smallCaps w:val="0"/>
                <w:snapToGrid/>
                <w:color w:val="auto"/>
                <w:spacing w:val="0"/>
                <w:kern w:val="2"/>
                <w:position w:val="0"/>
                <w:sz w:val="24"/>
                <w:szCs w:val="24"/>
                <w:highlight w:val="none"/>
                <w:lang w:val="en-US" w:eastAsia="zh-CN" w:bidi="ar-SA"/>
              </w:rPr>
              <w:t>本项目生产废水、洗车废水处理后循环使用，生活污水泼洒厂区地面抑尘，无废水直接排放至外环境，</w:t>
            </w:r>
            <w:r>
              <w:rPr>
                <w:rFonts w:hint="eastAsia" w:ascii="Times New Roman" w:hAnsi="Times New Roman" w:eastAsia="宋体" w:cs="Times New Roman"/>
                <w:color w:val="auto"/>
                <w:sz w:val="24"/>
                <w:szCs w:val="24"/>
                <w:highlight w:val="none"/>
                <w:shd w:val="clear" w:color="auto" w:fill="auto"/>
                <w:lang w:val="en-US" w:eastAsia="zh-CN"/>
              </w:rPr>
              <w:t>不会对周边地表</w:t>
            </w:r>
            <w:r>
              <w:rPr>
                <w:rFonts w:hint="default" w:ascii="Times New Roman" w:hAnsi="Times New Roman" w:eastAsia="宋体" w:cs="Times New Roman"/>
                <w:color w:val="auto"/>
                <w:sz w:val="24"/>
                <w:szCs w:val="24"/>
                <w:highlight w:val="none"/>
                <w:shd w:val="clear" w:color="auto" w:fill="auto"/>
              </w:rPr>
              <w:t>水环境</w:t>
            </w:r>
            <w:r>
              <w:rPr>
                <w:rFonts w:hint="eastAsia" w:ascii="Times New Roman" w:hAnsi="Times New Roman" w:eastAsia="宋体" w:cs="Times New Roman"/>
                <w:color w:val="auto"/>
                <w:sz w:val="24"/>
                <w:szCs w:val="24"/>
                <w:highlight w:val="none"/>
                <w:shd w:val="clear" w:color="auto" w:fill="auto"/>
                <w:lang w:val="en-US" w:eastAsia="zh-CN"/>
              </w:rPr>
              <w:t>造成</w:t>
            </w:r>
            <w:r>
              <w:rPr>
                <w:rFonts w:hint="default" w:ascii="Times New Roman" w:hAnsi="Times New Roman" w:eastAsia="宋体" w:cs="Times New Roman"/>
                <w:color w:val="auto"/>
                <w:sz w:val="24"/>
                <w:szCs w:val="24"/>
                <w:highlight w:val="none"/>
                <w:shd w:val="clear" w:color="auto" w:fill="auto"/>
              </w:rPr>
              <w:t>影响</w:t>
            </w:r>
            <w:r>
              <w:rPr>
                <w:rFonts w:hint="eastAsia" w:eastAsia="宋体" w:cs="Times New Roman"/>
                <w:bCs/>
                <w:smallCaps w:val="0"/>
                <w:snapToGrid/>
                <w:color w:val="auto"/>
                <w:spacing w:val="0"/>
                <w:kern w:val="2"/>
                <w:position w:val="0"/>
                <w:sz w:val="24"/>
                <w:szCs w:val="24"/>
                <w:highlight w:val="none"/>
                <w:lang w:val="en-US" w:eastAsia="zh-CN" w:bidi="ar-SA"/>
              </w:rPr>
              <w:t>。</w:t>
            </w:r>
          </w:p>
          <w:p>
            <w:pPr>
              <w:bidi w:val="0"/>
              <w:rPr>
                <w:rFonts w:hint="default" w:eastAsia="宋体"/>
                <w:color w:val="auto"/>
                <w:highlight w:val="none"/>
                <w:lang w:val="en-US" w:eastAsia="zh-CN"/>
              </w:rPr>
            </w:pPr>
            <w:r>
              <w:rPr>
                <w:rFonts w:hint="eastAsia"/>
                <w:color w:val="auto"/>
                <w:highlight w:val="none"/>
                <w:lang w:val="en-US" w:eastAsia="zh-CN"/>
              </w:rPr>
              <w:t>根据</w:t>
            </w:r>
            <w:r>
              <w:rPr>
                <w:rFonts w:hint="default"/>
                <w:color w:val="auto"/>
                <w:highlight w:val="none"/>
                <w:lang w:val="zh-CN"/>
              </w:rPr>
              <w:t>《20</w:t>
            </w:r>
            <w:r>
              <w:rPr>
                <w:rFonts w:hint="eastAsia"/>
                <w:color w:val="auto"/>
                <w:highlight w:val="none"/>
                <w:lang w:val="en-US" w:eastAsia="zh-CN"/>
              </w:rPr>
              <w:t>22</w:t>
            </w:r>
            <w:r>
              <w:rPr>
                <w:rFonts w:hint="default"/>
                <w:color w:val="auto"/>
                <w:highlight w:val="none"/>
                <w:lang w:val="zh-CN"/>
              </w:rPr>
              <w:t>年唐山市</w:t>
            </w:r>
            <w:r>
              <w:rPr>
                <w:rFonts w:hint="eastAsia"/>
                <w:color w:val="auto"/>
                <w:highlight w:val="none"/>
                <w:lang w:val="en-US" w:eastAsia="zh-CN"/>
              </w:rPr>
              <w:t>生态</w:t>
            </w:r>
            <w:r>
              <w:rPr>
                <w:rFonts w:hint="default"/>
                <w:color w:val="auto"/>
                <w:highlight w:val="none"/>
                <w:lang w:val="zh-CN"/>
              </w:rPr>
              <w:t>环境状况公报》</w:t>
            </w:r>
            <w:r>
              <w:rPr>
                <w:rFonts w:hint="eastAsia"/>
                <w:color w:val="auto"/>
                <w:highlight w:val="none"/>
                <w:lang w:val="zh-CN"/>
              </w:rPr>
              <w:t>，2022年全市共有地表水国、省考监测断面14个，分布于滦河、还乡河、陡河、青龙河、蓟运河、煤河、淋河、黎河、沙河9条河流，2022年国、省考核9条河流14个断面水质全部达标，11个断面达</w:t>
            </w:r>
            <w:r>
              <w:rPr>
                <w:rFonts w:hint="default" w:ascii="Times New Roman" w:hAnsi="Times New Roman" w:cs="Times New Roman"/>
                <w:color w:val="auto"/>
                <w:highlight w:val="none"/>
                <w:lang w:val="zh-CN"/>
              </w:rPr>
              <w:t>到地表水Ⅲ类及以上水质标准，优良（Ⅰ-Ⅲ）比例为78.57%</w:t>
            </w:r>
            <w:r>
              <w:rPr>
                <w:rFonts w:hint="eastAsia"/>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4、地下水环境</w:t>
            </w:r>
          </w:p>
          <w:p>
            <w:pPr>
              <w:bidi w:val="0"/>
              <w:rPr>
                <w:rFonts w:hint="eastAsia"/>
                <w:color w:val="auto"/>
                <w:highlight w:val="none"/>
                <w:lang w:val="en-US" w:eastAsia="zh-CN"/>
              </w:rPr>
            </w:pPr>
            <w:r>
              <w:rPr>
                <w:rFonts w:hint="eastAsia"/>
                <w:color w:val="auto"/>
                <w:highlight w:val="none"/>
                <w:lang w:val="en-US" w:eastAsia="zh-CN"/>
              </w:rPr>
              <w:t>本项目不在水源地保护区内，项目厂界外500米范围内无居民水井、地下水集中式饮用水水源和热水、矿泉水、温泉等特殊地下水资源，无水环境保护目标。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项目使用的润滑油、液压油密闭桶装存放于油品储存间，地面进行硬化、防腐防渗处理；废润滑油、废液压油桶装加盖收集，储存在危废间内，下设铁质托盘，地面及裙角进行硬化、防腐防渗处理；生产废水一级沉淀池、沉淀澄清池为抗渗混凝土结构；废水管道或者收集沟均为抗渗混凝土结构，地上或明沟设置；湿式生产区及再生细骨料储存区地面进行防腐防渗处理；洗车平台沉淀池、清水池为抗渗混凝土结构；使用油类的设备，定期巡检，避免跑冒滴漏现象发生，下设铁质托盘，车间地面进行硬化、防腐防渗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综上所述，本项目采取措施后，阻断了地下水环境污染途径，故不开展地下水环境质量现状调查。</w:t>
            </w:r>
          </w:p>
          <w:p>
            <w:pPr>
              <w:keepNext w:val="0"/>
              <w:keepLines w:val="0"/>
              <w:pageBreakBefore w:val="0"/>
              <w:widowControl w:val="0"/>
              <w:kinsoku/>
              <w:wordWrap/>
              <w:overflowPunct/>
              <w:topLinePunct w:val="0"/>
              <w:autoSpaceDE/>
              <w:autoSpaceDN/>
              <w:bidi w:val="0"/>
              <w:adjustRightInd/>
              <w:snapToGrid/>
              <w:ind w:firstLine="0" w:firstLineChars="0"/>
              <w:textAlignment w:val="auto"/>
              <w:rPr>
                <w:b/>
                <w:bCs/>
                <w:color w:val="auto"/>
                <w:highlight w:val="none"/>
              </w:rPr>
            </w:pPr>
            <w:r>
              <w:rPr>
                <w:rFonts w:hint="eastAsia"/>
                <w:b/>
                <w:bCs/>
                <w:color w:val="auto"/>
                <w:highlight w:val="none"/>
                <w:lang w:val="en-US" w:eastAsia="zh-CN"/>
              </w:rPr>
              <w:t>5</w:t>
            </w:r>
            <w:r>
              <w:rPr>
                <w:b/>
                <w:bCs/>
                <w:color w:val="auto"/>
                <w:highlight w:val="none"/>
              </w:rPr>
              <w:t>、生态</w:t>
            </w:r>
          </w:p>
          <w:p>
            <w:pPr>
              <w:bidi w:val="0"/>
              <w:rPr>
                <w:color w:val="auto"/>
                <w:highlight w:val="none"/>
              </w:rPr>
            </w:pPr>
            <w:r>
              <w:rPr>
                <w:color w:val="auto"/>
                <w:highlight w:val="none"/>
              </w:rPr>
              <w:t>项目所在区域内地表植被主要是人工植被，主要农作物有玉米、小麦、花生、棉花。树种主要以杨、柳、槐树为主，动物种类主要为农村饲养的家禽、家畜。区域内无名胜古迹和重点文物。</w:t>
            </w:r>
          </w:p>
          <w:p>
            <w:pPr>
              <w:keepNext w:val="0"/>
              <w:keepLines w:val="0"/>
              <w:pageBreakBefore w:val="0"/>
              <w:widowControl w:val="0"/>
              <w:kinsoku/>
              <w:wordWrap/>
              <w:overflowPunct/>
              <w:topLinePunct w:val="0"/>
              <w:autoSpaceDE/>
              <w:autoSpaceDN/>
              <w:bidi w:val="0"/>
              <w:adjustRightInd/>
              <w:snapToGrid/>
              <w:spacing w:line="480" w:lineRule="atLeast"/>
              <w:ind w:firstLine="0" w:firstLineChars="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6、电磁辐射</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为</w:t>
            </w:r>
            <w:r>
              <w:rPr>
                <w:rFonts w:hint="eastAsia" w:cs="Times New Roman"/>
                <w:color w:val="auto"/>
                <w:highlight w:val="none"/>
                <w:lang w:val="en-US" w:eastAsia="zh-CN"/>
              </w:rPr>
              <w:t>固体废物治理业和其他建筑材料制造业，不涉及电磁辐射</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atLeast"/>
              <w:ind w:firstLine="0" w:firstLineChars="0"/>
              <w:textAlignment w:val="auto"/>
              <w:rPr>
                <w:rFonts w:hint="eastAsia" w:ascii="Times New Roman" w:hAnsi="Times New Roman" w:eastAsia="宋体" w:cs="Times New Roman"/>
                <w:b/>
                <w:color w:val="auto"/>
                <w:sz w:val="24"/>
                <w:highlight w:val="none"/>
                <w:lang w:val="en-US" w:eastAsia="zh-CN"/>
              </w:rPr>
            </w:pPr>
            <w:r>
              <w:rPr>
                <w:rFonts w:hint="eastAsia" w:ascii="Times New Roman" w:hAnsi="Times New Roman" w:eastAsia="宋体" w:cs="Times New Roman"/>
                <w:b/>
                <w:color w:val="auto"/>
                <w:sz w:val="24"/>
                <w:highlight w:val="none"/>
                <w:lang w:val="en-US" w:eastAsia="zh-CN"/>
              </w:rPr>
              <w:t>7、土壤环境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项目使用的润滑油、液压油密闭桶装存放于油品储存间，地面进行硬化、防腐防渗处理；废润滑油、废液压油桶装加盖收集，储存在危废间内，下设铁质托盘，地面及裙角进行硬化、防腐防渗处理；生产废水一级沉淀池、沉淀澄清池为抗渗混凝土结构；废水管道或者收集沟均为抗渗混凝土结构，地上或明沟设置；湿式生产区及再生细骨料储存区地面进行防腐防渗处理；洗车平台沉淀池、清水池为抗渗混凝土结构；使用油类的设备，定期巡检，避免跑冒滴漏现象发生，下设铁质托盘，车间地面进行硬化、防腐防渗处理。</w:t>
            </w:r>
          </w:p>
          <w:p>
            <w:pPr>
              <w:bidi w:val="0"/>
              <w:rPr>
                <w:rFonts w:hint="eastAsia" w:ascii="Times New Roman" w:hAnsi="Times New Roman" w:eastAsia="宋体" w:cs="Times New Roman"/>
                <w:color w:val="auto"/>
                <w:kern w:val="0"/>
                <w:sz w:val="24"/>
                <w:szCs w:val="24"/>
                <w:highlight w:val="none"/>
                <w:shd w:val="clear" w:color="auto" w:fill="auto"/>
                <w:lang w:val="en-US" w:eastAsia="zh-CN"/>
              </w:rPr>
            </w:pPr>
            <w:r>
              <w:rPr>
                <w:rFonts w:hint="eastAsia" w:ascii="Times New Roman" w:hAnsi="Times New Roman" w:eastAsia="宋体" w:cs="Times New Roman"/>
                <w:color w:val="auto"/>
                <w:sz w:val="24"/>
                <w:highlight w:val="none"/>
                <w:lang w:val="en-US" w:eastAsia="zh-CN"/>
              </w:rPr>
              <w:t>综上所述，本项目采取措施后，阻断了土壤环境污染途径，</w:t>
            </w:r>
            <w:r>
              <w:rPr>
                <w:rFonts w:hint="eastAsia" w:ascii="Times New Roman" w:hAnsi="Times New Roman" w:eastAsia="宋体" w:cs="Times New Roman"/>
                <w:color w:val="auto"/>
                <w:kern w:val="0"/>
                <w:sz w:val="24"/>
                <w:szCs w:val="24"/>
                <w:highlight w:val="none"/>
                <w:shd w:val="clear" w:color="auto" w:fill="auto"/>
                <w:lang w:val="en-US" w:eastAsia="zh-CN"/>
              </w:rPr>
              <w:t>故不开展土壤环境质量现状调查。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0" w:type="dxa"/>
            <w:noWrap w:val="0"/>
            <w:vAlign w:val="center"/>
          </w:tcPr>
          <w:p>
            <w:pPr>
              <w:pStyle w:val="30"/>
              <w:bidi w:val="0"/>
              <w:rPr>
                <w:rFonts w:hint="eastAsia"/>
                <w:color w:val="auto"/>
                <w:sz w:val="24"/>
                <w:szCs w:val="24"/>
                <w:highlight w:val="none"/>
              </w:rPr>
            </w:pPr>
            <w:r>
              <w:rPr>
                <w:rFonts w:hint="eastAsia"/>
                <w:color w:val="auto"/>
                <w:sz w:val="24"/>
                <w:szCs w:val="24"/>
                <w:highlight w:val="none"/>
              </w:rPr>
              <w:t>环境</w:t>
            </w:r>
          </w:p>
          <w:p>
            <w:pPr>
              <w:pStyle w:val="30"/>
              <w:bidi w:val="0"/>
              <w:rPr>
                <w:rFonts w:hint="eastAsia"/>
                <w:color w:val="auto"/>
                <w:sz w:val="24"/>
                <w:szCs w:val="24"/>
                <w:highlight w:val="none"/>
              </w:rPr>
            </w:pPr>
            <w:r>
              <w:rPr>
                <w:rFonts w:hint="eastAsia"/>
                <w:color w:val="auto"/>
                <w:sz w:val="24"/>
                <w:szCs w:val="24"/>
                <w:highlight w:val="none"/>
              </w:rPr>
              <w:t>保护</w:t>
            </w:r>
          </w:p>
          <w:p>
            <w:pPr>
              <w:pStyle w:val="30"/>
              <w:bidi w:val="0"/>
              <w:rPr>
                <w:rFonts w:hint="eastAsia"/>
                <w:color w:val="auto"/>
                <w:highlight w:val="none"/>
              </w:rPr>
            </w:pPr>
            <w:r>
              <w:rPr>
                <w:rFonts w:hint="eastAsia"/>
                <w:color w:val="auto"/>
                <w:sz w:val="24"/>
                <w:szCs w:val="24"/>
                <w:highlight w:val="none"/>
              </w:rPr>
              <w:t>目标</w:t>
            </w:r>
          </w:p>
        </w:tc>
        <w:tc>
          <w:tcPr>
            <w:tcW w:w="8346"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大气环境：</w:t>
            </w:r>
            <w:r>
              <w:rPr>
                <w:rFonts w:hint="eastAsia"/>
                <w:color w:val="auto"/>
                <w:highlight w:val="none"/>
                <w:lang w:val="en-US" w:eastAsia="zh-CN"/>
              </w:rPr>
              <w:t>厂界外500m范围内的大气环境保护目标为西侧125m处的三女河敬老院，西北侧130m、西南侧275m处的姚家庄回迁区（在建），245m处的港东铭郡小区，东北侧265m处的姚家庄村居民区，东南侧160m处的杨信庄村居民区</w:t>
            </w:r>
            <w:r>
              <w:rPr>
                <w:rFonts w:hint="eastAsia" w:ascii="Times New Roman" w:hAnsi="Times New Roman" w:eastAsia="宋体"/>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声环境：厂界外50m范围内</w:t>
            </w:r>
            <w:r>
              <w:rPr>
                <w:rFonts w:hint="eastAsia" w:ascii="Times New Roman" w:eastAsia="宋体"/>
                <w:b w:val="0"/>
                <w:bCs w:val="0"/>
                <w:color w:val="auto"/>
                <w:sz w:val="24"/>
                <w:szCs w:val="24"/>
                <w:highlight w:val="none"/>
                <w:lang w:val="en-US" w:eastAsia="zh-CN"/>
              </w:rPr>
              <w:t>无</w:t>
            </w:r>
            <w:r>
              <w:rPr>
                <w:rFonts w:hint="eastAsia" w:ascii="Times New Roman" w:hAnsi="Times New Roman" w:eastAsia="宋体"/>
                <w:b w:val="0"/>
                <w:bCs w:val="0"/>
                <w:color w:val="auto"/>
                <w:sz w:val="24"/>
                <w:szCs w:val="24"/>
                <w:highlight w:val="none"/>
                <w:lang w:val="en-US" w:eastAsia="zh-CN"/>
              </w:rPr>
              <w:t>声环境保护目标；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0" w:firstLineChars="200"/>
              <w:jc w:val="left"/>
              <w:textAlignment w:val="auto"/>
              <w:outlineLvl w:val="9"/>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地下水环境：</w:t>
            </w:r>
            <w:r>
              <w:rPr>
                <w:rFonts w:hint="eastAsia"/>
                <w:color w:val="auto"/>
                <w:highlight w:val="none"/>
                <w:lang w:val="en-US" w:eastAsia="zh-CN"/>
              </w:rPr>
              <w:t>厂界外500m范围内无地下水集中式饮用水水源和热水、矿泉水、温泉等特殊地下水资源，地下水环境保护目标主要为占地范围内的潜水含水层</w:t>
            </w:r>
            <w:r>
              <w:rPr>
                <w:rFonts w:hint="eastAsia" w:ascii="Times New Roman" w:hAnsi="Times New Roman" w:eastAsia="宋体"/>
                <w:b w:val="0"/>
                <w:bCs w:val="0"/>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eastAsia"/>
                <w:color w:val="auto"/>
                <w:sz w:val="24"/>
                <w:szCs w:val="24"/>
                <w:highlight w:val="none"/>
                <w:lang w:val="en-US" w:eastAsia="zh-CN"/>
              </w:rPr>
            </w:pPr>
            <w:r>
              <w:rPr>
                <w:rFonts w:hint="eastAsia" w:ascii="Times New Roman" w:hAnsi="Times New Roman" w:eastAsia="宋体"/>
                <w:b w:val="0"/>
                <w:bCs w:val="0"/>
                <w:color w:val="auto"/>
                <w:sz w:val="24"/>
                <w:szCs w:val="24"/>
                <w:highlight w:val="none"/>
                <w:lang w:val="en-US" w:eastAsia="zh-CN"/>
              </w:rPr>
              <w:t>生态环境：本项目用地范围内无生态环境保护目标</w:t>
            </w:r>
            <w:r>
              <w:rPr>
                <w:rFonts w:hint="eastAsia" w:ascii="Times New Roman" w:eastAsia="宋体"/>
                <w:color w:val="auto"/>
                <w:sz w:val="24"/>
                <w:szCs w:val="24"/>
                <w:highlight w:val="none"/>
                <w:lang w:val="en-US" w:eastAsia="zh-CN"/>
              </w:rPr>
              <w:t>。</w:t>
            </w:r>
          </w:p>
          <w:p>
            <w:pPr>
              <w:keepNext w:val="0"/>
              <w:keepLines w:val="0"/>
              <w:pageBreakBefore w:val="0"/>
              <w:widowControl w:val="0"/>
              <w:kinsoku/>
              <w:wordWrap/>
              <w:overflowPunct/>
              <w:topLinePunct/>
              <w:autoSpaceDE/>
              <w:autoSpaceDN/>
              <w:bidi w:val="0"/>
              <w:adjustRightInd w:val="0"/>
              <w:snapToGrid/>
              <w:spacing w:before="0" w:line="480" w:lineRule="exact"/>
              <w:ind w:firstLine="480" w:firstLineChars="200"/>
              <w:jc w:val="left"/>
              <w:textAlignment w:val="auto"/>
              <w:rPr>
                <w:rFonts w:hint="default"/>
                <w:color w:val="auto"/>
                <w:highlight w:val="none"/>
              </w:rPr>
            </w:pPr>
            <w:r>
              <w:rPr>
                <w:rFonts w:hint="eastAsia" w:ascii="Times New Roman" w:eastAsia="宋体"/>
                <w:color w:val="auto"/>
                <w:highlight w:val="none"/>
                <w:lang w:val="en-US" w:eastAsia="zh-CN"/>
              </w:rPr>
              <w:t>本项目</w:t>
            </w:r>
            <w:r>
              <w:rPr>
                <w:rFonts w:hint="default"/>
                <w:color w:val="auto"/>
                <w:highlight w:val="none"/>
              </w:rPr>
              <w:t>环境保护目标见下表。</w:t>
            </w:r>
          </w:p>
          <w:p>
            <w:pPr>
              <w:keepNext w:val="0"/>
              <w:keepLines w:val="0"/>
              <w:pageBreakBefore w:val="0"/>
              <w:widowControl w:val="0"/>
              <w:kinsoku/>
              <w:wordWrap/>
              <w:overflowPunct/>
              <w:topLinePunct w:val="0"/>
              <w:autoSpaceDE w:val="0"/>
              <w:autoSpaceDN w:val="0"/>
              <w:bidi w:val="0"/>
              <w:adjustRightInd w:val="0"/>
              <w:snapToGrid/>
              <w:spacing w:before="0" w:line="440" w:lineRule="exact"/>
              <w:ind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eastAsia" w:cs="Times New Roman"/>
                <w:b/>
                <w:bCs/>
                <w:color w:val="auto"/>
                <w:sz w:val="21"/>
                <w:szCs w:val="21"/>
                <w:highlight w:val="none"/>
                <w:lang w:val="en-US" w:eastAsia="zh-CN"/>
              </w:rPr>
              <w:t>17</w:t>
            </w:r>
            <w:r>
              <w:rPr>
                <w:rFonts w:hint="default" w:ascii="Times New Roman" w:hAnsi="Times New Roman" w:eastAsia="宋体" w:cs="Times New Roman"/>
                <w:b/>
                <w:bCs/>
                <w:color w:val="auto"/>
                <w:sz w:val="21"/>
                <w:szCs w:val="21"/>
                <w:highlight w:val="none"/>
                <w:lang w:eastAsia="zh-CN"/>
              </w:rPr>
              <w:t xml:space="preserve">  环境保护目标一览表</w:t>
            </w:r>
          </w:p>
          <w:tbl>
            <w:tblPr>
              <w:tblStyle w:val="23"/>
              <w:tblW w:w="81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90"/>
              <w:gridCol w:w="1185"/>
              <w:gridCol w:w="1110"/>
              <w:gridCol w:w="645"/>
              <w:gridCol w:w="874"/>
              <w:gridCol w:w="701"/>
              <w:gridCol w:w="720"/>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类别</w:t>
                  </w:r>
                </w:p>
              </w:tc>
              <w:tc>
                <w:tcPr>
                  <w:tcW w:w="129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名称</w:t>
                  </w:r>
                </w:p>
              </w:tc>
              <w:tc>
                <w:tcPr>
                  <w:tcW w:w="229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坐标</w:t>
                  </w:r>
                </w:p>
              </w:tc>
              <w:tc>
                <w:tcPr>
                  <w:tcW w:w="6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保护对象</w:t>
                  </w:r>
                </w:p>
              </w:tc>
              <w:tc>
                <w:tcPr>
                  <w:tcW w:w="8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保护内容</w:t>
                  </w:r>
                </w:p>
              </w:tc>
              <w:tc>
                <w:tcPr>
                  <w:tcW w:w="70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环境功能区</w:t>
                  </w:r>
                </w:p>
              </w:tc>
              <w:tc>
                <w:tcPr>
                  <w:tcW w:w="72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相对厂址方位</w:t>
                  </w:r>
                </w:p>
              </w:tc>
              <w:tc>
                <w:tcPr>
                  <w:tcW w:w="91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相对厂界距离</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m</w:t>
                  </w:r>
                  <w:r>
                    <w:rPr>
                      <w:rFonts w:hint="eastAsia" w:cs="Times New Roman"/>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color w:val="auto"/>
                      <w:sz w:val="21"/>
                      <w:szCs w:val="21"/>
                      <w:highlight w:val="none"/>
                    </w:rPr>
                  </w:pPr>
                </w:p>
              </w:tc>
              <w:tc>
                <w:tcPr>
                  <w:tcW w:w="129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东经（°）</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北纬（°）</w:t>
                  </w:r>
                </w:p>
              </w:tc>
              <w:tc>
                <w:tcPr>
                  <w:tcW w:w="6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8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0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c>
                <w:tcPr>
                  <w:tcW w:w="72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1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7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大气环境</w:t>
                  </w:r>
                </w:p>
              </w:tc>
              <w:tc>
                <w:tcPr>
                  <w:tcW w:w="12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三女河养老院</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118.048873</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39.704860</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w:t>
                  </w:r>
                </w:p>
              </w:tc>
              <w:tc>
                <w:tcPr>
                  <w:tcW w:w="8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人群</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29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姚家庄回迁区（在建）</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118.048707</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39.705544</w:t>
                  </w:r>
                </w:p>
              </w:tc>
              <w:tc>
                <w:tcPr>
                  <w:tcW w:w="6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居民</w:t>
                  </w:r>
                </w:p>
              </w:tc>
              <w:tc>
                <w:tcPr>
                  <w:tcW w:w="8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NW</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29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118.047988</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39.702515</w:t>
                  </w:r>
                </w:p>
              </w:tc>
              <w:tc>
                <w:tcPr>
                  <w:tcW w:w="6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p>
              </w:tc>
              <w:tc>
                <w:tcPr>
                  <w:tcW w:w="8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2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港东铭郡小区</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118.048715</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39.707192</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居民</w:t>
                  </w:r>
                </w:p>
              </w:tc>
              <w:tc>
                <w:tcPr>
                  <w:tcW w:w="8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NW</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2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姚家庄村</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118.051438</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39.707746</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居民</w:t>
                  </w:r>
                </w:p>
              </w:tc>
              <w:tc>
                <w:tcPr>
                  <w:tcW w:w="8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NE</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7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2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杨信庄村</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118.053105</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39.703831</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居民</w:t>
                  </w:r>
                </w:p>
              </w:tc>
              <w:tc>
                <w:tcPr>
                  <w:tcW w:w="8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居民区</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二类区</w:t>
                  </w:r>
                </w:p>
              </w:tc>
              <w:tc>
                <w:tcPr>
                  <w:tcW w:w="72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SE</w:t>
                  </w:r>
                </w:p>
              </w:tc>
              <w:tc>
                <w:tcPr>
                  <w:tcW w:w="9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7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地下水</w:t>
                  </w:r>
                </w:p>
              </w:tc>
              <w:tc>
                <w:tcPr>
                  <w:tcW w:w="129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厂区内地下水潜水层</w:t>
                  </w:r>
                </w:p>
              </w:tc>
              <w:tc>
                <w:tcPr>
                  <w:tcW w:w="11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w:t>
                  </w:r>
                </w:p>
              </w:tc>
              <w:tc>
                <w:tcPr>
                  <w:tcW w:w="11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地下水</w:t>
                  </w:r>
                </w:p>
              </w:tc>
              <w:tc>
                <w:tcPr>
                  <w:tcW w:w="87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地下水潜水层</w:t>
                  </w:r>
                </w:p>
              </w:tc>
              <w:tc>
                <w:tcPr>
                  <w:tcW w:w="70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Ⅲ</w:t>
                  </w:r>
                  <w:r>
                    <w:rPr>
                      <w:rFonts w:hint="eastAsia" w:cs="Times New Roman"/>
                      <w:color w:val="auto"/>
                      <w:sz w:val="21"/>
                      <w:szCs w:val="21"/>
                      <w:highlight w:val="none"/>
                      <w:lang w:val="en-US" w:eastAsia="zh-CN"/>
                    </w:rPr>
                    <w:t>类区</w:t>
                  </w:r>
                </w:p>
              </w:tc>
              <w:tc>
                <w:tcPr>
                  <w:tcW w:w="163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占地范围内</w:t>
                  </w:r>
                </w:p>
              </w:tc>
            </w:tr>
          </w:tbl>
          <w:p>
            <w:pPr>
              <w:bidi w:val="0"/>
              <w:ind w:left="0" w:leftChars="0" w:firstLine="0" w:firstLineChars="0"/>
              <w:rPr>
                <w:rFonts w:hint="default"/>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污染</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物排</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放控</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制标</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highlight w:val="none"/>
              </w:rPr>
            </w:pPr>
            <w:r>
              <w:rPr>
                <w:rFonts w:hint="eastAsia"/>
                <w:color w:val="auto"/>
                <w:sz w:val="24"/>
                <w:szCs w:val="24"/>
                <w:highlight w:val="none"/>
              </w:rPr>
              <w:t>准</w:t>
            </w:r>
          </w:p>
        </w:tc>
        <w:tc>
          <w:tcPr>
            <w:tcW w:w="8346" w:type="dxa"/>
            <w:noWrap w:val="0"/>
            <w:vAlign w:val="center"/>
          </w:tcPr>
          <w:p>
            <w:pPr>
              <w:bidi w:val="0"/>
              <w:rPr>
                <w:rFonts w:hint="default"/>
                <w:color w:val="auto"/>
                <w:highlight w:val="none"/>
                <w:lang w:val="en-US"/>
              </w:rPr>
            </w:pPr>
            <w:r>
              <w:rPr>
                <w:rFonts w:hint="eastAsia" w:eastAsia="宋体"/>
                <w:color w:val="auto"/>
                <w:highlight w:val="none"/>
                <w:lang w:eastAsia="zh-CN"/>
              </w:rPr>
              <w:t>（</w:t>
            </w:r>
            <w:r>
              <w:rPr>
                <w:rFonts w:hint="eastAsia" w:ascii="Times New Roman" w:eastAsia="宋体"/>
                <w:color w:val="auto"/>
                <w:highlight w:val="none"/>
                <w:lang w:val="en-US" w:eastAsia="zh-CN"/>
              </w:rPr>
              <w:t>1</w:t>
            </w:r>
            <w:r>
              <w:rPr>
                <w:rFonts w:hint="eastAsia" w:eastAsia="宋体"/>
                <w:color w:val="auto"/>
                <w:highlight w:val="none"/>
                <w:lang w:eastAsia="zh-CN"/>
              </w:rPr>
              <w:t>）</w:t>
            </w:r>
            <w:r>
              <w:rPr>
                <w:rFonts w:hint="eastAsia" w:eastAsia="宋体"/>
                <w:color w:val="auto"/>
                <w:highlight w:val="none"/>
                <w:lang w:val="en-US" w:eastAsia="zh-CN"/>
              </w:rPr>
              <w:t>颗粒物有组织排放</w:t>
            </w:r>
            <w:r>
              <w:rPr>
                <w:rFonts w:hint="eastAsia"/>
                <w:color w:val="auto"/>
                <w:sz w:val="24"/>
                <w:szCs w:val="24"/>
                <w:highlight w:val="none"/>
                <w:lang w:val="en-US" w:eastAsia="zh-CN"/>
              </w:rPr>
              <w:t>参照执行</w:t>
            </w:r>
            <w:r>
              <w:rPr>
                <w:rFonts w:hint="eastAsia"/>
                <w:color w:val="auto"/>
                <w:highlight w:val="none"/>
                <w:lang w:val="en-US" w:eastAsia="zh-CN"/>
              </w:rPr>
              <w:t>《石灰行业大气污染物排放标准》（DB13/1641-2012）表2中相关限值要求：颗粒物</w:t>
            </w:r>
            <w:r>
              <w:rPr>
                <w:rFonts w:hint="default"/>
                <w:color w:val="auto"/>
                <w:highlight w:val="none"/>
                <w:lang w:val="en-US" w:eastAsia="zh-CN"/>
              </w:rPr>
              <w:t>≤</w:t>
            </w:r>
            <w:r>
              <w:rPr>
                <w:rFonts w:hint="eastAsia"/>
                <w:color w:val="auto"/>
                <w:highlight w:val="none"/>
                <w:lang w:val="en-US" w:eastAsia="zh-CN"/>
              </w:rPr>
              <w:t>30mg/m</w:t>
            </w:r>
            <w:r>
              <w:rPr>
                <w:rFonts w:hint="eastAsia"/>
                <w:color w:val="auto"/>
                <w:highlight w:val="none"/>
                <w:vertAlign w:val="superscript"/>
                <w:lang w:val="en-US" w:eastAsia="zh-CN"/>
              </w:rPr>
              <w:t>3</w:t>
            </w:r>
            <w:r>
              <w:rPr>
                <w:rFonts w:hint="eastAsia"/>
                <w:color w:val="auto"/>
                <w:highlight w:val="none"/>
                <w:lang w:val="en-US" w:eastAsia="zh-CN"/>
              </w:rPr>
              <w:t>，排气筒高度不低于15m且高于本体建筑物3m以上，同时满足</w:t>
            </w:r>
            <w:r>
              <w:rPr>
                <w:rFonts w:hint="eastAsia" w:eastAsia="宋体"/>
                <w:snapToGrid w:val="0"/>
                <w:color w:val="auto"/>
                <w:sz w:val="24"/>
                <w:szCs w:val="24"/>
                <w:highlight w:val="none"/>
                <w:vertAlign w:val="baseline"/>
                <w:lang w:val="en-US" w:eastAsia="zh-CN"/>
              </w:rPr>
              <w:t>《唐山市钢铁行业整治提升工作方案》等10项方案（唐气领办[2021]15号）中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eastAsia="宋体" w:cs="Times New Roman"/>
                <w:color w:val="auto"/>
                <w:kern w:val="0"/>
                <w:sz w:val="24"/>
                <w:szCs w:val="24"/>
                <w:highlight w:val="none"/>
                <w:shd w:val="clear" w:color="auto" w:fill="auto"/>
                <w:lang w:val="en-US" w:eastAsia="zh-CN"/>
              </w:rPr>
              <w:t>颗粒物</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cs="Times New Roman"/>
                <w:color w:val="auto"/>
                <w:kern w:val="0"/>
                <w:sz w:val="24"/>
                <w:szCs w:val="24"/>
                <w:highlight w:val="none"/>
                <w:shd w:val="clear" w:color="auto" w:fill="auto"/>
                <w:lang w:val="en-US" w:eastAsia="zh-CN"/>
              </w:rPr>
              <w:t>1</w:t>
            </w:r>
            <w:r>
              <w:rPr>
                <w:rFonts w:hint="eastAsia" w:ascii="Times New Roman" w:hAnsi="Times New Roman" w:eastAsia="宋体" w:cs="Times New Roman"/>
                <w:color w:val="auto"/>
                <w:kern w:val="0"/>
                <w:sz w:val="24"/>
                <w:szCs w:val="24"/>
                <w:highlight w:val="none"/>
                <w:shd w:val="clear" w:color="auto" w:fill="auto"/>
                <w:lang w:val="en-US" w:eastAsia="zh-CN"/>
              </w:rPr>
              <w:t>0mg/m</w:t>
            </w:r>
            <w:r>
              <w:rPr>
                <w:rFonts w:hint="eastAsia" w:ascii="Times New Roman" w:hAnsi="Times New Roman" w:eastAsia="宋体" w:cs="Times New Roman"/>
                <w:color w:val="auto"/>
                <w:kern w:val="0"/>
                <w:sz w:val="24"/>
                <w:szCs w:val="24"/>
                <w:highlight w:val="none"/>
                <w:shd w:val="clear" w:color="auto" w:fill="auto"/>
                <w:vertAlign w:val="superscript"/>
                <w:lang w:val="en-US" w:eastAsia="zh-CN"/>
              </w:rPr>
              <w:t>3</w:t>
            </w:r>
            <w:r>
              <w:rPr>
                <w:rFonts w:hint="eastAsia"/>
                <w:color w:val="auto"/>
                <w:sz w:val="24"/>
                <w:szCs w:val="24"/>
                <w:highlight w:val="none"/>
                <w:lang w:val="en-US" w:eastAsia="zh-CN"/>
              </w:rPr>
              <w:t>。</w:t>
            </w:r>
          </w:p>
          <w:p>
            <w:pPr>
              <w:bidi w:val="0"/>
              <w:rPr>
                <w:rFonts w:hint="eastAsia" w:ascii="Times New Roman" w:eastAsia="宋体"/>
                <w:color w:val="auto"/>
                <w:highlight w:val="none"/>
                <w:lang w:val="en-US" w:eastAsia="zh-CN"/>
              </w:rPr>
            </w:pPr>
            <w:r>
              <w:rPr>
                <w:rFonts w:hint="eastAsia" w:ascii="Times New Roman" w:eastAsia="宋体"/>
                <w:color w:val="auto"/>
                <w:highlight w:val="none"/>
                <w:lang w:val="en-US" w:eastAsia="zh-CN"/>
              </w:rPr>
              <w:t>（2）</w:t>
            </w:r>
            <w:r>
              <w:rPr>
                <w:rFonts w:hint="eastAsia"/>
                <w:color w:val="auto"/>
                <w:highlight w:val="none"/>
                <w:lang w:val="en-US" w:eastAsia="zh-CN"/>
              </w:rPr>
              <w:t>颗粒物无组织排放参照执行《石灰行业大气污染物排放标准》（DB13/1641-2012）表3中相关限值要求：颗粒物</w:t>
            </w:r>
            <w:r>
              <w:rPr>
                <w:rFonts w:hint="default"/>
                <w:color w:val="auto"/>
                <w:highlight w:val="none"/>
                <w:lang w:val="en-US" w:eastAsia="zh-CN"/>
              </w:rPr>
              <w:t>≤</w:t>
            </w:r>
            <w:r>
              <w:rPr>
                <w:rFonts w:hint="eastAsia"/>
                <w:color w:val="auto"/>
                <w:highlight w:val="none"/>
                <w:lang w:val="en-US" w:eastAsia="zh-CN"/>
              </w:rPr>
              <w:t>1.0mg/m</w:t>
            </w:r>
            <w:r>
              <w:rPr>
                <w:rFonts w:hint="eastAsia"/>
                <w:color w:val="auto"/>
                <w:highlight w:val="none"/>
                <w:vertAlign w:val="superscript"/>
                <w:lang w:val="en-US" w:eastAsia="zh-CN"/>
              </w:rPr>
              <w:t>3</w:t>
            </w:r>
            <w:r>
              <w:rPr>
                <w:rFonts w:hint="eastAsia" w:eastAsia="宋体"/>
                <w:snapToGrid w:val="0"/>
                <w:color w:val="auto"/>
                <w:sz w:val="24"/>
                <w:szCs w:val="24"/>
                <w:highlight w:val="none"/>
                <w:vertAlign w:val="baseline"/>
                <w:lang w:eastAsia="zh-CN"/>
              </w:rPr>
              <w:t>（</w:t>
            </w:r>
            <w:r>
              <w:rPr>
                <w:rFonts w:hint="eastAsia"/>
                <w:snapToGrid w:val="0"/>
                <w:color w:val="auto"/>
                <w:sz w:val="24"/>
                <w:szCs w:val="24"/>
                <w:highlight w:val="none"/>
                <w:vertAlign w:val="baseline"/>
                <w:lang w:val="en-US" w:eastAsia="zh-CN"/>
              </w:rPr>
              <w:t>扣除参考值</w:t>
            </w:r>
            <w:r>
              <w:rPr>
                <w:rFonts w:hint="eastAsia" w:eastAsia="宋体"/>
                <w:snapToGrid w:val="0"/>
                <w:color w:val="auto"/>
                <w:sz w:val="24"/>
                <w:szCs w:val="24"/>
                <w:highlight w:val="none"/>
                <w:vertAlign w:val="baseline"/>
                <w:lang w:eastAsia="zh-CN"/>
              </w:rPr>
              <w:t>），</w:t>
            </w:r>
            <w:r>
              <w:rPr>
                <w:rFonts w:hint="eastAsia" w:eastAsia="宋体"/>
                <w:snapToGrid w:val="0"/>
                <w:color w:val="auto"/>
                <w:sz w:val="24"/>
                <w:szCs w:val="24"/>
                <w:highlight w:val="none"/>
                <w:vertAlign w:val="baseline"/>
                <w:lang w:val="en-US" w:eastAsia="zh-CN"/>
              </w:rPr>
              <w:t>同时满足《唐山市钢铁行业整治提升工作方案》等10项方案（唐气领办[2021]15号）中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cs="Times New Roman"/>
                <w:color w:val="auto"/>
                <w:sz w:val="24"/>
                <w:szCs w:val="21"/>
                <w:highlight w:val="none"/>
                <w:lang w:val="en-US" w:eastAsia="zh-CN"/>
              </w:rPr>
              <w:t>：</w:t>
            </w:r>
            <w:r>
              <w:rPr>
                <w:rFonts w:hint="eastAsia" w:ascii="Times New Roman" w:hAnsi="Times New Roman" w:eastAsia="宋体" w:cs="Times New Roman"/>
                <w:b w:val="0"/>
                <w:color w:val="auto"/>
                <w:sz w:val="24"/>
                <w:szCs w:val="24"/>
                <w:highlight w:val="none"/>
                <w:vertAlign w:val="baseline"/>
                <w:lang w:val="en-US" w:eastAsia="zh-CN"/>
              </w:rPr>
              <w:t>厂界无组织颗粒物浓度达到0.5mg/Nm</w:t>
            </w:r>
            <w:r>
              <w:rPr>
                <w:rFonts w:hint="eastAsia" w:ascii="Times New Roman" w:hAnsi="Times New Roman" w:eastAsia="宋体" w:cs="Times New Roman"/>
                <w:b w:val="0"/>
                <w:color w:val="auto"/>
                <w:sz w:val="24"/>
                <w:szCs w:val="24"/>
                <w:highlight w:val="none"/>
                <w:vertAlign w:val="superscript"/>
                <w:lang w:val="en-US" w:eastAsia="zh-CN"/>
              </w:rPr>
              <w:t>3</w:t>
            </w:r>
            <w:r>
              <w:rPr>
                <w:rFonts w:hint="eastAsia" w:ascii="Times New Roman" w:hAnsi="Times New Roman" w:eastAsia="宋体" w:cs="Times New Roman"/>
                <w:b w:val="0"/>
                <w:color w:val="auto"/>
                <w:sz w:val="24"/>
                <w:szCs w:val="24"/>
                <w:highlight w:val="none"/>
                <w:vertAlign w:val="baseline"/>
                <w:lang w:val="en-US" w:eastAsia="zh-CN"/>
              </w:rPr>
              <w:t>的要求</w:t>
            </w:r>
            <w:r>
              <w:rPr>
                <w:rFonts w:hint="eastAsia" w:ascii="Times New Roman" w:eastAsia="宋体"/>
                <w:color w:val="auto"/>
                <w:highlight w:val="none"/>
                <w:lang w:val="en-US" w:eastAsia="zh-CN"/>
              </w:rPr>
              <w:t>。</w:t>
            </w:r>
          </w:p>
          <w:p>
            <w:pPr>
              <w:bidi w:val="0"/>
              <w:rPr>
                <w:rFonts w:hint="eastAsia" w:ascii="Times New Roman" w:eastAsia="宋体"/>
                <w:color w:val="auto"/>
                <w:highlight w:val="none"/>
                <w:lang w:val="en-US" w:eastAsia="zh-CN"/>
              </w:rPr>
            </w:pPr>
            <w:r>
              <w:rPr>
                <w:rFonts w:hint="eastAsia" w:ascii="Times New Roman" w:eastAsia="宋体"/>
                <w:color w:val="auto"/>
                <w:highlight w:val="none"/>
                <w:lang w:val="en-US" w:eastAsia="zh-CN"/>
              </w:rPr>
              <w:t>（</w:t>
            </w:r>
            <w:r>
              <w:rPr>
                <w:rFonts w:hint="eastAsia"/>
                <w:color w:val="auto"/>
                <w:highlight w:val="none"/>
                <w:lang w:val="en-US" w:eastAsia="zh-CN"/>
              </w:rPr>
              <w:t>3</w:t>
            </w:r>
            <w:r>
              <w:rPr>
                <w:rFonts w:hint="eastAsia" w:ascii="Times New Roman" w:eastAsia="宋体"/>
                <w:color w:val="auto"/>
                <w:highlight w:val="none"/>
                <w:lang w:val="en-US" w:eastAsia="zh-CN"/>
              </w:rPr>
              <w:t>）</w:t>
            </w:r>
            <w:r>
              <w:rPr>
                <w:color w:val="auto"/>
                <w:highlight w:val="none"/>
              </w:rPr>
              <w:t>厂界噪声执行《工业企业厂界环境噪声排放标准》（GB12348-2008）</w:t>
            </w:r>
            <w:r>
              <w:rPr>
                <w:rFonts w:hint="eastAsia"/>
                <w:color w:val="auto"/>
                <w:highlight w:val="none"/>
                <w:lang w:val="en-US" w:eastAsia="zh-CN"/>
              </w:rPr>
              <w:t>中2</w:t>
            </w:r>
            <w:r>
              <w:rPr>
                <w:color w:val="auto"/>
                <w:highlight w:val="none"/>
              </w:rPr>
              <w:t>类标准</w:t>
            </w:r>
            <w:r>
              <w:rPr>
                <w:rFonts w:hint="eastAsia"/>
                <w:color w:val="auto"/>
                <w:highlight w:val="none"/>
                <w:lang w:eastAsia="zh-CN"/>
              </w:rPr>
              <w:t>：</w:t>
            </w:r>
            <w:r>
              <w:rPr>
                <w:rFonts w:hint="eastAsia"/>
                <w:color w:val="auto"/>
                <w:highlight w:val="none"/>
                <w:lang w:val="en-US" w:eastAsia="zh-CN"/>
              </w:rPr>
              <w:t>昼间60dB（A），夜间50dB（A）。</w:t>
            </w:r>
          </w:p>
          <w:p>
            <w:pPr>
              <w:bidi w:val="0"/>
              <w:rPr>
                <w:rFonts w:hint="eastAsia" w:ascii="宋体" w:hAnsi="宋体" w:eastAsia="宋体" w:cs="宋体"/>
                <w:color w:val="auto"/>
                <w:sz w:val="24"/>
                <w:szCs w:val="24"/>
                <w:highlight w:val="none"/>
                <w:lang w:eastAsia="zh-CN"/>
              </w:rPr>
            </w:pPr>
            <w:r>
              <w:rPr>
                <w:rFonts w:hint="eastAsia" w:ascii="Times New Roman" w:eastAsia="宋体"/>
                <w:color w:val="auto"/>
                <w:highlight w:val="none"/>
                <w:lang w:val="en-US" w:eastAsia="zh-CN"/>
              </w:rPr>
              <w:t>（</w:t>
            </w:r>
            <w:r>
              <w:rPr>
                <w:rFonts w:hint="eastAsia"/>
                <w:color w:val="auto"/>
                <w:highlight w:val="none"/>
                <w:lang w:val="en-US" w:eastAsia="zh-CN"/>
              </w:rPr>
              <w:t>4</w:t>
            </w:r>
            <w:r>
              <w:rPr>
                <w:rFonts w:hint="eastAsia" w:ascii="Times New Roman" w:eastAsia="宋体"/>
                <w:color w:val="auto"/>
                <w:highlight w:val="none"/>
                <w:lang w:val="en-US" w:eastAsia="zh-CN"/>
              </w:rPr>
              <w:t>）</w:t>
            </w:r>
            <w:r>
              <w:rPr>
                <w:rFonts w:hint="default" w:ascii="Times New Roman" w:hAnsi="Times New Roman" w:eastAsia="宋体" w:cs="Times New Roman"/>
                <w:color w:val="auto"/>
                <w:kern w:val="24"/>
                <w:sz w:val="24"/>
                <w:highlight w:val="none"/>
              </w:rPr>
              <w:t>一般固体废物执行《中华人民共和国固体废物污染环境防治法》中第二十条第一款：产生、收集、贮存、运输、利用、处置固体废物的单位和其他生产经营者</w:t>
            </w:r>
            <w:r>
              <w:rPr>
                <w:rFonts w:hint="eastAsia" w:ascii="宋体" w:hAnsi="宋体" w:cs="宋体"/>
                <w:color w:val="auto"/>
                <w:kern w:val="24"/>
                <w:sz w:val="24"/>
                <w:highlight w:val="none"/>
                <w:lang w:eastAsia="zh-CN"/>
              </w:rPr>
              <w:t>，</w:t>
            </w:r>
            <w:r>
              <w:rPr>
                <w:rFonts w:hint="default" w:ascii="Times New Roman" w:hAnsi="Times New Roman" w:eastAsia="宋体" w:cs="Times New Roman"/>
                <w:color w:val="auto"/>
                <w:kern w:val="24"/>
                <w:sz w:val="24"/>
                <w:highlight w:val="none"/>
              </w:rPr>
              <w:t>应当采取防扬散、防流失、防渗漏或者其他防止污染环境的措施</w:t>
            </w:r>
            <w:r>
              <w:rPr>
                <w:rFonts w:hint="eastAsia" w:ascii="Times New Roman" w:hAnsi="Times New Roman" w:eastAsia="宋体" w:cs="Times New Roman"/>
                <w:color w:val="auto"/>
                <w:kern w:val="24"/>
                <w:sz w:val="24"/>
                <w:highlight w:val="none"/>
                <w:lang w:eastAsia="zh-CN"/>
              </w:rPr>
              <w:t>，</w:t>
            </w:r>
            <w:r>
              <w:rPr>
                <w:rFonts w:hint="default" w:ascii="Times New Roman" w:hAnsi="Times New Roman" w:eastAsia="宋体" w:cs="Times New Roman"/>
                <w:color w:val="auto"/>
                <w:kern w:val="24"/>
                <w:sz w:val="24"/>
                <w:highlight w:val="none"/>
              </w:rPr>
              <w:t>不得擅自倾倒、堆放、丢弃、遗撒固体废物。营运期生活垃圾处置参照执行《中华人民共和国固体废物污染环境防治法》（2020年9月1日</w:t>
            </w:r>
            <w:r>
              <w:rPr>
                <w:rFonts w:hint="eastAsia" w:ascii="宋体" w:hAnsi="宋体" w:eastAsia="宋体" w:cs="宋体"/>
                <w:color w:val="auto"/>
                <w:kern w:val="24"/>
                <w:sz w:val="24"/>
                <w:highlight w:val="none"/>
              </w:rPr>
              <w:t>）</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第四章生活垃圾</w:t>
            </w:r>
            <w:r>
              <w:rPr>
                <w:rFonts w:hint="eastAsia" w:ascii="宋体" w:hAnsi="宋体" w:eastAsia="宋体" w:cs="宋体"/>
                <w:color w:val="auto"/>
                <w:kern w:val="24"/>
                <w:sz w:val="24"/>
                <w:highlight w:val="none"/>
                <w:lang w:eastAsia="zh-CN"/>
              </w:rPr>
              <w:t>”</w:t>
            </w:r>
            <w:r>
              <w:rPr>
                <w:rFonts w:hint="eastAsia" w:ascii="宋体" w:hAnsi="宋体" w:eastAsia="宋体" w:cs="宋体"/>
                <w:color w:val="auto"/>
                <w:kern w:val="24"/>
                <w:sz w:val="24"/>
                <w:highlight w:val="none"/>
              </w:rPr>
              <w:t>的相关规定</w:t>
            </w:r>
            <w:r>
              <w:rPr>
                <w:rFonts w:hint="eastAsia" w:ascii="宋体" w:hAnsi="宋体" w:eastAsia="宋体" w:cs="宋体"/>
                <w:color w:val="auto"/>
                <w:kern w:val="24"/>
                <w:sz w:val="24"/>
                <w:highlight w:val="none"/>
                <w:lang w:eastAsia="zh-CN"/>
              </w:rPr>
              <w:t>。</w:t>
            </w:r>
          </w:p>
          <w:p>
            <w:pPr>
              <w:bidi w:val="0"/>
              <w:rPr>
                <w:rFonts w:hint="eastAsia"/>
                <w:color w:val="auto"/>
                <w:sz w:val="24"/>
                <w:szCs w:val="24"/>
                <w:highlight w:val="none"/>
                <w:lang w:val="en-US"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eastAsia"/>
                <w:color w:val="auto"/>
                <w:sz w:val="24"/>
                <w:szCs w:val="24"/>
                <w:highlight w:val="none"/>
              </w:rPr>
              <w:t>危险废物执行</w:t>
            </w:r>
            <w:r>
              <w:rPr>
                <w:rFonts w:hint="eastAsia"/>
                <w:color w:val="auto"/>
                <w:sz w:val="24"/>
                <w:szCs w:val="24"/>
                <w:highlight w:val="none"/>
                <w:lang w:eastAsia="zh-CN"/>
              </w:rPr>
              <w:t>《危险废物贮存污染控制标准》（GB18597-2023）</w:t>
            </w:r>
            <w:r>
              <w:rPr>
                <w:rFonts w:hint="eastAsia"/>
                <w:color w:val="auto"/>
                <w:sz w:val="24"/>
                <w:szCs w:val="24"/>
                <w:highlight w:val="none"/>
              </w:rPr>
              <w:t>中的标准。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总量</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控制</w:t>
            </w:r>
          </w:p>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eastAsia"/>
                <w:color w:val="auto"/>
                <w:highlight w:val="none"/>
              </w:rPr>
            </w:pPr>
            <w:r>
              <w:rPr>
                <w:rFonts w:hint="eastAsia"/>
                <w:color w:val="auto"/>
                <w:sz w:val="24"/>
                <w:szCs w:val="24"/>
                <w:highlight w:val="none"/>
              </w:rPr>
              <w:t>指标</w:t>
            </w:r>
          </w:p>
        </w:tc>
        <w:tc>
          <w:tcPr>
            <w:tcW w:w="8346" w:type="dxa"/>
            <w:noWrap w:val="0"/>
            <w:vAlign w:val="center"/>
          </w:tcPr>
          <w:p>
            <w:pPr>
              <w:pStyle w:val="11"/>
              <w:rPr>
                <w:rFonts w:hint="default"/>
                <w:color w:val="auto"/>
                <w:highlight w:val="none"/>
              </w:rPr>
            </w:pPr>
            <w:r>
              <w:rPr>
                <w:rFonts w:hint="default"/>
                <w:color w:val="auto"/>
                <w:highlight w:val="none"/>
              </w:rPr>
              <w:t>根据</w:t>
            </w:r>
            <w:r>
              <w:rPr>
                <w:rFonts w:hint="eastAsia"/>
                <w:color w:val="auto"/>
                <w:highlight w:val="none"/>
                <w:lang w:val="en-US" w:eastAsia="zh-CN"/>
              </w:rPr>
              <w:t>国家总量控制相关要求</w:t>
            </w:r>
            <w:r>
              <w:rPr>
                <w:rFonts w:hint="default"/>
                <w:color w:val="auto"/>
                <w:highlight w:val="none"/>
              </w:rPr>
              <w:t>，同时根据</w:t>
            </w:r>
            <w:r>
              <w:rPr>
                <w:rFonts w:hint="default"/>
                <w:color w:val="auto"/>
                <w:highlight w:val="none"/>
                <w:lang w:eastAsia="zh-CN"/>
              </w:rPr>
              <w:t>河北</w:t>
            </w:r>
            <w:r>
              <w:rPr>
                <w:rFonts w:hint="default"/>
                <w:color w:val="auto"/>
                <w:highlight w:val="none"/>
              </w:rPr>
              <w:t>省环保厅的要求，以及项目厂址区域环境质量现状、外排污染物特征，确定总量控制因子为：</w:t>
            </w:r>
          </w:p>
          <w:p>
            <w:pPr>
              <w:bidi w:val="0"/>
              <w:rPr>
                <w:rFonts w:hint="default"/>
                <w:color w:val="auto"/>
                <w:highlight w:val="none"/>
              </w:rPr>
            </w:pPr>
            <w:r>
              <w:rPr>
                <w:rFonts w:hint="default"/>
                <w:color w:val="auto"/>
                <w:highlight w:val="none"/>
              </w:rPr>
              <w:t>废气：SO</w:t>
            </w:r>
            <w:r>
              <w:rPr>
                <w:rFonts w:hint="default"/>
                <w:color w:val="auto"/>
                <w:highlight w:val="none"/>
                <w:vertAlign w:val="subscript"/>
              </w:rPr>
              <w:t>2</w:t>
            </w:r>
            <w:r>
              <w:rPr>
                <w:rFonts w:hint="default"/>
                <w:color w:val="auto"/>
                <w:highlight w:val="none"/>
              </w:rPr>
              <w:t>、NO</w:t>
            </w:r>
            <w:r>
              <w:rPr>
                <w:rFonts w:hint="default"/>
                <w:color w:val="auto"/>
                <w:highlight w:val="none"/>
                <w:vertAlign w:val="subscript"/>
              </w:rPr>
              <w:t>X</w:t>
            </w:r>
            <w:r>
              <w:rPr>
                <w:rFonts w:hint="default"/>
                <w:color w:val="auto"/>
                <w:highlight w:val="none"/>
              </w:rPr>
              <w:t>；</w:t>
            </w:r>
          </w:p>
          <w:p>
            <w:pPr>
              <w:bidi w:val="0"/>
              <w:rPr>
                <w:rFonts w:hint="default"/>
                <w:color w:val="auto"/>
                <w:highlight w:val="none"/>
              </w:rPr>
            </w:pPr>
            <w:r>
              <w:rPr>
                <w:rFonts w:hint="default"/>
                <w:color w:val="auto"/>
                <w:highlight w:val="none"/>
              </w:rPr>
              <w:t>废水：COD、氨氮</w:t>
            </w:r>
            <w:r>
              <w:rPr>
                <w:rFonts w:hint="eastAsia"/>
                <w:color w:val="auto"/>
                <w:highlight w:val="none"/>
                <w:lang w:eastAsia="zh-CN"/>
              </w:rPr>
              <w:t>、</w:t>
            </w:r>
            <w:r>
              <w:rPr>
                <w:rFonts w:hint="eastAsia"/>
                <w:color w:val="auto"/>
                <w:highlight w:val="none"/>
                <w:lang w:val="en-US" w:eastAsia="zh-CN"/>
              </w:rPr>
              <w:t>总氮</w:t>
            </w:r>
            <w:r>
              <w:rPr>
                <w:rFonts w:hint="default"/>
                <w:color w:val="auto"/>
                <w:highlight w:val="none"/>
              </w:rPr>
              <w:t>；</w:t>
            </w:r>
          </w:p>
          <w:p>
            <w:pPr>
              <w:keepNext w:val="0"/>
              <w:keepLines w:val="0"/>
              <w:pageBreakBefore w:val="0"/>
              <w:widowControl w:val="0"/>
              <w:kinsoku/>
              <w:overflowPunct/>
              <w:autoSpaceDE/>
              <w:autoSpaceDN/>
              <w:bidi w:val="0"/>
              <w:adjustRightInd/>
              <w:snapToGrid/>
              <w:spacing w:line="480" w:lineRule="exact"/>
              <w:textAlignment w:val="auto"/>
              <w:rPr>
                <w:rFonts w:hint="default"/>
                <w:color w:val="auto"/>
                <w:highlight w:val="none"/>
                <w:lang w:val="en-US"/>
              </w:rPr>
            </w:pPr>
            <w:r>
              <w:rPr>
                <w:rFonts w:hint="default"/>
                <w:color w:val="auto"/>
                <w:highlight w:val="none"/>
                <w:lang w:eastAsia="zh-CN"/>
              </w:rPr>
              <w:t>其他</w:t>
            </w:r>
            <w:r>
              <w:rPr>
                <w:rFonts w:hint="default"/>
                <w:color w:val="auto"/>
                <w:highlight w:val="none"/>
              </w:rPr>
              <w:t>污染物：</w:t>
            </w:r>
            <w:r>
              <w:rPr>
                <w:rFonts w:hint="eastAsia"/>
                <w:color w:val="auto"/>
                <w:highlight w:val="none"/>
                <w:lang w:val="en-US" w:eastAsia="zh-CN"/>
              </w:rPr>
              <w:t>颗粒物。</w:t>
            </w:r>
          </w:p>
          <w:p>
            <w:pPr>
              <w:bidi w:val="0"/>
              <w:rPr>
                <w:rFonts w:hint="default"/>
                <w:color w:val="auto"/>
                <w:highlight w:val="none"/>
              </w:rPr>
            </w:pPr>
            <w:r>
              <w:rPr>
                <w:color w:val="auto"/>
                <w:highlight w:val="none"/>
              </w:rPr>
              <w:t>根据《关于印发&lt;建设项目主要污染物排放总量指标审核及管理暂行办法&gt; 的通知》（环发[2014]197号）中指标审核规定</w:t>
            </w:r>
            <w:r>
              <w:rPr>
                <w:rFonts w:hint="eastAsia" w:ascii="宋体" w:hAnsi="宋体" w:eastAsia="宋体" w:cs="宋体"/>
                <w:color w:val="auto"/>
                <w:highlight w:val="none"/>
              </w:rPr>
              <w:t>“火电、钢铁、水泥、造纸、印染行业建设项目所需替代的主要污染物排放总量指标采用绩效方法核定，其他行业依照国家或地方污染物排放标准及单位产品基准排水量（行业最高允许排水量）、烟气量等予以核定”。</w:t>
            </w:r>
            <w:r>
              <w:rPr>
                <w:color w:val="auto"/>
                <w:highlight w:val="none"/>
              </w:rPr>
              <w:t>项目污染</w:t>
            </w:r>
            <w:r>
              <w:rPr>
                <w:rFonts w:hint="eastAsia"/>
                <w:color w:val="auto"/>
                <w:highlight w:val="none"/>
                <w:lang w:val="en-US" w:eastAsia="zh-CN"/>
              </w:rPr>
              <w:t>物</w:t>
            </w:r>
            <w:r>
              <w:rPr>
                <w:color w:val="auto"/>
                <w:highlight w:val="none"/>
              </w:rPr>
              <w:t>总量指标按照排放标准进行核定。</w:t>
            </w:r>
          </w:p>
          <w:p>
            <w:pPr>
              <w:bidi w:val="0"/>
              <w:rPr>
                <w:rFonts w:hint="eastAsia"/>
                <w:color w:val="auto"/>
                <w:highlight w:val="none"/>
                <w:lang w:eastAsia="zh-CN"/>
              </w:rPr>
            </w:pPr>
            <w:r>
              <w:rPr>
                <w:rFonts w:hint="default"/>
                <w:color w:val="auto"/>
                <w:highlight w:val="none"/>
              </w:rPr>
              <w:t>根据排放的污染物种类和特点</w:t>
            </w:r>
            <w:r>
              <w:rPr>
                <w:rFonts w:hint="eastAsia" w:eastAsia="宋体"/>
                <w:color w:val="auto"/>
                <w:highlight w:val="none"/>
                <w:lang w:eastAsia="zh-CN"/>
              </w:rPr>
              <w:t>，</w:t>
            </w:r>
            <w:r>
              <w:rPr>
                <w:rFonts w:hint="eastAsia" w:ascii="Times New Roman" w:eastAsia="宋体"/>
                <w:color w:val="auto"/>
                <w:highlight w:val="none"/>
                <w:lang w:val="en-US" w:eastAsia="zh-CN"/>
              </w:rPr>
              <w:t>本项目建成后，污染物总量控制指标为</w:t>
            </w:r>
            <w:r>
              <w:rPr>
                <w:rFonts w:hint="eastAsia" w:eastAsia="宋体"/>
                <w:color w:val="auto"/>
                <w:highlight w:val="none"/>
                <w:lang w:eastAsia="zh-CN"/>
              </w:rPr>
              <w:t>：</w:t>
            </w:r>
          </w:p>
          <w:p>
            <w:pPr>
              <w:bidi w:val="0"/>
              <w:rPr>
                <w:rFonts w:hint="eastAsia"/>
                <w:color w:val="auto"/>
                <w:highlight w:val="none"/>
                <w:lang w:val="en-US" w:eastAsia="zh-CN"/>
              </w:rPr>
            </w:pPr>
            <w:r>
              <w:rPr>
                <w:rFonts w:hint="eastAsia" w:ascii="Times New Roman" w:eastAsia="宋体"/>
                <w:color w:val="auto"/>
                <w:highlight w:val="none"/>
                <w:lang w:val="en-US" w:eastAsia="zh-CN"/>
              </w:rPr>
              <w:t>（1）废水</w:t>
            </w:r>
          </w:p>
          <w:p>
            <w:pPr>
              <w:keepNext w:val="0"/>
              <w:keepLines w:val="0"/>
              <w:pageBreakBefore w:val="0"/>
              <w:widowControl w:val="0"/>
              <w:tabs>
                <w:tab w:val="left" w:pos="3667"/>
              </w:tabs>
              <w:kinsoku/>
              <w:wordWrap/>
              <w:overflowPunct/>
              <w:topLinePunct w:val="0"/>
              <w:autoSpaceDE w:val="0"/>
              <w:autoSpaceDN w:val="0"/>
              <w:bidi w:val="0"/>
              <w:adjustRightInd w:val="0"/>
              <w:spacing w:line="480" w:lineRule="exact"/>
              <w:ind w:firstLine="480" w:firstLineChars="200"/>
              <w:textAlignment w:val="auto"/>
              <w:rPr>
                <w:rFonts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生产废水</w:t>
            </w:r>
            <w:r>
              <w:rPr>
                <w:rFonts w:hint="eastAsia" w:cs="Times New Roman"/>
                <w:color w:val="auto"/>
                <w:sz w:val="24"/>
                <w:szCs w:val="24"/>
                <w:highlight w:val="none"/>
                <w:lang w:val="en-US" w:eastAsia="zh-CN"/>
              </w:rPr>
              <w:t>、洗车废水处理后</w:t>
            </w:r>
            <w:r>
              <w:rPr>
                <w:rFonts w:hint="eastAsia" w:ascii="Times New Roman" w:hAnsi="Times New Roman" w:eastAsia="宋体" w:cs="Times New Roman"/>
                <w:color w:val="auto"/>
                <w:sz w:val="24"/>
                <w:szCs w:val="24"/>
                <w:highlight w:val="none"/>
                <w:lang w:val="en-US" w:eastAsia="zh-CN"/>
              </w:rPr>
              <w:t>循环使用，生活污水泼洒</w:t>
            </w:r>
            <w:r>
              <w:rPr>
                <w:rFonts w:hint="eastAsia" w:cs="Times New Roman"/>
                <w:color w:val="auto"/>
                <w:sz w:val="24"/>
                <w:szCs w:val="24"/>
                <w:highlight w:val="none"/>
                <w:lang w:val="en-US" w:eastAsia="zh-CN"/>
              </w:rPr>
              <w:t>厂区</w:t>
            </w:r>
            <w:r>
              <w:rPr>
                <w:rFonts w:hint="eastAsia" w:ascii="Times New Roman" w:hAnsi="Times New Roman" w:eastAsia="宋体" w:cs="Times New Roman"/>
                <w:color w:val="auto"/>
                <w:sz w:val="24"/>
                <w:szCs w:val="24"/>
                <w:highlight w:val="none"/>
                <w:lang w:val="en-US" w:eastAsia="zh-CN"/>
              </w:rPr>
              <w:t>地面抑尘，无废水外排</w:t>
            </w:r>
            <w:r>
              <w:rPr>
                <w:rFonts w:hint="default" w:ascii="Times New Roman" w:hAnsi="Times New Roman" w:eastAsia="宋体" w:cs="Times New Roman"/>
                <w:color w:val="auto"/>
                <w:sz w:val="24"/>
                <w:szCs w:val="24"/>
                <w:highlight w:val="none"/>
              </w:rPr>
              <w:t>，无COD、氨氮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rPr>
              <w:t>总氮</w:t>
            </w:r>
            <w:r>
              <w:rPr>
                <w:rFonts w:hint="default" w:ascii="Times New Roman" w:hAnsi="Times New Roman" w:eastAsia="宋体" w:cs="Times New Roman"/>
                <w:color w:val="auto"/>
                <w:sz w:val="24"/>
                <w:szCs w:val="24"/>
                <w:highlight w:val="none"/>
              </w:rPr>
              <w:t>排放，因此，本项目COD、氨氮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rPr>
              <w:t>总氮</w:t>
            </w:r>
            <w:r>
              <w:rPr>
                <w:rFonts w:hint="default" w:ascii="Times New Roman" w:hAnsi="Times New Roman" w:eastAsia="宋体" w:cs="Times New Roman"/>
                <w:color w:val="auto"/>
                <w:sz w:val="24"/>
                <w:szCs w:val="24"/>
                <w:highlight w:val="none"/>
              </w:rPr>
              <w:t>总量控制指标均为0t/a</w:t>
            </w:r>
            <w:r>
              <w:rPr>
                <w:rFonts w:hint="eastAsia" w:ascii="Times New Roman" w:hAnsi="Times New Roman" w:eastAsia="宋体" w:cs="Times New Roman"/>
                <w:color w:val="auto"/>
                <w:sz w:val="24"/>
                <w:highlight w:val="none"/>
                <w:lang w:bidi="ar"/>
              </w:rPr>
              <w:t>。</w:t>
            </w:r>
          </w:p>
          <w:p>
            <w:pPr>
              <w:bidi w:val="0"/>
              <w:rPr>
                <w:rFonts w:hint="default"/>
                <w:color w:val="auto"/>
                <w:highlight w:val="none"/>
              </w:rPr>
            </w:pPr>
            <w:r>
              <w:rPr>
                <w:rFonts w:hint="eastAsia"/>
                <w:color w:val="auto"/>
                <w:highlight w:val="none"/>
              </w:rPr>
              <w:t>（2）</w:t>
            </w:r>
            <w:r>
              <w:rPr>
                <w:rFonts w:hint="default"/>
                <w:color w:val="auto"/>
                <w:highlight w:val="none"/>
              </w:rPr>
              <w:t>废气</w:t>
            </w:r>
          </w:p>
          <w:p>
            <w:pPr>
              <w:bidi w:val="0"/>
              <w:rPr>
                <w:rFonts w:hint="eastAsia"/>
                <w:color w:val="auto"/>
                <w:highlight w:val="none"/>
              </w:rPr>
            </w:pPr>
            <w:r>
              <w:rPr>
                <w:rFonts w:hint="eastAsia" w:ascii="Times New Roman" w:eastAsia="宋体"/>
                <w:color w:val="auto"/>
                <w:highlight w:val="none"/>
                <w:lang w:val="en-US" w:eastAsia="zh-CN"/>
              </w:rPr>
              <w:t>本项目厂区不设锅炉等燃煤、燃气设施，因此，无SO</w:t>
            </w:r>
            <w:r>
              <w:rPr>
                <w:rFonts w:hint="eastAsia" w:ascii="Times New Roman" w:eastAsia="宋体"/>
                <w:color w:val="auto"/>
                <w:highlight w:val="none"/>
                <w:vertAlign w:val="subscript"/>
                <w:lang w:val="en-US" w:eastAsia="zh-CN"/>
              </w:rPr>
              <w:t>2</w:t>
            </w:r>
            <w:r>
              <w:rPr>
                <w:rFonts w:hint="eastAsia" w:ascii="Times New Roman" w:eastAsia="宋体"/>
                <w:color w:val="auto"/>
                <w:highlight w:val="none"/>
                <w:lang w:val="en-US" w:eastAsia="zh-CN"/>
              </w:rPr>
              <w:t>、NO</w:t>
            </w:r>
            <w:r>
              <w:rPr>
                <w:rFonts w:hint="eastAsia" w:ascii="Times New Roman" w:eastAsia="宋体"/>
                <w:color w:val="auto"/>
                <w:highlight w:val="none"/>
                <w:vertAlign w:val="subscript"/>
                <w:lang w:val="en-US" w:eastAsia="zh-CN"/>
              </w:rPr>
              <w:t>X</w:t>
            </w:r>
            <w:r>
              <w:rPr>
                <w:rFonts w:hint="eastAsia" w:ascii="Times New Roman" w:eastAsia="宋体"/>
                <w:color w:val="auto"/>
                <w:highlight w:val="none"/>
                <w:lang w:val="en-US" w:eastAsia="zh-CN"/>
              </w:rPr>
              <w:t>产生</w:t>
            </w:r>
            <w:r>
              <w:rPr>
                <w:rFonts w:hint="eastAsia"/>
                <w:color w:val="auto"/>
                <w:highlight w:val="none"/>
              </w:rPr>
              <w:t>。</w:t>
            </w:r>
          </w:p>
          <w:p>
            <w:pPr>
              <w:bidi w:val="0"/>
              <w:rPr>
                <w:rFonts w:hint="default"/>
                <w:color w:val="auto"/>
                <w:highlight w:val="none"/>
              </w:rPr>
            </w:pPr>
            <w:r>
              <w:rPr>
                <w:rFonts w:hint="eastAsia"/>
                <w:color w:val="auto"/>
                <w:highlight w:val="none"/>
              </w:rPr>
              <w:t>（3）其他污染物</w:t>
            </w:r>
          </w:p>
          <w:p>
            <w:pPr>
              <w:bidi w:val="0"/>
              <w:rPr>
                <w:rFonts w:hint="default"/>
                <w:color w:val="auto"/>
                <w:highlight w:val="none"/>
                <w:lang w:val="en-US" w:eastAsia="zh-CN"/>
              </w:rPr>
            </w:pPr>
            <w:r>
              <w:rPr>
                <w:rFonts w:hint="default"/>
                <w:color w:val="auto"/>
                <w:highlight w:val="none"/>
              </w:rPr>
              <w:t>本项目</w:t>
            </w:r>
            <w:r>
              <w:rPr>
                <w:rFonts w:hint="eastAsia"/>
                <w:color w:val="auto"/>
                <w:highlight w:val="none"/>
              </w:rPr>
              <w:t>其他污染物</w:t>
            </w:r>
            <w:r>
              <w:rPr>
                <w:rFonts w:hint="default"/>
                <w:color w:val="auto"/>
                <w:highlight w:val="none"/>
              </w:rPr>
              <w:t>主要为</w:t>
            </w:r>
            <w:r>
              <w:rPr>
                <w:rFonts w:hint="eastAsia"/>
                <w:color w:val="auto"/>
                <w:highlight w:val="none"/>
                <w:lang w:val="en-US" w:eastAsia="zh-CN"/>
              </w:rPr>
              <w:t>颗粒物</w:t>
            </w:r>
            <w:r>
              <w:rPr>
                <w:rFonts w:hint="default"/>
                <w:color w:val="auto"/>
                <w:highlight w:val="none"/>
              </w:rPr>
              <w:t>，根据执行标准</w:t>
            </w:r>
            <w:r>
              <w:rPr>
                <w:rFonts w:hint="eastAsia"/>
                <w:color w:val="auto"/>
                <w:highlight w:val="none"/>
                <w:lang w:eastAsia="zh-CN"/>
              </w:rPr>
              <w:t>、</w:t>
            </w:r>
            <w:r>
              <w:rPr>
                <w:rFonts w:hint="eastAsia"/>
                <w:color w:val="auto"/>
                <w:highlight w:val="none"/>
                <w:lang w:val="en-US" w:eastAsia="zh-CN"/>
              </w:rPr>
              <w:t>风机风量及工作时间</w:t>
            </w:r>
            <w:r>
              <w:rPr>
                <w:rFonts w:hint="default"/>
                <w:color w:val="auto"/>
                <w:highlight w:val="none"/>
              </w:rPr>
              <w:t>核算总量。</w:t>
            </w:r>
          </w:p>
          <w:p>
            <w:pPr>
              <w:keepNext w:val="0"/>
              <w:keepLines w:val="0"/>
              <w:pageBreakBefore w:val="0"/>
              <w:widowControl w:val="0"/>
              <w:kinsoku/>
              <w:wordWrap/>
              <w:overflowPunct/>
              <w:topLinePunct w:val="0"/>
              <w:bidi w:val="0"/>
              <w:adjustRightInd w:val="0"/>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颗粒物总量控制指标为：10mg/m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55</w:t>
            </w:r>
            <w:r>
              <w:rPr>
                <w:rFonts w:hint="eastAsia" w:eastAsia="宋体" w:cs="Times New Roman"/>
                <w:color w:val="auto"/>
                <w:sz w:val="24"/>
                <w:szCs w:val="24"/>
                <w:highlight w:val="none"/>
                <w:lang w:val="en-US" w:eastAsia="zh-CN"/>
              </w:rPr>
              <w:t>000m</w:t>
            </w:r>
            <w:r>
              <w:rPr>
                <w:rFonts w:hint="eastAsia" w:eastAsia="宋体" w:cs="Times New Roman"/>
                <w:color w:val="auto"/>
                <w:sz w:val="24"/>
                <w:szCs w:val="24"/>
                <w:highlight w:val="none"/>
                <w:vertAlign w:val="superscript"/>
                <w:lang w:val="en-US" w:eastAsia="zh-CN"/>
              </w:rPr>
              <w:t>3</w:t>
            </w:r>
            <w:r>
              <w:rPr>
                <w:rFonts w:hint="eastAsia"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6000</w:t>
            </w:r>
            <w:r>
              <w:rPr>
                <w:rFonts w:hint="eastAsia" w:ascii="Times New Roman" w:hAnsi="Times New Roman" w:eastAsia="宋体" w:cs="Times New Roman"/>
                <w:color w:val="auto"/>
                <w:sz w:val="24"/>
                <w:szCs w:val="24"/>
                <w:highlight w:val="none"/>
                <w:lang w:val="en-US" w:eastAsia="zh-CN"/>
              </w:rPr>
              <w:t>h/a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vertAlign w:val="superscript"/>
                <w:lang w:val="en-US" w:eastAsia="zh-CN"/>
              </w:rPr>
              <w:t>-9</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3.3t/a。</w:t>
            </w:r>
          </w:p>
          <w:p>
            <w:pPr>
              <w:keepNext w:val="0"/>
              <w:keepLines w:val="0"/>
              <w:pageBreakBefore w:val="0"/>
              <w:widowControl w:val="0"/>
              <w:kinsoku/>
              <w:wordWrap/>
              <w:overflowPunct/>
              <w:topLinePunct w:val="0"/>
              <w:bidi w:val="0"/>
              <w:adjustRightInd w:val="0"/>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因此，确定</w:t>
            </w:r>
            <w:r>
              <w:rPr>
                <w:rFonts w:hint="eastAsia"/>
                <w:color w:val="auto"/>
                <w:highlight w:val="none"/>
                <w:lang w:val="en-US" w:eastAsia="zh-CN"/>
              </w:rPr>
              <w:t>本项目污染物总量控制指标为</w:t>
            </w:r>
            <w:r>
              <w:rPr>
                <w:rFonts w:hint="default" w:ascii="Times New Roman" w:hAnsi="Times New Roman" w:eastAsia="宋体" w:cs="Times New Roman"/>
                <w:color w:val="auto"/>
                <w:sz w:val="24"/>
                <w:szCs w:val="24"/>
                <w:highlight w:val="none"/>
              </w:rPr>
              <w:t>：</w:t>
            </w:r>
          </w:p>
          <w:p>
            <w:pPr>
              <w:bidi w:val="0"/>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：0t/a，NO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rPr>
              <w:t>：0t/a，COD：0t/a，</w:t>
            </w:r>
            <w:r>
              <w:rPr>
                <w:rFonts w:hint="eastAsia" w:ascii="Times New Roman" w:hAnsi="Times New Roman" w:eastAsia="宋体" w:cs="Times New Roman"/>
                <w:color w:val="auto"/>
                <w:sz w:val="24"/>
                <w:szCs w:val="24"/>
                <w:highlight w:val="none"/>
                <w:lang w:val="en-US" w:eastAsia="zh-CN"/>
              </w:rPr>
              <w:t>氨氮</w:t>
            </w:r>
            <w:r>
              <w:rPr>
                <w:rFonts w:hint="default" w:ascii="Times New Roman" w:hAnsi="Times New Roman" w:eastAsia="宋体" w:cs="Times New Roman"/>
                <w:color w:val="auto"/>
                <w:sz w:val="24"/>
                <w:szCs w:val="24"/>
                <w:highlight w:val="none"/>
              </w:rPr>
              <w:t>：0t/a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总氮：0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颗粒物</w:t>
            </w:r>
            <w:r>
              <w:rPr>
                <w:rFonts w:hint="eastAsia"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highlight w:val="none"/>
              </w:rPr>
              <w:t>。</w:t>
            </w:r>
          </w:p>
          <w:p>
            <w:pPr>
              <w:bidi w:val="0"/>
              <w:ind w:firstLine="480" w:firstLineChars="200"/>
              <w:rPr>
                <w:rFonts w:hint="default"/>
                <w:color w:val="auto"/>
                <w:highlight w:val="none"/>
                <w:lang w:val="en-US" w:eastAsia="zh-CN"/>
              </w:rPr>
            </w:pPr>
          </w:p>
          <w:p>
            <w:pPr>
              <w:bidi w:val="0"/>
              <w:ind w:firstLine="480" w:firstLineChars="20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tc>
      </w:tr>
    </w:tbl>
    <w:p>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pPr>
        <w:pStyle w:val="2"/>
        <w:bidi w:val="0"/>
        <w:rPr>
          <w:color w:val="auto"/>
          <w:highlight w:val="none"/>
        </w:rPr>
      </w:pPr>
      <w:bookmarkStart w:id="5" w:name="_Toc20846"/>
      <w:r>
        <w:rPr>
          <w:rFonts w:hint="eastAsia"/>
          <w:color w:val="auto"/>
          <w:highlight w:val="none"/>
        </w:rPr>
        <w:t>四、主要环境影响和保护措施</w:t>
      </w:r>
      <w:bookmarkEnd w:id="5"/>
    </w:p>
    <w:tbl>
      <w:tblPr>
        <w:tblStyle w:val="23"/>
        <w:tblW w:w="93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6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4" w:hRule="atLeast"/>
          <w:jc w:val="center"/>
        </w:trPr>
        <w:tc>
          <w:tcPr>
            <w:tcW w:w="746" w:type="dxa"/>
            <w:tcBorders>
              <w:top w:val="single" w:color="000000" w:sz="8" w:space="0"/>
              <w:left w:val="single" w:color="000000" w:sz="8" w:space="0"/>
              <w:bottom w:val="single" w:color="000000" w:sz="8" w:space="0"/>
              <w:right w:val="single" w:color="000000" w:sz="8" w:space="0"/>
            </w:tcBorders>
            <w:shd w:val="clear" w:color="auto" w:fill="FFFFFF"/>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施工</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期环</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境保</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olor w:val="auto"/>
                <w:sz w:val="24"/>
                <w:szCs w:val="24"/>
                <w:highlight w:val="none"/>
              </w:rPr>
            </w:pPr>
            <w:r>
              <w:rPr>
                <w:rFonts w:hint="eastAsia"/>
                <w:color w:val="auto"/>
                <w:sz w:val="24"/>
                <w:szCs w:val="24"/>
                <w:highlight w:val="none"/>
              </w:rPr>
              <w:t>护措</w:t>
            </w:r>
          </w:p>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cs="宋体"/>
                <w:bCs/>
                <w:color w:val="auto"/>
                <w:kern w:val="2"/>
                <w:szCs w:val="21"/>
                <w:highlight w:val="none"/>
              </w:rPr>
            </w:pPr>
            <w:r>
              <w:rPr>
                <w:rFonts w:hint="eastAsia"/>
                <w:color w:val="auto"/>
                <w:sz w:val="24"/>
                <w:szCs w:val="24"/>
                <w:highlight w:val="none"/>
              </w:rPr>
              <w:t>施</w:t>
            </w:r>
          </w:p>
        </w:tc>
        <w:tc>
          <w:tcPr>
            <w:tcW w:w="860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pPr>
              <w:keepNext w:val="0"/>
              <w:keepLines w:val="0"/>
              <w:pageBreakBefore w:val="0"/>
              <w:widowControl w:val="0"/>
              <w:kinsoku/>
              <w:wordWrap/>
              <w:overflowPunct/>
              <w:topLinePunct w:val="0"/>
              <w:bidi w:val="0"/>
              <w:snapToGrid/>
              <w:spacing w:line="480" w:lineRule="exact"/>
              <w:ind w:left="0" w:leftChars="0" w:firstLine="0" w:firstLineChars="0"/>
              <w:textAlignment w:val="auto"/>
              <w:rPr>
                <w:b/>
                <w:bCs/>
                <w:color w:val="auto"/>
                <w:highlight w:val="none"/>
              </w:rPr>
            </w:pPr>
            <w:r>
              <w:rPr>
                <w:b/>
                <w:bCs/>
                <w:color w:val="auto"/>
                <w:highlight w:val="none"/>
              </w:rPr>
              <w:t>施工期环境影响简要分析：</w:t>
            </w:r>
          </w:p>
          <w:p>
            <w:pPr>
              <w:bidi w:val="0"/>
              <w:rPr>
                <w:color w:val="auto"/>
                <w:highlight w:val="none"/>
              </w:rPr>
            </w:pPr>
            <w:r>
              <w:rPr>
                <w:rFonts w:hint="eastAsia" w:ascii="Times New Roman" w:eastAsia="宋体"/>
                <w:color w:val="auto"/>
                <w:highlight w:val="none"/>
                <w:lang w:val="en-US" w:eastAsia="zh-CN"/>
              </w:rPr>
              <w:t>本项目</w:t>
            </w:r>
            <w:r>
              <w:rPr>
                <w:rFonts w:hint="eastAsia" w:cs="Times New Roman"/>
                <w:color w:val="auto"/>
                <w:sz w:val="24"/>
                <w:szCs w:val="24"/>
                <w:highlight w:val="none"/>
                <w:lang w:val="en-US" w:eastAsia="zh-CN"/>
              </w:rPr>
              <w:t>租赁</w:t>
            </w:r>
            <w:r>
              <w:rPr>
                <w:rFonts w:hint="eastAsia"/>
                <w:color w:val="auto"/>
                <w:highlight w:val="none"/>
                <w:lang w:val="en-US" w:eastAsia="zh-CN"/>
              </w:rPr>
              <w:t>现有废弃厂区进行建设，租赁厂区内厂房现已拆除，本项目主要新建1座4000m</w:t>
            </w:r>
            <w:r>
              <w:rPr>
                <w:rFonts w:hint="eastAsia"/>
                <w:color w:val="auto"/>
                <w:highlight w:val="none"/>
                <w:vertAlign w:val="superscript"/>
                <w:lang w:val="en-US" w:eastAsia="zh-CN"/>
              </w:rPr>
              <w:t>2</w:t>
            </w:r>
            <w:r>
              <w:rPr>
                <w:rFonts w:hint="eastAsia"/>
                <w:color w:val="auto"/>
                <w:highlight w:val="none"/>
                <w:lang w:val="en-US" w:eastAsia="zh-CN"/>
              </w:rPr>
              <w:t>综合车间、1座6m</w:t>
            </w:r>
            <w:r>
              <w:rPr>
                <w:rFonts w:hint="eastAsia"/>
                <w:color w:val="auto"/>
                <w:highlight w:val="none"/>
                <w:vertAlign w:val="superscript"/>
                <w:lang w:val="en-US" w:eastAsia="zh-CN"/>
              </w:rPr>
              <w:t>2</w:t>
            </w:r>
            <w:r>
              <w:rPr>
                <w:rFonts w:hint="eastAsia"/>
                <w:color w:val="auto"/>
                <w:highlight w:val="none"/>
                <w:vertAlign w:val="baseline"/>
                <w:lang w:val="en-US" w:eastAsia="zh-CN"/>
              </w:rPr>
              <w:t>油品储存间、</w:t>
            </w:r>
            <w:r>
              <w:rPr>
                <w:rFonts w:hint="eastAsia"/>
                <w:color w:val="auto"/>
                <w:highlight w:val="none"/>
                <w:lang w:val="en-US" w:eastAsia="zh-CN"/>
              </w:rPr>
              <w:t>1座6m</w:t>
            </w:r>
            <w:r>
              <w:rPr>
                <w:rFonts w:hint="eastAsia"/>
                <w:color w:val="auto"/>
                <w:highlight w:val="none"/>
                <w:vertAlign w:val="superscript"/>
                <w:lang w:val="en-US" w:eastAsia="zh-CN"/>
              </w:rPr>
              <w:t>2</w:t>
            </w:r>
            <w:r>
              <w:rPr>
                <w:rFonts w:hint="eastAsia"/>
                <w:color w:val="auto"/>
                <w:highlight w:val="none"/>
                <w:vertAlign w:val="baseline"/>
                <w:lang w:val="en-US" w:eastAsia="zh-CN"/>
              </w:rPr>
              <w:t>危废间、1座160m</w:t>
            </w:r>
            <w:r>
              <w:rPr>
                <w:rFonts w:hint="eastAsia"/>
                <w:color w:val="auto"/>
                <w:highlight w:val="none"/>
                <w:vertAlign w:val="superscript"/>
                <w:lang w:val="en-US" w:eastAsia="zh-CN"/>
              </w:rPr>
              <w:t>2</w:t>
            </w:r>
            <w:r>
              <w:rPr>
                <w:rFonts w:hint="eastAsia"/>
                <w:color w:val="auto"/>
                <w:highlight w:val="none"/>
                <w:vertAlign w:val="baseline"/>
                <w:lang w:val="en-US" w:eastAsia="zh-CN"/>
              </w:rPr>
              <w:t>办公用房，</w:t>
            </w:r>
            <w:r>
              <w:rPr>
                <w:color w:val="auto"/>
                <w:highlight w:val="none"/>
              </w:rPr>
              <w:t>因此</w:t>
            </w:r>
            <w:r>
              <w:rPr>
                <w:rFonts w:hint="eastAsia"/>
                <w:color w:val="auto"/>
                <w:highlight w:val="none"/>
                <w:lang w:eastAsia="zh-CN"/>
              </w:rPr>
              <w:t>，</w:t>
            </w:r>
            <w:r>
              <w:rPr>
                <w:color w:val="auto"/>
                <w:highlight w:val="none"/>
              </w:rPr>
              <w:t>建设施工过程中主要污染因素有：</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color w:val="auto"/>
                <w:highlight w:val="none"/>
              </w:rPr>
              <w:t>噪声：主要为施工机械和运输车辆产生的噪声；</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废气：主要为土建施工、材料堆存、汽车运输等过程产生的扬尘；</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color w:val="auto"/>
                <w:highlight w:val="none"/>
              </w:rPr>
              <w:t>废水：主要为混凝土养护废水、施工机械设备和车辆冲洗废水以及施工人员</w:t>
            </w:r>
            <w:r>
              <w:rPr>
                <w:rFonts w:hint="eastAsia"/>
                <w:color w:val="auto"/>
                <w:highlight w:val="none"/>
                <w:lang w:val="en-US" w:eastAsia="zh-CN"/>
              </w:rPr>
              <w:t>产生</w:t>
            </w:r>
            <w:r>
              <w:rPr>
                <w:color w:val="auto"/>
                <w:highlight w:val="none"/>
              </w:rPr>
              <w:t>的生活污水；</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color w:val="auto"/>
                <w:highlight w:val="none"/>
              </w:rPr>
              <w:t>固体废物：主要为施工产生的建筑垃圾和施工人员产生的生活垃圾。</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b/>
                <w:bCs/>
                <w:color w:val="auto"/>
                <w:highlight w:val="none"/>
              </w:rPr>
            </w:pPr>
            <w:r>
              <w:rPr>
                <w:b/>
                <w:bCs/>
                <w:color w:val="auto"/>
                <w:highlight w:val="none"/>
              </w:rPr>
              <w:t>1</w:t>
            </w:r>
            <w:r>
              <w:rPr>
                <w:rFonts w:hint="eastAsia"/>
                <w:b/>
                <w:bCs/>
                <w:color w:val="auto"/>
                <w:highlight w:val="none"/>
                <w:lang w:eastAsia="zh-CN"/>
              </w:rPr>
              <w:t>、</w:t>
            </w:r>
            <w:r>
              <w:rPr>
                <w:b/>
                <w:bCs/>
                <w:color w:val="auto"/>
                <w:highlight w:val="none"/>
              </w:rPr>
              <w:t>施工期大气环境影响分析</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auto"/>
                <w:highlight w:val="none"/>
              </w:rPr>
            </w:pPr>
            <w:r>
              <w:rPr>
                <w:b/>
                <w:bCs/>
                <w:color w:val="auto"/>
                <w:highlight w:val="none"/>
              </w:rPr>
              <w:t>1.1施工扬尘影响分析</w:t>
            </w:r>
          </w:p>
          <w:p>
            <w:pPr>
              <w:bidi w:val="0"/>
              <w:rPr>
                <w:color w:val="auto"/>
                <w:highlight w:val="none"/>
              </w:rPr>
            </w:pPr>
            <w:r>
              <w:rPr>
                <w:color w:val="auto"/>
                <w:highlight w:val="none"/>
              </w:rPr>
              <w:t>施工期扬尘主要来自：施工期土方挖掘、回填，建筑材料搬运及堆放，施工垃圾的清理及堆放，运输车辆的装卸，施工机械的往来等。施工扬尘的大小与施工现场条件，施工工艺、施工管理水平，施工机械化程度及施工季节，建设地区土质及天气等诸多因素有关。</w:t>
            </w:r>
          </w:p>
          <w:p>
            <w:pPr>
              <w:bidi w:val="0"/>
              <w:rPr>
                <w:rFonts w:hint="eastAsia"/>
                <w:color w:val="auto"/>
                <w:highlight w:val="none"/>
              </w:rPr>
            </w:pPr>
            <w:r>
              <w:rPr>
                <w:color w:val="auto"/>
                <w:highlight w:val="none"/>
              </w:rPr>
              <w:t>扬尘是施工阶段的主要大气污染物，拟建</w:t>
            </w:r>
            <w:r>
              <w:rPr>
                <w:rFonts w:hint="eastAsia"/>
                <w:color w:val="auto"/>
                <w:highlight w:val="none"/>
              </w:rPr>
              <w:t>项目</w:t>
            </w:r>
            <w:r>
              <w:rPr>
                <w:color w:val="auto"/>
                <w:highlight w:val="none"/>
              </w:rPr>
              <w:t>建设期扬尘主要来源于基础开挖、施工作业、车辆运输等过程。对整个施工期而言，施工产生的扬尘主要集中在土建施工阶段，起尘的原因主要为风力起尘，裸露的施工区表层浮尘由于天气干燥及大风，产生风力扬尘。扬尘中主要污染因子</w:t>
            </w:r>
            <w:r>
              <w:rPr>
                <w:rFonts w:hint="eastAsia"/>
                <w:color w:val="auto"/>
                <w:highlight w:val="none"/>
                <w:lang w:val="en-US" w:eastAsia="zh-CN"/>
              </w:rPr>
              <w:t>为</w:t>
            </w:r>
            <w:r>
              <w:rPr>
                <w:color w:val="auto"/>
                <w:highlight w:val="none"/>
              </w:rPr>
              <w:t>PM</w:t>
            </w:r>
            <w:r>
              <w:rPr>
                <w:color w:val="auto"/>
                <w:highlight w:val="none"/>
                <w:vertAlign w:val="subscript"/>
              </w:rPr>
              <w:t>10</w:t>
            </w:r>
            <w:r>
              <w:rPr>
                <w:color w:val="auto"/>
                <w:highlight w:val="none"/>
              </w:rPr>
              <w:t>，不含有毒有害的特殊污染物，且以无组织形式</w:t>
            </w:r>
            <w:r>
              <w:rPr>
                <w:rFonts w:hint="eastAsia"/>
                <w:color w:val="auto"/>
                <w:highlight w:val="none"/>
              </w:rPr>
              <w:t>排放。</w:t>
            </w:r>
          </w:p>
          <w:p>
            <w:pPr>
              <w:bidi w:val="0"/>
              <w:rPr>
                <w:rFonts w:hint="eastAsia"/>
                <w:color w:val="auto"/>
                <w:highlight w:val="none"/>
                <w:lang w:val="en-US" w:eastAsia="zh-CN"/>
              </w:rPr>
            </w:pPr>
            <w:r>
              <w:rPr>
                <w:color w:val="auto"/>
                <w:highlight w:val="none"/>
              </w:rPr>
              <w:t>从施工场地实地调查的数据资料来看，建筑工地扬尘对大气的影响范围主要在工地围墙外150m以内。</w:t>
            </w:r>
            <w:r>
              <w:rPr>
                <w:rFonts w:hint="eastAsia"/>
                <w:color w:val="auto"/>
                <w:highlight w:val="none"/>
                <w:lang w:val="en-US" w:eastAsia="zh-CN"/>
              </w:rPr>
              <w:t>本项目150m范围内的大气环境保护目标为三女河敬老院和姚家庄回迁区（在建）。</w:t>
            </w:r>
          </w:p>
          <w:p>
            <w:pPr>
              <w:bidi w:val="0"/>
              <w:rPr>
                <w:color w:val="auto"/>
                <w:highlight w:val="none"/>
              </w:rPr>
            </w:pPr>
            <w:r>
              <w:rPr>
                <w:color w:val="auto"/>
                <w:highlight w:val="none"/>
              </w:rPr>
              <w:t>本工程需要采取有效防治措施，尤其是避免施工扬尘对周围环境造成显著的不利影响，施工期对环境的影响属于短期影响，施工结束后，周边的环境空气质量能恢复到现状水平。</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b/>
                <w:bCs/>
                <w:color w:val="auto"/>
                <w:highlight w:val="none"/>
              </w:rPr>
            </w:pPr>
            <w:r>
              <w:rPr>
                <w:b/>
                <w:bCs/>
                <w:color w:val="auto"/>
                <w:highlight w:val="none"/>
              </w:rPr>
              <w:t>1.2施工扬尘污染防治对策</w:t>
            </w:r>
          </w:p>
          <w:p>
            <w:pPr>
              <w:bidi w:val="0"/>
              <w:rPr>
                <w:color w:val="auto"/>
                <w:highlight w:val="none"/>
              </w:rPr>
            </w:pPr>
            <w:r>
              <w:rPr>
                <w:color w:val="auto"/>
                <w:highlight w:val="none"/>
              </w:rPr>
              <w:t>为减少施工扬尘对外环境的影响，根据《施工场地扬尘排放标准》（DB13/2934-2019）、《河北省扬尘污染防治办法》（2020年1月21日省政府第77次常务会议通过，2020年4月1日起施行）、</w:t>
            </w:r>
            <w:r>
              <w:rPr>
                <w:rFonts w:hint="eastAsia"/>
                <w:color w:val="auto"/>
                <w:highlight w:val="none"/>
              </w:rPr>
              <w:t>《关于印发&lt;河北省2023年建筑施工扬尘污染防治工作方案&gt;的通知》</w:t>
            </w:r>
            <w:r>
              <w:rPr>
                <w:rFonts w:hint="eastAsia"/>
                <w:color w:val="auto"/>
                <w:highlight w:val="none"/>
                <w:lang w:eastAsia="zh-CN"/>
              </w:rPr>
              <w:t>（</w:t>
            </w:r>
            <w:r>
              <w:rPr>
                <w:rFonts w:hint="eastAsia"/>
                <w:color w:val="auto"/>
                <w:highlight w:val="none"/>
                <w:lang w:val="en-US" w:eastAsia="zh-CN"/>
              </w:rPr>
              <w:t>冀建质安函[2023]105号</w:t>
            </w:r>
            <w:r>
              <w:rPr>
                <w:rFonts w:hint="eastAsia"/>
                <w:color w:val="auto"/>
                <w:highlight w:val="none"/>
                <w:lang w:eastAsia="zh-CN"/>
              </w:rPr>
              <w:t>）</w:t>
            </w:r>
            <w:r>
              <w:rPr>
                <w:color w:val="auto"/>
                <w:highlight w:val="none"/>
              </w:rPr>
              <w:t>及《唐山市住房和城乡建设局关于进一步强化建筑工地扬尘治理有关措施的通知》</w:t>
            </w:r>
            <w:r>
              <w:rPr>
                <w:rFonts w:hint="eastAsia"/>
                <w:color w:val="auto"/>
                <w:highlight w:val="none"/>
              </w:rPr>
              <w:t>（</w:t>
            </w:r>
            <w:r>
              <w:rPr>
                <w:color w:val="auto"/>
                <w:highlight w:val="none"/>
              </w:rPr>
              <w:t>简称</w:t>
            </w:r>
            <w:r>
              <w:rPr>
                <w:rFonts w:hint="eastAsia"/>
                <w:color w:val="auto"/>
                <w:highlight w:val="none"/>
                <w:lang w:eastAsia="zh-CN"/>
              </w:rPr>
              <w:t>“</w:t>
            </w:r>
            <w:r>
              <w:rPr>
                <w:color w:val="auto"/>
                <w:highlight w:val="none"/>
              </w:rPr>
              <w:t>六项强化措施</w:t>
            </w:r>
            <w:r>
              <w:rPr>
                <w:rFonts w:hint="eastAsia"/>
                <w:color w:val="auto"/>
                <w:highlight w:val="none"/>
                <w:lang w:eastAsia="zh-CN"/>
              </w:rPr>
              <w:t>”</w:t>
            </w:r>
            <w:r>
              <w:rPr>
                <w:rFonts w:hint="eastAsia"/>
                <w:color w:val="auto"/>
                <w:highlight w:val="none"/>
              </w:rPr>
              <w:t>）（</w:t>
            </w:r>
            <w:r>
              <w:rPr>
                <w:color w:val="auto"/>
                <w:highlight w:val="none"/>
              </w:rPr>
              <w:t>唐住建发[2018]44号</w:t>
            </w:r>
            <w:r>
              <w:rPr>
                <w:rFonts w:hint="eastAsia"/>
                <w:color w:val="auto"/>
                <w:highlight w:val="none"/>
              </w:rPr>
              <w:t>）</w:t>
            </w:r>
            <w:r>
              <w:rPr>
                <w:color w:val="auto"/>
                <w:highlight w:val="none"/>
              </w:rPr>
              <w:t>。本项目施工过程中要采取如下防尘和抑尘措施。</w:t>
            </w:r>
          </w:p>
          <w:p>
            <w:pPr>
              <w:bidi w:val="0"/>
              <w:rPr>
                <w:color w:val="auto"/>
                <w:highlight w:val="none"/>
              </w:rPr>
            </w:pPr>
            <w:r>
              <w:rPr>
                <w:color w:val="auto"/>
                <w:highlight w:val="none"/>
              </w:rPr>
              <w:t>一、施工单位必须在施工现场出入口明显位置设置扬尘防治公示牌，内容包括建设、施工、监理及监管等单位名称、扬尘防治负责人的名称、联系电话、举报电话等。</w:t>
            </w:r>
          </w:p>
          <w:p>
            <w:pPr>
              <w:bidi w:val="0"/>
              <w:rPr>
                <w:color w:val="auto"/>
                <w:highlight w:val="none"/>
              </w:rPr>
            </w:pPr>
            <w:r>
              <w:rPr>
                <w:color w:val="auto"/>
                <w:highlight w:val="none"/>
              </w:rPr>
              <w:t>二、施工现场必须连续设置硬质围挡，围挡应坚固、美观，严禁围挡不严或敞开式施工。城区主干道两侧的围挡高度不低于2.5米，一般路段高度不低于1.8米。</w:t>
            </w:r>
          </w:p>
          <w:p>
            <w:pPr>
              <w:bidi w:val="0"/>
              <w:rPr>
                <w:color w:val="auto"/>
                <w:highlight w:val="none"/>
              </w:rPr>
            </w:pPr>
            <w:r>
              <w:rPr>
                <w:color w:val="auto"/>
                <w:highlight w:val="none"/>
              </w:rPr>
              <w:t>三、施工现场出入口和场内施工道路、材料加工堆放区、办公区、生活区必须采用混凝土硬化或用硬质砌块铺设，硬化后的地面应清扫整洁无浮土、积土，严禁使用其他软质材料铺设。</w:t>
            </w:r>
          </w:p>
          <w:p>
            <w:pPr>
              <w:bidi w:val="0"/>
              <w:rPr>
                <w:color w:val="auto"/>
                <w:highlight w:val="none"/>
              </w:rPr>
            </w:pPr>
            <w:r>
              <w:rPr>
                <w:color w:val="auto"/>
                <w:highlight w:val="none"/>
              </w:rPr>
              <w:t>四、施工现场出入口必须配备车辆冲洗设施，设置排水、泥浆沉淀池等设施，建立冲洗制度并设专人管理，严禁车辆带泥上路。</w:t>
            </w:r>
          </w:p>
          <w:p>
            <w:pPr>
              <w:bidi w:val="0"/>
              <w:rPr>
                <w:rFonts w:hint="eastAsia"/>
                <w:color w:val="auto"/>
                <w:highlight w:val="none"/>
                <w:lang w:eastAsia="zh-CN"/>
              </w:rPr>
            </w:pPr>
            <w:r>
              <w:rPr>
                <w:color w:val="auto"/>
                <w:highlight w:val="none"/>
              </w:rPr>
              <w:t>五、施工现场出入口、加工区和主作业区等处必须安装视频监控系统，对施工扬尘实时监控</w:t>
            </w:r>
            <w:r>
              <w:rPr>
                <w:rFonts w:hint="eastAsia"/>
                <w:color w:val="auto"/>
                <w:highlight w:val="none"/>
                <w:lang w:eastAsia="zh-CN"/>
              </w:rPr>
              <w:t>。</w:t>
            </w:r>
          </w:p>
          <w:p>
            <w:pPr>
              <w:bidi w:val="0"/>
              <w:rPr>
                <w:color w:val="auto"/>
                <w:highlight w:val="none"/>
              </w:rPr>
            </w:pPr>
            <w:r>
              <w:rPr>
                <w:color w:val="auto"/>
                <w:highlight w:val="none"/>
              </w:rPr>
              <w:t>六、施工现场集中堆放的土方和裸露场地必须采取覆盖、固化或绿化等防尘措施，严禁裸露。</w:t>
            </w:r>
          </w:p>
          <w:p>
            <w:pPr>
              <w:bidi w:val="0"/>
              <w:rPr>
                <w:color w:val="auto"/>
                <w:highlight w:val="none"/>
              </w:rPr>
            </w:pPr>
            <w:r>
              <w:rPr>
                <w:color w:val="auto"/>
                <w:highlight w:val="none"/>
              </w:rPr>
              <w:t>七、基坑开挖作业过程中，四周应采取洒水、喷雾等降尘措施。</w:t>
            </w:r>
          </w:p>
          <w:p>
            <w:pPr>
              <w:bidi w:val="0"/>
              <w:rPr>
                <w:color w:val="auto"/>
                <w:highlight w:val="none"/>
              </w:rPr>
            </w:pPr>
            <w:r>
              <w:rPr>
                <w:color w:val="auto"/>
                <w:highlight w:val="none"/>
              </w:rPr>
              <w:t>八、具备条件的地区施工现场必须使用商品混凝土、预拌砂浆，严禁现场搅拌。</w:t>
            </w:r>
          </w:p>
          <w:p>
            <w:pPr>
              <w:bidi w:val="0"/>
              <w:rPr>
                <w:color w:val="auto"/>
                <w:highlight w:val="none"/>
              </w:rPr>
            </w:pPr>
            <w:r>
              <w:rPr>
                <w:color w:val="auto"/>
                <w:highlight w:val="none"/>
              </w:rPr>
              <w:t>九、建筑物内应保持干净整洁，清扫垃圾时要洒水抑尘。</w:t>
            </w:r>
          </w:p>
          <w:p>
            <w:pPr>
              <w:bidi w:val="0"/>
              <w:rPr>
                <w:color w:val="auto"/>
                <w:highlight w:val="none"/>
              </w:rPr>
            </w:pPr>
            <w:r>
              <w:rPr>
                <w:color w:val="auto"/>
                <w:highlight w:val="none"/>
              </w:rPr>
              <w:t>十、施工现场的建筑垃圾必须设置垃圾存放点</w:t>
            </w:r>
            <w:r>
              <w:rPr>
                <w:rFonts w:hint="eastAsia"/>
                <w:color w:val="auto"/>
                <w:highlight w:val="none"/>
                <w:lang w:eastAsia="zh-CN"/>
              </w:rPr>
              <w:t>，</w:t>
            </w:r>
            <w:r>
              <w:rPr>
                <w:color w:val="auto"/>
                <w:highlight w:val="none"/>
              </w:rPr>
              <w:t>集中堆放并严密覆盖，及时清运。生活垃圾应用封闭式容器存放，日产日清，严禁随意丢弃。</w:t>
            </w:r>
          </w:p>
          <w:p>
            <w:pPr>
              <w:bidi w:val="0"/>
              <w:rPr>
                <w:color w:val="auto"/>
                <w:highlight w:val="none"/>
              </w:rPr>
            </w:pPr>
            <w:r>
              <w:rPr>
                <w:color w:val="auto"/>
                <w:highlight w:val="none"/>
              </w:rPr>
              <w:t>十一、施工现场必须建立洒水清扫抑尘制度，配备洒水设备。非冰冻期每天洒水不少于2次，并有专人负责。重污染天气时相应增加洒水频次。</w:t>
            </w:r>
          </w:p>
          <w:p>
            <w:pPr>
              <w:bidi w:val="0"/>
              <w:rPr>
                <w:color w:val="auto"/>
                <w:highlight w:val="none"/>
              </w:rPr>
            </w:pPr>
            <w:r>
              <w:rPr>
                <w:color w:val="auto"/>
                <w:highlight w:val="none"/>
              </w:rPr>
              <w:t>十二、遇有4级以上大风或重污染天气预警时，必须采取扬尘防治应急措施，严禁土方开挖、土方回填、房屋拆除、材料切割、金属焊接、喷涂或其他有可能产生扬尘的作业。</w:t>
            </w:r>
          </w:p>
          <w:p>
            <w:pPr>
              <w:bidi w:val="0"/>
              <w:rPr>
                <w:color w:val="auto"/>
                <w:highlight w:val="none"/>
              </w:rPr>
            </w:pPr>
            <w:r>
              <w:rPr>
                <w:color w:val="auto"/>
                <w:highlight w:val="none"/>
              </w:rPr>
              <w:t>十三、建设单位必须组织相关单位做好工程外管网及绿化施工阶段的扬尘防治工作。</w:t>
            </w:r>
          </w:p>
          <w:p>
            <w:pPr>
              <w:bidi w:val="0"/>
              <w:rPr>
                <w:color w:val="auto"/>
                <w:highlight w:val="none"/>
              </w:rPr>
            </w:pPr>
            <w:r>
              <w:rPr>
                <w:color w:val="auto"/>
                <w:highlight w:val="none"/>
              </w:rPr>
              <w:t>十四、在施工工地同步安装视频监控设备和扬尘污染物在线监测设备，分别与建设主管部门、生态环境主管部门的监控设备联网，并保证系统正常运行，发生故障应当在二十四小时内修复；县级以上人民政府建立统一平台后，并入监控系统进行联网监控。根据河北省印发</w:t>
            </w:r>
            <w:r>
              <w:rPr>
                <w:rFonts w:hint="eastAsia"/>
                <w:color w:val="auto"/>
                <w:highlight w:val="none"/>
                <w:lang w:val="en-US" w:eastAsia="zh-CN"/>
              </w:rPr>
              <w:t>的</w:t>
            </w:r>
            <w:r>
              <w:rPr>
                <w:color w:val="auto"/>
                <w:highlight w:val="none"/>
              </w:rPr>
              <w:t>《施工场地扬尘排放标准》</w:t>
            </w:r>
            <w:r>
              <w:rPr>
                <w:rFonts w:hint="eastAsia"/>
                <w:color w:val="auto"/>
                <w:highlight w:val="none"/>
                <w:lang w:eastAsia="zh-CN"/>
              </w:rPr>
              <w:t>（</w:t>
            </w:r>
            <w:r>
              <w:rPr>
                <w:rFonts w:hint="eastAsia"/>
                <w:color w:val="auto"/>
                <w:highlight w:val="none"/>
                <w:lang w:val="en-US" w:eastAsia="zh-CN"/>
              </w:rPr>
              <w:t>DB13/2934-2019</w:t>
            </w:r>
            <w:r>
              <w:rPr>
                <w:rFonts w:hint="eastAsia"/>
                <w:color w:val="auto"/>
                <w:highlight w:val="none"/>
                <w:lang w:eastAsia="zh-CN"/>
              </w:rPr>
              <w:t>）</w:t>
            </w:r>
            <w:r>
              <w:rPr>
                <w:color w:val="auto"/>
                <w:highlight w:val="none"/>
              </w:rPr>
              <w:t>，施工场地占地</w:t>
            </w:r>
            <w:r>
              <w:rPr>
                <w:rFonts w:hint="eastAsia"/>
                <w:color w:val="auto"/>
                <w:highlight w:val="none"/>
                <w:lang w:val="en-US" w:eastAsia="zh-CN"/>
              </w:rPr>
              <w:t>面积为5000</w:t>
            </w:r>
            <w:r>
              <w:rPr>
                <w:rFonts w:hint="default"/>
                <w:color w:val="auto"/>
                <w:highlight w:val="none"/>
                <w:lang w:val="en-US" w:eastAsia="zh-CN"/>
              </w:rPr>
              <w:t>~</w:t>
            </w:r>
            <w:r>
              <w:rPr>
                <w:rFonts w:hint="eastAsia"/>
                <w:color w:val="auto"/>
                <w:highlight w:val="none"/>
                <w:lang w:val="en-US" w:eastAsia="zh-CN"/>
              </w:rPr>
              <w:t>10000m</w:t>
            </w:r>
            <w:r>
              <w:rPr>
                <w:rFonts w:hint="eastAsia"/>
                <w:color w:val="auto"/>
                <w:highlight w:val="none"/>
                <w:vertAlign w:val="superscript"/>
                <w:lang w:val="en-US" w:eastAsia="zh-CN"/>
              </w:rPr>
              <w:t>2</w:t>
            </w:r>
            <w:r>
              <w:rPr>
                <w:rFonts w:hint="eastAsia"/>
                <w:color w:val="auto"/>
                <w:highlight w:val="none"/>
                <w:lang w:val="en-US" w:eastAsia="zh-CN"/>
              </w:rPr>
              <w:t>，监测点数量不小于2个，</w:t>
            </w:r>
            <w:r>
              <w:rPr>
                <w:color w:val="auto"/>
                <w:highlight w:val="none"/>
              </w:rPr>
              <w:t>本项目施工场地占地</w:t>
            </w:r>
            <w:r>
              <w:rPr>
                <w:rFonts w:hint="eastAsia"/>
                <w:color w:val="auto"/>
                <w:highlight w:val="none"/>
                <w:lang w:val="en-US" w:eastAsia="zh-CN"/>
              </w:rPr>
              <w:t>7000</w:t>
            </w:r>
            <w:r>
              <w:rPr>
                <w:rFonts w:hint="default"/>
                <w:color w:val="auto"/>
                <w:highlight w:val="none"/>
              </w:rPr>
              <w:t>m</w:t>
            </w:r>
            <w:r>
              <w:rPr>
                <w:rFonts w:hint="default"/>
                <w:color w:val="auto"/>
                <w:highlight w:val="none"/>
                <w:vertAlign w:val="superscript"/>
              </w:rPr>
              <w:t>2</w:t>
            </w:r>
            <w:r>
              <w:rPr>
                <w:color w:val="auto"/>
                <w:highlight w:val="none"/>
              </w:rPr>
              <w:t>，即需设置</w:t>
            </w:r>
            <w:r>
              <w:rPr>
                <w:rFonts w:hint="eastAsia"/>
                <w:color w:val="auto"/>
                <w:highlight w:val="none"/>
                <w:lang w:val="en-US" w:eastAsia="zh-CN"/>
              </w:rPr>
              <w:t>2</w:t>
            </w:r>
            <w:r>
              <w:rPr>
                <w:color w:val="auto"/>
                <w:highlight w:val="none"/>
              </w:rPr>
              <w:t>个监测点。可吸入颗粒物PM</w:t>
            </w:r>
            <w:r>
              <w:rPr>
                <w:color w:val="auto"/>
                <w:highlight w:val="none"/>
                <w:vertAlign w:val="subscript"/>
              </w:rPr>
              <w:t>10</w:t>
            </w:r>
            <w:r>
              <w:rPr>
                <w:color w:val="auto"/>
                <w:highlight w:val="none"/>
              </w:rPr>
              <w:t>采样口高度一般应设在距地面</w:t>
            </w:r>
            <w:r>
              <w:rPr>
                <w:rFonts w:hint="eastAsia"/>
                <w:color w:val="auto"/>
                <w:highlight w:val="none"/>
                <w:lang w:val="en-US" w:eastAsia="zh-CN"/>
              </w:rPr>
              <w:t>3</w:t>
            </w:r>
            <w:r>
              <w:rPr>
                <w:rFonts w:hint="default"/>
                <w:color w:val="auto"/>
                <w:highlight w:val="none"/>
                <w:lang w:val="en-US" w:eastAsia="zh-CN"/>
              </w:rPr>
              <w:t>~</w:t>
            </w:r>
            <w:r>
              <w:rPr>
                <w:rFonts w:hint="eastAsia"/>
                <w:color w:val="auto"/>
                <w:highlight w:val="none"/>
                <w:lang w:val="en-US" w:eastAsia="zh-CN"/>
              </w:rPr>
              <w:t>5</w:t>
            </w:r>
            <w:r>
              <w:rPr>
                <w:color w:val="auto"/>
                <w:highlight w:val="none"/>
              </w:rPr>
              <w:t>m</w:t>
            </w:r>
            <w:r>
              <w:rPr>
                <w:rFonts w:hint="eastAsia"/>
                <w:color w:val="auto"/>
                <w:highlight w:val="none"/>
                <w:lang w:val="en-US" w:eastAsia="zh-CN"/>
              </w:rPr>
              <w:t>处</w:t>
            </w:r>
            <w:r>
              <w:rPr>
                <w:color w:val="auto"/>
                <w:highlight w:val="none"/>
              </w:rPr>
              <w:t>，采样口到在线监测仪管道长度不应大于2.5m。</w:t>
            </w:r>
          </w:p>
          <w:p>
            <w:pPr>
              <w:bidi w:val="0"/>
              <w:rPr>
                <w:color w:val="auto"/>
                <w:highlight w:val="none"/>
              </w:rPr>
            </w:pPr>
            <w:r>
              <w:rPr>
                <w:color w:val="auto"/>
                <w:highlight w:val="none"/>
              </w:rPr>
              <w:t>采取上述措施后，项目施工场地扬尘排放应满足《施工场地扬尘排放标准》（DB13/ 2934</w:t>
            </w:r>
            <w:r>
              <w:rPr>
                <w:rFonts w:hint="eastAsia"/>
                <w:color w:val="auto"/>
                <w:highlight w:val="none"/>
              </w:rPr>
              <w:t>－</w:t>
            </w:r>
            <w:r>
              <w:rPr>
                <w:color w:val="auto"/>
                <w:highlight w:val="none"/>
              </w:rPr>
              <w:t>2019）标准要求。只要加强管理、切实落实好上述污染防治措施，施工扬尘对环境的影响将大大降低，扬尘对环境的影响将随施工期的结束而消失。</w:t>
            </w:r>
          </w:p>
          <w:p>
            <w:pPr>
              <w:keepNext w:val="0"/>
              <w:keepLines w:val="0"/>
              <w:pageBreakBefore w:val="0"/>
              <w:widowControl w:val="0"/>
              <w:kinsoku/>
              <w:wordWrap/>
              <w:overflowPunct/>
              <w:topLinePunct w:val="0"/>
              <w:bidi w:val="0"/>
              <w:snapToGrid/>
              <w:spacing w:line="480" w:lineRule="exact"/>
              <w:ind w:left="0" w:leftChars="0" w:firstLine="0" w:firstLineChars="0"/>
              <w:textAlignment w:val="auto"/>
              <w:rPr>
                <w:b/>
                <w:bCs/>
                <w:color w:val="auto"/>
                <w:highlight w:val="none"/>
              </w:rPr>
            </w:pPr>
            <w:r>
              <w:rPr>
                <w:b/>
                <w:bCs/>
                <w:color w:val="auto"/>
                <w:highlight w:val="none"/>
              </w:rPr>
              <w:t>2</w:t>
            </w:r>
            <w:r>
              <w:rPr>
                <w:rFonts w:hint="eastAsia"/>
                <w:b/>
                <w:bCs/>
                <w:color w:val="auto"/>
                <w:highlight w:val="none"/>
                <w:lang w:eastAsia="zh-CN"/>
              </w:rPr>
              <w:t>、</w:t>
            </w:r>
            <w:r>
              <w:rPr>
                <w:b/>
                <w:bCs/>
                <w:color w:val="auto"/>
                <w:highlight w:val="none"/>
              </w:rPr>
              <w:t>施工期水环境影响分析</w:t>
            </w:r>
          </w:p>
          <w:p>
            <w:pPr>
              <w:bidi w:val="0"/>
              <w:rPr>
                <w:rFonts w:hint="eastAsia"/>
                <w:color w:val="auto"/>
                <w:highlight w:val="none"/>
              </w:rPr>
            </w:pPr>
            <w:r>
              <w:rPr>
                <w:color w:val="auto"/>
                <w:highlight w:val="none"/>
              </w:rPr>
              <w:t>施工期产生的废水主要有施工废水，即混凝土养护废水、施工机械设备和车辆的冲洗废水</w:t>
            </w:r>
            <w:r>
              <w:rPr>
                <w:rFonts w:hint="eastAsia"/>
                <w:color w:val="auto"/>
                <w:highlight w:val="none"/>
                <w:lang w:val="en-US" w:eastAsia="zh-CN"/>
              </w:rPr>
              <w:t>和</w:t>
            </w:r>
            <w:r>
              <w:rPr>
                <w:color w:val="auto"/>
                <w:highlight w:val="none"/>
              </w:rPr>
              <w:t>施工人员生活污水，主要污染物为SS等</w:t>
            </w:r>
            <w:r>
              <w:rPr>
                <w:rFonts w:hint="eastAsia"/>
                <w:color w:val="auto"/>
                <w:highlight w:val="none"/>
              </w:rPr>
              <w:t>。</w:t>
            </w:r>
          </w:p>
          <w:p>
            <w:pPr>
              <w:bidi w:val="0"/>
              <w:rPr>
                <w:color w:val="auto"/>
                <w:highlight w:val="none"/>
              </w:rPr>
            </w:pPr>
            <w:r>
              <w:rPr>
                <w:color w:val="auto"/>
                <w:highlight w:val="none"/>
              </w:rPr>
              <w:t>针对上述不同的废水，采取如下防治措施。</w:t>
            </w:r>
          </w:p>
          <w:p>
            <w:pPr>
              <w:bidi w:val="0"/>
              <w:rPr>
                <w:color w:val="auto"/>
                <w:highlight w:val="none"/>
              </w:rPr>
            </w:pPr>
            <w:r>
              <w:rPr>
                <w:color w:val="auto"/>
                <w:highlight w:val="none"/>
              </w:rPr>
              <w:t>（1）混凝土养护废水：封闭混凝土中水分不蒸发外逸，水泥依靠混凝土中水分完成水化作用，因水量较小，故废水排放量小，可以不需专门处理。</w:t>
            </w:r>
          </w:p>
          <w:p>
            <w:pPr>
              <w:bidi w:val="0"/>
              <w:rPr>
                <w:color w:val="auto"/>
                <w:highlight w:val="none"/>
              </w:rPr>
            </w:pPr>
            <w:r>
              <w:rPr>
                <w:color w:val="auto"/>
                <w:highlight w:val="none"/>
              </w:rPr>
              <w:t>（2）机械和车辆冲洗废水：清洗处设置沉淀池，使排放的废水先经沉淀池沉淀后再回收用于场地洒水降尘。</w:t>
            </w:r>
          </w:p>
          <w:p>
            <w:pPr>
              <w:bidi w:val="0"/>
              <w:rPr>
                <w:color w:val="auto"/>
                <w:highlight w:val="none"/>
              </w:rPr>
            </w:pPr>
            <w:r>
              <w:rPr>
                <w:color w:val="auto"/>
                <w:highlight w:val="none"/>
              </w:rPr>
              <w:t>（3）施工人员生活污水：施工现场不设餐厅，三餐外</w:t>
            </w:r>
            <w:r>
              <w:rPr>
                <w:rFonts w:hint="eastAsia"/>
                <w:color w:val="auto"/>
                <w:highlight w:val="none"/>
                <w:lang w:val="en-US" w:eastAsia="zh-CN"/>
              </w:rPr>
              <w:t>买</w:t>
            </w:r>
            <w:r>
              <w:rPr>
                <w:color w:val="auto"/>
                <w:highlight w:val="none"/>
              </w:rPr>
              <w:t>盒饭解决，生活污水主要为施工人员的盥洗污水，可直接泼洒地面。</w:t>
            </w:r>
          </w:p>
          <w:p>
            <w:pPr>
              <w:bidi w:val="0"/>
              <w:rPr>
                <w:color w:val="auto"/>
                <w:highlight w:val="none"/>
              </w:rPr>
            </w:pPr>
            <w:r>
              <w:rPr>
                <w:color w:val="auto"/>
                <w:highlight w:val="none"/>
              </w:rPr>
              <w:t>采取上述措施后，施工期产生的废水都可得到合理的处置，对外界环境影响较小。</w:t>
            </w:r>
          </w:p>
          <w:p>
            <w:pPr>
              <w:keepNext w:val="0"/>
              <w:keepLines w:val="0"/>
              <w:pageBreakBefore w:val="0"/>
              <w:widowControl w:val="0"/>
              <w:kinsoku/>
              <w:wordWrap/>
              <w:overflowPunct/>
              <w:topLinePunct w:val="0"/>
              <w:bidi w:val="0"/>
              <w:snapToGrid/>
              <w:spacing w:line="480" w:lineRule="exact"/>
              <w:ind w:left="0" w:leftChars="0" w:firstLine="0" w:firstLineChars="0"/>
              <w:textAlignment w:val="auto"/>
              <w:rPr>
                <w:b/>
                <w:bCs/>
                <w:color w:val="auto"/>
                <w:highlight w:val="none"/>
              </w:rPr>
            </w:pPr>
            <w:r>
              <w:rPr>
                <w:b/>
                <w:bCs/>
                <w:color w:val="auto"/>
                <w:highlight w:val="none"/>
              </w:rPr>
              <w:t>3</w:t>
            </w:r>
            <w:r>
              <w:rPr>
                <w:rFonts w:hint="eastAsia"/>
                <w:b/>
                <w:bCs/>
                <w:color w:val="auto"/>
                <w:highlight w:val="none"/>
                <w:lang w:eastAsia="zh-CN"/>
              </w:rPr>
              <w:t>、</w:t>
            </w:r>
            <w:r>
              <w:rPr>
                <w:b/>
                <w:bCs/>
                <w:color w:val="auto"/>
                <w:highlight w:val="none"/>
              </w:rPr>
              <w:t>施工噪声影响分析</w:t>
            </w:r>
          </w:p>
          <w:p>
            <w:pPr>
              <w:keepNext w:val="0"/>
              <w:keepLines w:val="0"/>
              <w:pageBreakBefore w:val="0"/>
              <w:widowControl w:val="0"/>
              <w:tabs>
                <w:tab w:val="left" w:pos="0"/>
                <w:tab w:val="left" w:pos="1020"/>
              </w:tabs>
              <w:kinsoku/>
              <w:wordWrap/>
              <w:overflowPunct/>
              <w:topLinePunct w:val="0"/>
              <w:autoSpaceDE w:val="0"/>
              <w:autoSpaceDN w:val="0"/>
              <w:bidi w:val="0"/>
              <w:adjustRightInd w:val="0"/>
              <w:snapToGrid/>
              <w:spacing w:line="480" w:lineRule="exact"/>
              <w:ind w:firstLine="482" w:firstLineChars="200"/>
              <w:textAlignment w:val="auto"/>
              <w:rPr>
                <w:b/>
                <w:bCs/>
                <w:color w:val="auto"/>
                <w:highlight w:val="none"/>
              </w:rPr>
            </w:pPr>
            <w:r>
              <w:rPr>
                <w:b/>
                <w:bCs/>
                <w:color w:val="auto"/>
                <w:highlight w:val="none"/>
              </w:rPr>
              <w:t xml:space="preserve">3.1 噪声源强 </w:t>
            </w:r>
          </w:p>
          <w:p>
            <w:pPr>
              <w:bidi w:val="0"/>
              <w:rPr>
                <w:color w:val="auto"/>
                <w:highlight w:val="none"/>
                <w:lang w:val="zh-CN"/>
              </w:rPr>
            </w:pPr>
            <w:r>
              <w:rPr>
                <w:rFonts w:hint="eastAsia"/>
                <w:color w:val="auto"/>
                <w:highlight w:val="none"/>
                <w:lang w:val="en-US" w:eastAsia="zh-CN"/>
              </w:rPr>
              <w:t>本项目施工期噪声污染源</w:t>
            </w:r>
            <w:r>
              <w:rPr>
                <w:color w:val="auto"/>
                <w:highlight w:val="none"/>
              </w:rPr>
              <w:t>为施工机械和运输车辆产生的噪声</w:t>
            </w:r>
            <w:r>
              <w:rPr>
                <w:rFonts w:hint="eastAsia"/>
                <w:color w:val="auto"/>
                <w:highlight w:val="none"/>
                <w:lang w:val="en-US" w:eastAsia="zh-CN"/>
              </w:rPr>
              <w:t>，合理安排施工时间，文明施工，对环境保护目标影响较小。项目噪声污染源主要为</w:t>
            </w:r>
            <w:r>
              <w:rPr>
                <w:color w:val="auto"/>
                <w:highlight w:val="none"/>
              </w:rPr>
              <w:t>施工机械和运输车辆产生的噪声</w:t>
            </w:r>
            <w:r>
              <w:rPr>
                <w:rFonts w:hint="eastAsia"/>
                <w:color w:val="auto"/>
                <w:highlight w:val="none"/>
                <w:lang w:eastAsia="zh-CN"/>
              </w:rPr>
              <w:t>，</w:t>
            </w:r>
            <w:r>
              <w:rPr>
                <w:color w:val="auto"/>
                <w:highlight w:val="none"/>
              </w:rPr>
              <w:t>从噪声角度出发，把施工阶段分为四个阶段：土石方阶段、基础施工阶段、结构施工阶段和装修阶段。这几个阶段所占施工时间较长，采用的施工机械较多，噪声污染比较严重，不同阶段又具有独立的噪声特性。根据类比调查和资料分析，各类建筑施工机械产生噪声值及噪声测点与设备距离见下表。</w:t>
            </w:r>
          </w:p>
          <w:p>
            <w:pPr>
              <w:pStyle w:val="29"/>
              <w:bidi w:val="0"/>
              <w:rPr>
                <w:color w:val="auto"/>
                <w:highlight w:val="none"/>
              </w:rPr>
            </w:pPr>
            <w:r>
              <w:rPr>
                <w:color w:val="auto"/>
                <w:highlight w:val="none"/>
              </w:rPr>
              <w:t>表</w:t>
            </w:r>
            <w:r>
              <w:rPr>
                <w:rFonts w:hint="eastAsia"/>
                <w:color w:val="auto"/>
                <w:highlight w:val="none"/>
                <w:lang w:val="en-US" w:eastAsia="zh-CN"/>
              </w:rPr>
              <w:t xml:space="preserve">18  </w:t>
            </w:r>
            <w:r>
              <w:rPr>
                <w:color w:val="auto"/>
                <w:highlight w:val="none"/>
              </w:rPr>
              <w:t>施工机械产生噪声值一览表</w:t>
            </w:r>
          </w:p>
          <w:tbl>
            <w:tblPr>
              <w:tblStyle w:val="23"/>
              <w:tblW w:w="84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806"/>
              <w:gridCol w:w="2040"/>
              <w:gridCol w:w="1875"/>
              <w:gridCol w:w="1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设备名称</w:t>
                  </w:r>
                </w:p>
              </w:tc>
              <w:tc>
                <w:tcPr>
                  <w:tcW w:w="180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噪声强度/dB（A）</w:t>
                  </w:r>
                </w:p>
              </w:tc>
              <w:tc>
                <w:tcPr>
                  <w:tcW w:w="204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设备名称</w:t>
                  </w:r>
                </w:p>
              </w:tc>
              <w:tc>
                <w:tcPr>
                  <w:tcW w:w="187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噪声强度/dB（A）</w:t>
                  </w:r>
                </w:p>
              </w:tc>
              <w:tc>
                <w:tcPr>
                  <w:tcW w:w="161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10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挖掘机</w:t>
                  </w:r>
                </w:p>
              </w:tc>
              <w:tc>
                <w:tcPr>
                  <w:tcW w:w="180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93</w:t>
                  </w:r>
                </w:p>
              </w:tc>
              <w:tc>
                <w:tcPr>
                  <w:tcW w:w="204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推土机</w:t>
                  </w:r>
                </w:p>
              </w:tc>
              <w:tc>
                <w:tcPr>
                  <w:tcW w:w="187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86</w:t>
                  </w:r>
                </w:p>
              </w:tc>
              <w:tc>
                <w:tcPr>
                  <w:tcW w:w="1618"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设备1m处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0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lang w:val="en-US" w:eastAsia="zh-CN"/>
                    </w:rPr>
                  </w:pPr>
                  <w:r>
                    <w:rPr>
                      <w:rFonts w:hint="eastAsia"/>
                      <w:color w:val="auto"/>
                      <w:sz w:val="21"/>
                      <w:szCs w:val="21"/>
                      <w:highlight w:val="none"/>
                      <w:lang w:val="en-US" w:eastAsia="zh-CN"/>
                    </w:rPr>
                    <w:t>运输车辆</w:t>
                  </w:r>
                </w:p>
              </w:tc>
              <w:tc>
                <w:tcPr>
                  <w:tcW w:w="180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80</w:t>
                  </w:r>
                </w:p>
              </w:tc>
              <w:tc>
                <w:tcPr>
                  <w:tcW w:w="204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低频环保型振捣器</w:t>
                  </w:r>
                </w:p>
              </w:tc>
              <w:tc>
                <w:tcPr>
                  <w:tcW w:w="187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80</w:t>
                  </w:r>
                </w:p>
              </w:tc>
              <w:tc>
                <w:tcPr>
                  <w:tcW w:w="1618"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p>
              </w:tc>
            </w:tr>
          </w:tbl>
          <w:p>
            <w:pPr>
              <w:bidi w:val="0"/>
              <w:rPr>
                <w:color w:val="auto"/>
                <w:highlight w:val="none"/>
              </w:rPr>
            </w:pPr>
            <w:r>
              <w:rPr>
                <w:color w:val="auto"/>
                <w:highlight w:val="none"/>
              </w:rPr>
              <w:t>本项目采用低频环保混凝土振捣器，其噪声值为80dB（A）。</w:t>
            </w:r>
          </w:p>
          <w:p>
            <w:pPr>
              <w:bidi w:val="0"/>
              <w:rPr>
                <w:color w:val="auto"/>
                <w:highlight w:val="none"/>
              </w:rPr>
            </w:pPr>
            <w:r>
              <w:rPr>
                <w:color w:val="auto"/>
                <w:highlight w:val="none"/>
              </w:rPr>
              <w:t>目前施工所用的基本上是钢模板，而不是传统的木制模板，因此使用电锯加工的工作量不大。鉴于电锯产生的噪声对周围环境影响较大，环评要求施工现场不设电锯，少量需电锯加工的材料可委托外单位加工。</w:t>
            </w:r>
          </w:p>
          <w:p>
            <w:pPr>
              <w:bidi w:val="0"/>
              <w:rPr>
                <w:color w:val="auto"/>
                <w:highlight w:val="none"/>
              </w:rPr>
            </w:pPr>
            <w:r>
              <w:rPr>
                <w:color w:val="auto"/>
                <w:highlight w:val="none"/>
              </w:rPr>
              <w:t>因此本项目产生噪声的施工机械设备主要有挖掘机、推土机、低频环保型混凝土振捣器、</w:t>
            </w:r>
            <w:r>
              <w:rPr>
                <w:rFonts w:hint="eastAsia"/>
                <w:color w:val="auto"/>
                <w:highlight w:val="none"/>
                <w:lang w:val="en-US" w:eastAsia="zh-CN"/>
              </w:rPr>
              <w:t>运输车辆</w:t>
            </w:r>
            <w:r>
              <w:rPr>
                <w:color w:val="auto"/>
                <w:highlight w:val="none"/>
              </w:rPr>
              <w:t>等。</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2" w:firstLineChars="200"/>
              <w:textAlignment w:val="auto"/>
              <w:rPr>
                <w:b/>
                <w:bCs/>
                <w:color w:val="auto"/>
                <w:highlight w:val="none"/>
              </w:rPr>
            </w:pPr>
            <w:r>
              <w:rPr>
                <w:b/>
                <w:bCs/>
                <w:color w:val="auto"/>
                <w:highlight w:val="none"/>
              </w:rPr>
              <w:t>3.2 施工期噪声影响分析</w:t>
            </w:r>
          </w:p>
          <w:p>
            <w:pPr>
              <w:bidi w:val="0"/>
              <w:rPr>
                <w:color w:val="auto"/>
                <w:highlight w:val="none"/>
                <w:lang w:val="zh-CN"/>
              </w:rPr>
            </w:pPr>
            <w:r>
              <w:rPr>
                <w:color w:val="auto"/>
                <w:highlight w:val="none"/>
                <w:lang w:val="zh-CN"/>
              </w:rPr>
              <w:t>（</w:t>
            </w:r>
            <w:r>
              <w:rPr>
                <w:color w:val="auto"/>
                <w:highlight w:val="none"/>
              </w:rPr>
              <w:t>1</w:t>
            </w:r>
            <w:r>
              <w:rPr>
                <w:color w:val="auto"/>
                <w:highlight w:val="none"/>
                <w:lang w:val="zh-CN"/>
              </w:rPr>
              <w:t>）各施工机械到场界噪声达标分析：</w:t>
            </w:r>
          </w:p>
          <w:p>
            <w:pPr>
              <w:bidi w:val="0"/>
              <w:rPr>
                <w:color w:val="auto"/>
                <w:highlight w:val="none"/>
                <w:lang w:val="zh-CN"/>
              </w:rPr>
            </w:pPr>
            <w:r>
              <w:rPr>
                <w:color w:val="auto"/>
                <w:highlight w:val="none"/>
                <w:lang w:val="zh-CN"/>
              </w:rPr>
              <w:t>本项目所用施工机械设备满足</w:t>
            </w:r>
            <w:r>
              <w:rPr>
                <w:color w:val="auto"/>
                <w:highlight w:val="none"/>
              </w:rPr>
              <w:t>《建筑施工场界环境噪声排放标准》（GB12523-2011）要求时所需的距离。</w:t>
            </w:r>
          </w:p>
          <w:p>
            <w:pPr>
              <w:bidi w:val="0"/>
              <w:rPr>
                <w:color w:val="auto"/>
                <w:highlight w:val="none"/>
              </w:rPr>
            </w:pPr>
            <w:r>
              <w:rPr>
                <w:color w:val="auto"/>
                <w:highlight w:val="none"/>
                <w:lang w:val="zh-CN"/>
              </w:rPr>
              <w:t>施工噪声预测</w:t>
            </w:r>
            <w:r>
              <w:rPr>
                <w:color w:val="auto"/>
                <w:highlight w:val="none"/>
              </w:rPr>
              <w:t>采用点源衰减预测模式，预测只计算声源至受声点的几何发散衰减，不考虑声屏障、空气吸收等衰减。预测模式如下：</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highlight w:val="none"/>
              </w:rPr>
            </w:pPr>
            <w:r>
              <w:rPr>
                <w:color w:val="auto"/>
                <w:highlight w:val="none"/>
              </w:rPr>
              <w:object>
                <v:shape id="_x0000_i1025" o:spt="75" type="#_x0000_t75" style="height:35.7pt;width:94.2pt;" o:ole="t" filled="f" o:preferrelative="t" stroked="f" coordsize="21600,21600">
                  <v:path/>
                  <v:fill on="f" focussize="0,0"/>
                  <v:stroke on="f"/>
                  <v:imagedata r:id="rId17" o:title=""/>
                  <o:lock v:ext="edit" aspectratio="t"/>
                  <w10:wrap type="none"/>
                  <w10:anchorlock/>
                </v:shape>
                <o:OLEObject Type="Embed" ProgID="Equation.3" ShapeID="_x0000_i1025" DrawAspect="Content" ObjectID="_1468075725" r:id="rId16">
                  <o:LockedField>false</o:LockedField>
                </o:OLEObject>
              </w:object>
            </w:r>
          </w:p>
          <w:p>
            <w:pPr>
              <w:keepNext w:val="0"/>
              <w:keepLines w:val="0"/>
              <w:pageBreakBefore w:val="0"/>
              <w:widowControl w:val="0"/>
              <w:kinsoku/>
              <w:wordWrap/>
              <w:overflowPunct/>
              <w:topLinePunct w:val="0"/>
              <w:autoSpaceDE w:val="0"/>
              <w:autoSpaceDN w:val="0"/>
              <w:bidi w:val="0"/>
              <w:adjustRightInd w:val="0"/>
              <w:snapToGrid/>
              <w:spacing w:line="480" w:lineRule="exact"/>
              <w:textAlignment w:val="auto"/>
              <w:rPr>
                <w:color w:val="auto"/>
                <w:highlight w:val="none"/>
              </w:rPr>
            </w:pPr>
            <w:r>
              <w:rPr>
                <w:color w:val="auto"/>
                <w:highlight w:val="none"/>
              </w:rPr>
              <w:t>式中：L</w:t>
            </w:r>
            <w:r>
              <w:rPr>
                <w:rFonts w:hint="eastAsia"/>
                <w:color w:val="auto"/>
                <w:highlight w:val="none"/>
                <w:vertAlign w:val="subscript"/>
                <w:lang w:val="en-US" w:eastAsia="zh-CN"/>
              </w:rPr>
              <w:t>r</w:t>
            </w:r>
            <w:r>
              <w:rPr>
                <w:color w:val="auto"/>
                <w:highlight w:val="none"/>
              </w:rPr>
              <w:t>—距声源r处的A声级，dB（A）；</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color w:val="auto"/>
                <w:highlight w:val="none"/>
              </w:rPr>
            </w:pPr>
            <w:r>
              <w:rPr>
                <w:color w:val="auto"/>
                <w:highlight w:val="none"/>
              </w:rPr>
              <w:t>L</w:t>
            </w:r>
            <w:r>
              <w:rPr>
                <w:color w:val="auto"/>
                <w:highlight w:val="none"/>
                <w:vertAlign w:val="subscript"/>
              </w:rPr>
              <w:t>r0</w:t>
            </w:r>
            <w:r>
              <w:rPr>
                <w:color w:val="auto"/>
                <w:highlight w:val="none"/>
              </w:rPr>
              <w:t>—参考位置r</w:t>
            </w:r>
            <w:r>
              <w:rPr>
                <w:color w:val="auto"/>
                <w:highlight w:val="none"/>
                <w:vertAlign w:val="subscript"/>
              </w:rPr>
              <w:t>0</w:t>
            </w:r>
            <w:r>
              <w:rPr>
                <w:color w:val="auto"/>
                <w:highlight w:val="none"/>
              </w:rPr>
              <w:t>处的A声级，dB（A）；</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color w:val="auto"/>
                <w:highlight w:val="none"/>
              </w:rPr>
            </w:pPr>
            <w:r>
              <w:rPr>
                <w:color w:val="auto"/>
                <w:highlight w:val="none"/>
              </w:rPr>
              <w:t>r—预测点距声源的距离，m；</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textAlignment w:val="auto"/>
              <w:rPr>
                <w:color w:val="auto"/>
                <w:highlight w:val="none"/>
              </w:rPr>
            </w:pPr>
            <w:r>
              <w:rPr>
                <w:color w:val="auto"/>
                <w:highlight w:val="none"/>
              </w:rPr>
              <w:t>r</w:t>
            </w:r>
            <w:r>
              <w:rPr>
                <w:color w:val="auto"/>
                <w:highlight w:val="none"/>
                <w:vertAlign w:val="subscript"/>
              </w:rPr>
              <w:t>0</w:t>
            </w:r>
            <w:r>
              <w:rPr>
                <w:color w:val="auto"/>
                <w:highlight w:val="none"/>
              </w:rPr>
              <w:t xml:space="preserve">—参考位置距声源的距离，m。 </w:t>
            </w:r>
          </w:p>
          <w:p>
            <w:pPr>
              <w:bidi w:val="0"/>
              <w:rPr>
                <w:color w:val="auto"/>
                <w:highlight w:val="none"/>
              </w:rPr>
            </w:pPr>
            <w:r>
              <w:rPr>
                <w:color w:val="auto"/>
                <w:highlight w:val="none"/>
              </w:rPr>
              <w:t>计算主要施工机械在不同距离的噪声贡献值，计算结果见下表。</w:t>
            </w:r>
          </w:p>
          <w:p>
            <w:pPr>
              <w:pStyle w:val="29"/>
              <w:bidi w:val="0"/>
              <w:rPr>
                <w:color w:val="auto"/>
                <w:highlight w:val="none"/>
              </w:rPr>
            </w:pPr>
            <w:r>
              <w:rPr>
                <w:color w:val="auto"/>
                <w:highlight w:val="none"/>
              </w:rPr>
              <w:t>表</w:t>
            </w:r>
            <w:r>
              <w:rPr>
                <w:rFonts w:hint="eastAsia"/>
                <w:color w:val="auto"/>
                <w:highlight w:val="none"/>
                <w:lang w:val="en-US" w:eastAsia="zh-CN"/>
              </w:rPr>
              <w:t xml:space="preserve">19  </w:t>
            </w:r>
            <w:r>
              <w:rPr>
                <w:color w:val="auto"/>
                <w:highlight w:val="none"/>
              </w:rPr>
              <w:t>施工机械在不同距离的噪声贡献值</w:t>
            </w:r>
          </w:p>
          <w:tbl>
            <w:tblPr>
              <w:tblStyle w:val="23"/>
              <w:tblW w:w="84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90"/>
              <w:gridCol w:w="710"/>
              <w:gridCol w:w="710"/>
              <w:gridCol w:w="710"/>
              <w:gridCol w:w="710"/>
              <w:gridCol w:w="710"/>
              <w:gridCol w:w="710"/>
              <w:gridCol w:w="710"/>
              <w:gridCol w:w="715"/>
              <w:gridCol w:w="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655" w:type="dxa"/>
                  <w:vMerge w:val="restart"/>
                  <w:tcBorders>
                    <w:tl2br w:val="nil"/>
                    <w:tr2bl w:val="nil"/>
                  </w:tcBorders>
                  <w:noWrap w:val="0"/>
                  <w:vAlign w:val="center"/>
                </w:tcPr>
                <w:p>
                  <w:pPr>
                    <w:pStyle w:val="30"/>
                    <w:bidi w:val="0"/>
                    <w:rPr>
                      <w:color w:val="auto"/>
                      <w:sz w:val="21"/>
                      <w:szCs w:val="21"/>
                      <w:highlight w:val="none"/>
                    </w:rPr>
                  </w:pPr>
                  <w:r>
                    <w:rPr>
                      <w:color w:val="auto"/>
                      <w:sz w:val="21"/>
                      <w:szCs w:val="21"/>
                      <w:highlight w:val="none"/>
                    </w:rPr>
                    <w:t>序号</w:t>
                  </w:r>
                </w:p>
              </w:tc>
              <w:tc>
                <w:tcPr>
                  <w:tcW w:w="1090" w:type="dxa"/>
                  <w:vMerge w:val="restart"/>
                  <w:tcBorders>
                    <w:tl2br w:val="nil"/>
                    <w:tr2bl w:val="nil"/>
                  </w:tcBorders>
                  <w:noWrap w:val="0"/>
                  <w:vAlign w:val="center"/>
                </w:tcPr>
                <w:p>
                  <w:pPr>
                    <w:pStyle w:val="30"/>
                    <w:bidi w:val="0"/>
                    <w:rPr>
                      <w:color w:val="auto"/>
                      <w:sz w:val="21"/>
                      <w:szCs w:val="21"/>
                      <w:highlight w:val="none"/>
                    </w:rPr>
                  </w:pPr>
                  <w:r>
                    <w:rPr>
                      <w:color w:val="auto"/>
                      <w:sz w:val="21"/>
                      <w:szCs w:val="21"/>
                      <w:highlight w:val="none"/>
                    </w:rPr>
                    <w:t>机械名称</w:t>
                  </w:r>
                </w:p>
              </w:tc>
              <w:tc>
                <w:tcPr>
                  <w:tcW w:w="5685" w:type="dxa"/>
                  <w:gridSpan w:val="8"/>
                  <w:tcBorders>
                    <w:tl2br w:val="nil"/>
                    <w:tr2bl w:val="nil"/>
                  </w:tcBorders>
                  <w:noWrap w:val="0"/>
                  <w:vAlign w:val="center"/>
                </w:tcPr>
                <w:p>
                  <w:pPr>
                    <w:pStyle w:val="30"/>
                    <w:bidi w:val="0"/>
                    <w:rPr>
                      <w:color w:val="auto"/>
                      <w:sz w:val="21"/>
                      <w:szCs w:val="21"/>
                      <w:highlight w:val="none"/>
                    </w:rPr>
                  </w:pPr>
                  <w:r>
                    <w:rPr>
                      <w:color w:val="auto"/>
                      <w:sz w:val="21"/>
                      <w:szCs w:val="21"/>
                      <w:highlight w:val="none"/>
                    </w:rPr>
                    <w:t>不同距离处的噪声预测值[dB（A）]</w:t>
                  </w:r>
                </w:p>
              </w:tc>
              <w:tc>
                <w:tcPr>
                  <w:tcW w:w="997" w:type="dxa"/>
                  <w:vMerge w:val="restart"/>
                  <w:tcBorders>
                    <w:tl2br w:val="nil"/>
                    <w:tr2bl w:val="nil"/>
                  </w:tcBorders>
                  <w:noWrap w:val="0"/>
                  <w:vAlign w:val="center"/>
                </w:tcPr>
                <w:p>
                  <w:pPr>
                    <w:pStyle w:val="30"/>
                    <w:bidi w:val="0"/>
                    <w:rPr>
                      <w:color w:val="auto"/>
                      <w:sz w:val="21"/>
                      <w:szCs w:val="21"/>
                      <w:highlight w:val="none"/>
                    </w:rPr>
                  </w:pPr>
                  <w:r>
                    <w:rPr>
                      <w:color w:val="auto"/>
                      <w:sz w:val="21"/>
                      <w:szCs w:val="21"/>
                      <w:highlight w:val="none"/>
                    </w:rPr>
                    <w:t>施工阶段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55" w:type="dxa"/>
                  <w:vMerge w:val="continue"/>
                  <w:tcBorders>
                    <w:tl2br w:val="nil"/>
                    <w:tr2bl w:val="nil"/>
                  </w:tcBorders>
                  <w:noWrap w:val="0"/>
                  <w:vAlign w:val="center"/>
                </w:tcPr>
                <w:p>
                  <w:pPr>
                    <w:pStyle w:val="30"/>
                    <w:bidi w:val="0"/>
                    <w:rPr>
                      <w:color w:val="auto"/>
                      <w:sz w:val="21"/>
                      <w:szCs w:val="21"/>
                      <w:highlight w:val="none"/>
                    </w:rPr>
                  </w:pPr>
                </w:p>
              </w:tc>
              <w:tc>
                <w:tcPr>
                  <w:tcW w:w="1090" w:type="dxa"/>
                  <w:vMerge w:val="continue"/>
                  <w:tcBorders>
                    <w:tl2br w:val="nil"/>
                    <w:tr2bl w:val="nil"/>
                  </w:tcBorders>
                  <w:noWrap w:val="0"/>
                  <w:vAlign w:val="center"/>
                </w:tcPr>
                <w:p>
                  <w:pPr>
                    <w:pStyle w:val="30"/>
                    <w:bidi w:val="0"/>
                    <w:rPr>
                      <w:color w:val="auto"/>
                      <w:sz w:val="21"/>
                      <w:szCs w:val="21"/>
                      <w:highlight w:val="none"/>
                    </w:rPr>
                  </w:pP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10m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20m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30m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40m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50m</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100m</w:t>
                  </w:r>
                </w:p>
              </w:tc>
              <w:tc>
                <w:tcPr>
                  <w:tcW w:w="715"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200m</w:t>
                  </w:r>
                </w:p>
              </w:tc>
              <w:tc>
                <w:tcPr>
                  <w:tcW w:w="997" w:type="dxa"/>
                  <w:vMerge w:val="continue"/>
                  <w:tcBorders>
                    <w:tl2br w:val="nil"/>
                    <w:tr2bl w:val="nil"/>
                  </w:tcBorders>
                  <w:noWrap w:val="0"/>
                  <w:vAlign w:val="center"/>
                </w:tcPr>
                <w:p>
                  <w:pPr>
                    <w:pStyle w:val="30"/>
                    <w:bidi w:val="0"/>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55" w:type="dxa"/>
                  <w:tcBorders>
                    <w:tl2br w:val="nil"/>
                    <w:tr2bl w:val="nil"/>
                  </w:tcBorders>
                  <w:noWrap w:val="0"/>
                  <w:vAlign w:val="center"/>
                </w:tcPr>
                <w:p>
                  <w:pPr>
                    <w:pStyle w:val="30"/>
                    <w:numPr>
                      <w:ilvl w:val="0"/>
                      <w:numId w:val="16"/>
                    </w:numPr>
                    <w:bidi w:val="0"/>
                    <w:ind w:left="0" w:leftChars="0" w:firstLine="0" w:firstLineChars="0"/>
                    <w:rPr>
                      <w:color w:val="auto"/>
                      <w:sz w:val="21"/>
                      <w:szCs w:val="21"/>
                      <w:highlight w:val="none"/>
                    </w:rPr>
                  </w:pPr>
                </w:p>
              </w:tc>
              <w:tc>
                <w:tcPr>
                  <w:tcW w:w="109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挖掘机</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79</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73</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67</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63</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61</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59</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53</w:t>
                  </w:r>
                </w:p>
              </w:tc>
              <w:tc>
                <w:tcPr>
                  <w:tcW w:w="715"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47</w:t>
                  </w:r>
                </w:p>
              </w:tc>
              <w:tc>
                <w:tcPr>
                  <w:tcW w:w="997" w:type="dxa"/>
                  <w:vMerge w:val="restart"/>
                  <w:tcBorders>
                    <w:tl2br w:val="nil"/>
                    <w:tr2bl w:val="nil"/>
                  </w:tcBorders>
                  <w:noWrap w:val="0"/>
                  <w:vAlign w:val="center"/>
                </w:tcPr>
                <w:p>
                  <w:pPr>
                    <w:pStyle w:val="30"/>
                    <w:bidi w:val="0"/>
                    <w:rPr>
                      <w:color w:val="auto"/>
                      <w:sz w:val="21"/>
                      <w:szCs w:val="21"/>
                      <w:highlight w:val="none"/>
                    </w:rPr>
                  </w:pPr>
                  <w:r>
                    <w:rPr>
                      <w:color w:val="auto"/>
                      <w:sz w:val="21"/>
                      <w:szCs w:val="21"/>
                      <w:highlight w:val="none"/>
                    </w:rPr>
                    <w:t>土石方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655" w:type="dxa"/>
                  <w:tcBorders>
                    <w:tl2br w:val="nil"/>
                    <w:tr2bl w:val="nil"/>
                  </w:tcBorders>
                  <w:noWrap w:val="0"/>
                  <w:vAlign w:val="center"/>
                </w:tcPr>
                <w:p>
                  <w:pPr>
                    <w:pStyle w:val="30"/>
                    <w:numPr>
                      <w:ilvl w:val="0"/>
                      <w:numId w:val="16"/>
                    </w:numPr>
                    <w:bidi w:val="0"/>
                    <w:ind w:left="0" w:leftChars="0" w:firstLine="0" w:firstLineChars="0"/>
                    <w:rPr>
                      <w:color w:val="auto"/>
                      <w:sz w:val="21"/>
                      <w:szCs w:val="21"/>
                      <w:highlight w:val="none"/>
                    </w:rPr>
                  </w:pPr>
                </w:p>
              </w:tc>
              <w:tc>
                <w:tcPr>
                  <w:tcW w:w="109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推土机</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72</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66</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60</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56</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54</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52</w:t>
                  </w:r>
                </w:p>
              </w:tc>
              <w:tc>
                <w:tcPr>
                  <w:tcW w:w="710"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46</w:t>
                  </w:r>
                </w:p>
              </w:tc>
              <w:tc>
                <w:tcPr>
                  <w:tcW w:w="715" w:type="dxa"/>
                  <w:tcBorders>
                    <w:tl2br w:val="nil"/>
                    <w:tr2bl w:val="nil"/>
                  </w:tcBorders>
                  <w:noWrap w:val="0"/>
                  <w:vAlign w:val="center"/>
                </w:tcPr>
                <w:p>
                  <w:pPr>
                    <w:pStyle w:val="30"/>
                    <w:bidi w:val="0"/>
                    <w:rPr>
                      <w:color w:val="auto"/>
                      <w:sz w:val="21"/>
                      <w:szCs w:val="21"/>
                      <w:highlight w:val="none"/>
                    </w:rPr>
                  </w:pPr>
                  <w:r>
                    <w:rPr>
                      <w:color w:val="auto"/>
                      <w:sz w:val="21"/>
                      <w:szCs w:val="21"/>
                      <w:highlight w:val="none"/>
                    </w:rPr>
                    <w:t>40</w:t>
                  </w:r>
                </w:p>
              </w:tc>
              <w:tc>
                <w:tcPr>
                  <w:tcW w:w="997" w:type="dxa"/>
                  <w:vMerge w:val="continue"/>
                  <w:tcBorders>
                    <w:tl2br w:val="nil"/>
                    <w:tr2bl w:val="nil"/>
                  </w:tcBorders>
                  <w:noWrap w:val="0"/>
                  <w:vAlign w:val="center"/>
                </w:tcPr>
                <w:p>
                  <w:pPr>
                    <w:pStyle w:val="30"/>
                    <w:bidi w:val="0"/>
                    <w:rPr>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5" w:type="dxa"/>
                  <w:tcBorders>
                    <w:tl2br w:val="nil"/>
                    <w:tr2bl w:val="nil"/>
                  </w:tcBorders>
                  <w:noWrap w:val="0"/>
                  <w:vAlign w:val="center"/>
                </w:tcPr>
                <w:p>
                  <w:pPr>
                    <w:pStyle w:val="30"/>
                    <w:numPr>
                      <w:ilvl w:val="0"/>
                      <w:numId w:val="16"/>
                    </w:numPr>
                    <w:bidi w:val="0"/>
                    <w:ind w:left="0" w:leftChars="0" w:firstLine="0" w:firstLineChars="0"/>
                    <w:rPr>
                      <w:color w:val="auto"/>
                      <w:sz w:val="21"/>
                      <w:szCs w:val="21"/>
                      <w:highlight w:val="none"/>
                    </w:rPr>
                  </w:pPr>
                </w:p>
              </w:tc>
              <w:tc>
                <w:tcPr>
                  <w:tcW w:w="109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低频环保</w:t>
                  </w:r>
                  <w:r>
                    <w:rPr>
                      <w:rFonts w:hint="eastAsia"/>
                      <w:color w:val="auto"/>
                      <w:sz w:val="21"/>
                      <w:szCs w:val="21"/>
                      <w:highlight w:val="none"/>
                      <w:lang w:val="en-US" w:eastAsia="zh-CN"/>
                    </w:rPr>
                    <w:t>型</w:t>
                  </w:r>
                  <w:r>
                    <w:rPr>
                      <w:color w:val="auto"/>
                      <w:sz w:val="21"/>
                      <w:szCs w:val="21"/>
                      <w:highlight w:val="none"/>
                    </w:rPr>
                    <w:t>振捣器</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66</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60</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54</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50</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48</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46</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40</w:t>
                  </w:r>
                </w:p>
              </w:tc>
              <w:tc>
                <w:tcPr>
                  <w:tcW w:w="7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p>
              </w:tc>
              <w:tc>
                <w:tcPr>
                  <w:tcW w:w="99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color w:val="auto"/>
                      <w:sz w:val="21"/>
                      <w:szCs w:val="21"/>
                      <w:highlight w:val="none"/>
                    </w:rPr>
                  </w:pPr>
                  <w:r>
                    <w:rPr>
                      <w:color w:val="auto"/>
                      <w:sz w:val="21"/>
                      <w:szCs w:val="21"/>
                      <w:highlight w:val="none"/>
                    </w:rPr>
                    <w:t>结构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655" w:type="dxa"/>
                  <w:tcBorders>
                    <w:tl2br w:val="nil"/>
                    <w:tr2bl w:val="nil"/>
                  </w:tcBorders>
                  <w:noWrap w:val="0"/>
                  <w:vAlign w:val="center"/>
                </w:tcPr>
                <w:p>
                  <w:pPr>
                    <w:pStyle w:val="30"/>
                    <w:keepNext w:val="0"/>
                    <w:keepLines w:val="0"/>
                    <w:pageBreakBefore w:val="0"/>
                    <w:widowControl w:val="0"/>
                    <w:numPr>
                      <w:ilvl w:val="0"/>
                      <w:numId w:val="16"/>
                    </w:numPr>
                    <w:kinsoku/>
                    <w:wordWrap/>
                    <w:overflowPunct/>
                    <w:topLinePunct w:val="0"/>
                    <w:autoSpaceDE/>
                    <w:autoSpaceDN/>
                    <w:bidi w:val="0"/>
                    <w:adjustRightInd/>
                    <w:snapToGrid/>
                    <w:spacing w:before="0" w:after="0"/>
                    <w:ind w:left="0" w:leftChars="0" w:firstLine="0" w:firstLineChars="0"/>
                    <w:textAlignment w:val="auto"/>
                    <w:rPr>
                      <w:rFonts w:hint="eastAsia"/>
                      <w:color w:val="auto"/>
                      <w:sz w:val="21"/>
                      <w:szCs w:val="21"/>
                      <w:highlight w:val="none"/>
                      <w:lang w:val="en-US" w:eastAsia="zh-CN"/>
                    </w:rPr>
                  </w:pPr>
                </w:p>
              </w:tc>
              <w:tc>
                <w:tcPr>
                  <w:tcW w:w="109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rFonts w:hint="eastAsia"/>
                      <w:color w:val="auto"/>
                      <w:sz w:val="21"/>
                      <w:szCs w:val="21"/>
                      <w:highlight w:val="none"/>
                      <w:lang w:val="en-US" w:eastAsia="zh-CN"/>
                    </w:rPr>
                    <w:t>运输车辆</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66</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60</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54</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50</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48</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46</w:t>
                  </w:r>
                </w:p>
              </w:tc>
              <w:tc>
                <w:tcPr>
                  <w:tcW w:w="7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40</w:t>
                  </w:r>
                </w:p>
              </w:tc>
              <w:tc>
                <w:tcPr>
                  <w:tcW w:w="715"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p>
              </w:tc>
              <w:tc>
                <w:tcPr>
                  <w:tcW w:w="99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color w:val="auto"/>
                      <w:sz w:val="21"/>
                      <w:szCs w:val="21"/>
                      <w:highlight w:val="none"/>
                    </w:rPr>
                  </w:pPr>
                  <w:r>
                    <w:rPr>
                      <w:color w:val="auto"/>
                      <w:sz w:val="21"/>
                      <w:szCs w:val="21"/>
                      <w:highlight w:val="none"/>
                    </w:rPr>
                    <w:t>运料、装修</w:t>
                  </w:r>
                </w:p>
              </w:tc>
            </w:tr>
          </w:tbl>
          <w:p>
            <w:pPr>
              <w:bidi w:val="0"/>
              <w:rPr>
                <w:color w:val="auto"/>
                <w:highlight w:val="none"/>
              </w:rPr>
            </w:pPr>
            <w:r>
              <w:rPr>
                <w:color w:val="auto"/>
                <w:highlight w:val="none"/>
              </w:rPr>
              <w:t>根据</w:t>
            </w:r>
            <w:r>
              <w:rPr>
                <w:color w:val="auto"/>
                <w:highlight w:val="none"/>
                <w:lang w:val="zh-CN"/>
              </w:rPr>
              <w:t>《建筑施工场界环境噪声排放标准》（GB12523-2011）</w:t>
            </w:r>
            <w:r>
              <w:rPr>
                <w:color w:val="auto"/>
                <w:highlight w:val="none"/>
              </w:rPr>
              <w:t>中有关规定，由</w:t>
            </w:r>
            <w:r>
              <w:rPr>
                <w:rFonts w:hint="eastAsia"/>
                <w:color w:val="auto"/>
                <w:highlight w:val="none"/>
              </w:rPr>
              <w:t>上</w:t>
            </w:r>
            <w:r>
              <w:rPr>
                <w:color w:val="auto"/>
                <w:highlight w:val="none"/>
              </w:rPr>
              <w:t>表可以看出：</w:t>
            </w:r>
          </w:p>
          <w:p>
            <w:pPr>
              <w:bidi w:val="0"/>
              <w:rPr>
                <w:color w:val="auto"/>
                <w:highlight w:val="none"/>
              </w:rPr>
            </w:pPr>
            <w:r>
              <w:rPr>
                <w:color w:val="auto"/>
                <w:highlight w:val="none"/>
              </w:rPr>
              <w:t>①土石方施工阶段：施工现场昼间20m处，夜间100m处即可达到《建筑施工场界环境噪声排放标准》（GB12523-2011）要求，即：昼间70 dB（A）、夜间55 dB（A）。</w:t>
            </w:r>
          </w:p>
          <w:p>
            <w:pPr>
              <w:bidi w:val="0"/>
              <w:rPr>
                <w:color w:val="auto"/>
                <w:highlight w:val="none"/>
              </w:rPr>
            </w:pPr>
            <w:r>
              <w:rPr>
                <w:color w:val="auto"/>
                <w:highlight w:val="none"/>
              </w:rPr>
              <w:t>②结构施工阶段：施工现场昼间5m处，夜间20m处可达到《建筑施工场界环境噪声排放标准》（GB12523-2011）要求，即昼间70dB（A）、夜间55 dB（A）。</w:t>
            </w:r>
          </w:p>
          <w:p>
            <w:pPr>
              <w:bidi w:val="0"/>
              <w:rPr>
                <w:color w:val="auto"/>
                <w:highlight w:val="none"/>
              </w:rPr>
            </w:pPr>
            <w:r>
              <w:rPr>
                <w:color w:val="auto"/>
                <w:highlight w:val="none"/>
              </w:rPr>
              <w:t>噪声影响范围主要在100m以内，噪声为暂时性的，影响短暂、范围小，随着施工的结束而消除。</w:t>
            </w:r>
          </w:p>
          <w:p>
            <w:pPr>
              <w:bidi w:val="0"/>
              <w:rPr>
                <w:color w:val="auto"/>
                <w:highlight w:val="none"/>
              </w:rPr>
            </w:pPr>
            <w:r>
              <w:rPr>
                <w:color w:val="auto"/>
                <w:highlight w:val="none"/>
              </w:rPr>
              <w:t>（2）施工机械噪声对周围</w:t>
            </w:r>
            <w:r>
              <w:rPr>
                <w:rFonts w:hint="eastAsia"/>
                <w:color w:val="auto"/>
                <w:highlight w:val="none"/>
                <w:lang w:val="en-US" w:eastAsia="zh-CN"/>
              </w:rPr>
              <w:t>环境保护目标</w:t>
            </w:r>
            <w:r>
              <w:rPr>
                <w:color w:val="auto"/>
                <w:highlight w:val="none"/>
              </w:rPr>
              <w:t>的影响分析</w:t>
            </w:r>
          </w:p>
          <w:p>
            <w:pPr>
              <w:bidi w:val="0"/>
              <w:rPr>
                <w:color w:val="auto"/>
                <w:highlight w:val="none"/>
                <w:lang w:val="zh-CN"/>
              </w:rPr>
            </w:pPr>
            <w:r>
              <w:rPr>
                <w:color w:val="auto"/>
                <w:sz w:val="24"/>
                <w:szCs w:val="24"/>
                <w:highlight w:val="none"/>
              </w:rPr>
              <w:t>根据现场踏勘可知，本项目</w:t>
            </w:r>
            <w:r>
              <w:rPr>
                <w:rFonts w:hint="eastAsia"/>
                <w:color w:val="auto"/>
                <w:sz w:val="24"/>
                <w:szCs w:val="24"/>
                <w:highlight w:val="none"/>
                <w:lang w:val="en-US" w:eastAsia="zh-CN"/>
              </w:rPr>
              <w:t>1</w:t>
            </w:r>
            <w:r>
              <w:rPr>
                <w:color w:val="auto"/>
                <w:sz w:val="24"/>
                <w:szCs w:val="24"/>
                <w:highlight w:val="none"/>
              </w:rPr>
              <w:t>00m范围内</w:t>
            </w:r>
            <w:r>
              <w:rPr>
                <w:rFonts w:hint="eastAsia"/>
                <w:color w:val="auto"/>
                <w:sz w:val="24"/>
                <w:szCs w:val="24"/>
                <w:highlight w:val="none"/>
                <w:lang w:val="en-US" w:eastAsia="zh-CN"/>
              </w:rPr>
              <w:t>无声环境保护目标</w:t>
            </w:r>
            <w:r>
              <w:rPr>
                <w:rFonts w:hint="eastAsia"/>
                <w:color w:val="auto"/>
                <w:highlight w:val="none"/>
                <w:lang w:val="en-US" w:eastAsia="zh-CN"/>
              </w:rPr>
              <w:t>，</w:t>
            </w:r>
            <w:r>
              <w:rPr>
                <w:rFonts w:hint="eastAsia" w:eastAsia="宋体"/>
                <w:color w:val="auto"/>
                <w:sz w:val="24"/>
                <w:szCs w:val="24"/>
                <w:highlight w:val="none"/>
                <w:lang w:val="en-US" w:eastAsia="zh-CN"/>
              </w:rPr>
              <w:t>因此，项目建设过程产生的噪声不会对其产生影响</w:t>
            </w:r>
            <w:r>
              <w:rPr>
                <w:rFonts w:hint="eastAsia"/>
                <w:color w:val="auto"/>
                <w:highlight w:val="none"/>
                <w:lang w:val="en-US" w:eastAsia="zh-CN"/>
              </w:rPr>
              <w:t>。</w:t>
            </w:r>
          </w:p>
          <w:p>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b/>
                <w:bCs/>
                <w:color w:val="auto"/>
                <w:highlight w:val="none"/>
              </w:rPr>
            </w:pPr>
            <w:r>
              <w:rPr>
                <w:b/>
                <w:bCs/>
                <w:color w:val="auto"/>
                <w:highlight w:val="none"/>
              </w:rPr>
              <w:t>3.3 施工期噪声防护措施</w:t>
            </w:r>
          </w:p>
          <w:p>
            <w:pPr>
              <w:bidi w:val="0"/>
              <w:rPr>
                <w:color w:val="auto"/>
                <w:highlight w:val="none"/>
                <w:lang w:val="zh-CN"/>
              </w:rPr>
            </w:pPr>
            <w:r>
              <w:rPr>
                <w:color w:val="auto"/>
                <w:highlight w:val="none"/>
              </w:rPr>
              <w:t>噪声防护措施通常有两种：一是降低噪声源；二是控制传播途径。</w:t>
            </w:r>
            <w:r>
              <w:rPr>
                <w:rFonts w:hint="eastAsia"/>
                <w:color w:val="auto"/>
                <w:highlight w:val="none"/>
              </w:rPr>
              <w:t>为最大限度避免和减轻施工噪声对外环境的影响</w:t>
            </w:r>
            <w:r>
              <w:rPr>
                <w:rFonts w:hint="eastAsia"/>
                <w:color w:val="auto"/>
                <w:highlight w:val="none"/>
                <w:lang w:eastAsia="zh-CN"/>
              </w:rPr>
              <w:t>，</w:t>
            </w:r>
            <w:r>
              <w:rPr>
                <w:rFonts w:hint="eastAsia"/>
                <w:color w:val="auto"/>
                <w:highlight w:val="none"/>
              </w:rPr>
              <w:t>本评价对施工噪声的控制提出以下要求和建议：</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lang w:val="zh-CN"/>
              </w:rPr>
              <w:t>选用符合国家标准的低噪声设备，</w:t>
            </w:r>
            <w:r>
              <w:rPr>
                <w:rFonts w:hint="eastAsia"/>
                <w:color w:val="auto"/>
                <w:highlight w:val="none"/>
              </w:rPr>
              <w:t>对各种机械设备加强检查、维护和保养，保持润滑，紧固各部件，严格按操作规程使用各类机械</w:t>
            </w:r>
            <w:r>
              <w:rPr>
                <w:rFonts w:hint="eastAsia"/>
                <w:color w:val="auto"/>
                <w:highlight w:val="none"/>
                <w:lang w:eastAsia="zh-CN"/>
              </w:rPr>
              <w:t>，</w:t>
            </w:r>
            <w:r>
              <w:rPr>
                <w:rFonts w:hint="eastAsia"/>
                <w:color w:val="auto"/>
                <w:highlight w:val="none"/>
              </w:rPr>
              <w:t>以减少机械运行振动噪声。</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合理安排施工进度，对施工设备进行合理布局，</w:t>
            </w:r>
            <w:r>
              <w:rPr>
                <w:rFonts w:hint="eastAsia"/>
                <w:color w:val="auto"/>
                <w:highlight w:val="none"/>
              </w:rPr>
              <w:t>将高噪声施工设备分散安排，</w:t>
            </w:r>
            <w:r>
              <w:rPr>
                <w:rFonts w:hint="eastAsia"/>
                <w:color w:val="auto"/>
                <w:highlight w:val="none"/>
                <w:lang w:val="en-US" w:eastAsia="zh-CN"/>
              </w:rPr>
              <w:t>并设置不小于1.8m高的围挡，</w:t>
            </w:r>
            <w:r>
              <w:rPr>
                <w:rFonts w:hint="eastAsia"/>
                <w:color w:val="auto"/>
                <w:highlight w:val="none"/>
              </w:rPr>
              <w:t>以减少施工噪声对</w:t>
            </w:r>
            <w:r>
              <w:rPr>
                <w:rFonts w:hint="eastAsia"/>
                <w:color w:val="auto"/>
                <w:highlight w:val="none"/>
                <w:lang w:val="en-US" w:eastAsia="zh-CN"/>
              </w:rPr>
              <w:t>环境保护目标</w:t>
            </w:r>
            <w:r>
              <w:rPr>
                <w:rFonts w:hint="eastAsia"/>
                <w:color w:val="auto"/>
                <w:highlight w:val="none"/>
              </w:rPr>
              <w:t>的影响。</w:t>
            </w:r>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合理安排施工时间，中午和夜间禁止施工。</w:t>
            </w:r>
          </w:p>
          <w:p>
            <w:pPr>
              <w:bidi w:val="0"/>
              <w:rPr>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各运输建筑材料及建筑垃圾的车辆要选择合适的时间、路线进行运输，运输车辆行驶路线尽量避开居民点和</w:t>
            </w:r>
            <w:r>
              <w:rPr>
                <w:rFonts w:hint="eastAsia"/>
                <w:color w:val="auto"/>
                <w:highlight w:val="none"/>
                <w:lang w:val="en-US" w:eastAsia="zh-CN"/>
              </w:rPr>
              <w:t>环境保护目标</w:t>
            </w:r>
            <w:r>
              <w:rPr>
                <w:rFonts w:hint="eastAsia"/>
                <w:color w:val="auto"/>
                <w:highlight w:val="none"/>
              </w:rPr>
              <w:t>，车辆出入现场时应低速、禁鸣。</w:t>
            </w:r>
          </w:p>
          <w:p>
            <w:pPr>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lang w:val="zh-CN"/>
              </w:rPr>
              <w:t>加强施工管理，</w:t>
            </w:r>
            <w:r>
              <w:rPr>
                <w:rFonts w:hint="eastAsia"/>
                <w:color w:val="auto"/>
                <w:highlight w:val="none"/>
              </w:rPr>
              <w:t>文明施工，建立健全控制人为噪声的管理制度，增强施工人员的环保意识，提高防止噪声扰民的自觉性，减少人为噪声污染；在施工现场以及办公区，禁止大声喧哗吵闹或敲击工具等；作业中搬运物件，须轻拿轻放，钢铁件堆放不发出大的声响，严禁抛掷物件。</w:t>
            </w:r>
          </w:p>
          <w:p>
            <w:pPr>
              <w:bidi w:val="0"/>
              <w:rPr>
                <w:color w:val="auto"/>
                <w:highlight w:val="none"/>
              </w:rPr>
            </w:pPr>
            <w:r>
              <w:rPr>
                <w:color w:val="auto"/>
                <w:highlight w:val="none"/>
              </w:rPr>
              <w:t>经上述措施，可有效控制噪声对周围环境的影响。并且施工期噪声的影响是暂时的、局部的，采取一定的降噪措施、妥善安排作业计划、做到文明施工，其影响程度将大大减轻并随着施工期的结束而消失。</w:t>
            </w:r>
          </w:p>
          <w:p>
            <w:pPr>
              <w:keepNext w:val="0"/>
              <w:keepLines w:val="0"/>
              <w:pageBreakBefore w:val="0"/>
              <w:kinsoku/>
              <w:wordWrap/>
              <w:overflowPunct/>
              <w:topLinePunct w:val="0"/>
              <w:autoSpaceDE/>
              <w:autoSpaceDN/>
              <w:bidi w:val="0"/>
              <w:adjustRightInd/>
              <w:snapToGrid/>
              <w:spacing w:line="500" w:lineRule="exact"/>
              <w:ind w:left="0" w:leftChars="0" w:firstLine="0" w:firstLineChars="0"/>
              <w:textAlignment w:val="auto"/>
              <w:rPr>
                <w:b/>
                <w:bCs/>
                <w:color w:val="auto"/>
                <w:highlight w:val="none"/>
              </w:rPr>
            </w:pPr>
            <w:r>
              <w:rPr>
                <w:b/>
                <w:bCs/>
                <w:color w:val="auto"/>
                <w:highlight w:val="none"/>
              </w:rPr>
              <w:t>4</w:t>
            </w:r>
            <w:r>
              <w:rPr>
                <w:rFonts w:hint="eastAsia"/>
                <w:b/>
                <w:bCs/>
                <w:color w:val="auto"/>
                <w:highlight w:val="none"/>
                <w:lang w:eastAsia="zh-CN"/>
              </w:rPr>
              <w:t>、</w:t>
            </w:r>
            <w:r>
              <w:rPr>
                <w:b/>
                <w:bCs/>
                <w:color w:val="auto"/>
                <w:highlight w:val="none"/>
              </w:rPr>
              <w:t>施工期固体废物影响分析</w:t>
            </w:r>
          </w:p>
          <w:p>
            <w:pPr>
              <w:bidi w:val="0"/>
              <w:rPr>
                <w:color w:val="auto"/>
                <w:highlight w:val="none"/>
              </w:rPr>
            </w:pPr>
            <w:r>
              <w:rPr>
                <w:color w:val="auto"/>
                <w:highlight w:val="none"/>
              </w:rPr>
              <w:t>施工期产生的固体废物主要为施工过程中产生的建筑垃圾和施工人员的生活垃圾，这些垃圾成分较为简单，数量很大，应集中处理，及时清运，根据不同的成分采用不同的处理方式：</w:t>
            </w:r>
          </w:p>
          <w:p>
            <w:pPr>
              <w:bidi w:val="0"/>
              <w:rPr>
                <w:color w:val="auto"/>
                <w:highlight w:val="none"/>
              </w:rPr>
            </w:pPr>
            <w:r>
              <w:rPr>
                <w:color w:val="auto"/>
                <w:highlight w:val="none"/>
              </w:rPr>
              <w:t>（1）清场废物处置：应及时清运。表层土可集中堆存，用作绿化用土，不适于土地利用的表土可供附近填筑低凹地，或作其他用土。</w:t>
            </w:r>
          </w:p>
          <w:p>
            <w:pPr>
              <w:bidi w:val="0"/>
              <w:rPr>
                <w:color w:val="auto"/>
                <w:highlight w:val="none"/>
              </w:rPr>
            </w:pPr>
            <w:r>
              <w:rPr>
                <w:color w:val="auto"/>
                <w:highlight w:val="none"/>
              </w:rPr>
              <w:t>（2）施工弃土处置：地基开挖的废土除部分回填外，应统一规划处置，对弃土应设立堆土场，进行集中处置。</w:t>
            </w:r>
          </w:p>
          <w:p>
            <w:pPr>
              <w:bidi w:val="0"/>
              <w:rPr>
                <w:color w:val="auto"/>
                <w:highlight w:val="none"/>
              </w:rPr>
            </w:pPr>
            <w:r>
              <w:rPr>
                <w:color w:val="auto"/>
                <w:highlight w:val="none"/>
              </w:rPr>
              <w:t>（3）施工生产废料处理：首先应考虑废料的回收利用。对钢筋、钢板等下角料可分类回收利用；对建筑垃圾，如混凝土废料、含砖、石、砂的杂土应集中堆放，定时清运到城市建设监管部门指定的地点。</w:t>
            </w:r>
          </w:p>
          <w:p>
            <w:pPr>
              <w:bidi w:val="0"/>
              <w:rPr>
                <w:color w:val="auto"/>
                <w:highlight w:val="none"/>
              </w:rPr>
            </w:pPr>
            <w:r>
              <w:rPr>
                <w:color w:val="auto"/>
                <w:highlight w:val="none"/>
              </w:rPr>
              <w:t>（4）施工生活垃圾处置：在施工人员集中地设置垃圾筒，指派专人定期将垃圾定时清运至城市垃圾处理场。</w:t>
            </w:r>
          </w:p>
          <w:p>
            <w:pPr>
              <w:keepNext w:val="0"/>
              <w:keepLines w:val="0"/>
              <w:pageBreakBefore w:val="0"/>
              <w:kinsoku/>
              <w:wordWrap/>
              <w:overflowPunct/>
              <w:topLinePunct w:val="0"/>
              <w:autoSpaceDE/>
              <w:autoSpaceDN/>
              <w:bidi w:val="0"/>
              <w:adjustRightInd/>
              <w:snapToGrid/>
              <w:spacing w:line="500" w:lineRule="exact"/>
              <w:ind w:left="0" w:leftChars="0" w:firstLine="0" w:firstLineChars="0"/>
              <w:textAlignment w:val="auto"/>
              <w:rPr>
                <w:b/>
                <w:bCs/>
                <w:color w:val="auto"/>
                <w:highlight w:val="none"/>
              </w:rPr>
            </w:pPr>
            <w:r>
              <w:rPr>
                <w:rFonts w:hint="eastAsia"/>
                <w:b/>
                <w:bCs/>
                <w:color w:val="auto"/>
                <w:highlight w:val="none"/>
                <w:lang w:val="en-US" w:eastAsia="zh-CN"/>
              </w:rPr>
              <w:t>5</w:t>
            </w:r>
            <w:r>
              <w:rPr>
                <w:rFonts w:hint="eastAsia"/>
                <w:b/>
                <w:bCs/>
                <w:color w:val="auto"/>
                <w:highlight w:val="none"/>
                <w:lang w:eastAsia="zh-CN"/>
              </w:rPr>
              <w:t>、</w:t>
            </w:r>
            <w:r>
              <w:rPr>
                <w:b/>
                <w:bCs/>
                <w:color w:val="auto"/>
                <w:highlight w:val="none"/>
              </w:rPr>
              <w:t>施工期</w:t>
            </w:r>
            <w:r>
              <w:rPr>
                <w:rFonts w:hint="eastAsia"/>
                <w:b/>
                <w:bCs/>
                <w:color w:val="auto"/>
                <w:highlight w:val="none"/>
                <w:lang w:val="en-US" w:eastAsia="zh-CN"/>
              </w:rPr>
              <w:t>生态</w:t>
            </w:r>
            <w:r>
              <w:rPr>
                <w:b/>
                <w:bCs/>
                <w:color w:val="auto"/>
                <w:highlight w:val="none"/>
              </w:rPr>
              <w:t>影响分析</w:t>
            </w:r>
          </w:p>
          <w:p>
            <w:pPr>
              <w:bidi w:val="0"/>
              <w:rPr>
                <w:rFonts w:hint="eastAsia"/>
                <w:color w:val="auto"/>
                <w:highlight w:val="none"/>
                <w:lang w:val="en-US" w:eastAsia="zh-CN"/>
              </w:rPr>
            </w:pPr>
            <w:r>
              <w:rPr>
                <w:rFonts w:hint="default"/>
                <w:color w:val="auto"/>
                <w:highlight w:val="none"/>
              </w:rPr>
              <w:t>本项目施工过程中将进行少量的土石方填挖，同时有一定量的施工机械及人员活动。施工期对区域生态环境的影响主要表现在土壤扰动后，随着地表植被的破坏，可能造成土壤的侵蚀及水土流失。项目建设过程中应精心规划用地，合理安排施工，尽量减少施工开挖面积。加强施工人员生态保护教育，施工过程中尽量减少植被破坏，各种施工活动应严格控制在施工区域内，以免造成植被不必要的破坏。</w:t>
            </w:r>
            <w:r>
              <w:rPr>
                <w:rFonts w:hint="eastAsia"/>
                <w:color w:val="auto"/>
                <w:highlight w:val="none"/>
                <w:lang w:val="en-US" w:eastAsia="zh-CN"/>
              </w:rPr>
              <w:t>项目在施工现场设置防溢流围挡，开挖作业面采取覆盖措施，可避免水土流失。项目施工期的生态影响均控制在项目占地范围内，不会对场界外生态环境产生影响。</w:t>
            </w: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rPr>
                <w:rFonts w:hint="default"/>
                <w:color w:val="auto"/>
                <w:highlight w:val="none"/>
                <w:lang w:val="en-US" w:eastAsia="zh-CN"/>
              </w:rPr>
            </w:pPr>
          </w:p>
          <w:p>
            <w:pPr>
              <w:bidi w:val="0"/>
              <w:ind w:left="0" w:leftChars="0" w:firstLine="0" w:firstLineChars="0"/>
              <w:rPr>
                <w:rFonts w:hint="eastAsia"/>
                <w:color w:val="auto"/>
                <w:highlight w:val="none"/>
                <w:lang w:val="en-US" w:eastAsia="zh-CN"/>
              </w:rPr>
            </w:pP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1" w:hRule="atLeast"/>
        </w:trPr>
        <w:tc>
          <w:tcPr>
            <w:tcW w:w="807" w:type="dxa"/>
            <w:vAlign w:val="center"/>
          </w:tcPr>
          <w:p>
            <w:pPr>
              <w:pStyle w:val="30"/>
              <w:bidi w:val="0"/>
              <w:ind w:firstLine="0" w:firstLineChars="0"/>
              <w:rPr>
                <w:color w:val="auto"/>
                <w:highlight w:val="none"/>
                <w:vertAlign w:val="baseline"/>
              </w:rPr>
            </w:pPr>
            <w:r>
              <w:rPr>
                <w:rFonts w:hint="eastAsia"/>
                <w:color w:val="auto"/>
                <w:sz w:val="24"/>
                <w:szCs w:val="24"/>
                <w:highlight w:val="none"/>
              </w:rPr>
              <w:t>运营期环境影响和保护措施</w:t>
            </w:r>
          </w:p>
        </w:tc>
        <w:tc>
          <w:tcPr>
            <w:tcW w:w="13367" w:type="dxa"/>
            <w:vAlign w:val="top"/>
          </w:tcPr>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default"/>
                <w:b/>
                <w:bCs/>
                <w:color w:val="auto"/>
                <w:highlight w:val="none"/>
                <w:lang w:val="en-US" w:eastAsia="zh-CN"/>
              </w:rPr>
            </w:pPr>
            <w:r>
              <w:rPr>
                <w:rFonts w:hint="default"/>
                <w:b/>
                <w:bCs/>
                <w:color w:val="auto"/>
                <w:highlight w:val="none"/>
              </w:rPr>
              <w:t>1</w:t>
            </w:r>
            <w:r>
              <w:rPr>
                <w:rFonts w:hint="eastAsia" w:eastAsia="宋体"/>
                <w:b/>
                <w:bCs/>
                <w:color w:val="auto"/>
                <w:highlight w:val="none"/>
                <w:lang w:eastAsia="zh-CN"/>
              </w:rPr>
              <w:t>、</w:t>
            </w:r>
            <w:r>
              <w:rPr>
                <w:rFonts w:hint="eastAsia" w:ascii="Times New Roman" w:eastAsia="宋体"/>
                <w:b/>
                <w:bCs/>
                <w:color w:val="auto"/>
                <w:highlight w:val="none"/>
                <w:lang w:val="en-US" w:eastAsia="zh-CN"/>
              </w:rPr>
              <w:t>废气</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00" w:lineRule="exact"/>
              <w:ind w:left="0" w:right="0" w:firstLine="482" w:firstLineChars="200"/>
              <w:textAlignment w:val="auto"/>
              <w:rPr>
                <w:rFonts w:hint="default"/>
                <w:b/>
                <w:bCs/>
                <w:color w:val="auto"/>
                <w:highlight w:val="none"/>
              </w:rPr>
            </w:pPr>
            <w:r>
              <w:rPr>
                <w:rFonts w:hint="eastAsia" w:ascii="Times New Roman" w:eastAsia="宋体"/>
                <w:b/>
                <w:bCs/>
                <w:color w:val="auto"/>
                <w:highlight w:val="none"/>
                <w:lang w:val="en-US" w:eastAsia="zh-CN"/>
              </w:rPr>
              <w:t>1.1</w:t>
            </w:r>
            <w:r>
              <w:rPr>
                <w:rFonts w:hint="eastAsia" w:eastAsia="宋体"/>
                <w:b/>
                <w:bCs/>
                <w:color w:val="auto"/>
                <w:highlight w:val="none"/>
                <w:lang w:eastAsia="zh-CN"/>
              </w:rPr>
              <w:t>废气源强及治理措施</w:t>
            </w:r>
          </w:p>
          <w:p>
            <w:pPr>
              <w:pStyle w:val="29"/>
              <w:bidi w:val="0"/>
              <w:rPr>
                <w:rFonts w:hint="eastAsia"/>
                <w:color w:val="auto"/>
                <w:sz w:val="21"/>
                <w:szCs w:val="21"/>
                <w:highlight w:val="none"/>
                <w:lang w:val="en-US" w:eastAsia="zh-CN"/>
              </w:rPr>
            </w:pPr>
            <w:r>
              <w:rPr>
                <w:rFonts w:hint="eastAsia"/>
                <w:color w:val="auto"/>
                <w:sz w:val="21"/>
                <w:szCs w:val="21"/>
                <w:highlight w:val="none"/>
                <w:lang w:eastAsia="zh-CN"/>
              </w:rPr>
              <w:t>表</w:t>
            </w:r>
            <w:r>
              <w:rPr>
                <w:rFonts w:hint="eastAsia"/>
                <w:color w:val="auto"/>
                <w:sz w:val="21"/>
                <w:szCs w:val="21"/>
                <w:highlight w:val="none"/>
                <w:lang w:val="en-US" w:eastAsia="zh-CN"/>
              </w:rPr>
              <w:t>20  废气源强、治理措施一览表</w:t>
            </w:r>
          </w:p>
          <w:tbl>
            <w:tblPr>
              <w:tblStyle w:val="23"/>
              <w:tblW w:w="1309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61"/>
              <w:gridCol w:w="493"/>
              <w:gridCol w:w="464"/>
              <w:gridCol w:w="588"/>
              <w:gridCol w:w="720"/>
              <w:gridCol w:w="434"/>
              <w:gridCol w:w="555"/>
              <w:gridCol w:w="489"/>
              <w:gridCol w:w="3838"/>
              <w:gridCol w:w="540"/>
              <w:gridCol w:w="703"/>
              <w:gridCol w:w="780"/>
              <w:gridCol w:w="588"/>
              <w:gridCol w:w="658"/>
              <w:gridCol w:w="6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7" w:hRule="atLeast"/>
                <w:jc w:val="center"/>
              </w:trPr>
              <w:tc>
                <w:tcPr>
                  <w:tcW w:w="15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eastAsia" w:ascii="Times New Roman" w:hAnsi="Times New Roman" w:eastAsia="宋体" w:cs="Times New Roman"/>
                      <w:bCs/>
                      <w:caps w:val="0"/>
                      <w:color w:val="auto"/>
                      <w:spacing w:val="0"/>
                      <w:position w:val="0"/>
                      <w:sz w:val="21"/>
                      <w:szCs w:val="21"/>
                      <w:highlight w:val="none"/>
                      <w:lang w:eastAsia="zh-CN"/>
                    </w:rPr>
                    <w:t>产排污环节</w:t>
                  </w:r>
                </w:p>
              </w:tc>
              <w:tc>
                <w:tcPr>
                  <w:tcW w:w="49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污染物</w:t>
                  </w:r>
                  <w:r>
                    <w:rPr>
                      <w:rFonts w:hint="eastAsia" w:ascii="Times New Roman" w:hAnsi="Times New Roman" w:eastAsia="宋体" w:cs="Times New Roman"/>
                      <w:bCs/>
                      <w:caps w:val="0"/>
                      <w:color w:val="auto"/>
                      <w:spacing w:val="0"/>
                      <w:position w:val="0"/>
                      <w:sz w:val="21"/>
                      <w:szCs w:val="21"/>
                      <w:highlight w:val="none"/>
                      <w:lang w:eastAsia="zh-CN"/>
                    </w:rPr>
                    <w:t>种类</w:t>
                  </w:r>
                </w:p>
              </w:tc>
              <w:tc>
                <w:tcPr>
                  <w:tcW w:w="177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eastAsia="zh-CN"/>
                    </w:rPr>
                  </w:pPr>
                  <w:r>
                    <w:rPr>
                      <w:rFonts w:hint="default" w:ascii="Times New Roman" w:hAnsi="Times New Roman" w:cs="Times New Roman"/>
                      <w:bCs/>
                      <w:caps w:val="0"/>
                      <w:color w:val="auto"/>
                      <w:spacing w:val="0"/>
                      <w:position w:val="0"/>
                      <w:sz w:val="21"/>
                      <w:szCs w:val="21"/>
                      <w:highlight w:val="none"/>
                      <w:lang w:eastAsia="zh-CN"/>
                    </w:rPr>
                    <w:t>产生情况</w:t>
                  </w:r>
                </w:p>
              </w:tc>
              <w:tc>
                <w:tcPr>
                  <w:tcW w:w="43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排放形式</w:t>
                  </w:r>
                </w:p>
              </w:tc>
              <w:tc>
                <w:tcPr>
                  <w:tcW w:w="6123"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治理措施</w:t>
                  </w:r>
                </w:p>
              </w:tc>
              <w:tc>
                <w:tcPr>
                  <w:tcW w:w="2704"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w:t>
                  </w:r>
                  <w:r>
                    <w:rPr>
                      <w:rFonts w:hint="default" w:ascii="Times New Roman" w:hAnsi="Times New Roman" w:cs="Times New Roman"/>
                      <w:bCs/>
                      <w:caps w:val="0"/>
                      <w:color w:val="auto"/>
                      <w:spacing w:val="0"/>
                      <w:position w:val="0"/>
                      <w:sz w:val="21"/>
                      <w:szCs w:val="21"/>
                      <w:highlight w:val="none"/>
                      <w:lang w:eastAsia="zh-CN"/>
                    </w:rPr>
                    <w:t>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1065" w:hRule="atLeast"/>
                <w:jc w:val="center"/>
              </w:trPr>
              <w:tc>
                <w:tcPr>
                  <w:tcW w:w="15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49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p>
              </w:tc>
              <w:tc>
                <w:tcPr>
                  <w:tcW w:w="4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核算方法</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default" w:ascii="Times New Roman" w:hAnsi="Times New Roman" w:eastAsia="宋体" w:cs="Times New Roman"/>
                      <w:bCs/>
                      <w:caps w:val="0"/>
                      <w:color w:val="auto"/>
                      <w:spacing w:val="0"/>
                      <w:position w:val="0"/>
                      <w:sz w:val="21"/>
                      <w:szCs w:val="21"/>
                      <w:highlight w:val="none"/>
                    </w:rPr>
                    <w:t>产生量</w:t>
                  </w:r>
                  <w:r>
                    <w:rPr>
                      <w:rFonts w:hint="eastAsia"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cs="Times New Roman"/>
                      <w:bCs/>
                      <w:caps w:val="0"/>
                      <w:color w:val="auto"/>
                      <w:spacing w:val="0"/>
                      <w:position w:val="0"/>
                      <w:sz w:val="21"/>
                      <w:szCs w:val="21"/>
                      <w:highlight w:val="none"/>
                      <w:lang w:val="en-US" w:eastAsia="zh-CN"/>
                    </w:rPr>
                    <w:t>)</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产生浓度</w:t>
                  </w:r>
                  <w:r>
                    <w:rPr>
                      <w:rFonts w:hint="eastAsia" w:ascii="Times New Roman" w:hAnsi="Times New Roman" w:eastAsia="宋体" w:cs="Times New Roman"/>
                      <w:bCs/>
                      <w:caps w:val="0"/>
                      <w:color w:val="auto"/>
                      <w:spacing w:val="0"/>
                      <w:position w:val="0"/>
                      <w:sz w:val="21"/>
                      <w:szCs w:val="21"/>
                      <w:highlight w:val="none"/>
                      <w:lang w:val="en-US" w:eastAsia="zh-CN"/>
                    </w:rPr>
                    <w:t>(mg/m</w:t>
                  </w:r>
                  <w:r>
                    <w:rPr>
                      <w:rFonts w:hint="eastAsia" w:ascii="Times New Roman" w:hAnsi="Times New Roman" w:eastAsia="宋体" w:cs="Times New Roman"/>
                      <w:bCs/>
                      <w:caps w:val="0"/>
                      <w:color w:val="auto"/>
                      <w:spacing w:val="0"/>
                      <w:position w:val="0"/>
                      <w:sz w:val="21"/>
                      <w:szCs w:val="21"/>
                      <w:highlight w:val="none"/>
                      <w:vertAlign w:val="superscript"/>
                      <w:lang w:val="en-US" w:eastAsia="zh-CN"/>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43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eastAsia="zh-CN"/>
                    </w:rPr>
                  </w:pPr>
                </w:p>
              </w:tc>
              <w:tc>
                <w:tcPr>
                  <w:tcW w:w="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处理能力(</w:t>
                  </w:r>
                  <w:r>
                    <w:rPr>
                      <w:rFonts w:hint="default" w:ascii="Times New Roman" w:hAnsi="Times New Roman" w:eastAsia="宋体" w:cs="Times New Roman"/>
                      <w:caps w:val="0"/>
                      <w:color w:val="auto"/>
                      <w:spacing w:val="0"/>
                      <w:position w:val="0"/>
                      <w:sz w:val="21"/>
                      <w:szCs w:val="21"/>
                      <w:highlight w:val="none"/>
                    </w:rPr>
                    <w:t>m</w:t>
                  </w:r>
                  <w:r>
                    <w:rPr>
                      <w:rFonts w:hint="default" w:ascii="Times New Roman" w:hAnsi="Times New Roman" w:eastAsia="宋体" w:cs="Times New Roman"/>
                      <w:caps w:val="0"/>
                      <w:color w:val="auto"/>
                      <w:spacing w:val="0"/>
                      <w:position w:val="0"/>
                      <w:sz w:val="21"/>
                      <w:szCs w:val="21"/>
                      <w:highlight w:val="none"/>
                      <w:vertAlign w:val="superscript"/>
                    </w:rPr>
                    <w:t>3</w:t>
                  </w:r>
                  <w:r>
                    <w:rPr>
                      <w:rFonts w:hint="default" w:ascii="Times New Roman" w:hAnsi="Times New Roman" w:eastAsia="宋体" w:cs="Times New Roman"/>
                      <w:caps w:val="0"/>
                      <w:color w:val="auto"/>
                      <w:spacing w:val="0"/>
                      <w:position w:val="0"/>
                      <w:sz w:val="21"/>
                      <w:szCs w:val="21"/>
                      <w:highlight w:val="none"/>
                    </w:rPr>
                    <w:t>/h</w:t>
                  </w:r>
                  <w:r>
                    <w:rPr>
                      <w:rFonts w:hint="eastAsia" w:ascii="Times New Roman" w:hAnsi="Times New Roman" w:eastAsia="宋体" w:cs="Times New Roman"/>
                      <w:caps w:val="0"/>
                      <w:color w:val="auto"/>
                      <w:spacing w:val="0"/>
                      <w:position w:val="0"/>
                      <w:sz w:val="21"/>
                      <w:szCs w:val="21"/>
                      <w:highlight w:val="none"/>
                      <w:lang w:val="en-US" w:eastAsia="zh-CN"/>
                    </w:rPr>
                    <w:t>)</w:t>
                  </w:r>
                </w:p>
              </w:tc>
              <w:tc>
                <w:tcPr>
                  <w:tcW w:w="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eastAsia" w:ascii="Times New Roman" w:hAnsi="Times New Roman" w:eastAsia="宋体" w:cs="Times New Roman"/>
                      <w:bCs/>
                      <w:caps w:val="0"/>
                      <w:color w:val="auto"/>
                      <w:spacing w:val="0"/>
                      <w:position w:val="0"/>
                      <w:sz w:val="21"/>
                      <w:szCs w:val="21"/>
                      <w:highlight w:val="none"/>
                      <w:lang w:eastAsia="zh-CN"/>
                    </w:rPr>
                    <w:t>收集效率</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3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rPr>
                    <w:t>工艺</w:t>
                  </w:r>
                </w:p>
              </w:tc>
              <w:tc>
                <w:tcPr>
                  <w:tcW w:w="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cs="Times New Roman"/>
                      <w:bCs/>
                      <w:caps w:val="0"/>
                      <w:color w:val="auto"/>
                      <w:spacing w:val="0"/>
                      <w:position w:val="0"/>
                      <w:sz w:val="21"/>
                      <w:szCs w:val="21"/>
                      <w:highlight w:val="none"/>
                      <w:lang w:eastAsia="zh-CN"/>
                    </w:rPr>
                  </w:pPr>
                  <w:r>
                    <w:rPr>
                      <w:rFonts w:hint="eastAsia" w:ascii="Times New Roman" w:hAnsi="Times New Roman" w:cs="Times New Roman"/>
                      <w:bCs/>
                      <w:caps w:val="0"/>
                      <w:color w:val="auto"/>
                      <w:spacing w:val="0"/>
                      <w:position w:val="0"/>
                      <w:sz w:val="21"/>
                      <w:szCs w:val="21"/>
                      <w:highlight w:val="none"/>
                      <w:lang w:eastAsia="zh-CN"/>
                    </w:rPr>
                    <w:t>去除率</w:t>
                  </w:r>
                  <w:r>
                    <w:rPr>
                      <w:rFonts w:hint="eastAsia" w:ascii="Times New Roman" w:hAnsi="Times New Roman" w:cs="Times New Roman"/>
                      <w:bCs/>
                      <w:caps w:val="0"/>
                      <w:color w:val="auto"/>
                      <w:spacing w:val="0"/>
                      <w:position w:val="0"/>
                      <w:sz w:val="21"/>
                      <w:szCs w:val="21"/>
                      <w:highlight w:val="none"/>
                      <w:lang w:val="en-US" w:eastAsia="zh-CN"/>
                    </w:rPr>
                    <w:t>(</w:t>
                  </w:r>
                  <w:r>
                    <w:rPr>
                      <w:rFonts w:hint="default" w:ascii="Times New Roman" w:hAnsi="Times New Roman" w:cs="Times New Roman"/>
                      <w:bCs/>
                      <w:caps w:val="0"/>
                      <w:color w:val="auto"/>
                      <w:spacing w:val="0"/>
                      <w:position w:val="0"/>
                      <w:sz w:val="21"/>
                      <w:szCs w:val="21"/>
                      <w:highlight w:val="none"/>
                      <w:lang w:val="en-US" w:eastAsia="zh-CN"/>
                    </w:rPr>
                    <w:t>%</w:t>
                  </w:r>
                  <w:r>
                    <w:rPr>
                      <w:rFonts w:hint="eastAsia" w:ascii="Times New Roman" w:hAnsi="Times New Roman" w:cs="Times New Roman"/>
                      <w:bCs/>
                      <w:caps w:val="0"/>
                      <w:color w:val="auto"/>
                      <w:spacing w:val="0"/>
                      <w:position w:val="0"/>
                      <w:sz w:val="21"/>
                      <w:szCs w:val="21"/>
                      <w:highlight w:val="none"/>
                      <w:lang w:val="en-US" w:eastAsia="zh-CN"/>
                    </w:rPr>
                    <w:t>)</w:t>
                  </w:r>
                </w:p>
              </w:tc>
              <w:tc>
                <w:tcPr>
                  <w:tcW w:w="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是否为可行性技术</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rPr>
                    <w:t>排放浓度</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eastAsia="宋体" w:cs="Times New Roman"/>
                      <w:bCs/>
                      <w:caps w:val="0"/>
                      <w:color w:val="auto"/>
                      <w:spacing w:val="0"/>
                      <w:position w:val="0"/>
                      <w:sz w:val="21"/>
                      <w:szCs w:val="21"/>
                      <w:highlight w:val="none"/>
                    </w:rPr>
                    <w:t>mg/m</w:t>
                  </w:r>
                  <w:r>
                    <w:rPr>
                      <w:rFonts w:hint="default" w:ascii="Times New Roman" w:hAnsi="Times New Roman" w:eastAsia="宋体" w:cs="Times New Roman"/>
                      <w:bCs/>
                      <w:caps w:val="0"/>
                      <w:color w:val="auto"/>
                      <w:spacing w:val="0"/>
                      <w:position w:val="0"/>
                      <w:sz w:val="21"/>
                      <w:szCs w:val="21"/>
                      <w:highlight w:val="none"/>
                      <w:vertAlign w:val="superscript"/>
                    </w:rPr>
                    <w:t>3</w:t>
                  </w:r>
                  <w:r>
                    <w:rPr>
                      <w:rFonts w:hint="eastAsia" w:ascii="Times New Roman" w:hAnsi="Times New Roman" w:eastAsia="宋体" w:cs="Times New Roman"/>
                      <w:bCs/>
                      <w:caps w:val="0"/>
                      <w:color w:val="auto"/>
                      <w:spacing w:val="0"/>
                      <w:position w:val="0"/>
                      <w:sz w:val="21"/>
                      <w:szCs w:val="21"/>
                      <w:highlight w:val="none"/>
                      <w:lang w:val="en-US" w:eastAsia="zh-CN"/>
                    </w:rPr>
                    <w:t>)</w:t>
                  </w:r>
                </w:p>
              </w:tc>
              <w:tc>
                <w:tcPr>
                  <w:tcW w:w="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排放速率</w:t>
                  </w:r>
                  <w:r>
                    <w:rPr>
                      <w:rFonts w:hint="eastAsia" w:ascii="Times New Roman" w:hAnsi="Times New Roman" w:eastAsia="宋体" w:cs="Times New Roman"/>
                      <w:bCs/>
                      <w:caps w:val="0"/>
                      <w:color w:val="auto"/>
                      <w:spacing w:val="0"/>
                      <w:position w:val="0"/>
                      <w:sz w:val="21"/>
                      <w:szCs w:val="21"/>
                      <w:highlight w:val="none"/>
                      <w:lang w:val="en-US" w:eastAsia="zh-CN"/>
                    </w:rPr>
                    <w:t>(kg/h)</w:t>
                  </w:r>
                </w:p>
              </w:tc>
              <w:tc>
                <w:tcPr>
                  <w:tcW w:w="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rPr>
                  </w:pPr>
                  <w:r>
                    <w:rPr>
                      <w:rFonts w:hint="eastAsia" w:ascii="Times New Roman" w:hAnsi="Times New Roman" w:eastAsia="宋体" w:cs="Times New Roman"/>
                      <w:bCs/>
                      <w:caps w:val="0"/>
                      <w:color w:val="auto"/>
                      <w:spacing w:val="0"/>
                      <w:position w:val="0"/>
                      <w:sz w:val="21"/>
                      <w:szCs w:val="21"/>
                      <w:highlight w:val="none"/>
                      <w:lang w:eastAsia="zh-CN"/>
                    </w:rPr>
                    <w:t>有组织</w:t>
                  </w:r>
                  <w:r>
                    <w:rPr>
                      <w:rFonts w:hint="default" w:ascii="Times New Roman" w:hAnsi="Times New Roman" w:eastAsia="宋体" w:cs="Times New Roman"/>
                      <w:bCs/>
                      <w:caps w:val="0"/>
                      <w:color w:val="auto"/>
                      <w:spacing w:val="0"/>
                      <w:position w:val="0"/>
                      <w:sz w:val="21"/>
                      <w:szCs w:val="21"/>
                      <w:highlight w:val="none"/>
                    </w:rPr>
                    <w:t>排放量</w:t>
                  </w:r>
                  <w:r>
                    <w:rPr>
                      <w:rFonts w:hint="eastAsia" w:ascii="Times New Roman" w:hAnsi="Times New Roman" w:eastAsia="宋体" w:cs="Times New Roman"/>
                      <w:bCs/>
                      <w:caps w:val="0"/>
                      <w:color w:val="auto"/>
                      <w:spacing w:val="0"/>
                      <w:position w:val="0"/>
                      <w:sz w:val="21"/>
                      <w:szCs w:val="21"/>
                      <w:highlight w:val="none"/>
                      <w:lang w:val="en-US" w:eastAsia="zh-CN"/>
                    </w:rPr>
                    <w:t>(</w:t>
                  </w:r>
                  <w:r>
                    <w:rPr>
                      <w:rFonts w:hint="default" w:ascii="Times New Roman" w:hAnsi="Times New Roman" w:cs="Times New Roman"/>
                      <w:caps w:val="0"/>
                      <w:color w:val="auto"/>
                      <w:spacing w:val="0"/>
                      <w:position w:val="0"/>
                      <w:sz w:val="21"/>
                      <w:szCs w:val="21"/>
                      <w:highlight w:val="none"/>
                      <w:lang w:val="en-US" w:eastAsia="zh-CN"/>
                    </w:rPr>
                    <w:t>t</w:t>
                  </w:r>
                  <w:r>
                    <w:rPr>
                      <w:rFonts w:hint="default" w:ascii="Times New Roman" w:hAnsi="Times New Roman" w:eastAsia="宋体" w:cs="Times New Roman"/>
                      <w:caps w:val="0"/>
                      <w:color w:val="auto"/>
                      <w:spacing w:val="0"/>
                      <w:position w:val="0"/>
                      <w:sz w:val="21"/>
                      <w:szCs w:val="21"/>
                      <w:highlight w:val="none"/>
                    </w:rPr>
                    <w:t>/</w:t>
                  </w:r>
                  <w:r>
                    <w:rPr>
                      <w:rFonts w:hint="default" w:ascii="Times New Roman" w:hAnsi="Times New Roman" w:cs="Times New Roman"/>
                      <w:caps w:val="0"/>
                      <w:color w:val="auto"/>
                      <w:spacing w:val="0"/>
                      <w:position w:val="0"/>
                      <w:sz w:val="21"/>
                      <w:szCs w:val="21"/>
                      <w:highlight w:val="none"/>
                      <w:lang w:val="en-US" w:eastAsia="zh-CN"/>
                    </w:rPr>
                    <w:t>a</w:t>
                  </w:r>
                  <w:r>
                    <w:rPr>
                      <w:rFonts w:hint="eastAsia" w:ascii="Times New Roman" w:hAnsi="Times New Roman" w:cs="Times New Roman"/>
                      <w:caps w:val="0"/>
                      <w:color w:val="auto"/>
                      <w:spacing w:val="0"/>
                      <w:position w:val="0"/>
                      <w:sz w:val="21"/>
                      <w:szCs w:val="21"/>
                      <w:highlight w:val="none"/>
                      <w:lang w:val="en-US" w:eastAsia="zh-CN"/>
                    </w:rPr>
                    <w:t>)</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eastAsia="zh-CN"/>
                    </w:rPr>
                    <w:t>无组织排放量</w:t>
                  </w:r>
                  <w:r>
                    <w:rPr>
                      <w:rFonts w:hint="eastAsia" w:ascii="Times New Roman" w:hAnsi="Times New Roman" w:eastAsia="宋体" w:cs="Times New Roman"/>
                      <w:bCs/>
                      <w:caps w:val="0"/>
                      <w:color w:val="auto"/>
                      <w:spacing w:val="0"/>
                      <w:position w:val="0"/>
                      <w:sz w:val="21"/>
                      <w:szCs w:val="21"/>
                      <w:highlight w:val="none"/>
                      <w:lang w:val="en-US" w:eastAsia="zh-CN"/>
                    </w:rPr>
                    <w:t>(t/a)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23" w:hRule="atLeast"/>
                <w:jc w:val="center"/>
              </w:trPr>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建筑垃圾处理生产线生产</w:t>
                  </w:r>
                  <w:r>
                    <w:rPr>
                      <w:rFonts w:hint="default" w:ascii="Times New Roman" w:hAnsi="Times New Roman" w:eastAsia="宋体" w:cs="Times New Roman"/>
                      <w:bCs/>
                      <w:caps w:val="0"/>
                      <w:color w:val="auto"/>
                      <w:spacing w:val="0"/>
                      <w:position w:val="0"/>
                      <w:sz w:val="21"/>
                      <w:szCs w:val="21"/>
                      <w:highlight w:val="none"/>
                      <w:lang w:val="en-US" w:eastAsia="zh-CN"/>
                    </w:rPr>
                    <w:t>过程</w:t>
                  </w:r>
                </w:p>
              </w:tc>
              <w:tc>
                <w:tcPr>
                  <w:tcW w:w="49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4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393.2</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1166.9</w:t>
                  </w:r>
                </w:p>
              </w:tc>
              <w:tc>
                <w:tcPr>
                  <w:tcW w:w="4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ascii="Times New Roman" w:hAnsi="Times New Roman" w:eastAsia="宋体" w:cs="Times New Roman"/>
                      <w:bCs/>
                      <w:caps w:val="0"/>
                      <w:color w:val="auto"/>
                      <w:spacing w:val="0"/>
                      <w:position w:val="0"/>
                      <w:sz w:val="21"/>
                      <w:szCs w:val="21"/>
                      <w:highlight w:val="none"/>
                      <w:lang w:val="en-US" w:eastAsia="zh-CN"/>
                    </w:rPr>
                    <w:t>有组织</w:t>
                  </w:r>
                </w:p>
              </w:tc>
              <w:tc>
                <w:tcPr>
                  <w:tcW w:w="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55000</w:t>
                  </w:r>
                </w:p>
              </w:tc>
              <w:tc>
                <w:tcPr>
                  <w:tcW w:w="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95/98</w:t>
                  </w:r>
                </w:p>
              </w:tc>
              <w:tc>
                <w:tcPr>
                  <w:tcW w:w="3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default" w:cs="Times New Roman"/>
                      <w:bCs/>
                      <w:caps w:val="0"/>
                      <w:color w:val="auto"/>
                      <w:spacing w:val="0"/>
                      <w:position w:val="0"/>
                      <w:sz w:val="21"/>
                      <w:szCs w:val="21"/>
                      <w:highlight w:val="none"/>
                      <w:lang w:val="en-US" w:eastAsia="zh-CN"/>
                    </w:rPr>
                    <w:t>入料口三面围挡，一面设置软帘，上方设置封闭的集气罩；物料通过封闭的皮带输送机进行转运，其受料点、卸料点设置封闭的集气罩；破碎机、筛分机封闭，其入料点、出料点设置封闭的集气罩；</w:t>
                  </w:r>
                  <w:r>
                    <w:rPr>
                      <w:rFonts w:hint="eastAsia" w:cs="Times New Roman"/>
                      <w:bCs/>
                      <w:caps w:val="0"/>
                      <w:color w:val="auto"/>
                      <w:spacing w:val="0"/>
                      <w:position w:val="0"/>
                      <w:sz w:val="21"/>
                      <w:szCs w:val="21"/>
                      <w:highlight w:val="none"/>
                      <w:lang w:val="en-US" w:eastAsia="zh-CN"/>
                    </w:rPr>
                    <w:t>振动给料机封闭</w:t>
                  </w:r>
                  <w:r>
                    <w:rPr>
                      <w:rFonts w:hint="default" w:cs="Times New Roman"/>
                      <w:bCs/>
                      <w:caps w:val="0"/>
                      <w:color w:val="auto"/>
                      <w:spacing w:val="0"/>
                      <w:position w:val="0"/>
                      <w:sz w:val="21"/>
                      <w:szCs w:val="21"/>
                      <w:highlight w:val="none"/>
                      <w:lang w:val="en-US" w:eastAsia="zh-CN"/>
                    </w:rPr>
                    <w:t>。采用风量为55000m</w:t>
                  </w:r>
                  <w:r>
                    <w:rPr>
                      <w:rFonts w:hint="default" w:cs="Times New Roman"/>
                      <w:bCs/>
                      <w:caps w:val="0"/>
                      <w:color w:val="auto"/>
                      <w:spacing w:val="0"/>
                      <w:position w:val="0"/>
                      <w:sz w:val="21"/>
                      <w:szCs w:val="21"/>
                      <w:highlight w:val="none"/>
                      <w:vertAlign w:val="superscript"/>
                      <w:lang w:val="en-US" w:eastAsia="zh-CN"/>
                    </w:rPr>
                    <w:t>3</w:t>
                  </w:r>
                  <w:r>
                    <w:rPr>
                      <w:rFonts w:hint="default" w:cs="Times New Roman"/>
                      <w:bCs/>
                      <w:caps w:val="0"/>
                      <w:color w:val="auto"/>
                      <w:spacing w:val="0"/>
                      <w:position w:val="0"/>
                      <w:sz w:val="21"/>
                      <w:szCs w:val="21"/>
                      <w:highlight w:val="none"/>
                      <w:lang w:val="en-US" w:eastAsia="zh-CN"/>
                    </w:rPr>
                    <w:t>/h的风机将上述环节产生的颗粒物引入1套脉冲布袋除尘器（TA001）进行处理，处理后通过1根15m高排气筒（DA001）排放至大气中</w:t>
                  </w:r>
                </w:p>
              </w:tc>
              <w:tc>
                <w:tcPr>
                  <w:tcW w:w="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99.2</w:t>
                  </w:r>
                </w:p>
              </w:tc>
              <w:tc>
                <w:tcPr>
                  <w:tcW w:w="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是</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9.3</w:t>
                  </w:r>
                </w:p>
              </w:tc>
              <w:tc>
                <w:tcPr>
                  <w:tcW w:w="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0.513</w:t>
                  </w:r>
                </w:p>
              </w:tc>
              <w:tc>
                <w:tcPr>
                  <w:tcW w:w="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3.08</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8.14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8" w:hRule="atLeast"/>
                <w:jc w:val="center"/>
              </w:trPr>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建筑垃圾处理生产线生产</w:t>
                  </w:r>
                  <w:r>
                    <w:rPr>
                      <w:rFonts w:hint="default" w:ascii="Times New Roman" w:hAnsi="Times New Roman" w:eastAsia="宋体" w:cs="Times New Roman"/>
                      <w:bCs/>
                      <w:caps w:val="0"/>
                      <w:color w:val="auto"/>
                      <w:spacing w:val="0"/>
                      <w:position w:val="0"/>
                      <w:sz w:val="21"/>
                      <w:szCs w:val="21"/>
                      <w:highlight w:val="none"/>
                      <w:lang w:val="en-US" w:eastAsia="zh-CN"/>
                    </w:rPr>
                    <w:t>过程</w:t>
                  </w:r>
                  <w:r>
                    <w:rPr>
                      <w:rFonts w:hint="eastAsia" w:ascii="Times New Roman" w:hAnsi="Times New Roman" w:eastAsia="宋体" w:cs="Times New Roman"/>
                      <w:bCs/>
                      <w:caps w:val="0"/>
                      <w:color w:val="auto"/>
                      <w:spacing w:val="0"/>
                      <w:position w:val="0"/>
                      <w:sz w:val="21"/>
                      <w:szCs w:val="21"/>
                      <w:highlight w:val="none"/>
                      <w:lang w:val="en-US" w:eastAsia="zh-CN"/>
                    </w:rPr>
                    <w:t>未捕集部分</w:t>
                  </w:r>
                </w:p>
              </w:tc>
              <w:tc>
                <w:tcPr>
                  <w:tcW w:w="49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kern w:val="1"/>
                      <w:sz w:val="21"/>
                      <w:szCs w:val="21"/>
                      <w:highlight w:val="none"/>
                      <w:lang w:val="en-US" w:eastAsia="zh-CN" w:bidi="ar-SA"/>
                    </w:rPr>
                  </w:pPr>
                  <w:r>
                    <w:rPr>
                      <w:rFonts w:hint="eastAsia"/>
                      <w:color w:val="auto"/>
                      <w:sz w:val="21"/>
                      <w:szCs w:val="21"/>
                      <w:highlight w:val="none"/>
                      <w:lang w:val="en-US" w:eastAsia="zh-CN"/>
                    </w:rPr>
                    <w:t>颗粒物</w:t>
                  </w:r>
                </w:p>
              </w:tc>
              <w:tc>
                <w:tcPr>
                  <w:tcW w:w="4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8.14</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4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Times New Roman" w:hAnsi="Times New Roman" w:eastAsia="宋体" w:cs="Times New Roman"/>
                      <w:bCs/>
                      <w:caps w:val="0"/>
                      <w:color w:val="auto"/>
                      <w:spacing w:val="0"/>
                      <w:position w:val="0"/>
                      <w:sz w:val="21"/>
                      <w:szCs w:val="21"/>
                      <w:highlight w:val="none"/>
                      <w:lang w:val="en-US" w:eastAsia="zh-CN"/>
                    </w:rPr>
                    <w:t>无组织</w:t>
                  </w:r>
                </w:p>
              </w:tc>
              <w:tc>
                <w:tcPr>
                  <w:tcW w:w="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3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车间封闭，原料区、成品区、上料区顶部设置喷淋抑尘装置，重点部位喷雾抑尘，物料通过封闭的皮带输送机进行转运</w:t>
                  </w:r>
                </w:p>
              </w:tc>
              <w:tc>
                <w:tcPr>
                  <w:tcW w:w="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99</w:t>
                  </w:r>
                </w:p>
              </w:tc>
              <w:tc>
                <w:tcPr>
                  <w:tcW w:w="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position w:val="0"/>
                      <w:sz w:val="21"/>
                      <w:szCs w:val="21"/>
                      <w:highlight w:val="none"/>
                      <w:lang w:val="en-US" w:eastAsia="zh-CN"/>
                    </w:rPr>
                    <w:t>0.0135</w:t>
                  </w:r>
                </w:p>
              </w:tc>
              <w:tc>
                <w:tcPr>
                  <w:tcW w:w="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ascii="宋体" w:hAnsi="宋体" w:eastAsia="宋体" w:cs="宋体"/>
                      <w:bCs/>
                      <w:caps w:val="0"/>
                      <w:color w:val="auto"/>
                      <w:spacing w:val="0"/>
                      <w:position w:val="0"/>
                      <w:sz w:val="21"/>
                      <w:szCs w:val="21"/>
                      <w:highlight w:val="none"/>
                      <w:lang w:val="en-US" w:eastAsia="zh-CN"/>
                    </w:rPr>
                    <w:t>－</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position w:val="0"/>
                      <w:sz w:val="21"/>
                      <w:szCs w:val="21"/>
                      <w:highlight w:val="none"/>
                      <w:lang w:val="en-US" w:eastAsia="zh-CN"/>
                    </w:rPr>
                    <w:t>0.081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15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建筑垃圾和石碴装卸、堆存过程</w:t>
                  </w:r>
                </w:p>
              </w:tc>
              <w:tc>
                <w:tcPr>
                  <w:tcW w:w="4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颗粒物</w:t>
                  </w:r>
                </w:p>
              </w:tc>
              <w:tc>
                <w:tcPr>
                  <w:tcW w:w="4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产污系数法</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70.242</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4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无组织</w:t>
                  </w:r>
                </w:p>
              </w:tc>
              <w:tc>
                <w:tcPr>
                  <w:tcW w:w="5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4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ascii="宋体" w:hAnsi="宋体" w:eastAsia="宋体" w:cs="宋体"/>
                      <w:bCs/>
                      <w:caps w:val="0"/>
                      <w:color w:val="auto"/>
                      <w:spacing w:val="0"/>
                      <w:position w:val="0"/>
                      <w:sz w:val="21"/>
                      <w:szCs w:val="21"/>
                      <w:highlight w:val="none"/>
                      <w:lang w:val="en-US" w:eastAsia="zh-CN"/>
                    </w:rPr>
                    <w:t>－</w:t>
                  </w:r>
                </w:p>
              </w:tc>
              <w:tc>
                <w:tcPr>
                  <w:tcW w:w="3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车间封闭，顶部设置喷淋抑尘装置</w:t>
                  </w:r>
                </w:p>
              </w:tc>
              <w:tc>
                <w:tcPr>
                  <w:tcW w:w="5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99.74</w:t>
                  </w:r>
                </w:p>
              </w:tc>
              <w:tc>
                <w:tcPr>
                  <w:tcW w:w="7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7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5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0.0305</w:t>
                  </w:r>
                </w:p>
              </w:tc>
              <w:tc>
                <w:tcPr>
                  <w:tcW w:w="6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w:t>
                  </w:r>
                </w:p>
              </w:tc>
              <w:tc>
                <w:tcPr>
                  <w:tcW w:w="68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0.183</w:t>
                  </w:r>
                </w:p>
              </w:tc>
            </w:tr>
          </w:tbl>
          <w:p>
            <w:pPr>
              <w:bidi w:val="0"/>
              <w:ind w:left="0" w:leftChars="0" w:firstLine="0" w:firstLineChars="0"/>
              <w:rPr>
                <w:color w:val="auto"/>
                <w:highlight w:val="none"/>
                <w:vertAlign w:val="baseline"/>
              </w:rPr>
            </w:pPr>
          </w:p>
          <w:p>
            <w:pPr>
              <w:bidi w:val="0"/>
              <w:ind w:left="0" w:leftChars="0" w:firstLine="0" w:firstLineChars="0"/>
              <w:rPr>
                <w:color w:val="auto"/>
                <w:highlight w:val="none"/>
                <w:vertAlign w:val="baseline"/>
              </w:rPr>
            </w:pPr>
          </w:p>
        </w:tc>
      </w:tr>
    </w:tbl>
    <w:p>
      <w:pPr>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83" w:type="dxa"/>
          </w:tcPr>
          <w:p>
            <w:pPr>
              <w:rPr>
                <w:color w:val="auto"/>
                <w:highlight w:val="none"/>
                <w:vertAlign w:val="baseline"/>
              </w:rPr>
            </w:pPr>
          </w:p>
        </w:tc>
        <w:tc>
          <w:tcPr>
            <w:tcW w:w="8575" w:type="dxa"/>
            <w:vAlign w:val="top"/>
          </w:tcPr>
          <w:p>
            <w:pPr>
              <w:bidi w:val="0"/>
              <w:rPr>
                <w:rFonts w:hint="default" w:eastAsia="宋体"/>
                <w:color w:val="auto"/>
                <w:highlight w:val="none"/>
                <w:lang w:val="en-US" w:eastAsia="zh-CN"/>
              </w:rPr>
            </w:pPr>
            <w:r>
              <w:rPr>
                <w:rFonts w:hint="eastAsia" w:ascii="Times New Roman" w:eastAsia="宋体"/>
                <w:color w:val="auto"/>
                <w:highlight w:val="none"/>
                <w:lang w:val="en-US" w:eastAsia="zh-CN"/>
              </w:rPr>
              <w:t>排放口基本情况见下表。</w:t>
            </w:r>
          </w:p>
          <w:p>
            <w:pPr>
              <w:pStyle w:val="29"/>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 xml:space="preserve">21  </w:t>
            </w:r>
            <w:r>
              <w:rPr>
                <w:rFonts w:hint="default"/>
                <w:color w:val="auto"/>
                <w:sz w:val="21"/>
                <w:szCs w:val="21"/>
                <w:highlight w:val="none"/>
                <w:lang w:eastAsia="zh-CN"/>
              </w:rPr>
              <w:t>排放口基本情况一</w:t>
            </w:r>
            <w:r>
              <w:rPr>
                <w:rFonts w:hint="default"/>
                <w:color w:val="auto"/>
                <w:sz w:val="21"/>
                <w:szCs w:val="21"/>
                <w:highlight w:val="none"/>
              </w:rPr>
              <w:t>览表</w:t>
            </w:r>
          </w:p>
          <w:tbl>
            <w:tblPr>
              <w:tblStyle w:val="23"/>
              <w:tblW w:w="503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45"/>
              <w:gridCol w:w="670"/>
              <w:gridCol w:w="668"/>
              <w:gridCol w:w="762"/>
              <w:gridCol w:w="878"/>
              <w:gridCol w:w="1194"/>
              <w:gridCol w:w="1133"/>
              <w:gridCol w:w="11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11" w:hRule="atLeast"/>
                <w:jc w:val="center"/>
              </w:trPr>
              <w:tc>
                <w:tcPr>
                  <w:tcW w:w="115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eastAsia="zh-CN"/>
                    </w:rPr>
                    <w:t>排</w:t>
                  </w:r>
                  <w:r>
                    <w:rPr>
                      <w:rFonts w:hint="eastAsia" w:ascii="Times New Roman" w:hAnsi="Times New Roman" w:eastAsia="宋体" w:cs="Times New Roman"/>
                      <w:bCs/>
                      <w:caps w:val="0"/>
                      <w:color w:val="auto"/>
                      <w:spacing w:val="0"/>
                      <w:position w:val="0"/>
                      <w:sz w:val="21"/>
                      <w:szCs w:val="21"/>
                      <w:highlight w:val="none"/>
                      <w:lang w:val="en-US" w:eastAsia="zh-CN"/>
                    </w:rPr>
                    <w:t>放口名称</w:t>
                  </w:r>
                </w:p>
              </w:tc>
              <w:tc>
                <w:tcPr>
                  <w:tcW w:w="39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高度</w:t>
                  </w:r>
                </w:p>
              </w:tc>
              <w:tc>
                <w:tcPr>
                  <w:tcW w:w="39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内径</w:t>
                  </w:r>
                </w:p>
              </w:tc>
              <w:tc>
                <w:tcPr>
                  <w:tcW w:w="45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温度</w:t>
                  </w:r>
                </w:p>
              </w:tc>
              <w:tc>
                <w:tcPr>
                  <w:tcW w:w="5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编号</w:t>
                  </w:r>
                </w:p>
              </w:tc>
              <w:tc>
                <w:tcPr>
                  <w:tcW w:w="71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类型</w:t>
                  </w:r>
                </w:p>
              </w:tc>
              <w:tc>
                <w:tcPr>
                  <w:tcW w:w="135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rPr>
                  </w:pPr>
                  <w:r>
                    <w:rPr>
                      <w:rFonts w:hint="default" w:ascii="Times New Roman" w:hAnsi="Times New Roman" w:eastAsia="宋体" w:cs="Times New Roman"/>
                      <w:bCs/>
                      <w:caps w:val="0"/>
                      <w:color w:val="auto"/>
                      <w:spacing w:val="0"/>
                      <w:position w:val="0"/>
                      <w:sz w:val="21"/>
                      <w:szCs w:val="21"/>
                      <w:highlight w:val="none"/>
                      <w:lang w:eastAsia="zh-CN"/>
                    </w:rPr>
                    <w:t>地理坐标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406" w:hRule="atLeast"/>
                <w:jc w:val="center"/>
              </w:trPr>
              <w:tc>
                <w:tcPr>
                  <w:tcW w:w="115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9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3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45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1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东经</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eastAsia="zh-CN"/>
                    </w:rPr>
                  </w:pPr>
                  <w:r>
                    <w:rPr>
                      <w:rFonts w:hint="default" w:ascii="Times New Roman" w:hAnsi="Times New Roman" w:eastAsia="宋体" w:cs="Times New Roman"/>
                      <w:bCs/>
                      <w:caps w:val="0"/>
                      <w:color w:val="auto"/>
                      <w:spacing w:val="0"/>
                      <w:position w:val="0"/>
                      <w:sz w:val="21"/>
                      <w:szCs w:val="21"/>
                      <w:highlight w:val="none"/>
                      <w:lang w:eastAsia="zh-CN"/>
                    </w:rPr>
                    <w:t>北纬</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159"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建筑垃圾处理生产线</w:t>
                  </w:r>
                  <w:r>
                    <w:rPr>
                      <w:rFonts w:hint="eastAsia" w:ascii="Times New Roman" w:hAnsi="Times New Roman" w:cs="Times New Roman"/>
                      <w:bCs/>
                      <w:caps w:val="0"/>
                      <w:color w:val="auto"/>
                      <w:spacing w:val="0"/>
                      <w:position w:val="0"/>
                      <w:sz w:val="21"/>
                      <w:szCs w:val="21"/>
                      <w:highlight w:val="none"/>
                      <w:lang w:val="en-US" w:eastAsia="zh-CN"/>
                    </w:rPr>
                    <w:t>废气排放口</w:t>
                  </w:r>
                </w:p>
              </w:tc>
              <w:tc>
                <w:tcPr>
                  <w:tcW w:w="3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cs="Times New Roman"/>
                      <w:bCs/>
                      <w:caps w:val="0"/>
                      <w:color w:val="auto"/>
                      <w:spacing w:val="0"/>
                      <w:position w:val="0"/>
                      <w:sz w:val="21"/>
                      <w:szCs w:val="21"/>
                      <w:highlight w:val="none"/>
                      <w:lang w:val="en-US" w:eastAsia="zh-CN"/>
                    </w:rPr>
                    <w:t>15m</w:t>
                  </w:r>
                </w:p>
              </w:tc>
              <w:tc>
                <w:tcPr>
                  <w:tcW w:w="3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1.15m</w:t>
                  </w:r>
                </w:p>
              </w:tc>
              <w:tc>
                <w:tcPr>
                  <w:tcW w:w="4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20℃</w:t>
                  </w:r>
                </w:p>
              </w:tc>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DA001</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aps w:val="0"/>
                      <w:color w:val="auto"/>
                      <w:spacing w:val="0"/>
                      <w:kern w:val="2"/>
                      <w:position w:val="0"/>
                      <w:sz w:val="21"/>
                      <w:szCs w:val="21"/>
                      <w:highlight w:val="none"/>
                      <w:lang w:val="en-US" w:eastAsia="zh-CN" w:bidi="ar-SA"/>
                    </w:rPr>
                  </w:pPr>
                  <w:r>
                    <w:rPr>
                      <w:rFonts w:hint="eastAsia" w:cs="Times New Roman"/>
                      <w:bCs/>
                      <w:caps w:val="0"/>
                      <w:color w:val="auto"/>
                      <w:spacing w:val="0"/>
                      <w:kern w:val="2"/>
                      <w:position w:val="0"/>
                      <w:sz w:val="21"/>
                      <w:szCs w:val="21"/>
                      <w:highlight w:val="none"/>
                      <w:lang w:val="en-US" w:eastAsia="zh-CN" w:bidi="ar-SA"/>
                    </w:rPr>
                    <w:t>一般排放口</w:t>
                  </w:r>
                </w:p>
              </w:tc>
              <w:tc>
                <w:tcPr>
                  <w:tcW w:w="6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118.0</w:t>
                  </w:r>
                  <w:r>
                    <w:rPr>
                      <w:rFonts w:hint="eastAsia" w:cs="Times New Roman"/>
                      <w:bCs/>
                      <w:caps w:val="0"/>
                      <w:color w:val="auto"/>
                      <w:spacing w:val="0"/>
                      <w:position w:val="0"/>
                      <w:sz w:val="21"/>
                      <w:szCs w:val="21"/>
                      <w:highlight w:val="none"/>
                      <w:lang w:val="en-US" w:eastAsia="zh-CN"/>
                    </w:rPr>
                    <w:t>50453</w:t>
                  </w:r>
                </w:p>
              </w:tc>
              <w:tc>
                <w:tcPr>
                  <w:tcW w:w="6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aps w:val="0"/>
                      <w:color w:val="auto"/>
                      <w:spacing w:val="0"/>
                      <w:position w:val="0"/>
                      <w:sz w:val="21"/>
                      <w:szCs w:val="21"/>
                      <w:highlight w:val="none"/>
                      <w:lang w:val="en-US" w:eastAsia="zh-CN"/>
                    </w:rPr>
                  </w:pPr>
                  <w:r>
                    <w:rPr>
                      <w:rFonts w:hint="default" w:ascii="Times New Roman" w:hAnsi="Times New Roman" w:eastAsia="宋体" w:cs="Times New Roman"/>
                      <w:bCs/>
                      <w:caps w:val="0"/>
                      <w:color w:val="auto"/>
                      <w:spacing w:val="0"/>
                      <w:position w:val="0"/>
                      <w:sz w:val="21"/>
                      <w:szCs w:val="21"/>
                      <w:highlight w:val="none"/>
                      <w:lang w:val="en-US" w:eastAsia="zh-CN"/>
                    </w:rPr>
                    <w:t xml:space="preserve"> 39.78</w:t>
                  </w:r>
                  <w:r>
                    <w:rPr>
                      <w:rFonts w:hint="eastAsia" w:cs="Times New Roman"/>
                      <w:bCs/>
                      <w:caps w:val="0"/>
                      <w:color w:val="auto"/>
                      <w:spacing w:val="0"/>
                      <w:position w:val="0"/>
                      <w:sz w:val="21"/>
                      <w:szCs w:val="21"/>
                      <w:highlight w:val="none"/>
                      <w:lang w:val="en-US" w:eastAsia="zh-CN"/>
                    </w:rPr>
                    <w:t>4907</w:t>
                  </w:r>
                </w:p>
              </w:tc>
            </w:tr>
          </w:tbl>
          <w:p>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根据建设项目性质，</w:t>
            </w:r>
            <w:r>
              <w:rPr>
                <w:rFonts w:ascii="Times New Roman" w:hAnsi="Times New Roman"/>
                <w:color w:val="auto"/>
                <w:sz w:val="24"/>
                <w:szCs w:val="24"/>
                <w:highlight w:val="none"/>
              </w:rPr>
              <w:t>按照《排污单位自行监测技术指南 总则》</w:t>
            </w:r>
            <w:r>
              <w:rPr>
                <w:rFonts w:hint="eastAsia"/>
                <w:color w:val="auto"/>
                <w:sz w:val="24"/>
                <w:szCs w:val="24"/>
                <w:highlight w:val="none"/>
                <w:lang w:eastAsia="zh-CN"/>
              </w:rPr>
              <w:t>（</w:t>
            </w:r>
            <w:r>
              <w:rPr>
                <w:rFonts w:hint="eastAsia"/>
                <w:color w:val="auto"/>
                <w:sz w:val="24"/>
                <w:szCs w:val="24"/>
                <w:highlight w:val="none"/>
                <w:lang w:val="en-US" w:eastAsia="zh-CN"/>
              </w:rPr>
              <w:t>HJ819-2017</w:t>
            </w:r>
            <w:r>
              <w:rPr>
                <w:rFonts w:hint="eastAsia"/>
                <w:color w:val="auto"/>
                <w:sz w:val="24"/>
                <w:szCs w:val="24"/>
                <w:highlight w:val="none"/>
                <w:lang w:eastAsia="zh-CN"/>
              </w:rPr>
              <w:t>）、</w:t>
            </w:r>
            <w:r>
              <w:rPr>
                <w:rFonts w:hint="eastAsia"/>
                <w:color w:val="auto"/>
                <w:highlight w:val="none"/>
                <w:lang w:val="en-US" w:eastAsia="zh-CN"/>
              </w:rPr>
              <w:t>《排污许可证申请与核发技术规范 工业固体废物和危险废物治理》（HJ 1033</w:t>
            </w:r>
            <w:r>
              <w:rPr>
                <w:rFonts w:hint="eastAsia"/>
                <w:color w:val="auto"/>
                <w:sz w:val="24"/>
                <w:szCs w:val="24"/>
                <w:highlight w:val="none"/>
                <w:lang w:val="en-US" w:eastAsia="zh-CN"/>
              </w:rPr>
              <w:t>-</w:t>
            </w:r>
            <w:r>
              <w:rPr>
                <w:rFonts w:hint="eastAsia"/>
                <w:color w:val="auto"/>
                <w:highlight w:val="none"/>
                <w:lang w:val="en-US" w:eastAsia="zh-CN"/>
              </w:rPr>
              <w:t>2019）以及《排污单位自行监测技术指南 工业固体废物和危险废物治理》（HJ1250-2022）的要求</w:t>
            </w:r>
            <w:r>
              <w:rPr>
                <w:rFonts w:hint="eastAsia" w:ascii="Times New Roman" w:hAnsi="Times New Roman"/>
                <w:color w:val="auto"/>
                <w:sz w:val="24"/>
                <w:szCs w:val="24"/>
                <w:highlight w:val="none"/>
                <w:lang w:eastAsia="zh-CN"/>
              </w:rPr>
              <w:t>，</w:t>
            </w:r>
            <w:r>
              <w:rPr>
                <w:rFonts w:hint="eastAsia" w:ascii="Times New Roman" w:eastAsia="宋体"/>
                <w:color w:val="auto"/>
                <w:kern w:val="1"/>
                <w:sz w:val="24"/>
                <w:szCs w:val="24"/>
                <w:highlight w:val="none"/>
                <w:lang w:val="en-US" w:eastAsia="zh-CN" w:bidi="ar"/>
              </w:rPr>
              <w:t>企业投入运营后废气监测因子、监测频次、执行排放标准情况见下表。</w:t>
            </w:r>
          </w:p>
          <w:p>
            <w:pPr>
              <w:pStyle w:val="29"/>
              <w:bidi w:val="0"/>
              <w:rPr>
                <w:rFonts w:hint="default"/>
                <w:color w:val="auto"/>
                <w:sz w:val="21"/>
                <w:szCs w:val="21"/>
                <w:highlight w:val="none"/>
              </w:rPr>
            </w:pPr>
            <w:r>
              <w:rPr>
                <w:rFonts w:hint="default"/>
                <w:color w:val="auto"/>
                <w:sz w:val="21"/>
                <w:szCs w:val="21"/>
                <w:highlight w:val="none"/>
              </w:rPr>
              <w:t>表</w:t>
            </w:r>
            <w:r>
              <w:rPr>
                <w:rFonts w:hint="eastAsia"/>
                <w:color w:val="auto"/>
                <w:sz w:val="21"/>
                <w:szCs w:val="21"/>
                <w:highlight w:val="none"/>
                <w:lang w:val="en-US" w:eastAsia="zh-CN"/>
              </w:rPr>
              <w:t>22</w:t>
            </w:r>
            <w:r>
              <w:rPr>
                <w:rFonts w:hint="default"/>
                <w:color w:val="auto"/>
                <w:sz w:val="21"/>
                <w:szCs w:val="21"/>
                <w:highlight w:val="none"/>
              </w:rPr>
              <w:t xml:space="preserve">  项目废</w:t>
            </w:r>
            <w:r>
              <w:rPr>
                <w:rFonts w:hint="eastAsia"/>
                <w:color w:val="auto"/>
                <w:sz w:val="21"/>
                <w:szCs w:val="21"/>
                <w:highlight w:val="none"/>
                <w:lang w:val="en-US" w:eastAsia="zh-CN"/>
              </w:rPr>
              <w:t>气</w:t>
            </w:r>
            <w:r>
              <w:rPr>
                <w:rFonts w:hint="default"/>
                <w:color w:val="auto"/>
                <w:sz w:val="21"/>
                <w:szCs w:val="21"/>
                <w:highlight w:val="none"/>
              </w:rPr>
              <w:t>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3"/>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25"/>
              <w:gridCol w:w="990"/>
              <w:gridCol w:w="1095"/>
              <w:gridCol w:w="44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9" w:hRule="atLeast"/>
                <w:jc w:val="center"/>
              </w:trPr>
              <w:tc>
                <w:tcPr>
                  <w:tcW w:w="182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990"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eastAsia="宋体"/>
                      <w:color w:val="auto"/>
                      <w:sz w:val="21"/>
                      <w:szCs w:val="21"/>
                      <w:highlight w:val="none"/>
                      <w:lang w:eastAsia="zh-CN"/>
                    </w:rPr>
                  </w:pPr>
                  <w:r>
                    <w:rPr>
                      <w:rFonts w:hint="default"/>
                      <w:color w:val="auto"/>
                      <w:sz w:val="21"/>
                      <w:szCs w:val="21"/>
                      <w:highlight w:val="none"/>
                    </w:rPr>
                    <w:t>监测</w:t>
                  </w:r>
                  <w:r>
                    <w:rPr>
                      <w:rFonts w:hint="eastAsia"/>
                      <w:color w:val="auto"/>
                      <w:sz w:val="21"/>
                      <w:szCs w:val="21"/>
                      <w:highlight w:val="none"/>
                      <w:lang w:val="en-US" w:eastAsia="zh-CN"/>
                    </w:rPr>
                    <w:t>因子</w:t>
                  </w:r>
                </w:p>
              </w:tc>
              <w:tc>
                <w:tcPr>
                  <w:tcW w:w="109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4480"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182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aps w:val="0"/>
                      <w:color w:val="auto"/>
                      <w:spacing w:val="0"/>
                      <w:position w:val="0"/>
                      <w:sz w:val="21"/>
                      <w:szCs w:val="21"/>
                      <w:highlight w:val="none"/>
                      <w:lang w:val="en-US" w:eastAsia="zh-CN"/>
                    </w:rPr>
                    <w:t>建筑垃圾处理生产线</w:t>
                  </w:r>
                  <w:r>
                    <w:rPr>
                      <w:rFonts w:hint="eastAsia" w:ascii="Times New Roman" w:hAnsi="Times New Roman" w:cs="Times New Roman"/>
                      <w:bCs/>
                      <w:caps w:val="0"/>
                      <w:color w:val="auto"/>
                      <w:spacing w:val="0"/>
                      <w:position w:val="0"/>
                      <w:sz w:val="21"/>
                      <w:szCs w:val="21"/>
                      <w:highlight w:val="none"/>
                      <w:lang w:val="en-US" w:eastAsia="zh-CN"/>
                    </w:rPr>
                    <w:t>废气排放口（DA001）</w:t>
                  </w:r>
                </w:p>
              </w:tc>
              <w:tc>
                <w:tcPr>
                  <w:tcW w:w="990"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颗粒物</w:t>
                  </w:r>
                </w:p>
              </w:tc>
              <w:tc>
                <w:tcPr>
                  <w:tcW w:w="109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default" w:ascii="Times New Roman" w:hAnsi="Times New Roman" w:cs="Times New Roman"/>
                      <w:bCs/>
                      <w:caps w:val="0"/>
                      <w:color w:val="auto"/>
                      <w:spacing w:val="0"/>
                      <w:position w:val="0"/>
                      <w:sz w:val="21"/>
                      <w:szCs w:val="21"/>
                      <w:highlight w:val="none"/>
                      <w:lang w:val="en-US" w:eastAsia="zh-CN"/>
                    </w:rPr>
                    <w:t>1次</w:t>
                  </w:r>
                  <w:r>
                    <w:rPr>
                      <w:rFonts w:hint="eastAsia" w:ascii="Times New Roman" w:hAnsi="Times New Roman" w:cs="Times New Roman"/>
                      <w:bCs/>
                      <w:caps w:val="0"/>
                      <w:color w:val="auto"/>
                      <w:spacing w:val="0"/>
                      <w:position w:val="0"/>
                      <w:sz w:val="21"/>
                      <w:szCs w:val="21"/>
                      <w:highlight w:val="none"/>
                      <w:lang w:val="en-US" w:eastAsia="zh-CN"/>
                    </w:rPr>
                    <w:t>/年</w:t>
                  </w:r>
                </w:p>
              </w:tc>
              <w:tc>
                <w:tcPr>
                  <w:tcW w:w="4480"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0" w:leftChars="0" w:right="0" w:rightChars="0" w:firstLine="0" w:firstLineChars="0"/>
                    <w:textAlignment w:val="auto"/>
                    <w:rPr>
                      <w:rFonts w:hint="default" w:ascii="Times New Roman" w:hAnsi="Times New Roman" w:cs="Times New Roman"/>
                      <w:bCs/>
                      <w:caps w:val="0"/>
                      <w:color w:val="auto"/>
                      <w:spacing w:val="0"/>
                      <w:position w:val="0"/>
                      <w:sz w:val="21"/>
                      <w:szCs w:val="21"/>
                      <w:highlight w:val="none"/>
                      <w:lang w:val="en-US" w:eastAsia="zh-CN"/>
                    </w:rPr>
                  </w:pPr>
                  <w:r>
                    <w:rPr>
                      <w:rFonts w:hint="eastAsia" w:ascii="Times New Roman" w:hAnsi="Times New Roman" w:cs="Times New Roman"/>
                      <w:bCs/>
                      <w:caps w:val="0"/>
                      <w:color w:val="auto"/>
                      <w:spacing w:val="0"/>
                      <w:position w:val="0"/>
                      <w:sz w:val="21"/>
                      <w:szCs w:val="21"/>
                      <w:highlight w:val="none"/>
                      <w:lang w:val="en-US" w:eastAsia="zh-CN"/>
                    </w:rPr>
                    <w:t>《石灰行业大气污染物排放标准》（DB13/1641-2012）；《唐山市钢铁行业整治提升工作方案》等10项方案（唐气领办[2021]15号）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28" w:hRule="atLeast"/>
                <w:jc w:val="center"/>
              </w:trPr>
              <w:tc>
                <w:tcPr>
                  <w:tcW w:w="1825" w:type="dxa"/>
                  <w:tcBorders>
                    <w:tl2br w:val="nil"/>
                    <w:tr2bl w:val="nil"/>
                  </w:tcBorders>
                  <w:noWrap w:val="0"/>
                  <w:tcMar>
                    <w:top w:w="15" w:type="dxa"/>
                    <w:left w:w="15" w:type="dxa"/>
                    <w:bottom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厂界</w:t>
                  </w:r>
                </w:p>
              </w:tc>
              <w:tc>
                <w:tcPr>
                  <w:tcW w:w="990" w:type="dxa"/>
                  <w:tcBorders>
                    <w:tl2br w:val="nil"/>
                    <w:tr2bl w:val="nil"/>
                  </w:tcBorders>
                  <w:noWrap w:val="0"/>
                  <w:tcMar>
                    <w:top w:w="15" w:type="dxa"/>
                    <w:left w:w="15" w:type="dxa"/>
                    <w:bottom w:w="15" w:type="dxa"/>
                    <w:right w:w="15" w:type="dxa"/>
                  </w:tcMar>
                  <w:vAlign w:val="center"/>
                </w:tcPr>
                <w:p>
                  <w:pPr>
                    <w:pStyle w:val="30"/>
                    <w:bidi w:val="0"/>
                    <w:rPr>
                      <w:rFonts w:hint="eastAsia"/>
                      <w:color w:val="auto"/>
                      <w:highlight w:val="none"/>
                      <w:lang w:val="en-US" w:eastAsia="zh-CN"/>
                    </w:rPr>
                  </w:pPr>
                  <w:r>
                    <w:rPr>
                      <w:rFonts w:hint="eastAsia"/>
                      <w:color w:val="auto"/>
                      <w:highlight w:val="none"/>
                      <w:lang w:val="en-US" w:eastAsia="zh-CN"/>
                    </w:rPr>
                    <w:t>颗粒物</w:t>
                  </w:r>
                </w:p>
              </w:tc>
              <w:tc>
                <w:tcPr>
                  <w:tcW w:w="1095" w:type="dxa"/>
                  <w:tcBorders>
                    <w:tl2br w:val="nil"/>
                    <w:tr2bl w:val="nil"/>
                  </w:tcBorders>
                  <w:noWrap w:val="0"/>
                  <w:tcMar>
                    <w:top w:w="15" w:type="dxa"/>
                    <w:left w:w="15" w:type="dxa"/>
                    <w:bottom w:w="15" w:type="dxa"/>
                    <w:right w:w="15" w:type="dxa"/>
                  </w:tcMar>
                  <w:vAlign w:val="center"/>
                </w:tcPr>
                <w:p>
                  <w:pPr>
                    <w:pStyle w:val="30"/>
                    <w:bidi w:val="0"/>
                    <w:rPr>
                      <w:rFonts w:hint="default"/>
                      <w:color w:val="auto"/>
                      <w:highlight w:val="none"/>
                      <w:lang w:val="en-US" w:eastAsia="zh-CN"/>
                    </w:rPr>
                  </w:pPr>
                  <w:r>
                    <w:rPr>
                      <w:rFonts w:hint="default"/>
                      <w:color w:val="auto"/>
                      <w:highlight w:val="none"/>
                    </w:rPr>
                    <w:t>1次</w:t>
                  </w:r>
                  <w:r>
                    <w:rPr>
                      <w:rFonts w:hint="eastAsia"/>
                      <w:color w:val="auto"/>
                      <w:highlight w:val="none"/>
                      <w:lang w:val="en-US" w:eastAsia="zh-CN"/>
                    </w:rPr>
                    <w:t>/季度</w:t>
                  </w:r>
                </w:p>
              </w:tc>
              <w:tc>
                <w:tcPr>
                  <w:tcW w:w="4480" w:type="dxa"/>
                  <w:tcBorders>
                    <w:tl2br w:val="nil"/>
                    <w:tr2bl w:val="nil"/>
                  </w:tcBorders>
                  <w:noWrap w:val="0"/>
                  <w:tcMar>
                    <w:top w:w="15" w:type="dxa"/>
                    <w:left w:w="15" w:type="dxa"/>
                    <w:bottom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vertAlign w:val="baseline"/>
                      <w:lang w:eastAsia="zh-CN"/>
                    </w:rPr>
                  </w:pPr>
                  <w:r>
                    <w:rPr>
                      <w:rFonts w:hint="eastAsia" w:ascii="Times New Roman" w:hAnsi="Times New Roman" w:cs="Times New Roman"/>
                      <w:bCs/>
                      <w:caps w:val="0"/>
                      <w:color w:val="auto"/>
                      <w:spacing w:val="0"/>
                      <w:position w:val="0"/>
                      <w:sz w:val="21"/>
                      <w:szCs w:val="21"/>
                      <w:highlight w:val="none"/>
                      <w:lang w:val="en-US" w:eastAsia="zh-CN"/>
                    </w:rPr>
                    <w:t>《石灰行业大气污染物排放标准》（DB13/1641-2012）；《唐山市钢铁行业整治提升工作方案》等10项方案（唐气领办[2021]15号）</w:t>
                  </w:r>
                </w:p>
              </w:tc>
            </w:tr>
          </w:tbl>
          <w:p>
            <w:pPr>
              <w:rPr>
                <w:rFonts w:hint="eastAsia"/>
                <w:b/>
                <w:bCs/>
                <w:color w:val="auto"/>
                <w:highlight w:val="none"/>
                <w:lang w:eastAsia="zh-CN"/>
              </w:rPr>
            </w:pPr>
            <w:r>
              <w:rPr>
                <w:rFonts w:hint="eastAsia" w:ascii="Times New Roman" w:eastAsia="宋体"/>
                <w:b/>
                <w:bCs/>
                <w:color w:val="auto"/>
                <w:highlight w:val="none"/>
                <w:lang w:val="en-US" w:eastAsia="zh-CN"/>
              </w:rPr>
              <w:t>1.2</w:t>
            </w:r>
            <w:r>
              <w:rPr>
                <w:rFonts w:hint="eastAsia" w:eastAsia="宋体"/>
                <w:b/>
                <w:bCs/>
                <w:color w:val="auto"/>
                <w:highlight w:val="none"/>
                <w:lang w:eastAsia="zh-CN"/>
              </w:rPr>
              <w:t>源强核算分析过程</w:t>
            </w:r>
          </w:p>
          <w:p>
            <w:pPr>
              <w:bidi w:val="0"/>
              <w:rPr>
                <w:rFonts w:hint="default"/>
                <w:b/>
                <w:bCs/>
                <w:color w:val="auto"/>
                <w:highlight w:val="none"/>
                <w:lang w:val="en-US" w:eastAsia="zh-CN"/>
              </w:rPr>
            </w:pPr>
            <w:r>
              <w:rPr>
                <w:rFonts w:hint="eastAsia" w:ascii="Times New Roman" w:eastAsia="宋体"/>
                <w:b/>
                <w:bCs/>
                <w:color w:val="auto"/>
                <w:highlight w:val="none"/>
                <w:lang w:val="en-US" w:eastAsia="zh-CN"/>
              </w:rPr>
              <w:t>1.2.1</w:t>
            </w:r>
            <w:r>
              <w:rPr>
                <w:rFonts w:hint="eastAsia"/>
                <w:b/>
                <w:bCs/>
                <w:color w:val="auto"/>
                <w:highlight w:val="none"/>
                <w:lang w:val="en-US" w:eastAsia="zh-CN"/>
              </w:rPr>
              <w:t>建筑垃圾处理生产线</w:t>
            </w:r>
            <w:r>
              <w:rPr>
                <w:rFonts w:hint="eastAsia" w:ascii="Times New Roman" w:eastAsia="宋体"/>
                <w:b/>
                <w:bCs/>
                <w:color w:val="auto"/>
                <w:highlight w:val="none"/>
                <w:lang w:val="en-US" w:eastAsia="zh-CN"/>
              </w:rPr>
              <w:t>废气</w:t>
            </w:r>
          </w:p>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both"/>
              <w:textAlignment w:val="auto"/>
              <w:outlineLvl w:val="9"/>
              <w:rPr>
                <w:rFonts w:hint="eastAsia"/>
                <w:b w:val="0"/>
                <w:bCs w:val="0"/>
                <w:color w:val="auto"/>
                <w:sz w:val="24"/>
                <w:szCs w:val="24"/>
                <w:highlight w:val="none"/>
                <w:lang w:val="en-US" w:eastAsia="zh-CN"/>
              </w:rPr>
            </w:pPr>
            <w:r>
              <w:rPr>
                <w:rFonts w:hint="eastAsia" w:ascii="Times New Roman" w:eastAsia="宋体"/>
                <w:color w:val="auto"/>
                <w:highlight w:val="none"/>
                <w:lang w:val="en-US" w:eastAsia="zh-CN"/>
              </w:rPr>
              <w:t>本项目</w:t>
            </w:r>
            <w:r>
              <w:rPr>
                <w:rFonts w:hint="eastAsia"/>
                <w:color w:val="auto"/>
                <w:highlight w:val="none"/>
                <w:lang w:val="en-US" w:eastAsia="zh-CN"/>
              </w:rPr>
              <w:t>建筑垃圾处理生产线</w:t>
            </w:r>
            <w:r>
              <w:rPr>
                <w:rFonts w:hint="eastAsia"/>
                <w:b w:val="0"/>
                <w:bCs w:val="0"/>
                <w:color w:val="auto"/>
                <w:highlight w:val="none"/>
                <w:lang w:val="en-US" w:eastAsia="zh-CN"/>
              </w:rPr>
              <w:t>铲车上料、转运、破碎、筛分过程会产生一定量的颗粒物，项目采取如下废气处理措施：</w:t>
            </w:r>
            <w:r>
              <w:rPr>
                <w:rFonts w:hint="eastAsia"/>
                <w:b w:val="0"/>
                <w:bCs w:val="0"/>
                <w:color w:val="auto"/>
                <w:sz w:val="24"/>
                <w:szCs w:val="24"/>
                <w:highlight w:val="none"/>
                <w:lang w:val="en-US" w:eastAsia="zh-CN"/>
              </w:rPr>
              <w:t>入料口三面围挡，一面设置软帘，上方设置封闭的集气罩；物料通过封闭的皮带输送机进行转运，其受料点、卸料点设置封闭的集气罩；破碎机、筛分机封闭，其入料点、出料点设置封闭的集气罩；振动给料机封闭。采用风量为55000m</w:t>
            </w:r>
            <w:r>
              <w:rPr>
                <w:rFonts w:hint="eastAsia"/>
                <w:b w:val="0"/>
                <w:bCs w:val="0"/>
                <w:color w:val="auto"/>
                <w:sz w:val="24"/>
                <w:szCs w:val="24"/>
                <w:highlight w:val="none"/>
                <w:vertAlign w:val="superscript"/>
                <w:lang w:val="en-US" w:eastAsia="zh-CN"/>
              </w:rPr>
              <w:t>3</w:t>
            </w:r>
            <w:r>
              <w:rPr>
                <w:rFonts w:hint="eastAsia"/>
                <w:b w:val="0"/>
                <w:bCs w:val="0"/>
                <w:color w:val="auto"/>
                <w:sz w:val="24"/>
                <w:szCs w:val="24"/>
                <w:highlight w:val="none"/>
                <w:lang w:val="en-US" w:eastAsia="zh-CN"/>
              </w:rPr>
              <w:t>/h的风机将上述环节产生的颗粒物引入1套脉冲布袋除尘器（TA001）进行处理，处理后通过1根15m高排气筒（DA001）排放至大气中。</w:t>
            </w:r>
          </w:p>
          <w:p>
            <w:pPr>
              <w:bidi w:val="0"/>
              <w:rPr>
                <w:rFonts w:hint="default" w:ascii="Times New Roman" w:hAnsi="Times New Roman" w:eastAsia="宋体" w:cs="Times New Roman"/>
                <w:color w:val="auto"/>
                <w:sz w:val="24"/>
                <w:szCs w:val="24"/>
                <w:highlight w:val="none"/>
                <w:lang w:val="en-US" w:eastAsia="zh-CN"/>
              </w:rPr>
            </w:pPr>
            <w:r>
              <w:rPr>
                <w:rFonts w:hint="eastAsia"/>
                <w:b w:val="0"/>
                <w:bCs w:val="0"/>
                <w:color w:val="auto"/>
                <w:sz w:val="24"/>
                <w:szCs w:val="24"/>
                <w:highlight w:val="none"/>
                <w:lang w:val="en-US" w:eastAsia="zh-CN"/>
              </w:rPr>
              <w:t>根据《除尘工程设计手册》（张殿印、王纯主编）中“第三章尘源控制与集气吸尘罩设计”章节可知，外部集气吸尘罩冷过程伞形罩风量计算公式为</w:t>
            </w:r>
            <w:r>
              <w:rPr>
                <w:rFonts w:hint="default" w:ascii="Times New Roman" w:hAnsi="Times New Roman" w:eastAsia="宋体" w:cs="Times New Roman"/>
                <w:color w:val="auto"/>
                <w:sz w:val="24"/>
                <w:szCs w:val="24"/>
                <w:highlight w:val="none"/>
                <w:lang w:val="en-US" w:eastAsia="zh-CN"/>
              </w:rPr>
              <w:t>：</w:t>
            </w:r>
          </w:p>
          <w:p>
            <w:pPr>
              <w:bidi w:val="0"/>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Q＝3600×K×C×H×v</w:t>
            </w:r>
            <w:r>
              <w:rPr>
                <w:rFonts w:hint="default" w:ascii="Times New Roman" w:hAnsi="Times New Roman" w:eastAsia="宋体" w:cs="Times New Roman"/>
                <w:color w:val="auto"/>
                <w:sz w:val="24"/>
                <w:szCs w:val="24"/>
                <w:highlight w:val="none"/>
                <w:vertAlign w:val="subscript"/>
                <w:lang w:val="en-US" w:eastAsia="zh-CN"/>
              </w:rPr>
              <w:t>0</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color w:val="auto"/>
                <w:highlight w:val="none"/>
                <w:lang w:val="en-US" w:eastAsia="zh-CN"/>
              </w:rPr>
            </w:pPr>
            <w:r>
              <w:rPr>
                <w:rFonts w:hint="eastAsia"/>
                <w:color w:val="auto"/>
                <w:highlight w:val="none"/>
                <w:lang w:val="en-US" w:eastAsia="zh-CN"/>
              </w:rPr>
              <w:t>K：取决于伞形罩几何尺寸的系数，通常取K=1.4；</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color w:val="auto"/>
                <w:highlight w:val="none"/>
                <w:lang w:val="en-US" w:eastAsia="zh-CN"/>
              </w:rPr>
            </w:pPr>
            <w:r>
              <w:rPr>
                <w:rFonts w:hint="eastAsia"/>
                <w:color w:val="auto"/>
                <w:highlight w:val="none"/>
                <w:lang w:val="en-US" w:eastAsia="zh-CN"/>
              </w:rPr>
              <w:t>C</w:t>
            </w:r>
            <w:r>
              <w:rPr>
                <w:rFonts w:hint="default"/>
                <w:color w:val="auto"/>
                <w:highlight w:val="none"/>
                <w:lang w:val="en-US" w:eastAsia="zh-CN"/>
              </w:rPr>
              <w:t>：</w:t>
            </w:r>
            <w:r>
              <w:rPr>
                <w:rFonts w:hint="eastAsia"/>
                <w:color w:val="auto"/>
                <w:highlight w:val="none"/>
                <w:lang w:val="en-US" w:eastAsia="zh-CN"/>
              </w:rPr>
              <w:t>尘源的周长，m，当罩口设有挡板时，C为未设挡板部分的有尘源的周长</w:t>
            </w:r>
            <w:r>
              <w:rPr>
                <w:rFonts w:hint="default"/>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color w:val="auto"/>
                <w:highlight w:val="none"/>
                <w:lang w:val="en-US" w:eastAsia="zh-CN"/>
              </w:rPr>
            </w:pPr>
            <w:r>
              <w:rPr>
                <w:rFonts w:hint="eastAsia"/>
                <w:color w:val="auto"/>
                <w:highlight w:val="none"/>
                <w:lang w:val="en-US" w:eastAsia="zh-CN"/>
              </w:rPr>
              <w:t>H：罩口距尘源的距离，m；</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lang w:val="en-US" w:eastAsia="zh-CN"/>
              </w:rPr>
              <w:t>：罩口</w:t>
            </w:r>
            <w:r>
              <w:rPr>
                <w:rFonts w:hint="eastAsia"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val="en-US" w:eastAsia="zh-CN"/>
              </w:rPr>
              <w:t>平均风速，</w:t>
            </w:r>
            <w:r>
              <w:rPr>
                <w:rFonts w:hint="default" w:ascii="Times New Roman" w:hAnsi="Times New Roman" w:eastAsia="宋体" w:cs="Times New Roman"/>
                <w:color w:val="auto"/>
                <w:kern w:val="2"/>
                <w:sz w:val="24"/>
                <w:szCs w:val="24"/>
                <w:highlight w:val="none"/>
                <w:lang w:val="en-US" w:eastAsia="zh-CN" w:bidi="ar-SA"/>
              </w:rPr>
              <w:t>m/s，</w:t>
            </w:r>
            <w:r>
              <w:rPr>
                <w:rFonts w:hint="eastAsia" w:ascii="Times New Roman" w:hAnsi="Times New Roman" w:eastAsia="宋体" w:cs="Times New Roman"/>
                <w:color w:val="auto"/>
                <w:kern w:val="2"/>
                <w:sz w:val="24"/>
                <w:szCs w:val="24"/>
                <w:highlight w:val="none"/>
                <w:lang w:val="en-US" w:eastAsia="zh-CN" w:bidi="ar-SA"/>
              </w:rPr>
              <w:t>根据下表确定。</w:t>
            </w:r>
          </w:p>
          <w:p>
            <w:pPr>
              <w:pStyle w:val="29"/>
              <w:bidi w:val="0"/>
              <w:rPr>
                <w:rFonts w:hint="default"/>
                <w:color w:val="auto"/>
                <w:highlight w:val="none"/>
                <w:lang w:val="en-US" w:eastAsia="zh-CN"/>
              </w:rPr>
            </w:pPr>
            <w:r>
              <w:rPr>
                <w:rFonts w:hint="eastAsia"/>
                <w:color w:val="auto"/>
                <w:highlight w:val="none"/>
                <w:lang w:val="en-US" w:eastAsia="zh-CN"/>
              </w:rPr>
              <w:t>表23  集气罩开口断面流速一览表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2097"/>
              <w:gridCol w:w="2097"/>
              <w:gridCol w:w="20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罩子形式</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断面流速（m/s）</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罩子形式</w:t>
                  </w:r>
                </w:p>
              </w:tc>
              <w:tc>
                <w:tcPr>
                  <w:tcW w:w="2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断面流速（m/s）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未设挡板</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1.0-1.27</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两面挡板</w:t>
                  </w:r>
                </w:p>
              </w:tc>
              <w:tc>
                <w:tcPr>
                  <w:tcW w:w="2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0.76-0.9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一面挡板</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0.9-1.0</w:t>
                  </w:r>
                </w:p>
              </w:tc>
              <w:tc>
                <w:tcPr>
                  <w:tcW w:w="20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三面挡板</w:t>
                  </w:r>
                </w:p>
              </w:tc>
              <w:tc>
                <w:tcPr>
                  <w:tcW w:w="20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0.5-0.76</w:t>
                  </w:r>
                </w:p>
              </w:tc>
            </w:tr>
          </w:tbl>
          <w:p>
            <w:pPr>
              <w:keepNext w:val="0"/>
              <w:keepLines w:val="0"/>
              <w:pageBreakBefore w:val="0"/>
              <w:widowControl w:val="0"/>
              <w:kinsoku/>
              <w:wordWrap/>
              <w:overflowPunct/>
              <w:topLinePunct w:val="0"/>
              <w:autoSpaceDE w:val="0"/>
              <w:autoSpaceDN w:val="0"/>
              <w:bidi w:val="0"/>
              <w:adjustRightInd/>
              <w:snapToGrid/>
              <w:spacing w:line="480" w:lineRule="exact"/>
              <w:ind w:firstLine="480" w:firstLineChars="200"/>
              <w:jc w:val="both"/>
              <w:textAlignment w:val="auto"/>
              <w:outlineLvl w:val="9"/>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本项目建筑垃圾处理生产线上料斗三面围挡，一面设置软帘，</w:t>
            </w:r>
            <w:r>
              <w:rPr>
                <w:rFonts w:hint="eastAsia"/>
                <w:color w:val="auto"/>
                <w:highlight w:val="none"/>
                <w:lang w:val="en-US" w:eastAsia="zh-CN"/>
              </w:rPr>
              <w:t>罩口距尘源的距离（罩口下方设置软帘，取软帘下端距尘源距离）为0.5m，尘源的周长（仅入料一面未设挡板）为3.5m，</w:t>
            </w:r>
            <w:r>
              <w:rPr>
                <w:rFonts w:hint="default" w:ascii="Times New Roman" w:hAnsi="Times New Roman" w:eastAsia="宋体" w:cs="Times New Roman"/>
                <w:color w:val="auto"/>
                <w:sz w:val="24"/>
                <w:szCs w:val="24"/>
                <w:highlight w:val="none"/>
                <w:lang w:val="en-US" w:eastAsia="zh-CN"/>
              </w:rPr>
              <w:t>罩口</w:t>
            </w:r>
            <w:r>
              <w:rPr>
                <w:rFonts w:hint="eastAsia"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lang w:val="en-US" w:eastAsia="zh-CN"/>
              </w:rPr>
              <w:t>平均风速</w:t>
            </w:r>
            <w:r>
              <w:rPr>
                <w:rFonts w:hint="eastAsia" w:ascii="Times New Roman" w:hAnsi="Times New Roman" w:eastAsia="宋体" w:cs="Times New Roman"/>
                <w:color w:val="auto"/>
                <w:sz w:val="24"/>
                <w:szCs w:val="24"/>
                <w:highlight w:val="none"/>
                <w:lang w:val="en-US" w:eastAsia="zh-CN"/>
              </w:rPr>
              <w:t>取0.5m/s，</w:t>
            </w:r>
            <w:r>
              <w:rPr>
                <w:rFonts w:hint="eastAsia"/>
                <w:color w:val="auto"/>
                <w:highlight w:val="none"/>
                <w:lang w:val="en-US" w:eastAsia="zh-CN"/>
              </w:rPr>
              <w:t>故铲车上料（单个）过程所需风量为4410m</w:t>
            </w:r>
            <w:r>
              <w:rPr>
                <w:rFonts w:hint="eastAsia"/>
                <w:color w:val="auto"/>
                <w:highlight w:val="none"/>
                <w:vertAlign w:val="superscript"/>
                <w:lang w:val="en-US" w:eastAsia="zh-CN"/>
              </w:rPr>
              <w:t>3</w:t>
            </w:r>
            <w:r>
              <w:rPr>
                <w:rFonts w:hint="eastAsia"/>
                <w:color w:val="auto"/>
                <w:highlight w:val="none"/>
                <w:lang w:val="en-US" w:eastAsia="zh-CN"/>
              </w:rPr>
              <w:t>/h，项目建筑垃圾处理生产线共设置两个上料斗，则</w:t>
            </w:r>
            <w:r>
              <w:rPr>
                <w:rFonts w:hint="eastAsia"/>
                <w:b w:val="0"/>
                <w:bCs w:val="0"/>
                <w:color w:val="auto"/>
                <w:sz w:val="24"/>
                <w:szCs w:val="24"/>
                <w:highlight w:val="none"/>
                <w:lang w:val="en-US" w:eastAsia="zh-CN"/>
              </w:rPr>
              <w:t>建筑垃圾处理生产线</w:t>
            </w:r>
            <w:r>
              <w:rPr>
                <w:rFonts w:hint="eastAsia"/>
                <w:color w:val="auto"/>
                <w:highlight w:val="none"/>
                <w:lang w:val="en-US" w:eastAsia="zh-CN"/>
              </w:rPr>
              <w:t>铲车上料过程所需风量为8820m</w:t>
            </w:r>
            <w:r>
              <w:rPr>
                <w:rFonts w:hint="eastAsia"/>
                <w:color w:val="auto"/>
                <w:highlight w:val="none"/>
                <w:vertAlign w:val="superscript"/>
                <w:lang w:val="en-US" w:eastAsia="zh-CN"/>
              </w:rPr>
              <w:t>3</w:t>
            </w:r>
            <w:r>
              <w:rPr>
                <w:rFonts w:hint="eastAsia"/>
                <w:color w:val="auto"/>
                <w:highlight w:val="none"/>
                <w:lang w:val="en-US" w:eastAsia="zh-CN"/>
              </w:rPr>
              <w:t>/h。</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本项目建筑垃圾处理生产线破碎机、筛分机入料点、出料点，皮带输送机受料点、卸料点设置封闭的集气罩，集气罩风量计算公式为：</w:t>
            </w:r>
          </w:p>
          <w:p>
            <w:pPr>
              <w:bidi w:val="0"/>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Q＝3600×</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vertAlign w:val="subscript"/>
                <w:lang w:val="en-US" w:eastAsia="zh-CN"/>
              </w:rPr>
              <w:t>p1</w:t>
            </w:r>
          </w:p>
          <w:p>
            <w:pPr>
              <w:bidi w:val="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式中：</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Q：</w:t>
            </w:r>
            <w:r>
              <w:rPr>
                <w:rFonts w:hint="eastAsia" w:ascii="Times New Roman" w:hAnsi="Times New Roman" w:eastAsia="宋体" w:cs="Times New Roman"/>
                <w:color w:val="auto"/>
                <w:sz w:val="24"/>
                <w:szCs w:val="24"/>
                <w:highlight w:val="none"/>
                <w:lang w:val="en-US" w:eastAsia="zh-CN"/>
              </w:rPr>
              <w:t>排</w:t>
            </w:r>
            <w:r>
              <w:rPr>
                <w:rFonts w:hint="default" w:ascii="Times New Roman" w:hAnsi="Times New Roman" w:eastAsia="宋体" w:cs="Times New Roman"/>
                <w:color w:val="auto"/>
                <w:sz w:val="24"/>
                <w:szCs w:val="24"/>
                <w:highlight w:val="none"/>
                <w:lang w:val="en-US" w:eastAsia="zh-CN"/>
              </w:rPr>
              <w:t>风量，</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color w:val="auto"/>
                <w:highlight w:val="none"/>
                <w:lang w:val="en-US" w:eastAsia="zh-CN"/>
              </w:rPr>
            </w:pPr>
            <w:r>
              <w:rPr>
                <w:rFonts w:hint="eastAsia"/>
                <w:color w:val="auto"/>
                <w:highlight w:val="none"/>
                <w:lang w:val="en-US" w:eastAsia="zh-CN"/>
              </w:rPr>
              <w:t>A：罩口面积；</w:t>
            </w:r>
          </w:p>
          <w:p>
            <w:pPr>
              <w:keepNext w:val="0"/>
              <w:keepLines w:val="0"/>
              <w:pageBreakBefore w:val="0"/>
              <w:widowControl w:val="0"/>
              <w:kinsoku/>
              <w:wordWrap/>
              <w:overflowPunct/>
              <w:topLinePunct w:val="0"/>
              <w:autoSpaceDE/>
              <w:autoSpaceDN/>
              <w:bidi w:val="0"/>
              <w:adjustRightInd/>
              <w:snapToGrid/>
              <w:ind w:left="480" w:leftChars="200" w:firstLine="720" w:firstLineChars="300"/>
              <w:textAlignment w:val="auto"/>
              <w:rPr>
                <w:rFonts w:hint="default"/>
                <w:color w:val="auto"/>
                <w:highlight w:val="none"/>
                <w:lang w:val="en-US" w:eastAsia="zh-CN"/>
              </w:rPr>
            </w:pPr>
            <w:r>
              <w:rPr>
                <w:rFonts w:hint="eastAsia"/>
                <w:color w:val="auto"/>
                <w:highlight w:val="none"/>
                <w:lang w:val="en-US" w:eastAsia="zh-CN"/>
              </w:rPr>
              <w:t>V</w:t>
            </w:r>
            <w:r>
              <w:rPr>
                <w:rFonts w:hint="eastAsia"/>
                <w:color w:val="auto"/>
                <w:highlight w:val="none"/>
                <w:vertAlign w:val="subscript"/>
                <w:lang w:val="en-US" w:eastAsia="zh-CN"/>
              </w:rPr>
              <w:t>p1</w:t>
            </w:r>
            <w:r>
              <w:rPr>
                <w:rFonts w:hint="eastAsia"/>
                <w:color w:val="auto"/>
                <w:highlight w:val="none"/>
                <w:lang w:val="en-US" w:eastAsia="zh-CN"/>
              </w:rPr>
              <w:t>：罩口平均风速，m/s；</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本项目建筑垃圾处理生产线颚式破碎机入料点（振动给料机给料）、颚式破碎机出料点（1#皮带输送机受料点）、锤式破碎机入料点（1#、3#皮带输送机卸料点）、锤式破碎机出料点（2#皮带输送机受料点）、1#振动筛入料点（2#皮带输送机卸料点）、冲击式破碎机受料点（5#、7#皮带输送机卸料点）、冲击式破碎机出料点（6#皮带输送机受料点）、2#振动筛入料点（6#皮带输送机卸料点）、3#振动筛入料点（10#、11#皮带输送机卸料点）集气罩尺寸均为1.0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1.2</w:t>
            </w:r>
            <w:r>
              <w:rPr>
                <w:rFonts w:hint="eastAsia" w:ascii="Times New Roman" w:hAnsi="Times New Roman" w:eastAsia="宋体" w:cs="Times New Roman"/>
                <w:color w:val="auto"/>
                <w:sz w:val="24"/>
                <w:szCs w:val="24"/>
                <w:highlight w:val="none"/>
                <w:lang w:val="en-US" w:eastAsia="zh-CN"/>
              </w:rPr>
              <w:t>m，</w:t>
            </w:r>
            <w:r>
              <w:rPr>
                <w:rFonts w:hint="eastAsia"/>
                <w:b w:val="0"/>
                <w:bCs w:val="0"/>
                <w:color w:val="auto"/>
                <w:sz w:val="24"/>
                <w:szCs w:val="24"/>
                <w:highlight w:val="none"/>
                <w:lang w:val="en-US" w:eastAsia="zh-CN"/>
              </w:rPr>
              <w:t>1#振动筛出料点（3#、4#、5#皮带输送机受料点）、2#振动筛出料点（7#、8#、9#、10#皮带输送机受料点）集气罩尺寸均为1.2m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cs="Times New Roman"/>
                <w:color w:val="auto"/>
                <w:sz w:val="24"/>
                <w:szCs w:val="24"/>
                <w:highlight w:val="none"/>
                <w:lang w:val="en-US" w:eastAsia="zh-CN"/>
              </w:rPr>
              <w:t>，</w:t>
            </w:r>
            <w:r>
              <w:rPr>
                <w:rFonts w:hint="eastAsia"/>
                <w:b w:val="0"/>
                <w:bCs w:val="0"/>
                <w:color w:val="auto"/>
                <w:sz w:val="24"/>
                <w:szCs w:val="24"/>
                <w:highlight w:val="none"/>
                <w:lang w:val="en-US" w:eastAsia="zh-CN"/>
              </w:rPr>
              <w:t>11#皮带输送机受料点（振动给料机给料）集气罩尺寸均为1.0m</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0.6</w:t>
            </w:r>
            <w:r>
              <w:rPr>
                <w:rFonts w:hint="eastAsia" w:ascii="Times New Roman" w:hAnsi="Times New Roman" w:eastAsia="宋体" w:cs="Times New Roman"/>
                <w:color w:val="auto"/>
                <w:sz w:val="24"/>
                <w:szCs w:val="24"/>
                <w:highlight w:val="none"/>
                <w:lang w:val="en-US" w:eastAsia="zh-CN"/>
              </w:rPr>
              <w:t>m</w:t>
            </w:r>
            <w:r>
              <w:rPr>
                <w:rFonts w:hint="eastAsia"/>
                <w:b w:val="0"/>
                <w:bCs w:val="0"/>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集气罩封闭，</w:t>
            </w:r>
            <w:r>
              <w:rPr>
                <w:rFonts w:hint="eastAsia"/>
                <w:color w:val="auto"/>
                <w:highlight w:val="none"/>
                <w:lang w:val="en-US" w:eastAsia="zh-CN"/>
              </w:rPr>
              <w:t>罩口平均风速取0.8m/s，则</w:t>
            </w:r>
            <w:r>
              <w:rPr>
                <w:rFonts w:hint="eastAsia"/>
                <w:b w:val="0"/>
                <w:bCs w:val="0"/>
                <w:color w:val="auto"/>
                <w:sz w:val="24"/>
                <w:szCs w:val="24"/>
                <w:highlight w:val="none"/>
                <w:lang w:val="en-US" w:eastAsia="zh-CN"/>
              </w:rPr>
              <w:t>所需风量为43200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/h，故本项目建筑垃圾处理生产线</w:t>
            </w:r>
            <w:r>
              <w:rPr>
                <w:rFonts w:hint="eastAsia"/>
                <w:b w:val="0"/>
                <w:bCs w:val="0"/>
                <w:color w:val="auto"/>
                <w:highlight w:val="none"/>
                <w:lang w:val="en-US" w:eastAsia="zh-CN"/>
              </w:rPr>
              <w:t>风机风量应不小于</w:t>
            </w:r>
            <w:r>
              <w:rPr>
                <w:rFonts w:hint="eastAsia"/>
                <w:color w:val="auto"/>
                <w:highlight w:val="none"/>
                <w:lang w:val="en-US" w:eastAsia="zh-CN"/>
              </w:rPr>
              <w:t>8820m</w:t>
            </w:r>
            <w:r>
              <w:rPr>
                <w:rFonts w:hint="eastAsia"/>
                <w:color w:val="auto"/>
                <w:highlight w:val="none"/>
                <w:vertAlign w:val="superscript"/>
                <w:lang w:val="en-US" w:eastAsia="zh-CN"/>
              </w:rPr>
              <w:t>3</w:t>
            </w:r>
            <w:r>
              <w:rPr>
                <w:rFonts w:hint="eastAsia"/>
                <w:color w:val="auto"/>
                <w:highlight w:val="none"/>
                <w:lang w:val="en-US" w:eastAsia="zh-CN"/>
              </w:rPr>
              <w:t>/h+</w:t>
            </w:r>
            <w:r>
              <w:rPr>
                <w:rFonts w:hint="eastAsia"/>
                <w:b w:val="0"/>
                <w:bCs w:val="0"/>
                <w:color w:val="auto"/>
                <w:sz w:val="24"/>
                <w:szCs w:val="24"/>
                <w:highlight w:val="none"/>
                <w:lang w:val="en-US" w:eastAsia="zh-CN"/>
              </w:rPr>
              <w:t>43200</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lang w:val="en-US" w:eastAsia="zh-CN"/>
              </w:rPr>
              <w:t>/h=52020m</w:t>
            </w:r>
            <w:r>
              <w:rPr>
                <w:rFonts w:hint="eastAsia"/>
                <w:color w:val="auto"/>
                <w:highlight w:val="none"/>
                <w:vertAlign w:val="superscript"/>
                <w:lang w:val="en-US" w:eastAsia="zh-CN"/>
              </w:rPr>
              <w:t>3</w:t>
            </w:r>
            <w:r>
              <w:rPr>
                <w:rFonts w:hint="eastAsia"/>
                <w:color w:val="auto"/>
                <w:highlight w:val="none"/>
                <w:lang w:val="en-US" w:eastAsia="zh-CN"/>
              </w:rPr>
              <w:t>/h，项目设置风机风量为55000m</w:t>
            </w:r>
            <w:r>
              <w:rPr>
                <w:rFonts w:hint="eastAsia"/>
                <w:color w:val="auto"/>
                <w:highlight w:val="none"/>
                <w:vertAlign w:val="superscript"/>
                <w:lang w:val="en-US" w:eastAsia="zh-CN"/>
              </w:rPr>
              <w:t>3</w:t>
            </w:r>
            <w:r>
              <w:rPr>
                <w:rFonts w:hint="eastAsia"/>
                <w:color w:val="auto"/>
                <w:highlight w:val="none"/>
                <w:lang w:val="en-US" w:eastAsia="zh-CN"/>
              </w:rPr>
              <w:t>/h，满足所需要求。</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b w:val="0"/>
                <w:bCs w:val="0"/>
                <w:color w:val="auto"/>
                <w:sz w:val="24"/>
                <w:szCs w:val="24"/>
                <w:highlight w:val="none"/>
                <w:lang w:val="en-US" w:eastAsia="zh-CN"/>
              </w:rPr>
              <w:t>根据项目特点，本次评价</w:t>
            </w:r>
            <w:r>
              <w:rPr>
                <w:rFonts w:hint="eastAsia"/>
                <w:color w:val="auto"/>
                <w:highlight w:val="none"/>
                <w:lang w:val="en-US" w:eastAsia="zh-CN"/>
              </w:rPr>
              <w:t>建筑垃圾处理生产线</w:t>
            </w:r>
            <w:r>
              <w:rPr>
                <w:rFonts w:hint="eastAsia"/>
                <w:b w:val="0"/>
                <w:bCs w:val="0"/>
                <w:color w:val="auto"/>
                <w:highlight w:val="none"/>
                <w:lang w:val="en-US" w:eastAsia="zh-CN"/>
              </w:rPr>
              <w:t>铲车上料、破碎、筛分、转运过程</w:t>
            </w:r>
            <w:r>
              <w:rPr>
                <w:rFonts w:hint="eastAsia" w:cs="Times New Roman"/>
                <w:b w:val="0"/>
                <w:bCs w:val="0"/>
                <w:snapToGrid w:val="0"/>
                <w:color w:val="auto"/>
                <w:kern w:val="0"/>
                <w:sz w:val="24"/>
                <w:szCs w:val="24"/>
                <w:highlight w:val="none"/>
                <w:shd w:val="clear" w:color="auto" w:fill="auto"/>
                <w:lang w:val="en-US" w:eastAsia="zh-CN" w:bidi="ar-SA"/>
              </w:rPr>
              <w:t>颗粒物产污系数</w:t>
            </w:r>
            <w:r>
              <w:rPr>
                <w:rFonts w:ascii="Times New Roman" w:hAnsi="Times New Roman" w:eastAsia="宋体" w:cs="Times New Roman"/>
                <w:color w:val="auto"/>
                <w:spacing w:val="0"/>
                <w:sz w:val="24"/>
                <w:highlight w:val="none"/>
              </w:rPr>
              <w:t>参</w:t>
            </w:r>
            <w:r>
              <w:rPr>
                <w:rFonts w:hint="eastAsia" w:ascii="Times New Roman" w:hAnsi="Times New Roman" w:eastAsia="宋体" w:cs="Times New Roman"/>
                <w:color w:val="auto"/>
                <w:spacing w:val="0"/>
                <w:sz w:val="24"/>
                <w:highlight w:val="none"/>
                <w:lang w:val="en-US" w:eastAsia="zh-CN"/>
              </w:rPr>
              <w:t>照</w:t>
            </w:r>
            <w:r>
              <w:rPr>
                <w:rFonts w:hint="eastAsia"/>
                <w:color w:val="auto"/>
                <w:sz w:val="24"/>
                <w:highlight w:val="none"/>
                <w:lang w:eastAsia="zh-CN"/>
              </w:rPr>
              <w:t>《排放源统计调查产排污核算方法和系数手册》工业行业产排污系数手册</w:t>
            </w:r>
            <w:r>
              <w:rPr>
                <w:rFonts w:hint="eastAsia"/>
                <w:color w:val="auto"/>
                <w:sz w:val="24"/>
                <w:highlight w:val="none"/>
                <w:lang w:val="en-US" w:eastAsia="zh-CN"/>
              </w:rPr>
              <w:t>3021水泥制品制造（含3022砼结构构件制造、3029其他水泥类似制品制造）行业系数手册中利用水泥、砂子、石子、钢筋生产各种水泥制品，物料输送储存环节颗粒物产污系数：0.19千克/吨-产品和</w:t>
            </w:r>
            <w:r>
              <w:rPr>
                <w:rFonts w:hint="eastAsia"/>
                <w:color w:val="auto"/>
                <w:sz w:val="24"/>
                <w:highlight w:val="none"/>
                <w:lang w:eastAsia="zh-CN"/>
              </w:rPr>
              <w:t>《排放源统计调查产排污核算方法和系数手册》工业行业产排污系数手册</w:t>
            </w:r>
            <w:r>
              <w:rPr>
                <w:rFonts w:hint="eastAsia"/>
                <w:color w:val="auto"/>
                <w:sz w:val="24"/>
                <w:highlight w:val="none"/>
                <w:lang w:val="en-US" w:eastAsia="zh-CN"/>
              </w:rPr>
              <w:t>303砖瓦、石材等建筑材料制造行业系数手册中3039其他建筑材料制造行业利用岩石矿石、建筑固体废弃物、尾矿等生产砂石骨料过程中破碎、筛分颗粒物产污系数：1.89千克/吨-产品，本项目</w:t>
            </w:r>
            <w:r>
              <w:rPr>
                <w:rFonts w:hint="eastAsia"/>
                <w:b w:val="0"/>
                <w:bCs w:val="0"/>
                <w:color w:val="auto"/>
                <w:highlight w:val="none"/>
                <w:lang w:val="en-US" w:eastAsia="zh-CN"/>
              </w:rPr>
              <w:t>铲车上料过程、11#皮带输送机受料过程和3#振动筛入料过程颗粒物产污系数均按0.019kg/t-物料计，破碎、筛分过程颗粒物产污系数均按</w:t>
            </w:r>
            <w:r>
              <w:rPr>
                <w:rFonts w:hint="eastAsia"/>
                <w:color w:val="auto"/>
                <w:sz w:val="24"/>
                <w:highlight w:val="none"/>
                <w:lang w:val="en-US" w:eastAsia="zh-CN"/>
              </w:rPr>
              <w:t>1.89千克/吨-原料计，项目年处理建筑垃圾50000吨（建筑混凝土块等为40000吨，建筑渣土等10000吨），进入3#筛分机物料约20000t/a，建筑混凝土块经过3次破碎、2次筛分，每次破碎、筛分过程颗粒物产生量均为75.6t/a，则铲车上料过程颗粒物产生量为9.5t/a</w:t>
            </w:r>
            <w:r>
              <w:rPr>
                <w:rFonts w:hint="eastAsia"/>
                <w:b w:val="0"/>
                <w:bCs w:val="0"/>
                <w:color w:val="auto"/>
                <w:highlight w:val="none"/>
                <w:lang w:val="en-US" w:eastAsia="zh-CN"/>
              </w:rPr>
              <w:t>，破碎、筛分、转运过程颗粒物产生量为383.7t/a，采用风机将</w:t>
            </w:r>
            <w:r>
              <w:rPr>
                <w:rFonts w:hint="eastAsia"/>
                <w:color w:val="auto"/>
                <w:highlight w:val="none"/>
                <w:lang w:val="en-US" w:eastAsia="zh-CN"/>
              </w:rPr>
              <w:t>建筑垃圾处理生产线</w:t>
            </w:r>
            <w:r>
              <w:rPr>
                <w:rFonts w:hint="eastAsia"/>
                <w:b w:val="0"/>
                <w:bCs w:val="0"/>
                <w:color w:val="auto"/>
                <w:highlight w:val="none"/>
                <w:lang w:val="en-US" w:eastAsia="zh-CN"/>
              </w:rPr>
              <w:t>铲车上料、破碎、筛分、转运过程产生的颗粒物引入1套</w:t>
            </w:r>
            <w:r>
              <w:rPr>
                <w:rFonts w:hint="eastAsia"/>
                <w:b w:val="0"/>
                <w:bCs w:val="0"/>
                <w:color w:val="auto"/>
                <w:sz w:val="24"/>
                <w:szCs w:val="24"/>
                <w:highlight w:val="none"/>
                <w:lang w:val="en-US" w:eastAsia="zh-CN"/>
              </w:rPr>
              <w:t>脉冲布袋除尘器（TA001）进行处理，铲车上料过程颗粒物收集效率按95%计，破碎、筛分、转运工序颗粒物捕集效率按98%计，处理效率为92%，建筑垃圾处理生产线年运行6000h，</w:t>
            </w:r>
            <w:r>
              <w:rPr>
                <w:rFonts w:hint="eastAsia"/>
                <w:color w:val="auto"/>
                <w:highlight w:val="none"/>
                <w:lang w:val="en-US" w:eastAsia="zh-CN"/>
              </w:rPr>
              <w:t>建筑垃圾处理生产线生产过程</w:t>
            </w:r>
            <w:r>
              <w:rPr>
                <w:rFonts w:hint="eastAsia"/>
                <w:b w:val="0"/>
                <w:bCs w:val="0"/>
                <w:color w:val="auto"/>
                <w:highlight w:val="none"/>
                <w:lang w:val="en-US" w:eastAsia="zh-CN"/>
              </w:rPr>
              <w:t>污染物产生及收集情况见下表。</w:t>
            </w: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rPr>
            </w:pP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val="0"/>
                <w:color w:val="auto"/>
                <w:szCs w:val="21"/>
                <w:highlight w:val="none"/>
              </w:rPr>
            </w:pPr>
            <w:r>
              <w:rPr>
                <w:rFonts w:hint="default"/>
                <w:color w:val="auto"/>
                <w:highlight w:val="none"/>
              </w:rPr>
              <w:t>表</w:t>
            </w:r>
            <w:r>
              <w:rPr>
                <w:rFonts w:hint="eastAsia"/>
                <w:color w:val="auto"/>
                <w:highlight w:val="none"/>
                <w:lang w:val="en-US" w:eastAsia="zh-CN"/>
              </w:rPr>
              <w:t>24  建筑垃圾处理生产线生产过程污染物产生及收集情况一览表</w:t>
            </w:r>
          </w:p>
          <w:tbl>
            <w:tblPr>
              <w:tblStyle w:val="24"/>
              <w:tblW w:w="833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027"/>
              <w:gridCol w:w="982"/>
              <w:gridCol w:w="956"/>
              <w:gridCol w:w="978"/>
              <w:gridCol w:w="800"/>
              <w:gridCol w:w="807"/>
              <w:gridCol w:w="682"/>
              <w:gridCol w:w="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6" w:hRule="atLeast"/>
                <w:jc w:val="center"/>
              </w:trPr>
              <w:tc>
                <w:tcPr>
                  <w:tcW w:w="135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污染源</w:t>
                  </w:r>
                </w:p>
              </w:tc>
              <w:tc>
                <w:tcPr>
                  <w:tcW w:w="102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污染因子</w:t>
                  </w:r>
                </w:p>
              </w:tc>
              <w:tc>
                <w:tcPr>
                  <w:tcW w:w="97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处理设备</w:t>
                  </w:r>
                </w:p>
              </w:tc>
              <w:tc>
                <w:tcPr>
                  <w:tcW w:w="949"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产生量（t/a）</w:t>
                  </w:r>
                </w:p>
              </w:tc>
              <w:tc>
                <w:tcPr>
                  <w:tcW w:w="971"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ascii="Times New Roman" w:hAnsi="Times New Roman" w:cs="Times New Roman"/>
                      <w:color w:val="auto"/>
                      <w:spacing w:val="-6"/>
                      <w:kern w:val="2"/>
                      <w:sz w:val="21"/>
                      <w:szCs w:val="21"/>
                      <w:highlight w:val="none"/>
                      <w:vertAlign w:val="baseline"/>
                      <w:lang w:val="en-US" w:eastAsia="zh-CN" w:bidi="ar-SA"/>
                    </w:rPr>
                    <w:t>收集效率</w:t>
                  </w:r>
                  <w:r>
                    <w:rPr>
                      <w:rFonts w:hint="eastAsia"/>
                      <w:color w:val="auto"/>
                      <w:spacing w:val="-6"/>
                      <w:sz w:val="21"/>
                      <w:szCs w:val="21"/>
                      <w:highlight w:val="none"/>
                      <w:vertAlign w:val="baseline"/>
                      <w:lang w:val="en-US" w:eastAsia="zh-CN"/>
                    </w:rPr>
                    <w:t>（%）</w:t>
                  </w:r>
                </w:p>
              </w:tc>
              <w:tc>
                <w:tcPr>
                  <w:tcW w:w="1596" w:type="dxa"/>
                  <w:gridSpan w:val="2"/>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捕集量</w:t>
                  </w:r>
                  <w:r>
                    <w:rPr>
                      <w:rFonts w:hint="eastAsia"/>
                      <w:color w:val="auto"/>
                      <w:spacing w:val="-6"/>
                      <w:sz w:val="21"/>
                      <w:szCs w:val="21"/>
                      <w:highlight w:val="none"/>
                      <w:vertAlign w:val="baseline"/>
                      <w:lang w:val="en-US" w:eastAsia="zh-CN"/>
                    </w:rPr>
                    <w:t>（t/a）</w:t>
                  </w:r>
                </w:p>
              </w:tc>
              <w:tc>
                <w:tcPr>
                  <w:tcW w:w="1409" w:type="dxa"/>
                  <w:gridSpan w:val="2"/>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未捕集量</w:t>
                  </w:r>
                  <w:r>
                    <w:rPr>
                      <w:rFonts w:hint="eastAsia"/>
                      <w:color w:val="auto"/>
                      <w:spacing w:val="-6"/>
                      <w:sz w:val="21"/>
                      <w:szCs w:val="21"/>
                      <w:highlight w:val="none"/>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5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铲车上料过程</w:t>
                  </w:r>
                </w:p>
              </w:tc>
              <w:tc>
                <w:tcPr>
                  <w:tcW w:w="1020" w:type="dxa"/>
                  <w:vMerge w:val="restar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颗粒物</w:t>
                  </w:r>
                </w:p>
              </w:tc>
              <w:tc>
                <w:tcPr>
                  <w:tcW w:w="975" w:type="dxa"/>
                  <w:vMerge w:val="restar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TA001</w:t>
                  </w:r>
                </w:p>
              </w:tc>
              <w:tc>
                <w:tcPr>
                  <w:tcW w:w="949"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9.5</w:t>
                  </w:r>
                </w:p>
              </w:tc>
              <w:tc>
                <w:tcPr>
                  <w:tcW w:w="971"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95</w:t>
                  </w:r>
                </w:p>
              </w:tc>
              <w:tc>
                <w:tcPr>
                  <w:tcW w:w="79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ascii="Times New Roman" w:hAnsi="Times New Roman" w:cs="Times New Roman"/>
                      <w:color w:val="auto"/>
                      <w:spacing w:val="-6"/>
                      <w:kern w:val="2"/>
                      <w:sz w:val="21"/>
                      <w:szCs w:val="21"/>
                      <w:highlight w:val="none"/>
                      <w:vertAlign w:val="baseline"/>
                      <w:lang w:val="en-US" w:eastAsia="zh-CN" w:bidi="ar-SA"/>
                    </w:rPr>
                    <w:t>9.03</w:t>
                  </w:r>
                </w:p>
              </w:tc>
              <w:tc>
                <w:tcPr>
                  <w:tcW w:w="801" w:type="dxa"/>
                  <w:vMerge w:val="restar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385.06</w:t>
                  </w:r>
                </w:p>
              </w:tc>
              <w:tc>
                <w:tcPr>
                  <w:tcW w:w="67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0.47</w:t>
                  </w:r>
                </w:p>
              </w:tc>
              <w:tc>
                <w:tcPr>
                  <w:tcW w:w="732" w:type="dxa"/>
                  <w:vMerge w:val="restart"/>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5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破碎、筛分、中转过程</w:t>
                  </w:r>
                </w:p>
              </w:tc>
              <w:tc>
                <w:tcPr>
                  <w:tcW w:w="1020" w:type="dxa"/>
                  <w:vMerge w:val="continue"/>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color w:val="auto"/>
                      <w:sz w:val="21"/>
                      <w:szCs w:val="21"/>
                      <w:highlight w:val="none"/>
                    </w:rPr>
                  </w:pPr>
                </w:p>
              </w:tc>
              <w:tc>
                <w:tcPr>
                  <w:tcW w:w="975" w:type="dxa"/>
                  <w:vMerge w:val="continue"/>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color w:val="auto"/>
                      <w:sz w:val="21"/>
                      <w:szCs w:val="21"/>
                      <w:highlight w:val="none"/>
                    </w:rPr>
                  </w:pPr>
                </w:p>
              </w:tc>
              <w:tc>
                <w:tcPr>
                  <w:tcW w:w="949"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383.7</w:t>
                  </w:r>
                </w:p>
              </w:tc>
              <w:tc>
                <w:tcPr>
                  <w:tcW w:w="971"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98</w:t>
                  </w:r>
                </w:p>
              </w:tc>
              <w:tc>
                <w:tcPr>
                  <w:tcW w:w="79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376.03</w:t>
                  </w:r>
                </w:p>
              </w:tc>
              <w:tc>
                <w:tcPr>
                  <w:tcW w:w="801" w:type="dxa"/>
                  <w:vMerge w:val="continue"/>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color w:val="auto"/>
                      <w:sz w:val="21"/>
                      <w:szCs w:val="21"/>
                      <w:highlight w:val="none"/>
                    </w:rPr>
                  </w:pPr>
                </w:p>
              </w:tc>
              <w:tc>
                <w:tcPr>
                  <w:tcW w:w="67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7.67</w:t>
                  </w:r>
                </w:p>
              </w:tc>
              <w:tc>
                <w:tcPr>
                  <w:tcW w:w="732" w:type="dxa"/>
                  <w:vMerge w:val="continue"/>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color w:val="auto"/>
                      <w:sz w:val="21"/>
                      <w:szCs w:val="21"/>
                      <w:highlight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color w:val="auto"/>
                <w:highlight w:val="none"/>
                <w:lang w:val="en-US" w:eastAsia="zh-CN"/>
              </w:rPr>
            </w:pPr>
            <w:r>
              <w:rPr>
                <w:rFonts w:hint="eastAsia"/>
                <w:color w:val="auto"/>
                <w:highlight w:val="none"/>
                <w:lang w:val="en-US" w:eastAsia="zh-CN"/>
              </w:rPr>
              <w:t>建筑垃圾处理生产线生产过程</w:t>
            </w:r>
            <w:r>
              <w:rPr>
                <w:rFonts w:hint="eastAsia"/>
                <w:b w:val="0"/>
                <w:bCs w:val="0"/>
                <w:color w:val="auto"/>
                <w:highlight w:val="none"/>
                <w:lang w:val="en-US" w:eastAsia="zh-CN"/>
              </w:rPr>
              <w:t>污染物有组织排放情况见下表。</w:t>
            </w:r>
          </w:p>
          <w:p>
            <w:pPr>
              <w:pStyle w:val="2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b/>
                <w:bCs w:val="0"/>
                <w:color w:val="auto"/>
                <w:szCs w:val="21"/>
                <w:highlight w:val="none"/>
              </w:rPr>
            </w:pPr>
            <w:r>
              <w:rPr>
                <w:rFonts w:hint="default"/>
                <w:color w:val="auto"/>
                <w:highlight w:val="none"/>
              </w:rPr>
              <w:t>表</w:t>
            </w:r>
            <w:r>
              <w:rPr>
                <w:rFonts w:hint="eastAsia"/>
                <w:color w:val="auto"/>
                <w:highlight w:val="none"/>
                <w:lang w:val="en-US" w:eastAsia="zh-CN"/>
              </w:rPr>
              <w:t>25  建筑垃圾处理生产线生产过程污染物有组织排放情况一览表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634"/>
              <w:gridCol w:w="740"/>
              <w:gridCol w:w="695"/>
              <w:gridCol w:w="816"/>
              <w:gridCol w:w="816"/>
              <w:gridCol w:w="936"/>
              <w:gridCol w:w="649"/>
              <w:gridCol w:w="846"/>
              <w:gridCol w:w="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5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污染源</w:t>
                  </w:r>
                </w:p>
              </w:tc>
              <w:tc>
                <w:tcPr>
                  <w:tcW w:w="63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污染因子</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s="Times New Roman"/>
                      <w:color w:val="auto"/>
                      <w:spacing w:val="-6"/>
                      <w:kern w:val="2"/>
                      <w:sz w:val="21"/>
                      <w:szCs w:val="21"/>
                      <w:highlight w:val="none"/>
                      <w:vertAlign w:val="baseline"/>
                      <w:lang w:val="en-US" w:eastAsia="zh-CN" w:bidi="ar-SA"/>
                    </w:rPr>
                    <w:t>捕集量</w:t>
                  </w:r>
                  <w:r>
                    <w:rPr>
                      <w:rFonts w:hint="eastAsia"/>
                      <w:color w:val="auto"/>
                      <w:spacing w:val="-6"/>
                      <w:sz w:val="21"/>
                      <w:szCs w:val="21"/>
                      <w:highlight w:val="none"/>
                      <w:vertAlign w:val="baseline"/>
                      <w:lang w:val="en-US" w:eastAsia="zh-CN"/>
                    </w:rPr>
                    <w:t>（t/a）</w:t>
                  </w:r>
                </w:p>
              </w:tc>
              <w:tc>
                <w:tcPr>
                  <w:tcW w:w="69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eastAsia="宋体"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处理设备</w:t>
                  </w:r>
                </w:p>
              </w:tc>
              <w:tc>
                <w:tcPr>
                  <w:tcW w:w="81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运行时间（h/a）</w:t>
                  </w:r>
                </w:p>
              </w:tc>
              <w:tc>
                <w:tcPr>
                  <w:tcW w:w="81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处理效率（%）</w:t>
                  </w:r>
                </w:p>
              </w:tc>
              <w:tc>
                <w:tcPr>
                  <w:tcW w:w="93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风机风量（</w:t>
                  </w:r>
                  <w:r>
                    <w:rPr>
                      <w:rFonts w:hint="eastAsia"/>
                      <w:b w:val="0"/>
                      <w:bCs w:val="0"/>
                      <w:color w:val="auto"/>
                      <w:spacing w:val="-6"/>
                      <w:sz w:val="21"/>
                      <w:szCs w:val="21"/>
                      <w:highlight w:val="none"/>
                      <w:lang w:val="en-US" w:eastAsia="zh-CN"/>
                    </w:rPr>
                    <w:t>m</w:t>
                  </w:r>
                  <w:r>
                    <w:rPr>
                      <w:rFonts w:hint="eastAsia"/>
                      <w:b w:val="0"/>
                      <w:bCs w:val="0"/>
                      <w:color w:val="auto"/>
                      <w:spacing w:val="-6"/>
                      <w:sz w:val="21"/>
                      <w:szCs w:val="21"/>
                      <w:highlight w:val="none"/>
                      <w:vertAlign w:val="superscript"/>
                      <w:lang w:val="en-US" w:eastAsia="zh-CN"/>
                    </w:rPr>
                    <w:t>3</w:t>
                  </w:r>
                  <w:r>
                    <w:rPr>
                      <w:rFonts w:hint="eastAsia"/>
                      <w:b w:val="0"/>
                      <w:bCs w:val="0"/>
                      <w:color w:val="auto"/>
                      <w:spacing w:val="-6"/>
                      <w:sz w:val="21"/>
                      <w:szCs w:val="21"/>
                      <w:highlight w:val="none"/>
                      <w:lang w:val="en-US" w:eastAsia="zh-CN"/>
                    </w:rPr>
                    <w:t>/h</w:t>
                  </w:r>
                  <w:r>
                    <w:rPr>
                      <w:rFonts w:hint="eastAsia"/>
                      <w:color w:val="auto"/>
                      <w:spacing w:val="-6"/>
                      <w:sz w:val="21"/>
                      <w:szCs w:val="21"/>
                      <w:highlight w:val="none"/>
                      <w:vertAlign w:val="baseline"/>
                      <w:lang w:val="en-US" w:eastAsia="zh-CN"/>
                    </w:rPr>
                    <w:t>）</w:t>
                  </w:r>
                </w:p>
              </w:tc>
              <w:tc>
                <w:tcPr>
                  <w:tcW w:w="64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排放量（t/a）</w:t>
                  </w:r>
                </w:p>
              </w:tc>
              <w:tc>
                <w:tcPr>
                  <w:tcW w:w="84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排放速率（kg/h）</w:t>
                  </w:r>
                </w:p>
              </w:tc>
              <w:tc>
                <w:tcPr>
                  <w:tcW w:w="973"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排放浓度（</w:t>
                  </w:r>
                  <w:r>
                    <w:rPr>
                      <w:rFonts w:hint="eastAsia"/>
                      <w:b w:val="0"/>
                      <w:bCs w:val="0"/>
                      <w:color w:val="auto"/>
                      <w:spacing w:val="-6"/>
                      <w:sz w:val="21"/>
                      <w:szCs w:val="21"/>
                      <w:highlight w:val="none"/>
                      <w:lang w:val="en-US" w:eastAsia="zh-CN"/>
                    </w:rPr>
                    <w:t>m</w:t>
                  </w:r>
                  <w:r>
                    <w:rPr>
                      <w:rFonts w:hint="eastAsia"/>
                      <w:b w:val="0"/>
                      <w:bCs w:val="0"/>
                      <w:color w:val="auto"/>
                      <w:spacing w:val="-6"/>
                      <w:sz w:val="21"/>
                      <w:szCs w:val="21"/>
                      <w:highlight w:val="none"/>
                      <w:vertAlign w:val="baseline"/>
                      <w:lang w:val="en-US" w:eastAsia="zh-CN"/>
                    </w:rPr>
                    <w:t>g</w:t>
                  </w:r>
                  <w:r>
                    <w:rPr>
                      <w:rFonts w:hint="eastAsia"/>
                      <w:b w:val="0"/>
                      <w:bCs w:val="0"/>
                      <w:color w:val="auto"/>
                      <w:spacing w:val="-6"/>
                      <w:sz w:val="21"/>
                      <w:szCs w:val="21"/>
                      <w:highlight w:val="none"/>
                      <w:lang w:val="en-US" w:eastAsia="zh-CN"/>
                    </w:rPr>
                    <w:t>/m</w:t>
                  </w:r>
                  <w:r>
                    <w:rPr>
                      <w:rFonts w:hint="eastAsia"/>
                      <w:b w:val="0"/>
                      <w:bCs w:val="0"/>
                      <w:color w:val="auto"/>
                      <w:spacing w:val="-6"/>
                      <w:sz w:val="21"/>
                      <w:szCs w:val="21"/>
                      <w:highlight w:val="none"/>
                      <w:vertAlign w:val="superscript"/>
                      <w:lang w:val="en-US" w:eastAsia="zh-CN"/>
                    </w:rPr>
                    <w:t>3</w:t>
                  </w:r>
                  <w:r>
                    <w:rPr>
                      <w:rFonts w:hint="eastAsia"/>
                      <w:color w:val="auto"/>
                      <w:spacing w:val="-6"/>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157"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建筑垃圾处理生产线生产过程</w:t>
                  </w:r>
                </w:p>
              </w:tc>
              <w:tc>
                <w:tcPr>
                  <w:tcW w:w="63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颗粒物</w:t>
                  </w:r>
                </w:p>
              </w:tc>
              <w:tc>
                <w:tcPr>
                  <w:tcW w:w="73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olor w:val="auto"/>
                      <w:spacing w:val="-6"/>
                      <w:sz w:val="21"/>
                      <w:szCs w:val="21"/>
                      <w:highlight w:val="none"/>
                      <w:vertAlign w:val="baseline"/>
                      <w:lang w:val="en-US" w:eastAsia="zh-CN"/>
                    </w:rPr>
                  </w:pPr>
                  <w:r>
                    <w:rPr>
                      <w:rFonts w:hint="eastAsia"/>
                      <w:color w:val="auto"/>
                      <w:spacing w:val="-6"/>
                      <w:sz w:val="21"/>
                      <w:szCs w:val="21"/>
                      <w:highlight w:val="none"/>
                      <w:vertAlign w:val="baseline"/>
                      <w:lang w:val="en-US" w:eastAsia="zh-CN"/>
                    </w:rPr>
                    <w:t>385.04</w:t>
                  </w:r>
                </w:p>
              </w:tc>
              <w:tc>
                <w:tcPr>
                  <w:tcW w:w="69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eastAsia" w:ascii="Times New Roman" w:hAnsi="Times New Roman" w:eastAsia="宋体" w:cs="Times New Roman"/>
                      <w:color w:val="auto"/>
                      <w:spacing w:val="-6"/>
                      <w:kern w:val="2"/>
                      <w:sz w:val="21"/>
                      <w:szCs w:val="21"/>
                      <w:highlight w:val="none"/>
                      <w:vertAlign w:val="baseline"/>
                      <w:lang w:val="en-US" w:eastAsia="zh-CN" w:bidi="ar-SA"/>
                    </w:rPr>
                  </w:pPr>
                  <w:r>
                    <w:rPr>
                      <w:rFonts w:hint="eastAsia"/>
                      <w:color w:val="auto"/>
                      <w:spacing w:val="-6"/>
                      <w:sz w:val="21"/>
                      <w:szCs w:val="21"/>
                      <w:highlight w:val="none"/>
                      <w:vertAlign w:val="baseline"/>
                      <w:lang w:val="en-US" w:eastAsia="zh-CN"/>
                    </w:rPr>
                    <w:t>TA001</w:t>
                  </w:r>
                </w:p>
              </w:tc>
              <w:tc>
                <w:tcPr>
                  <w:tcW w:w="81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ascii="Times New Roman" w:hAnsi="Times New Roman"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6000</w:t>
                  </w:r>
                </w:p>
              </w:tc>
              <w:tc>
                <w:tcPr>
                  <w:tcW w:w="81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99.2</w:t>
                  </w:r>
                </w:p>
              </w:tc>
              <w:tc>
                <w:tcPr>
                  <w:tcW w:w="93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55000</w:t>
                  </w:r>
                </w:p>
              </w:tc>
              <w:tc>
                <w:tcPr>
                  <w:tcW w:w="645"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3.08</w:t>
                  </w:r>
                </w:p>
              </w:tc>
              <w:tc>
                <w:tcPr>
                  <w:tcW w:w="840"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0.513</w:t>
                  </w:r>
                </w:p>
              </w:tc>
              <w:tc>
                <w:tcPr>
                  <w:tcW w:w="973" w:type="dxa"/>
                  <w:tcBorders>
                    <w:tl2br w:val="nil"/>
                    <w:tr2bl w:val="nil"/>
                  </w:tcBorders>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ind w:left="-48" w:leftChars="-20" w:right="-48" w:rightChars="-20" w:firstLine="0" w:firstLineChars="0"/>
                    <w:jc w:val="center"/>
                    <w:textAlignment w:val="auto"/>
                    <w:rPr>
                      <w:rFonts w:hint="default" w:cs="Times New Roman"/>
                      <w:color w:val="auto"/>
                      <w:spacing w:val="-6"/>
                      <w:kern w:val="2"/>
                      <w:sz w:val="21"/>
                      <w:szCs w:val="21"/>
                      <w:highlight w:val="none"/>
                      <w:vertAlign w:val="baseline"/>
                      <w:lang w:val="en-US" w:eastAsia="zh-CN" w:bidi="ar-SA"/>
                    </w:rPr>
                  </w:pPr>
                  <w:r>
                    <w:rPr>
                      <w:rFonts w:hint="eastAsia" w:cs="Times New Roman"/>
                      <w:color w:val="auto"/>
                      <w:spacing w:val="-6"/>
                      <w:kern w:val="2"/>
                      <w:sz w:val="21"/>
                      <w:szCs w:val="21"/>
                      <w:highlight w:val="none"/>
                      <w:vertAlign w:val="baseline"/>
                      <w:lang w:val="en-US" w:eastAsia="zh-CN" w:bidi="ar-SA"/>
                    </w:rPr>
                    <w:t>9.3</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val="0"/>
                <w:color w:val="auto"/>
                <w:highlight w:val="none"/>
                <w:lang w:val="en-US" w:eastAsia="zh-CN"/>
              </w:rPr>
            </w:pPr>
            <w:r>
              <w:rPr>
                <w:rFonts w:hint="eastAsia"/>
                <w:b w:val="0"/>
                <w:bCs w:val="0"/>
                <w:color w:val="auto"/>
                <w:highlight w:val="none"/>
                <w:lang w:val="en-US" w:eastAsia="zh-CN"/>
              </w:rPr>
              <w:t>由上表可知，</w:t>
            </w:r>
            <w:r>
              <w:rPr>
                <w:rFonts w:hint="eastAsia"/>
                <w:color w:val="auto"/>
                <w:highlight w:val="none"/>
                <w:lang w:val="en-US" w:eastAsia="zh-CN"/>
              </w:rPr>
              <w:t>建筑垃圾处理生产线生产过程产生的颗粒物经脉冲布袋除尘器处理后通过1根15m高排气筒排放至大气中，颗粒物排放满足《石灰行业大气污染物排放标准》（DB13/1641-2012）表2中相关限值要求：颗粒物</w:t>
            </w:r>
            <w:r>
              <w:rPr>
                <w:rFonts w:hint="default"/>
                <w:color w:val="auto"/>
                <w:highlight w:val="none"/>
                <w:lang w:val="en-US" w:eastAsia="zh-CN"/>
              </w:rPr>
              <w:t>≤</w:t>
            </w:r>
            <w:r>
              <w:rPr>
                <w:rFonts w:hint="eastAsia"/>
                <w:color w:val="auto"/>
                <w:highlight w:val="none"/>
                <w:lang w:val="en-US" w:eastAsia="zh-CN"/>
              </w:rPr>
              <w:t>30mg/m</w:t>
            </w:r>
            <w:r>
              <w:rPr>
                <w:rFonts w:hint="eastAsia"/>
                <w:color w:val="auto"/>
                <w:highlight w:val="none"/>
                <w:vertAlign w:val="superscript"/>
                <w:lang w:val="en-US" w:eastAsia="zh-CN"/>
              </w:rPr>
              <w:t>3</w:t>
            </w:r>
            <w:r>
              <w:rPr>
                <w:rFonts w:hint="eastAsia"/>
                <w:color w:val="auto"/>
                <w:highlight w:val="none"/>
                <w:lang w:val="en-US" w:eastAsia="zh-CN"/>
              </w:rPr>
              <w:t>，排气筒高度不低于15m且高于本体建筑物3m以上（项目综合车间高度为12m），同时满足</w:t>
            </w:r>
            <w:r>
              <w:rPr>
                <w:rFonts w:hint="eastAsia" w:eastAsia="宋体"/>
                <w:snapToGrid w:val="0"/>
                <w:color w:val="auto"/>
                <w:sz w:val="24"/>
                <w:szCs w:val="24"/>
                <w:highlight w:val="none"/>
                <w:vertAlign w:val="baseline"/>
                <w:lang w:val="en-US" w:eastAsia="zh-CN"/>
              </w:rPr>
              <w:t>《唐山市钢铁行业整治提升工作方案》等10项方案（唐气领办[2021]15号）中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eastAsia="宋体" w:cs="Times New Roman"/>
                <w:color w:val="auto"/>
                <w:kern w:val="0"/>
                <w:sz w:val="24"/>
                <w:szCs w:val="24"/>
                <w:highlight w:val="none"/>
                <w:shd w:val="clear" w:color="auto" w:fill="auto"/>
                <w:lang w:val="en-US" w:eastAsia="zh-CN"/>
              </w:rPr>
              <w:t>颗粒物</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cs="Times New Roman"/>
                <w:color w:val="auto"/>
                <w:kern w:val="0"/>
                <w:sz w:val="24"/>
                <w:szCs w:val="24"/>
                <w:highlight w:val="none"/>
                <w:shd w:val="clear" w:color="auto" w:fill="auto"/>
                <w:lang w:val="en-US" w:eastAsia="zh-CN"/>
              </w:rPr>
              <w:t>1</w:t>
            </w:r>
            <w:r>
              <w:rPr>
                <w:rFonts w:hint="eastAsia" w:ascii="Times New Roman" w:hAnsi="Times New Roman" w:eastAsia="宋体" w:cs="Times New Roman"/>
                <w:color w:val="auto"/>
                <w:kern w:val="0"/>
                <w:sz w:val="24"/>
                <w:szCs w:val="24"/>
                <w:highlight w:val="none"/>
                <w:shd w:val="clear" w:color="auto" w:fill="auto"/>
                <w:lang w:val="en-US" w:eastAsia="zh-CN"/>
              </w:rPr>
              <w:t>0mg/m</w:t>
            </w:r>
            <w:r>
              <w:rPr>
                <w:rFonts w:hint="eastAsia" w:ascii="Times New Roman" w:hAnsi="Times New Roman" w:eastAsia="宋体" w:cs="Times New Roman"/>
                <w:color w:val="auto"/>
                <w:kern w:val="0"/>
                <w:sz w:val="24"/>
                <w:szCs w:val="24"/>
                <w:highlight w:val="none"/>
                <w:shd w:val="clear" w:color="auto" w:fill="auto"/>
                <w:vertAlign w:val="superscript"/>
                <w:lang w:val="en-US" w:eastAsia="zh-CN"/>
              </w:rPr>
              <w:t>3</w:t>
            </w:r>
            <w:r>
              <w:rPr>
                <w:rFonts w:hint="eastAsia"/>
                <w:b w:val="0"/>
                <w:bCs w:val="0"/>
                <w:color w:val="auto"/>
                <w:sz w:val="24"/>
                <w:szCs w:val="24"/>
                <w:highlight w:val="none"/>
                <w:lang w:val="en-US" w:eastAsia="zh-CN"/>
              </w:rPr>
              <w:t>。</w:t>
            </w:r>
          </w:p>
          <w:p>
            <w:pPr>
              <w:bidi w:val="0"/>
              <w:rPr>
                <w:rFonts w:hint="eastAsia" w:ascii="Times New Roman" w:eastAsia="宋体"/>
                <w:b/>
                <w:bCs/>
                <w:color w:val="auto"/>
                <w:highlight w:val="none"/>
                <w:lang w:val="en-US" w:eastAsia="zh-CN"/>
              </w:rPr>
            </w:pPr>
            <w:r>
              <w:rPr>
                <w:rFonts w:hint="eastAsia"/>
                <w:color w:val="auto"/>
                <w:highlight w:val="none"/>
                <w:lang w:val="en-US" w:eastAsia="zh-CN"/>
              </w:rPr>
              <w:t>未被收集的颗粒物在封闭车间无组织排放，无组织产生量为8.14t/a，经喷淋抑尘及自然沉降，抑尘效率可达99%，则建筑垃圾处理生产线生产过程颗粒物无组织排放量为0.081t/a。</w:t>
            </w:r>
          </w:p>
          <w:p>
            <w:pPr>
              <w:bidi w:val="0"/>
              <w:rPr>
                <w:rFonts w:hint="default"/>
                <w:color w:val="auto"/>
                <w:highlight w:val="none"/>
                <w:lang w:val="en-US" w:eastAsia="zh-CN"/>
              </w:rPr>
            </w:pPr>
            <w:r>
              <w:rPr>
                <w:rFonts w:hint="eastAsia"/>
                <w:color w:val="auto"/>
                <w:highlight w:val="none"/>
                <w:lang w:val="en-US" w:eastAsia="zh-CN"/>
              </w:rPr>
              <w:t>本项目物料进入3#振动筛后，采用湿式作业，生产过程物料含水率高，同时，经过水洗后，再生细骨料含水率较高，且表面洁净，基本无泥土，储存、装车区域上方设置喷淋抑尘装置，可有效抑制扬尘产生，因此，本次评价不再考虑湿式作业生产过程及再生细骨料装车、堆存、转运过程废气。</w:t>
            </w:r>
          </w:p>
          <w:p>
            <w:pPr>
              <w:numPr>
                <w:ilvl w:val="0"/>
                <w:numId w:val="0"/>
              </w:numPr>
              <w:bidi w:val="0"/>
              <w:ind w:leftChars="200"/>
              <w:rPr>
                <w:rFonts w:hint="eastAsia"/>
                <w:b/>
                <w:bCs/>
                <w:color w:val="auto"/>
                <w:highlight w:val="none"/>
                <w:lang w:val="en-US" w:eastAsia="zh-CN"/>
              </w:rPr>
            </w:pPr>
            <w:r>
              <w:rPr>
                <w:rFonts w:hint="eastAsia" w:ascii="Times New Roman" w:eastAsia="宋体"/>
                <w:b/>
                <w:bCs/>
                <w:color w:val="auto"/>
                <w:highlight w:val="none"/>
                <w:lang w:val="en-US" w:eastAsia="zh-CN"/>
              </w:rPr>
              <w:t>1.2.</w:t>
            </w:r>
            <w:r>
              <w:rPr>
                <w:rFonts w:hint="eastAsia"/>
                <w:b/>
                <w:bCs/>
                <w:color w:val="auto"/>
                <w:highlight w:val="none"/>
                <w:lang w:val="en-US" w:eastAsia="zh-CN"/>
              </w:rPr>
              <w:t>2</w:t>
            </w:r>
            <w:r>
              <w:rPr>
                <w:rFonts w:hint="eastAsia" w:ascii="Times New Roman" w:eastAsia="宋体"/>
                <w:b/>
                <w:bCs/>
                <w:color w:val="auto"/>
                <w:highlight w:val="none"/>
                <w:lang w:val="en-US" w:eastAsia="zh-CN"/>
              </w:rPr>
              <w:t>无组织废气</w:t>
            </w:r>
          </w:p>
          <w:p>
            <w:pPr>
              <w:bidi w:val="0"/>
              <w:rPr>
                <w:rFonts w:hint="default"/>
                <w:color w:val="auto"/>
                <w:highlight w:val="none"/>
                <w:lang w:val="en-US" w:eastAsia="zh-CN"/>
              </w:rPr>
            </w:pPr>
            <w:r>
              <w:rPr>
                <w:rFonts w:hint="eastAsia"/>
                <w:color w:val="auto"/>
                <w:highlight w:val="none"/>
                <w:lang w:val="en-US" w:eastAsia="zh-CN"/>
              </w:rPr>
              <w:t>本项目无组织废气主要为建筑垃圾和石碴装卸、堆存过程产生的废气和建筑垃圾处理生产线生产过程未捕集的废气以及原料、成品、废料、污泥运输过程产生的废气。</w:t>
            </w:r>
          </w:p>
          <w:p>
            <w:pPr>
              <w:numPr>
                <w:ilvl w:val="0"/>
                <w:numId w:val="17"/>
              </w:numPr>
              <w:bidi w:val="0"/>
              <w:rPr>
                <w:rFonts w:hint="eastAsia"/>
                <w:color w:val="auto"/>
                <w:highlight w:val="none"/>
                <w:lang w:val="en-US" w:eastAsia="zh-CN"/>
              </w:rPr>
            </w:pPr>
            <w:r>
              <w:rPr>
                <w:rFonts w:hint="eastAsia"/>
                <w:color w:val="auto"/>
                <w:highlight w:val="none"/>
                <w:lang w:val="en-US" w:eastAsia="zh-CN"/>
              </w:rPr>
              <w:t>无组织废气控制措施</w:t>
            </w:r>
          </w:p>
          <w:p>
            <w:pPr>
              <w:bidi w:val="0"/>
              <w:rPr>
                <w:rFonts w:hint="eastAsia"/>
                <w:color w:val="auto"/>
                <w:highlight w:val="none"/>
                <w:lang w:val="en-US" w:eastAsia="zh-CN"/>
              </w:rPr>
            </w:pPr>
            <w:r>
              <w:rPr>
                <w:rFonts w:hint="eastAsia"/>
                <w:color w:val="auto"/>
                <w:highlight w:val="none"/>
                <w:lang w:val="en-US" w:eastAsia="zh-CN"/>
              </w:rPr>
              <w:t>①建筑垃圾采用汽车运至厂区，装载高度不得超出车厢高度，避免出现因颠簸造成的逸散现象，不允许出现敞篷运输或是超载运输现象。原料运输车辆采用国五及以上排放标准重型载货车辆（含燃气）或新能源车辆；厂内非道路移动机械全部使用国四及以上排放标准或新能源机械。厂区内道路路面及生产作业区、物料堆放区的地面应作硬化处理。</w:t>
            </w:r>
          </w:p>
          <w:p>
            <w:pPr>
              <w:bidi w:val="0"/>
              <w:rPr>
                <w:rFonts w:hint="eastAsia"/>
                <w:color w:val="auto"/>
                <w:highlight w:val="none"/>
                <w:lang w:val="en-US" w:eastAsia="zh-CN"/>
              </w:rPr>
            </w:pPr>
            <w:r>
              <w:rPr>
                <w:rFonts w:hint="eastAsia"/>
                <w:color w:val="auto"/>
                <w:highlight w:val="none"/>
                <w:lang w:val="en-US" w:eastAsia="zh-CN"/>
              </w:rPr>
              <w:t>②原料转运过程均在封闭的厂房内进行，生产线设置封闭皮带输送机，物料的转运过程均密闭连接，无露天作业堆存、转运作业。</w:t>
            </w:r>
          </w:p>
          <w:p>
            <w:pPr>
              <w:bidi w:val="0"/>
              <w:rPr>
                <w:rFonts w:hint="eastAsia"/>
                <w:color w:val="auto"/>
                <w:highlight w:val="none"/>
                <w:lang w:val="en-US" w:eastAsia="zh-CN"/>
              </w:rPr>
            </w:pPr>
            <w:r>
              <w:rPr>
                <w:rFonts w:hint="eastAsia"/>
                <w:color w:val="auto"/>
                <w:highlight w:val="none"/>
                <w:lang w:val="en-US" w:eastAsia="zh-CN"/>
              </w:rPr>
              <w:t>③在厂区出入口建设一座洗车平台。车辆通过时，传感控制系统自动进行冲洗，冲洗的污水通过操作区下的水槽流入沉淀池实现水、泥分离后，清水再用水泵打入循环水池重复利用。洗车平台通道设置为长6m，高2.5m。运输车辆进出厂前通过洗车系统进行冲洗，冬季添加防冻剂，确保冬季正常使用。</w:t>
            </w:r>
          </w:p>
          <w:p>
            <w:pPr>
              <w:bidi w:val="0"/>
              <w:rPr>
                <w:rFonts w:hint="eastAsia"/>
                <w:color w:val="auto"/>
                <w:highlight w:val="none"/>
                <w:lang w:val="en-US" w:eastAsia="zh-CN"/>
              </w:rPr>
            </w:pPr>
            <w:r>
              <w:rPr>
                <w:rFonts w:hint="eastAsia"/>
                <w:color w:val="auto"/>
                <w:highlight w:val="none"/>
                <w:lang w:val="en-US" w:eastAsia="zh-CN"/>
              </w:rPr>
              <w:t>④综合车间安装自动感应门，加强全厂的无组织排放监控系统管理，车间外1m处及厂区边界主导上、下风向各安装1套TSP、PM</w:t>
            </w:r>
            <w:r>
              <w:rPr>
                <w:rFonts w:hint="eastAsia"/>
                <w:color w:val="auto"/>
                <w:highlight w:val="none"/>
                <w:vertAlign w:val="subscript"/>
                <w:lang w:val="en-US" w:eastAsia="zh-CN"/>
              </w:rPr>
              <w:t>10</w:t>
            </w:r>
            <w:r>
              <w:rPr>
                <w:rFonts w:hint="eastAsia"/>
                <w:color w:val="auto"/>
                <w:highlight w:val="none"/>
                <w:lang w:val="en-US" w:eastAsia="zh-CN"/>
              </w:rPr>
              <w:t>、PM</w:t>
            </w:r>
            <w:r>
              <w:rPr>
                <w:rFonts w:hint="eastAsia"/>
                <w:color w:val="auto"/>
                <w:highlight w:val="none"/>
                <w:vertAlign w:val="subscript"/>
                <w:lang w:val="en-US" w:eastAsia="zh-CN"/>
              </w:rPr>
              <w:t>2.5</w:t>
            </w:r>
            <w:r>
              <w:rPr>
                <w:rFonts w:hint="eastAsia"/>
                <w:color w:val="auto"/>
                <w:highlight w:val="none"/>
                <w:lang w:val="en-US" w:eastAsia="zh-CN"/>
              </w:rPr>
              <w:t>在线监测设备，并按要求配备1台湿扫车和1台洒水车。</w:t>
            </w:r>
          </w:p>
          <w:p>
            <w:pPr>
              <w:pStyle w:val="6"/>
              <w:rPr>
                <w:rFonts w:hint="default"/>
                <w:color w:val="auto"/>
                <w:highlight w:val="none"/>
                <w:lang w:val="en-US" w:eastAsia="zh-CN"/>
              </w:rPr>
            </w:pPr>
            <w:r>
              <w:rPr>
                <w:rFonts w:hint="eastAsia"/>
                <w:color w:val="auto"/>
                <w:highlight w:val="none"/>
                <w:lang w:val="en-US" w:eastAsia="zh-CN"/>
              </w:rPr>
              <w:t>⑤综合车间内设置喷淋装置，重点区域设置雾炮抑尘。</w:t>
            </w:r>
          </w:p>
          <w:p>
            <w:pPr>
              <w:bidi w:val="0"/>
              <w:rPr>
                <w:rFonts w:hint="default"/>
                <w:color w:val="auto"/>
                <w:highlight w:val="none"/>
                <w:lang w:val="en-US" w:eastAsia="zh-CN"/>
              </w:rPr>
            </w:pPr>
            <w:r>
              <w:rPr>
                <w:rFonts w:hint="eastAsia"/>
                <w:color w:val="auto"/>
                <w:highlight w:val="none"/>
                <w:lang w:val="en-US" w:eastAsia="zh-CN"/>
              </w:rPr>
              <w:t>（2）无组织源强核算</w:t>
            </w:r>
          </w:p>
          <w:p>
            <w:pPr>
              <w:bidi w:val="0"/>
              <w:rPr>
                <w:rFonts w:hint="eastAsia"/>
                <w:color w:val="auto"/>
                <w:highlight w:val="none"/>
                <w:lang w:val="en-US" w:eastAsia="zh-CN"/>
              </w:rPr>
            </w:pPr>
            <w:r>
              <w:rPr>
                <w:rFonts w:hint="eastAsia"/>
                <w:color w:val="auto"/>
                <w:highlight w:val="none"/>
                <w:lang w:val="en-US" w:eastAsia="zh-CN"/>
              </w:rPr>
              <w:t>本项目物料均采用汽车封闭运输，不允许出现敞篷运输或是超载运输现象。运输车辆采用国五及以上排放标准重型载货车辆（含燃气）或新能源车辆；厂内非道路移动机械全部使用国四及以上排放标准或新能源机械。厂区内道路路面及生产作业区、物料堆放区的地面均作硬化处理，本次评价不对原料、成品、废料污泥运输过程废气定量分析。</w:t>
            </w:r>
          </w:p>
          <w:p>
            <w:pPr>
              <w:bidi w:val="0"/>
              <w:rPr>
                <w:rFonts w:hint="default"/>
                <w:color w:val="auto"/>
                <w:highlight w:val="none"/>
                <w:lang w:val="en-US" w:eastAsia="zh-CN"/>
              </w:rPr>
            </w:pPr>
            <w:r>
              <w:rPr>
                <w:rFonts w:hint="eastAsia"/>
                <w:color w:val="auto"/>
                <w:highlight w:val="none"/>
                <w:lang w:val="en-US" w:eastAsia="zh-CN"/>
              </w:rPr>
              <w:t>①建筑垃圾和石碴装卸、堆存过程</w:t>
            </w:r>
          </w:p>
          <w:p>
            <w:pPr>
              <w:bidi w:val="0"/>
              <w:rPr>
                <w:color w:val="auto"/>
                <w:highlight w:val="none"/>
              </w:rPr>
            </w:pPr>
            <w:r>
              <w:rPr>
                <w:rFonts w:hint="eastAsia"/>
                <w:color w:val="auto"/>
                <w:highlight w:val="none"/>
                <w:lang w:val="en-US" w:eastAsia="zh-CN"/>
              </w:rPr>
              <w:t>本项目建筑垃圾和石碴装卸、堆存过程产生的颗粒物</w:t>
            </w:r>
            <w:r>
              <w:rPr>
                <w:rFonts w:ascii="Times New Roman" w:hAnsi="Times New Roman" w:eastAsia="宋体" w:cs="Times New Roman"/>
                <w:color w:val="auto"/>
                <w:spacing w:val="0"/>
                <w:sz w:val="24"/>
                <w:highlight w:val="none"/>
              </w:rPr>
              <w:t>参</w:t>
            </w:r>
            <w:r>
              <w:rPr>
                <w:rFonts w:hint="eastAsia" w:ascii="Times New Roman" w:hAnsi="Times New Roman" w:eastAsia="宋体" w:cs="Times New Roman"/>
                <w:color w:val="auto"/>
                <w:spacing w:val="0"/>
                <w:sz w:val="24"/>
                <w:highlight w:val="none"/>
                <w:lang w:val="en-US" w:eastAsia="zh-CN"/>
              </w:rPr>
              <w:t>照</w:t>
            </w:r>
            <w:r>
              <w:rPr>
                <w:rFonts w:hint="eastAsia"/>
                <w:color w:val="auto"/>
                <w:sz w:val="24"/>
                <w:highlight w:val="none"/>
                <w:lang w:eastAsia="zh-CN"/>
              </w:rPr>
              <w:t>《排放源统计调查产排污核算方法和系数手册》</w:t>
            </w:r>
            <w:r>
              <w:rPr>
                <w:rFonts w:hint="eastAsia"/>
                <w:color w:val="auto"/>
                <w:sz w:val="24"/>
                <w:highlight w:val="none"/>
                <w:lang w:val="en-US" w:eastAsia="zh-CN"/>
              </w:rPr>
              <w:t>附表2固体物料堆存颗粒物产排污系数核算系数手册中固体物料堆场颗粒物的产生量和排放量的核算</w:t>
            </w:r>
            <w:r>
              <w:rPr>
                <w:color w:val="auto"/>
                <w:highlight w:val="none"/>
              </w:rPr>
              <w:t>方法进行计算。</w:t>
            </w:r>
          </w:p>
          <w:p>
            <w:pPr>
              <w:bidi w:val="0"/>
              <w:rPr>
                <w:color w:val="auto"/>
                <w:highlight w:val="none"/>
              </w:rPr>
            </w:pPr>
            <w:r>
              <w:rPr>
                <w:rFonts w:hint="eastAsia"/>
                <w:color w:val="auto"/>
                <w:highlight w:val="none"/>
              </w:rPr>
              <w:t>工业企业固体物料堆存颗粒物包括装卸场尘和风蚀扬尘</w:t>
            </w:r>
            <w:r>
              <w:rPr>
                <w:color w:val="auto"/>
                <w:highlight w:val="none"/>
              </w:rPr>
              <w:t>，</w:t>
            </w:r>
            <w:r>
              <w:rPr>
                <w:rFonts w:hint="eastAsia"/>
                <w:color w:val="auto"/>
                <w:highlight w:val="none"/>
                <w:lang w:val="en-US" w:eastAsia="zh-CN"/>
              </w:rPr>
              <w:t>颗粒物产生量核算公式</w:t>
            </w:r>
            <w:r>
              <w:rPr>
                <w:color w:val="auto"/>
                <w:highlight w:val="none"/>
              </w:rPr>
              <w:t>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highlight w:val="none"/>
                <w:lang w:val="en-US" w:eastAsia="zh-CN"/>
              </w:rPr>
            </w:pPr>
            <w:r>
              <w:rPr>
                <w:rFonts w:hint="default"/>
                <w:i/>
                <w:iCs/>
                <w:color w:val="auto"/>
                <w:position w:val="-14"/>
                <w:highlight w:val="none"/>
                <w:lang w:val="en-US" w:eastAsia="zh-CN"/>
              </w:rPr>
              <w:object>
                <v:shape id="_x0000_i1026" o:spt="75" type="#_x0000_t75" style="height:20pt;width:246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p>
          <w:p>
            <w:pPr>
              <w:ind w:firstLine="489"/>
              <w:rPr>
                <w:color w:val="auto"/>
                <w:highlight w:val="none"/>
              </w:rPr>
            </w:pPr>
            <w:r>
              <w:rPr>
                <w:color w:val="auto"/>
                <w:highlight w:val="none"/>
              </w:rPr>
              <w:t>式中：</w:t>
            </w:r>
          </w:p>
          <w:p>
            <w:pPr>
              <w:ind w:firstLine="489"/>
              <w:rPr>
                <w:color w:val="auto"/>
                <w:highlight w:val="none"/>
              </w:rPr>
            </w:pPr>
            <w:r>
              <w:rPr>
                <w:rFonts w:hint="eastAsia"/>
                <w:color w:val="auto"/>
                <w:highlight w:val="none"/>
                <w:lang w:val="en-US" w:eastAsia="zh-CN"/>
              </w:rPr>
              <w:t>P</w:t>
            </w:r>
            <w:r>
              <w:rPr>
                <w:color w:val="auto"/>
                <w:highlight w:val="none"/>
              </w:rPr>
              <w:t>——</w:t>
            </w:r>
            <w:r>
              <w:rPr>
                <w:rFonts w:hint="eastAsia"/>
                <w:color w:val="auto"/>
                <w:highlight w:val="none"/>
                <w:lang w:val="en-US" w:eastAsia="zh-CN"/>
              </w:rPr>
              <w:t>颗粒物产生量，t/a</w:t>
            </w:r>
            <w:r>
              <w:rPr>
                <w:color w:val="auto"/>
                <w:highlight w:val="none"/>
              </w:rPr>
              <w:t>。</w:t>
            </w:r>
          </w:p>
          <w:p>
            <w:pPr>
              <w:ind w:firstLine="489"/>
              <w:rPr>
                <w:color w:val="auto"/>
                <w:highlight w:val="none"/>
              </w:rPr>
            </w:pPr>
            <w:r>
              <w:rPr>
                <w:rFonts w:hint="eastAsia"/>
                <w:color w:val="auto"/>
                <w:highlight w:val="none"/>
                <w:lang w:val="en-US" w:eastAsia="zh-CN"/>
              </w:rPr>
              <w:t>ZC</w:t>
            </w:r>
            <w:r>
              <w:rPr>
                <w:rFonts w:hint="eastAsia"/>
                <w:color w:val="auto"/>
                <w:highlight w:val="none"/>
                <w:vertAlign w:val="subscript"/>
                <w:lang w:val="en-US" w:eastAsia="zh-CN"/>
              </w:rPr>
              <w:t>y</w:t>
            </w:r>
            <w:r>
              <w:rPr>
                <w:color w:val="auto"/>
                <w:highlight w:val="none"/>
              </w:rPr>
              <w:t>——</w:t>
            </w:r>
            <w:r>
              <w:rPr>
                <w:rFonts w:hint="eastAsia"/>
                <w:color w:val="auto"/>
                <w:highlight w:val="none"/>
                <w:lang w:val="en-US" w:eastAsia="zh-CN"/>
              </w:rPr>
              <w:t>装卸扬尘产生量，t/a</w:t>
            </w:r>
            <w:r>
              <w:rPr>
                <w:color w:val="auto"/>
                <w:highlight w:val="none"/>
              </w:rPr>
              <w:t>。</w:t>
            </w:r>
          </w:p>
          <w:p>
            <w:pPr>
              <w:ind w:firstLine="489"/>
              <w:rPr>
                <w:color w:val="auto"/>
                <w:highlight w:val="none"/>
              </w:rPr>
            </w:pPr>
            <w:r>
              <w:rPr>
                <w:rFonts w:hint="eastAsia"/>
                <w:color w:val="auto"/>
                <w:highlight w:val="none"/>
                <w:lang w:val="en-US" w:eastAsia="zh-CN"/>
              </w:rPr>
              <w:t>FC</w:t>
            </w:r>
            <w:r>
              <w:rPr>
                <w:rFonts w:hint="eastAsia"/>
                <w:color w:val="auto"/>
                <w:highlight w:val="none"/>
                <w:vertAlign w:val="subscript"/>
                <w:lang w:val="en-US" w:eastAsia="zh-CN"/>
              </w:rPr>
              <w:t>y</w:t>
            </w:r>
            <w:r>
              <w:rPr>
                <w:color w:val="auto"/>
                <w:highlight w:val="none"/>
              </w:rPr>
              <w:t>——</w:t>
            </w:r>
            <w:r>
              <w:rPr>
                <w:rFonts w:hint="eastAsia"/>
                <w:color w:val="auto"/>
                <w:highlight w:val="none"/>
                <w:lang w:val="en-US" w:eastAsia="zh-CN"/>
              </w:rPr>
              <w:t>风蚀扬尘产生量，t/a</w:t>
            </w:r>
            <w:r>
              <w:rPr>
                <w:color w:val="auto"/>
                <w:highlight w:val="none"/>
              </w:rPr>
              <w:t>。</w:t>
            </w:r>
          </w:p>
          <w:p>
            <w:pPr>
              <w:ind w:firstLine="489"/>
              <w:rPr>
                <w:color w:val="auto"/>
                <w:highlight w:val="none"/>
              </w:rPr>
            </w:pPr>
            <w:r>
              <w:rPr>
                <w:rFonts w:hint="eastAsia"/>
                <w:color w:val="auto"/>
                <w:highlight w:val="none"/>
                <w:lang w:val="en-US" w:eastAsia="zh-CN"/>
              </w:rPr>
              <w:t>N</w:t>
            </w:r>
            <w:r>
              <w:rPr>
                <w:rFonts w:hint="eastAsia"/>
                <w:color w:val="auto"/>
                <w:highlight w:val="none"/>
                <w:vertAlign w:val="subscript"/>
                <w:lang w:val="en-US" w:eastAsia="zh-CN"/>
              </w:rPr>
              <w:t>c</w:t>
            </w:r>
            <w:r>
              <w:rPr>
                <w:color w:val="auto"/>
                <w:highlight w:val="none"/>
              </w:rPr>
              <w:t>——</w:t>
            </w:r>
            <w:r>
              <w:rPr>
                <w:rFonts w:hint="eastAsia"/>
                <w:color w:val="auto"/>
                <w:highlight w:val="none"/>
                <w:lang w:val="en-US" w:eastAsia="zh-CN"/>
              </w:rPr>
              <w:t>年物料运载车次，车/a</w:t>
            </w:r>
            <w:r>
              <w:rPr>
                <w:color w:val="auto"/>
                <w:highlight w:val="none"/>
              </w:rPr>
              <w:t>。</w:t>
            </w:r>
          </w:p>
          <w:p>
            <w:pPr>
              <w:ind w:firstLine="489"/>
              <w:rPr>
                <w:rFonts w:hint="eastAsia"/>
                <w:color w:val="auto"/>
                <w:highlight w:val="none"/>
                <w:lang w:val="en-US" w:eastAsia="zh-CN"/>
              </w:rPr>
            </w:pPr>
            <w:r>
              <w:rPr>
                <w:rFonts w:hint="eastAsia"/>
                <w:color w:val="auto"/>
                <w:highlight w:val="none"/>
                <w:lang w:val="en-US" w:eastAsia="zh-CN"/>
              </w:rPr>
              <w:t>D</w:t>
            </w:r>
            <w:r>
              <w:rPr>
                <w:color w:val="auto"/>
                <w:highlight w:val="none"/>
              </w:rPr>
              <w:t>——</w:t>
            </w:r>
            <w:r>
              <w:rPr>
                <w:rFonts w:hint="eastAsia"/>
                <w:color w:val="auto"/>
                <w:highlight w:val="none"/>
                <w:lang w:val="en-US" w:eastAsia="zh-CN"/>
              </w:rPr>
              <w:t>单车平均运载量，t/车。</w:t>
            </w:r>
          </w:p>
          <w:p>
            <w:pPr>
              <w:ind w:firstLine="489"/>
              <w:rPr>
                <w:rFonts w:hint="default"/>
                <w:color w:val="auto"/>
                <w:highlight w:val="none"/>
                <w:lang w:val="en-US" w:eastAsia="zh-CN"/>
              </w:rPr>
            </w:pPr>
            <w:r>
              <w:rPr>
                <w:rFonts w:hint="eastAsia"/>
                <w:color w:val="auto"/>
                <w:highlight w:val="none"/>
                <w:lang w:val="en-US" w:eastAsia="zh-CN"/>
              </w:rPr>
              <w:t>a/b</w:t>
            </w:r>
            <w:r>
              <w:rPr>
                <w:color w:val="auto"/>
                <w:highlight w:val="none"/>
              </w:rPr>
              <w:t>——</w:t>
            </w:r>
            <w:r>
              <w:rPr>
                <w:rFonts w:hint="eastAsia"/>
                <w:color w:val="auto"/>
                <w:highlight w:val="none"/>
                <w:lang w:val="en-US" w:eastAsia="zh-CN"/>
              </w:rPr>
              <w:t>装卸扬尘概化系数，kg/t。</w:t>
            </w:r>
          </w:p>
          <w:p>
            <w:pPr>
              <w:ind w:firstLine="489"/>
              <w:rPr>
                <w:color w:val="auto"/>
                <w:highlight w:val="none"/>
              </w:rPr>
            </w:pPr>
            <w:r>
              <w:rPr>
                <w:rFonts w:hint="eastAsia"/>
                <w:color w:val="auto"/>
                <w:highlight w:val="none"/>
                <w:lang w:val="en-US" w:eastAsia="zh-CN"/>
              </w:rPr>
              <w:t>E</w:t>
            </w:r>
            <w:r>
              <w:rPr>
                <w:rFonts w:hint="eastAsia"/>
                <w:color w:val="auto"/>
                <w:highlight w:val="none"/>
                <w:vertAlign w:val="subscript"/>
                <w:lang w:val="en-US" w:eastAsia="zh-CN"/>
              </w:rPr>
              <w:t>f</w:t>
            </w:r>
            <w:r>
              <w:rPr>
                <w:color w:val="auto"/>
                <w:highlight w:val="none"/>
              </w:rPr>
              <w:t>——</w:t>
            </w:r>
            <w:r>
              <w:rPr>
                <w:rFonts w:hint="eastAsia"/>
                <w:color w:val="auto"/>
                <w:highlight w:val="none"/>
                <w:lang w:val="en-US" w:eastAsia="zh-CN"/>
              </w:rPr>
              <w:t>堆场风蚀扬尘概化系数</w:t>
            </w:r>
            <w:r>
              <w:rPr>
                <w:color w:val="auto"/>
                <w:highlight w:val="none"/>
              </w:rPr>
              <w:t>，kg/m</w:t>
            </w:r>
            <w:r>
              <w:rPr>
                <w:color w:val="auto"/>
                <w:highlight w:val="none"/>
                <w:vertAlign w:val="superscript"/>
              </w:rPr>
              <w:t>2</w:t>
            </w:r>
            <w:r>
              <w:rPr>
                <w:color w:val="auto"/>
                <w:highlight w:val="none"/>
              </w:rPr>
              <w:t>，</w:t>
            </w:r>
            <w:r>
              <w:rPr>
                <w:rFonts w:hint="default" w:ascii="Times New Roman" w:hAnsi="Times New Roman" w:eastAsia="宋体" w:cs="Times New Roman"/>
                <w:color w:val="auto"/>
                <w:position w:val="0"/>
                <w:sz w:val="24"/>
                <w:szCs w:val="21"/>
                <w:highlight w:val="none"/>
              </w:rPr>
              <w:t>本项目不在室外堆积，不考虑风蚀扬尘</w:t>
            </w:r>
            <w:r>
              <w:rPr>
                <w:rFonts w:hint="eastAsia" w:ascii="Times New Roman" w:hAnsi="Times New Roman" w:eastAsia="宋体" w:cs="Times New Roman"/>
                <w:color w:val="auto"/>
                <w:position w:val="0"/>
                <w:sz w:val="24"/>
                <w:szCs w:val="21"/>
                <w:highlight w:val="none"/>
                <w:lang w:eastAsia="zh-CN"/>
              </w:rPr>
              <w:t>，</w:t>
            </w:r>
            <w:r>
              <w:rPr>
                <w:color w:val="auto"/>
                <w:highlight w:val="none"/>
              </w:rPr>
              <w:t>E</w:t>
            </w:r>
            <w:r>
              <w:rPr>
                <w:rFonts w:hint="eastAsia"/>
                <w:color w:val="auto"/>
                <w:highlight w:val="none"/>
                <w:vertAlign w:val="subscript"/>
                <w:lang w:val="en-US" w:eastAsia="zh-CN"/>
              </w:rPr>
              <w:t>f</w:t>
            </w:r>
            <w:r>
              <w:rPr>
                <w:rFonts w:hint="eastAsia"/>
                <w:color w:val="auto"/>
                <w:highlight w:val="none"/>
                <w:vertAlign w:val="baseline"/>
                <w:lang w:val="en-US" w:eastAsia="zh-CN"/>
              </w:rPr>
              <w:t>为0</w:t>
            </w:r>
            <w:r>
              <w:rPr>
                <w:color w:val="auto"/>
                <w:highlight w:val="none"/>
              </w:rPr>
              <w:t>。</w:t>
            </w:r>
          </w:p>
          <w:p>
            <w:pPr>
              <w:ind w:firstLine="489"/>
              <w:rPr>
                <w:color w:val="auto"/>
                <w:highlight w:val="none"/>
              </w:rPr>
            </w:pPr>
            <w:r>
              <w:rPr>
                <w:rFonts w:hint="eastAsia"/>
                <w:color w:val="auto"/>
                <w:highlight w:val="none"/>
              </w:rPr>
              <w:t>S</w:t>
            </w:r>
            <w:r>
              <w:rPr>
                <w:color w:val="auto"/>
                <w:highlight w:val="none"/>
              </w:rPr>
              <w:t>——</w:t>
            </w:r>
            <w:r>
              <w:rPr>
                <w:rFonts w:hint="eastAsia"/>
                <w:color w:val="auto"/>
                <w:highlight w:val="none"/>
              </w:rPr>
              <w:t>堆场占地面积</w:t>
            </w:r>
            <w:r>
              <w:rPr>
                <w:color w:val="auto"/>
                <w:highlight w:val="none"/>
              </w:rPr>
              <w:t>，m</w:t>
            </w:r>
            <w:r>
              <w:rPr>
                <w:color w:val="auto"/>
                <w:highlight w:val="none"/>
                <w:vertAlign w:val="superscript"/>
              </w:rPr>
              <w:t>2</w:t>
            </w:r>
            <w:r>
              <w:rPr>
                <w:color w:val="auto"/>
                <w:highlight w:val="none"/>
              </w:rPr>
              <w:t>。</w:t>
            </w:r>
          </w:p>
          <w:p>
            <w:pPr>
              <w:bidi w:val="0"/>
              <w:rPr>
                <w:rFonts w:hint="default"/>
                <w:color w:val="auto"/>
                <w:highlight w:val="none"/>
                <w:lang w:val="en-US" w:eastAsia="zh-CN"/>
              </w:rPr>
            </w:pPr>
            <w:r>
              <w:rPr>
                <w:rFonts w:hint="eastAsia"/>
                <w:color w:val="auto"/>
                <w:highlight w:val="none"/>
                <w:lang w:val="en-US" w:eastAsia="zh-CN"/>
              </w:rPr>
              <w:t>建筑垃圾和石碴装卸、堆存过程颗粒物产生量计算参数及结果见下表。</w:t>
            </w:r>
          </w:p>
          <w:p>
            <w:pPr>
              <w:pStyle w:val="29"/>
              <w:bidi w:val="0"/>
              <w:rPr>
                <w:rFonts w:hint="default"/>
                <w:color w:val="auto"/>
                <w:highlight w:val="none"/>
                <w:lang w:val="en-US" w:eastAsia="zh-CN"/>
              </w:rPr>
            </w:pPr>
            <w:r>
              <w:rPr>
                <w:rFonts w:hint="eastAsia"/>
                <w:color w:val="auto"/>
                <w:highlight w:val="none"/>
                <w:lang w:val="en-US" w:eastAsia="zh-CN"/>
              </w:rPr>
              <w:t>表26  建筑垃圾和装卸、堆存过程颗粒物产生量计算参数及结果一览表</w:t>
            </w:r>
          </w:p>
          <w:tbl>
            <w:tblPr>
              <w:tblStyle w:val="24"/>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3"/>
              <w:gridCol w:w="1181"/>
              <w:gridCol w:w="1342"/>
              <w:gridCol w:w="1519"/>
              <w:gridCol w:w="1007"/>
              <w:gridCol w:w="1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99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项目</w:t>
                  </w:r>
                </w:p>
              </w:tc>
              <w:tc>
                <w:tcPr>
                  <w:tcW w:w="117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vertAlign w:val="baseline"/>
                      <w:lang w:val="en-US" w:eastAsia="zh-CN"/>
                    </w:rPr>
                  </w:pPr>
                  <w:r>
                    <w:rPr>
                      <w:rFonts w:hint="eastAsia"/>
                      <w:color w:val="auto"/>
                      <w:sz w:val="21"/>
                      <w:szCs w:val="21"/>
                      <w:highlight w:val="none"/>
                      <w:lang w:val="en-US" w:eastAsia="zh-CN"/>
                    </w:rPr>
                    <w:t>N</w:t>
                  </w:r>
                  <w:r>
                    <w:rPr>
                      <w:rFonts w:hint="eastAsia"/>
                      <w:color w:val="auto"/>
                      <w:sz w:val="21"/>
                      <w:szCs w:val="21"/>
                      <w:highlight w:val="none"/>
                      <w:vertAlign w:val="subscript"/>
                      <w:lang w:val="en-US" w:eastAsia="zh-CN"/>
                    </w:rPr>
                    <w:t>c</w:t>
                  </w:r>
                  <w:r>
                    <w:rPr>
                      <w:rFonts w:hint="eastAsia"/>
                      <w:color w:val="auto"/>
                      <w:sz w:val="21"/>
                      <w:szCs w:val="21"/>
                      <w:highlight w:val="none"/>
                      <w:lang w:val="en-US" w:eastAsia="zh-CN"/>
                    </w:rPr>
                    <w:t>（车/a）</w:t>
                  </w:r>
                </w:p>
              </w:tc>
              <w:tc>
                <w:tcPr>
                  <w:tcW w:w="133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D（t/车）</w:t>
                  </w:r>
                </w:p>
              </w:tc>
              <w:tc>
                <w:tcPr>
                  <w:tcW w:w="150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a/b（kg/t）</w:t>
                  </w:r>
                </w:p>
              </w:tc>
              <w:tc>
                <w:tcPr>
                  <w:tcW w:w="1000"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E</w:t>
                  </w:r>
                  <w:r>
                    <w:rPr>
                      <w:rFonts w:hint="eastAsia"/>
                      <w:color w:val="auto"/>
                      <w:sz w:val="21"/>
                      <w:szCs w:val="21"/>
                      <w:highlight w:val="none"/>
                      <w:vertAlign w:val="subscript"/>
                      <w:lang w:val="en-US" w:eastAsia="zh-CN"/>
                    </w:rPr>
                    <w:t>f</w:t>
                  </w:r>
                </w:p>
              </w:tc>
              <w:tc>
                <w:tcPr>
                  <w:tcW w:w="1206"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P（t/a）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9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建筑垃圾（建筑混凝土块等）装卸、堆存</w:t>
                  </w:r>
                </w:p>
              </w:tc>
              <w:tc>
                <w:tcPr>
                  <w:tcW w:w="117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2000</w:t>
                  </w:r>
                </w:p>
              </w:tc>
              <w:tc>
                <w:tcPr>
                  <w:tcW w:w="133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150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000"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06"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9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建筑垃圾（建筑渣土等）装卸、堆存</w:t>
                  </w:r>
                </w:p>
              </w:tc>
              <w:tc>
                <w:tcPr>
                  <w:tcW w:w="117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500</w:t>
                  </w:r>
                </w:p>
              </w:tc>
              <w:tc>
                <w:tcPr>
                  <w:tcW w:w="133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eastAsia"/>
                      <w:color w:val="auto"/>
                      <w:sz w:val="21"/>
                      <w:szCs w:val="21"/>
                      <w:highlight w:val="none"/>
                      <w:lang w:val="en-US" w:eastAsia="zh-CN"/>
                    </w:rPr>
                  </w:pPr>
                  <w:r>
                    <w:rPr>
                      <w:rFonts w:hint="eastAsia"/>
                      <w:color w:val="auto"/>
                      <w:sz w:val="21"/>
                      <w:szCs w:val="21"/>
                      <w:highlight w:val="none"/>
                      <w:lang w:val="en-US" w:eastAsia="zh-CN"/>
                    </w:rPr>
                    <w:t>20</w:t>
                  </w:r>
                </w:p>
              </w:tc>
              <w:tc>
                <w:tcPr>
                  <w:tcW w:w="1509" w:type="dxa"/>
                  <w:tcBorders>
                    <w:tl2br w:val="nil"/>
                    <w:tr2bl w:val="nil"/>
                  </w:tcBorders>
                  <w:vAlign w:val="center"/>
                </w:tcPr>
                <w:p>
                  <w:pPr>
                    <w:pStyle w:val="30"/>
                    <w:keepNext w:val="0"/>
                    <w:keepLines w:val="0"/>
                    <w:pageBreakBefore w:val="0"/>
                    <w:widowControl w:val="0"/>
                    <w:tabs>
                      <w:tab w:val="left" w:pos="538"/>
                    </w:tabs>
                    <w:kinsoku/>
                    <w:wordWrap/>
                    <w:overflowPunct/>
                    <w:topLinePunct w:val="0"/>
                    <w:autoSpaceDE/>
                    <w:autoSpaceDN/>
                    <w:bidi w:val="0"/>
                    <w:adjustRightInd/>
                    <w:snapToGrid/>
                    <w:spacing w:before="0" w:after="0"/>
                    <w:ind w:left="-48" w:leftChars="-20" w:right="-48" w:rightChars="-2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ab/>
                  </w:r>
                  <w:r>
                    <w:rPr>
                      <w:rFonts w:hint="eastAsia"/>
                      <w:color w:val="auto"/>
                      <w:sz w:val="21"/>
                      <w:szCs w:val="21"/>
                      <w:highlight w:val="none"/>
                      <w:lang w:val="en-US" w:eastAsia="zh-CN"/>
                    </w:rPr>
                    <w:t>0.0662</w:t>
                  </w:r>
                </w:p>
              </w:tc>
              <w:tc>
                <w:tcPr>
                  <w:tcW w:w="1000"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06"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99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石碴</w:t>
                  </w:r>
                </w:p>
              </w:tc>
              <w:tc>
                <w:tcPr>
                  <w:tcW w:w="117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1479</w:t>
                  </w:r>
                </w:p>
              </w:tc>
              <w:tc>
                <w:tcPr>
                  <w:tcW w:w="1333"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20</w:t>
                  </w:r>
                </w:p>
              </w:tc>
              <w:tc>
                <w:tcPr>
                  <w:tcW w:w="1509"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000"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olor w:val="auto"/>
                      <w:sz w:val="21"/>
                      <w:szCs w:val="21"/>
                      <w:highlight w:val="none"/>
                      <w:lang w:val="en-US" w:eastAsia="zh-CN"/>
                    </w:rPr>
                  </w:pPr>
                  <w:r>
                    <w:rPr>
                      <w:rFonts w:hint="eastAsia"/>
                      <w:color w:val="auto"/>
                      <w:sz w:val="21"/>
                      <w:szCs w:val="21"/>
                      <w:highlight w:val="none"/>
                      <w:lang w:val="en-US" w:eastAsia="zh-CN"/>
                    </w:rPr>
                    <w:t>0</w:t>
                  </w:r>
                </w:p>
              </w:tc>
              <w:tc>
                <w:tcPr>
                  <w:tcW w:w="1206" w:type="dxa"/>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29.58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220" w:type="dxa"/>
                  <w:gridSpan w:val="6"/>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jc w:val="left"/>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备注：本项目建筑混凝土块、石碴含水率概化系数参照尾矿概化系数，物料含水率0.4%，b为0.0002，建筑混凝土块、石碴含水率约2%，b取0.001，建筑渣土参照表土概化系数，b取0.0151，a为0.0010。</w:t>
                  </w:r>
                </w:p>
              </w:tc>
            </w:tr>
          </w:tbl>
          <w:p>
            <w:pPr>
              <w:ind w:firstLine="489"/>
              <w:rPr>
                <w:rFonts w:hint="default" w:eastAsia="宋体"/>
                <w:color w:val="auto"/>
                <w:highlight w:val="none"/>
                <w:lang w:val="en-US" w:eastAsia="zh-CN"/>
              </w:rPr>
            </w:pPr>
            <w:r>
              <w:rPr>
                <w:rFonts w:hint="eastAsia"/>
                <w:color w:val="auto"/>
                <w:highlight w:val="none"/>
                <w:lang w:val="en-US" w:eastAsia="zh-CN"/>
              </w:rPr>
              <w:t>由上表可知，建筑垃圾和石碴装卸、堆存过程颗粒物产生量为70.242t/a。</w:t>
            </w:r>
          </w:p>
          <w:p>
            <w:pPr>
              <w:ind w:firstLine="489"/>
              <w:rPr>
                <w:rFonts w:hint="eastAsia"/>
                <w:color w:val="auto"/>
                <w:highlight w:val="none"/>
              </w:rPr>
            </w:pPr>
            <w:r>
              <w:rPr>
                <w:rFonts w:hint="eastAsia"/>
                <w:color w:val="auto"/>
                <w:highlight w:val="none"/>
              </w:rPr>
              <w:t>工业企业固体物料堆场颗粒物排放量核算公式如下：</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eastAsia="宋体"/>
                <w:color w:val="auto"/>
                <w:position w:val="-12"/>
                <w:highlight w:val="none"/>
                <w:lang w:eastAsia="zh-CN"/>
              </w:rPr>
              <w:object>
                <v:shape id="_x0000_i1027" o:spt="75" type="#_x0000_t75" style="height:18pt;width:125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pPr>
              <w:ind w:firstLine="489"/>
              <w:rPr>
                <w:color w:val="auto"/>
                <w:highlight w:val="none"/>
              </w:rPr>
            </w:pPr>
            <w:r>
              <w:rPr>
                <w:color w:val="auto"/>
                <w:highlight w:val="none"/>
              </w:rPr>
              <w:t>式中：</w:t>
            </w:r>
          </w:p>
          <w:p>
            <w:pPr>
              <w:ind w:firstLine="489"/>
              <w:rPr>
                <w:color w:val="auto"/>
                <w:highlight w:val="none"/>
              </w:rPr>
            </w:pPr>
            <w:r>
              <w:rPr>
                <w:rFonts w:hint="eastAsia"/>
                <w:color w:val="auto"/>
                <w:highlight w:val="none"/>
                <w:lang w:val="en-US" w:eastAsia="zh-CN"/>
              </w:rPr>
              <w:t>P</w:t>
            </w:r>
            <w:r>
              <w:rPr>
                <w:color w:val="auto"/>
                <w:highlight w:val="none"/>
              </w:rPr>
              <w:t>——</w:t>
            </w:r>
            <w:r>
              <w:rPr>
                <w:rFonts w:hint="eastAsia"/>
                <w:color w:val="auto"/>
                <w:highlight w:val="none"/>
                <w:lang w:val="en-US" w:eastAsia="zh-CN"/>
              </w:rPr>
              <w:t>颗粒物产生量，t/a</w:t>
            </w:r>
            <w:r>
              <w:rPr>
                <w:color w:val="auto"/>
                <w:highlight w:val="none"/>
              </w:rPr>
              <w:t>。</w:t>
            </w:r>
          </w:p>
          <w:p>
            <w:pPr>
              <w:ind w:firstLine="489"/>
              <w:rPr>
                <w:color w:val="auto"/>
                <w:highlight w:val="none"/>
              </w:rPr>
            </w:pPr>
            <w:r>
              <w:rPr>
                <w:rFonts w:hint="eastAsia"/>
                <w:color w:val="auto"/>
                <w:highlight w:val="none"/>
                <w:lang w:val="en-US" w:eastAsia="zh-CN"/>
              </w:rPr>
              <w:t>Uc</w:t>
            </w:r>
            <w:r>
              <w:rPr>
                <w:color w:val="auto"/>
                <w:highlight w:val="none"/>
              </w:rPr>
              <w:t>——</w:t>
            </w:r>
            <w:r>
              <w:rPr>
                <w:rFonts w:hint="eastAsia"/>
                <w:color w:val="auto"/>
                <w:highlight w:val="none"/>
                <w:lang w:val="en-US" w:eastAsia="zh-CN"/>
              </w:rPr>
              <w:t>颗粒物排放量，t/a</w:t>
            </w:r>
            <w:r>
              <w:rPr>
                <w:color w:val="auto"/>
                <w:highlight w:val="none"/>
              </w:rPr>
              <w:t>。</w:t>
            </w:r>
          </w:p>
          <w:p>
            <w:pPr>
              <w:ind w:firstLine="489"/>
              <w:rPr>
                <w:color w:val="auto"/>
                <w:highlight w:val="none"/>
              </w:rPr>
            </w:pPr>
            <w:r>
              <w:rPr>
                <w:rFonts w:hint="eastAsia"/>
                <w:color w:val="auto"/>
                <w:highlight w:val="none"/>
                <w:lang w:val="en-US" w:eastAsia="zh-CN"/>
              </w:rPr>
              <w:t>C</w:t>
            </w:r>
            <w:r>
              <w:rPr>
                <w:rFonts w:hint="eastAsia"/>
                <w:color w:val="auto"/>
                <w:highlight w:val="none"/>
                <w:vertAlign w:val="subscript"/>
                <w:lang w:val="en-US" w:eastAsia="zh-CN"/>
              </w:rPr>
              <w:t>m</w:t>
            </w:r>
            <w:r>
              <w:rPr>
                <w:color w:val="auto"/>
                <w:highlight w:val="none"/>
              </w:rPr>
              <w:t>——</w:t>
            </w:r>
            <w:r>
              <w:rPr>
                <w:rFonts w:hint="eastAsia"/>
                <w:color w:val="auto"/>
                <w:highlight w:val="none"/>
                <w:lang w:val="en-US" w:eastAsia="zh-CN"/>
              </w:rPr>
              <w:t>颗粒物控制措施控制效率，%，本项目设置喷淋抑尘，控制效率为74%</w:t>
            </w:r>
            <w:r>
              <w:rPr>
                <w:color w:val="auto"/>
                <w:highlight w:val="none"/>
              </w:rPr>
              <w:t>。</w:t>
            </w:r>
          </w:p>
          <w:p>
            <w:pPr>
              <w:ind w:firstLine="489"/>
              <w:rPr>
                <w:color w:val="auto"/>
                <w:highlight w:val="none"/>
              </w:rPr>
            </w:pPr>
            <w:r>
              <w:rPr>
                <w:rFonts w:hint="eastAsia"/>
                <w:color w:val="auto"/>
                <w:highlight w:val="none"/>
                <w:lang w:val="en-US" w:eastAsia="zh-CN"/>
              </w:rPr>
              <w:t>T</w:t>
            </w:r>
            <w:r>
              <w:rPr>
                <w:rFonts w:hint="eastAsia"/>
                <w:color w:val="auto"/>
                <w:highlight w:val="none"/>
                <w:vertAlign w:val="subscript"/>
                <w:lang w:val="en-US" w:eastAsia="zh-CN"/>
              </w:rPr>
              <w:t>m</w:t>
            </w:r>
            <w:r>
              <w:rPr>
                <w:color w:val="auto"/>
                <w:highlight w:val="none"/>
              </w:rPr>
              <w:t>——</w:t>
            </w:r>
            <w:r>
              <w:rPr>
                <w:rFonts w:hint="eastAsia"/>
                <w:color w:val="auto"/>
                <w:highlight w:val="none"/>
                <w:lang w:val="en-US" w:eastAsia="zh-CN"/>
              </w:rPr>
              <w:t>堆场类型控制效率，%，本项目建筑垃圾、石碴堆存于封闭的生产车间内，控制效率为99%</w:t>
            </w:r>
            <w:r>
              <w:rPr>
                <w:color w:val="auto"/>
                <w:highlight w:val="none"/>
              </w:rPr>
              <w:t>。</w:t>
            </w:r>
          </w:p>
          <w:p>
            <w:pPr>
              <w:bidi w:val="0"/>
              <w:rPr>
                <w:rFonts w:hint="eastAsia"/>
                <w:color w:val="auto"/>
                <w:highlight w:val="none"/>
                <w:lang w:val="en-US" w:eastAsia="zh-CN"/>
              </w:rPr>
            </w:pPr>
            <w:r>
              <w:rPr>
                <w:rFonts w:hint="eastAsia"/>
                <w:color w:val="auto"/>
                <w:highlight w:val="none"/>
                <w:lang w:val="en-US" w:eastAsia="zh-CN"/>
              </w:rPr>
              <w:t>由上式计算，建筑垃圾和石碴装卸、堆存过程颗粒物排放量为0.183t/a。</w:t>
            </w:r>
          </w:p>
          <w:p>
            <w:pPr>
              <w:bidi w:val="0"/>
              <w:rPr>
                <w:rFonts w:hint="eastAsia"/>
                <w:color w:val="auto"/>
                <w:highlight w:val="none"/>
                <w:lang w:val="en-US" w:eastAsia="zh-CN"/>
              </w:rPr>
            </w:pPr>
            <w:r>
              <w:rPr>
                <w:rFonts w:hint="eastAsia"/>
                <w:color w:val="auto"/>
                <w:highlight w:val="none"/>
                <w:lang w:val="en-US" w:eastAsia="zh-CN"/>
              </w:rPr>
              <w:t>②生产过程未捕集颗粒物</w:t>
            </w:r>
          </w:p>
          <w:p>
            <w:pPr>
              <w:bidi w:val="0"/>
              <w:rPr>
                <w:rFonts w:hint="eastAsia"/>
                <w:color w:val="auto"/>
                <w:highlight w:val="none"/>
                <w:lang w:val="en-US" w:eastAsia="zh-CN"/>
              </w:rPr>
            </w:pPr>
            <w:r>
              <w:rPr>
                <w:rFonts w:hint="eastAsia"/>
                <w:color w:val="auto"/>
                <w:highlight w:val="none"/>
                <w:lang w:val="en-US" w:eastAsia="zh-CN"/>
              </w:rPr>
              <w:t>本项目生产过程未捕集颗粒物为8.14t/a，经喷淋抑尘及自然沉降，抑尘效率可达99%，则生产过程未捕集颗粒物无组织排放量为0.081t/a。</w:t>
            </w:r>
          </w:p>
          <w:p>
            <w:pPr>
              <w:bidi w:val="0"/>
              <w:rPr>
                <w:rFonts w:hint="default"/>
                <w:color w:val="auto"/>
                <w:highlight w:val="none"/>
                <w:vertAlign w:val="baseline"/>
                <w:lang w:val="en-US" w:eastAsia="zh-CN"/>
              </w:rPr>
            </w:pPr>
            <w:r>
              <w:rPr>
                <w:rFonts w:hint="eastAsia"/>
                <w:color w:val="auto"/>
                <w:highlight w:val="none"/>
                <w:lang w:val="en-US" w:eastAsia="zh-CN"/>
              </w:rPr>
              <w:t>综上，本项目颗粒物无组织排放量为0.264t/a，排放速率为0.044kg/h，</w:t>
            </w:r>
            <w:r>
              <w:rPr>
                <w:rFonts w:ascii="Times New Roman" w:hAnsi="Times New Roman"/>
                <w:color w:val="auto"/>
                <w:sz w:val="24"/>
                <w:szCs w:val="24"/>
                <w:highlight w:val="none"/>
              </w:rPr>
              <w:t>经AERSCREEN预测</w:t>
            </w:r>
            <w:r>
              <w:rPr>
                <w:rFonts w:hint="eastAsia" w:ascii="Times New Roman" w:hAnsi="Times New Roman"/>
                <w:color w:val="auto"/>
                <w:sz w:val="24"/>
                <w:szCs w:val="24"/>
                <w:highlight w:val="none"/>
                <w:lang w:eastAsia="zh-CN"/>
              </w:rPr>
              <w:t>，</w:t>
            </w:r>
            <w:r>
              <w:rPr>
                <w:rFonts w:hint="eastAsia"/>
                <w:color w:val="auto"/>
                <w:sz w:val="24"/>
                <w:szCs w:val="24"/>
                <w:highlight w:val="none"/>
                <w:lang w:val="en-US" w:eastAsia="zh-CN"/>
              </w:rPr>
              <w:t>颗粒物</w:t>
            </w:r>
            <w:r>
              <w:rPr>
                <w:rFonts w:hint="eastAsia"/>
                <w:color w:val="auto"/>
                <w:sz w:val="24"/>
                <w:szCs w:val="24"/>
                <w:highlight w:val="none"/>
                <w:vertAlign w:val="baseline"/>
                <w:lang w:val="en-US" w:eastAsia="zh-CN"/>
              </w:rPr>
              <w:t>最大落地浓度为0.0258</w:t>
            </w:r>
            <w:r>
              <w:rPr>
                <w:rFonts w:hint="eastAsia" w:cs="Times New Roman"/>
                <w:color w:val="auto"/>
                <w:sz w:val="24"/>
                <w:szCs w:val="24"/>
                <w:highlight w:val="none"/>
                <w:lang w:val="en-US" w:eastAsia="zh-CN"/>
              </w:rPr>
              <w:t>m</w:t>
            </w:r>
            <w:r>
              <w:rPr>
                <w:rFonts w:hint="eastAsia" w:ascii="Times New Roman" w:hAnsi="Times New Roman"/>
                <w:color w:val="auto"/>
                <w:sz w:val="24"/>
                <w:szCs w:val="24"/>
                <w:highlight w:val="none"/>
                <w:lang w:val="en-US" w:eastAsia="zh-CN"/>
              </w:rPr>
              <w:t>g/m</w:t>
            </w:r>
            <w:r>
              <w:rPr>
                <w:rFonts w:hint="eastAsia" w:ascii="Times New Roman" w:hAnsi="Times New Roman"/>
                <w:color w:val="auto"/>
                <w:sz w:val="24"/>
                <w:szCs w:val="24"/>
                <w:highlight w:val="none"/>
                <w:vertAlign w:val="superscript"/>
                <w:lang w:val="en-US" w:eastAsia="zh-CN"/>
              </w:rPr>
              <w:t>3</w:t>
            </w:r>
            <w:r>
              <w:rPr>
                <w:rFonts w:hint="eastAsia" w:ascii="Times New Roman" w:hAnsi="Times New Roman"/>
                <w:color w:val="auto"/>
                <w:sz w:val="24"/>
                <w:szCs w:val="24"/>
                <w:highlight w:val="none"/>
                <w:vertAlign w:val="baseline"/>
                <w:lang w:val="en-US" w:eastAsia="zh-CN"/>
              </w:rPr>
              <w:t>，满足</w:t>
            </w:r>
            <w:r>
              <w:rPr>
                <w:rFonts w:hint="eastAsia"/>
                <w:color w:val="auto"/>
                <w:highlight w:val="none"/>
                <w:lang w:val="en-US" w:eastAsia="zh-CN"/>
              </w:rPr>
              <w:t>《石灰行业大气污染物排放标准》（DB13/1641-2012）表3中相关限值要求：颗粒物</w:t>
            </w:r>
            <w:r>
              <w:rPr>
                <w:rFonts w:hint="default"/>
                <w:color w:val="auto"/>
                <w:highlight w:val="none"/>
                <w:lang w:val="en-US" w:eastAsia="zh-CN"/>
              </w:rPr>
              <w:t>≤</w:t>
            </w:r>
            <w:r>
              <w:rPr>
                <w:rFonts w:hint="eastAsia"/>
                <w:color w:val="auto"/>
                <w:highlight w:val="none"/>
                <w:lang w:val="en-US" w:eastAsia="zh-CN"/>
              </w:rPr>
              <w:t>1.0mg/m</w:t>
            </w:r>
            <w:r>
              <w:rPr>
                <w:rFonts w:hint="eastAsia"/>
                <w:color w:val="auto"/>
                <w:highlight w:val="none"/>
                <w:vertAlign w:val="superscript"/>
                <w:lang w:val="en-US" w:eastAsia="zh-CN"/>
              </w:rPr>
              <w:t>3</w:t>
            </w:r>
            <w:r>
              <w:rPr>
                <w:rFonts w:hint="eastAsia" w:eastAsia="宋体"/>
                <w:snapToGrid w:val="0"/>
                <w:color w:val="auto"/>
                <w:sz w:val="24"/>
                <w:szCs w:val="24"/>
                <w:highlight w:val="none"/>
                <w:vertAlign w:val="baseline"/>
                <w:lang w:eastAsia="zh-CN"/>
              </w:rPr>
              <w:t>（</w:t>
            </w:r>
            <w:r>
              <w:rPr>
                <w:rFonts w:hint="eastAsia"/>
                <w:snapToGrid w:val="0"/>
                <w:color w:val="auto"/>
                <w:sz w:val="24"/>
                <w:szCs w:val="24"/>
                <w:highlight w:val="none"/>
                <w:vertAlign w:val="baseline"/>
                <w:lang w:val="en-US" w:eastAsia="zh-CN"/>
              </w:rPr>
              <w:t>扣除参考值</w:t>
            </w:r>
            <w:r>
              <w:rPr>
                <w:rFonts w:hint="eastAsia" w:eastAsia="宋体"/>
                <w:snapToGrid w:val="0"/>
                <w:color w:val="auto"/>
                <w:sz w:val="24"/>
                <w:szCs w:val="24"/>
                <w:highlight w:val="none"/>
                <w:vertAlign w:val="baseline"/>
                <w:lang w:eastAsia="zh-CN"/>
              </w:rPr>
              <w:t>），</w:t>
            </w:r>
            <w:r>
              <w:rPr>
                <w:rFonts w:hint="eastAsia" w:eastAsia="宋体"/>
                <w:snapToGrid w:val="0"/>
                <w:color w:val="auto"/>
                <w:sz w:val="24"/>
                <w:szCs w:val="24"/>
                <w:highlight w:val="none"/>
                <w:vertAlign w:val="baseline"/>
                <w:lang w:val="en-US" w:eastAsia="zh-CN"/>
              </w:rPr>
              <w:t>同时满足《唐山市钢铁行业整治提升工作方案》等10项方案（唐气领办[2021]15号）中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cs="Times New Roman"/>
                <w:color w:val="auto"/>
                <w:sz w:val="24"/>
                <w:szCs w:val="21"/>
                <w:highlight w:val="none"/>
                <w:lang w:val="en-US" w:eastAsia="zh-CN"/>
              </w:rPr>
              <w:t>：</w:t>
            </w:r>
            <w:r>
              <w:rPr>
                <w:rFonts w:hint="eastAsia" w:ascii="Times New Roman" w:hAnsi="Times New Roman" w:eastAsia="宋体" w:cs="Times New Roman"/>
                <w:b w:val="0"/>
                <w:color w:val="auto"/>
                <w:sz w:val="24"/>
                <w:szCs w:val="24"/>
                <w:highlight w:val="none"/>
                <w:vertAlign w:val="baseline"/>
                <w:lang w:val="en-US" w:eastAsia="zh-CN"/>
              </w:rPr>
              <w:t>厂界无组织颗粒物浓度达到0.5mg/Nm</w:t>
            </w:r>
            <w:r>
              <w:rPr>
                <w:rFonts w:hint="eastAsia" w:ascii="Times New Roman" w:hAnsi="Times New Roman" w:eastAsia="宋体" w:cs="Times New Roman"/>
                <w:b w:val="0"/>
                <w:color w:val="auto"/>
                <w:sz w:val="24"/>
                <w:szCs w:val="24"/>
                <w:highlight w:val="none"/>
                <w:vertAlign w:val="superscript"/>
                <w:lang w:val="en-US" w:eastAsia="zh-CN"/>
              </w:rPr>
              <w:t>3</w:t>
            </w:r>
            <w:r>
              <w:rPr>
                <w:rFonts w:hint="eastAsia" w:ascii="Times New Roman" w:hAnsi="Times New Roman" w:eastAsia="宋体" w:cs="Times New Roman"/>
                <w:b w:val="0"/>
                <w:color w:val="auto"/>
                <w:sz w:val="24"/>
                <w:szCs w:val="24"/>
                <w:highlight w:val="none"/>
                <w:vertAlign w:val="baseline"/>
                <w:lang w:val="en-US" w:eastAsia="zh-CN"/>
              </w:rPr>
              <w:t>的要求。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b/>
                <w:bCs/>
                <w:color w:val="auto"/>
                <w:highlight w:val="none"/>
                <w:lang w:val="en-US" w:eastAsia="zh-CN"/>
              </w:rPr>
            </w:pPr>
            <w:r>
              <w:rPr>
                <w:rFonts w:hint="eastAsia" w:ascii="Times New Roman" w:eastAsia="宋体"/>
                <w:b/>
                <w:bCs/>
                <w:color w:val="auto"/>
                <w:highlight w:val="none"/>
                <w:lang w:val="en-US" w:eastAsia="zh-CN"/>
              </w:rPr>
              <w:t>1.</w:t>
            </w:r>
            <w:r>
              <w:rPr>
                <w:rFonts w:hint="eastAsia"/>
                <w:b/>
                <w:bCs/>
                <w:color w:val="auto"/>
                <w:highlight w:val="none"/>
                <w:lang w:val="en-US" w:eastAsia="zh-CN"/>
              </w:rPr>
              <w:t>3</w:t>
            </w:r>
            <w:r>
              <w:rPr>
                <w:rFonts w:hint="eastAsia" w:ascii="Times New Roman" w:eastAsia="宋体"/>
                <w:b/>
                <w:bCs/>
                <w:color w:val="auto"/>
                <w:highlight w:val="none"/>
                <w:lang w:val="en-US" w:eastAsia="zh-CN"/>
              </w:rPr>
              <w:t>非正常情况分析</w:t>
            </w:r>
          </w:p>
          <w:p>
            <w:pPr>
              <w:rPr>
                <w:rFonts w:hint="eastAsia"/>
                <w:color w:val="auto"/>
                <w:highlight w:val="none"/>
                <w:lang w:val="en-US" w:eastAsia="zh-CN"/>
              </w:rPr>
            </w:pPr>
            <w:r>
              <w:rPr>
                <w:rFonts w:hint="eastAsia" w:ascii="Times New Roman" w:eastAsia="宋体"/>
                <w:color w:val="auto"/>
                <w:highlight w:val="none"/>
                <w:lang w:val="en-US" w:eastAsia="zh-CN"/>
              </w:rPr>
              <w:t>本项目可能发生的非正常工况主要为环保设施发生故障，发生故障时污染物不经过处理，直接排放至大气中。</w:t>
            </w:r>
            <w:r>
              <w:rPr>
                <w:rFonts w:hint="eastAsia"/>
                <w:color w:val="auto"/>
                <w:highlight w:val="none"/>
                <w:lang w:val="en-US" w:eastAsia="zh-CN"/>
              </w:rPr>
              <w:t>本次评价</w:t>
            </w:r>
            <w:r>
              <w:rPr>
                <w:rFonts w:hint="eastAsia" w:ascii="Times New Roman" w:eastAsia="宋体"/>
                <w:color w:val="auto"/>
                <w:highlight w:val="none"/>
                <w:lang w:val="en-US" w:eastAsia="zh-CN"/>
              </w:rPr>
              <w:t>故障频次按每年发生1次，每次持续</w:t>
            </w:r>
            <w:r>
              <w:rPr>
                <w:rFonts w:hint="eastAsia"/>
                <w:color w:val="auto"/>
                <w:highlight w:val="none"/>
                <w:lang w:val="en-US" w:eastAsia="zh-CN"/>
              </w:rPr>
              <w:t>0.5</w:t>
            </w:r>
            <w:r>
              <w:rPr>
                <w:rFonts w:hint="eastAsia" w:ascii="Times New Roman" w:eastAsia="宋体"/>
                <w:color w:val="auto"/>
                <w:highlight w:val="none"/>
                <w:lang w:val="en-US" w:eastAsia="zh-CN"/>
              </w:rPr>
              <w:t>h计。环保设施发生故障后，立即停产，对故障设施进行检修，待故障设施恢复正常后恢复生产。本项目非正常工况污染物排放情况见下表。</w:t>
            </w:r>
          </w:p>
          <w:p>
            <w:pPr>
              <w:pStyle w:val="8"/>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color w:val="auto"/>
                <w:sz w:val="21"/>
                <w:szCs w:val="21"/>
                <w:highlight w:val="none"/>
                <w:shd w:val="clear" w:color="auto" w:fill="auto"/>
              </w:rPr>
            </w:pPr>
            <w:r>
              <w:rPr>
                <w:rFonts w:hint="eastAsia"/>
                <w:color w:val="auto"/>
                <w:sz w:val="24"/>
                <w:szCs w:val="24"/>
                <w:highlight w:val="none"/>
                <w:shd w:val="clear" w:color="auto" w:fill="auto"/>
                <w:lang w:eastAsia="zh-CN"/>
              </w:rPr>
              <w:t xml:space="preserve"> </w:t>
            </w:r>
            <w:r>
              <w:rPr>
                <w:rFonts w:hint="default"/>
                <w:color w:val="auto"/>
                <w:sz w:val="21"/>
                <w:szCs w:val="21"/>
                <w:highlight w:val="none"/>
                <w:shd w:val="clear" w:color="auto" w:fill="auto"/>
              </w:rPr>
              <w:t>表</w:t>
            </w:r>
            <w:r>
              <w:rPr>
                <w:rFonts w:hint="eastAsia"/>
                <w:color w:val="auto"/>
                <w:sz w:val="21"/>
                <w:szCs w:val="21"/>
                <w:highlight w:val="none"/>
                <w:shd w:val="clear" w:color="auto" w:fill="auto"/>
                <w:lang w:val="en-US" w:eastAsia="zh-CN"/>
              </w:rPr>
              <w:t>27</w:t>
            </w:r>
            <w:r>
              <w:rPr>
                <w:rFonts w:hint="default"/>
                <w:color w:val="auto"/>
                <w:sz w:val="21"/>
                <w:szCs w:val="21"/>
                <w:highlight w:val="none"/>
                <w:shd w:val="clear" w:color="auto" w:fill="auto"/>
              </w:rPr>
              <w:t xml:space="preserve">  </w:t>
            </w:r>
            <w:r>
              <w:rPr>
                <w:rFonts w:hint="eastAsia"/>
                <w:color w:val="auto"/>
                <w:sz w:val="21"/>
                <w:szCs w:val="21"/>
                <w:highlight w:val="none"/>
                <w:shd w:val="clear" w:color="auto" w:fill="auto"/>
                <w:lang w:eastAsia="zh-CN"/>
              </w:rPr>
              <w:t>非正常排放参数一</w:t>
            </w:r>
            <w:r>
              <w:rPr>
                <w:rFonts w:hint="default"/>
                <w:color w:val="auto"/>
                <w:sz w:val="21"/>
                <w:szCs w:val="21"/>
                <w:highlight w:val="none"/>
                <w:shd w:val="clear" w:color="auto" w:fill="auto"/>
              </w:rPr>
              <w:t>览表</w:t>
            </w:r>
          </w:p>
          <w:tbl>
            <w:tblPr>
              <w:tblStyle w:val="23"/>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18"/>
              <w:gridCol w:w="918"/>
              <w:gridCol w:w="1174"/>
              <w:gridCol w:w="1023"/>
              <w:gridCol w:w="1114"/>
              <w:gridCol w:w="1069"/>
              <w:gridCol w:w="117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00" w:hRule="atLeast"/>
                <w:jc w:val="center"/>
              </w:trPr>
              <w:tc>
                <w:tcPr>
                  <w:tcW w:w="1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非正常排放源</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频次</w:t>
                  </w:r>
                </w:p>
              </w:tc>
              <w:tc>
                <w:tcPr>
                  <w:tcW w:w="11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排放浓度</w:t>
                  </w:r>
                </w:p>
              </w:tc>
              <w:tc>
                <w:tcPr>
                  <w:tcW w:w="10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持续时间</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aps w:val="0"/>
                      <w:color w:val="auto"/>
                      <w:spacing w:val="0"/>
                      <w:position w:val="0"/>
                      <w:sz w:val="21"/>
                      <w:szCs w:val="21"/>
                      <w:highlight w:val="none"/>
                      <w:shd w:val="clear" w:color="auto" w:fill="auto"/>
                      <w:lang w:val="en-US"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val="en-US" w:eastAsia="zh-CN"/>
                    </w:rPr>
                    <w:t>污染物</w:t>
                  </w:r>
                </w:p>
              </w:tc>
              <w:tc>
                <w:tcPr>
                  <w:tcW w:w="10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排放量</w:t>
                  </w:r>
                </w:p>
              </w:tc>
              <w:tc>
                <w:tcPr>
                  <w:tcW w:w="11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pPr>
                  <w:r>
                    <w:rPr>
                      <w:rFonts w:hint="eastAsia" w:ascii="Times New Roman" w:hAnsi="Times New Roman" w:eastAsia="宋体" w:cs="Times New Roman"/>
                      <w:b w:val="0"/>
                      <w:bCs/>
                      <w:caps w:val="0"/>
                      <w:color w:val="auto"/>
                      <w:spacing w:val="0"/>
                      <w:position w:val="0"/>
                      <w:sz w:val="21"/>
                      <w:szCs w:val="21"/>
                      <w:highlight w:val="none"/>
                      <w:shd w:val="clear" w:color="auto" w:fill="auto"/>
                      <w:lang w:eastAsia="zh-CN"/>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191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ascii="Times New Roman" w:hAnsi="Times New Roman" w:cs="Times New Roman"/>
                      <w:bCs/>
                      <w:caps w:val="0"/>
                      <w:color w:val="auto"/>
                      <w:spacing w:val="0"/>
                      <w:position w:val="0"/>
                      <w:sz w:val="21"/>
                      <w:szCs w:val="21"/>
                      <w:highlight w:val="none"/>
                      <w:shd w:val="clear" w:color="auto" w:fill="auto"/>
                      <w:lang w:val="en-US" w:eastAsia="zh-CN"/>
                    </w:rPr>
                  </w:pPr>
                  <w:r>
                    <w:rPr>
                      <w:rFonts w:hint="eastAsia" w:cs="Times New Roman"/>
                      <w:bCs/>
                      <w:caps w:val="0"/>
                      <w:color w:val="auto"/>
                      <w:spacing w:val="0"/>
                      <w:position w:val="0"/>
                      <w:sz w:val="21"/>
                      <w:szCs w:val="21"/>
                      <w:highlight w:val="none"/>
                      <w:lang w:val="en-US" w:eastAsia="zh-CN"/>
                    </w:rPr>
                    <w:t>建筑垃圾处理生产线</w:t>
                  </w:r>
                  <w:r>
                    <w:rPr>
                      <w:rFonts w:hint="eastAsia" w:ascii="Times New Roman" w:hAnsi="Times New Roman" w:cs="Times New Roman"/>
                      <w:bCs/>
                      <w:caps w:val="0"/>
                      <w:color w:val="auto"/>
                      <w:spacing w:val="0"/>
                      <w:position w:val="0"/>
                      <w:sz w:val="21"/>
                      <w:szCs w:val="21"/>
                      <w:highlight w:val="none"/>
                      <w:lang w:val="en-US" w:eastAsia="zh-CN"/>
                    </w:rPr>
                    <w:t>废气排放口</w:t>
                  </w:r>
                </w:p>
              </w:tc>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ascii="Times New Roman" w:hAnsi="Times New Roman" w:cs="Times New Roman"/>
                      <w:bCs/>
                      <w:caps w:val="0"/>
                      <w:color w:val="auto"/>
                      <w:spacing w:val="0"/>
                      <w:position w:val="0"/>
                      <w:sz w:val="21"/>
                      <w:szCs w:val="21"/>
                      <w:highlight w:val="none"/>
                      <w:shd w:val="clear" w:color="auto" w:fill="auto"/>
                      <w:lang w:val="en-US" w:eastAsia="zh-CN"/>
                    </w:rPr>
                    <w:t>1次/年</w:t>
                  </w:r>
                </w:p>
              </w:tc>
              <w:tc>
                <w:tcPr>
                  <w:tcW w:w="11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bCs/>
                      <w:caps w:val="0"/>
                      <w:color w:val="auto"/>
                      <w:spacing w:val="0"/>
                      <w:kern w:val="2"/>
                      <w:position w:val="0"/>
                      <w:sz w:val="21"/>
                      <w:szCs w:val="21"/>
                      <w:highlight w:val="none"/>
                      <w:shd w:val="clear" w:color="auto" w:fill="auto"/>
                      <w:vertAlign w:val="superscript"/>
                      <w:lang w:val="en-US" w:eastAsia="zh-CN" w:bidi="ar-SA"/>
                    </w:rPr>
                  </w:pPr>
                  <w:r>
                    <w:rPr>
                      <w:rFonts w:hint="eastAsia" w:cs="Times New Roman"/>
                      <w:caps w:val="0"/>
                      <w:color w:val="auto"/>
                      <w:spacing w:val="0"/>
                      <w:position w:val="0"/>
                      <w:sz w:val="21"/>
                      <w:szCs w:val="21"/>
                      <w:highlight w:val="none"/>
                      <w:shd w:val="clear" w:color="auto" w:fill="auto"/>
                      <w:lang w:val="en-US" w:eastAsia="zh-CN"/>
                    </w:rPr>
                    <w:t>1166.9</w:t>
                  </w: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mg/m</w:t>
                  </w:r>
                  <w:r>
                    <w:rPr>
                      <w:rFonts w:hint="eastAsia" w:ascii="Times New Roman" w:hAnsi="Times New Roman" w:eastAsia="宋体" w:cs="Times New Roman"/>
                      <w:caps w:val="0"/>
                      <w:color w:val="auto"/>
                      <w:spacing w:val="0"/>
                      <w:position w:val="0"/>
                      <w:sz w:val="21"/>
                      <w:szCs w:val="21"/>
                      <w:highlight w:val="none"/>
                      <w:shd w:val="clear" w:color="auto" w:fill="auto"/>
                      <w:vertAlign w:val="superscript"/>
                      <w:lang w:val="en-US" w:eastAsia="zh-CN"/>
                    </w:rPr>
                    <w:t>3</w:t>
                  </w:r>
                </w:p>
              </w:tc>
              <w:tc>
                <w:tcPr>
                  <w:tcW w:w="102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单次</w:t>
                  </w:r>
                  <w:r>
                    <w:rPr>
                      <w:rFonts w:hint="eastAsia" w:cs="Times New Roman"/>
                      <w:caps w:val="0"/>
                      <w:color w:val="auto"/>
                      <w:spacing w:val="0"/>
                      <w:position w:val="0"/>
                      <w:sz w:val="21"/>
                      <w:szCs w:val="21"/>
                      <w:highlight w:val="none"/>
                      <w:shd w:val="clear" w:color="auto" w:fill="auto"/>
                      <w:lang w:val="en-US" w:eastAsia="zh-CN"/>
                    </w:rPr>
                    <w:t>0.5</w:t>
                  </w: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h</w:t>
                  </w:r>
                </w:p>
              </w:tc>
              <w:tc>
                <w:tcPr>
                  <w:tcW w:w="111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Cs/>
                      <w:caps w:val="0"/>
                      <w:color w:val="auto"/>
                      <w:spacing w:val="0"/>
                      <w:kern w:val="2"/>
                      <w:position w:val="0"/>
                      <w:sz w:val="21"/>
                      <w:szCs w:val="21"/>
                      <w:highlight w:val="none"/>
                      <w:shd w:val="clear" w:color="auto" w:fill="auto"/>
                      <w:lang w:val="en-US" w:eastAsia="zh-CN" w:bidi="ar-SA"/>
                    </w:rPr>
                  </w:pPr>
                  <w:r>
                    <w:rPr>
                      <w:rFonts w:hint="eastAsia" w:cs="Times New Roman"/>
                      <w:bCs/>
                      <w:caps w:val="0"/>
                      <w:color w:val="auto"/>
                      <w:spacing w:val="0"/>
                      <w:position w:val="0"/>
                      <w:sz w:val="21"/>
                      <w:szCs w:val="21"/>
                      <w:highlight w:val="none"/>
                      <w:shd w:val="clear" w:color="auto" w:fill="auto"/>
                      <w:lang w:val="en-US" w:eastAsia="zh-CN"/>
                    </w:rPr>
                    <w:t>颗粒物</w:t>
                  </w:r>
                </w:p>
              </w:tc>
              <w:tc>
                <w:tcPr>
                  <w:tcW w:w="106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aps w:val="0"/>
                      <w:color w:val="auto"/>
                      <w:spacing w:val="0"/>
                      <w:position w:val="0"/>
                      <w:sz w:val="21"/>
                      <w:szCs w:val="21"/>
                      <w:highlight w:val="none"/>
                      <w:shd w:val="clear" w:color="auto" w:fill="auto"/>
                      <w:lang w:val="en-US" w:eastAsia="zh-CN"/>
                    </w:rPr>
                  </w:pPr>
                  <w:r>
                    <w:rPr>
                      <w:rFonts w:hint="eastAsia" w:cs="Times New Roman"/>
                      <w:caps w:val="0"/>
                      <w:color w:val="auto"/>
                      <w:spacing w:val="0"/>
                      <w:position w:val="0"/>
                      <w:sz w:val="21"/>
                      <w:szCs w:val="21"/>
                      <w:highlight w:val="none"/>
                      <w:shd w:val="clear" w:color="auto" w:fill="auto"/>
                      <w:lang w:val="en-US" w:eastAsia="zh-CN"/>
                    </w:rPr>
                    <w:t>32.09</w:t>
                  </w: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kg</w:t>
                  </w:r>
                </w:p>
              </w:tc>
              <w:tc>
                <w:tcPr>
                  <w:tcW w:w="117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aps w:val="0"/>
                      <w:color w:val="auto"/>
                      <w:spacing w:val="0"/>
                      <w:kern w:val="2"/>
                      <w:position w:val="0"/>
                      <w:sz w:val="21"/>
                      <w:szCs w:val="21"/>
                      <w:highlight w:val="none"/>
                      <w:shd w:val="clear" w:color="auto" w:fill="auto"/>
                      <w:lang w:val="en-US" w:eastAsia="zh-CN" w:bidi="ar-SA"/>
                    </w:rPr>
                  </w:pPr>
                  <w:r>
                    <w:rPr>
                      <w:rFonts w:hint="eastAsia" w:ascii="Times New Roman" w:hAnsi="Times New Roman" w:eastAsia="宋体" w:cs="Times New Roman"/>
                      <w:caps w:val="0"/>
                      <w:color w:val="auto"/>
                      <w:spacing w:val="0"/>
                      <w:position w:val="0"/>
                      <w:sz w:val="21"/>
                      <w:szCs w:val="21"/>
                      <w:highlight w:val="none"/>
                      <w:shd w:val="clear" w:color="auto" w:fill="auto"/>
                      <w:lang w:val="en-US" w:eastAsia="zh-CN"/>
                    </w:rPr>
                    <w:t>停产、维修</w:t>
                  </w:r>
                </w:p>
              </w:tc>
            </w:tr>
          </w:tbl>
          <w:p>
            <w:pPr>
              <w:bidi w:val="0"/>
              <w:rPr>
                <w:rFonts w:hint="eastAsia"/>
                <w:b/>
                <w:bCs/>
                <w:color w:val="auto"/>
                <w:highlight w:val="none"/>
              </w:rPr>
            </w:pPr>
            <w:r>
              <w:rPr>
                <w:rFonts w:hint="default"/>
                <w:b/>
                <w:bCs/>
                <w:color w:val="auto"/>
                <w:highlight w:val="none"/>
              </w:rPr>
              <w:t>1.</w:t>
            </w:r>
            <w:r>
              <w:rPr>
                <w:rFonts w:hint="eastAsia"/>
                <w:b/>
                <w:bCs/>
                <w:color w:val="auto"/>
                <w:highlight w:val="none"/>
                <w:lang w:val="en-US" w:eastAsia="zh-CN"/>
              </w:rPr>
              <w:t>4</w:t>
            </w:r>
            <w:r>
              <w:rPr>
                <w:rFonts w:hint="eastAsia"/>
                <w:b/>
                <w:bCs/>
                <w:color w:val="auto"/>
                <w:highlight w:val="none"/>
              </w:rPr>
              <w:t>废气治理设施可行性分析</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s="Times New Roman"/>
                <w:b w:val="0"/>
                <w:bCs w:val="0"/>
                <w:color w:val="auto"/>
                <w:highlight w:val="none"/>
                <w:lang w:val="en-US" w:eastAsia="zh-CN"/>
              </w:rPr>
              <w:t>本项目</w:t>
            </w:r>
            <w:r>
              <w:rPr>
                <w:rFonts w:hint="eastAsia"/>
                <w:b w:val="0"/>
                <w:bCs w:val="0"/>
                <w:color w:val="auto"/>
                <w:highlight w:val="none"/>
                <w:lang w:val="en-US" w:eastAsia="zh-CN"/>
              </w:rPr>
              <w:t>建筑垃圾处理生产线生产过程产生的废气</w:t>
            </w:r>
            <w:r>
              <w:rPr>
                <w:rFonts w:hint="eastAsia"/>
                <w:color w:val="auto"/>
                <w:highlight w:val="none"/>
                <w:lang w:val="en-US" w:eastAsia="zh-CN"/>
              </w:rPr>
              <w:t>，采用脉冲布袋除尘器处理，处理后通过排气筒有组织排放。</w:t>
            </w:r>
          </w:p>
          <w:p>
            <w:pPr>
              <w:widowControl/>
              <w:spacing w:line="480" w:lineRule="exact"/>
              <w:ind w:firstLine="480" w:firstLineChars="200"/>
              <w:rPr>
                <w:rFonts w:hint="eastAsia"/>
                <w:color w:val="auto"/>
                <w:highlight w:val="none"/>
                <w:lang w:val="en-US" w:eastAsia="zh-CN"/>
              </w:rPr>
            </w:pPr>
            <w:r>
              <w:rPr>
                <w:rFonts w:hint="eastAsia" w:ascii="Times New Roman" w:hAnsi="Times New Roman" w:cs="Times New Roman"/>
                <w:color w:val="auto"/>
                <w:spacing w:val="0"/>
                <w:position w:val="0"/>
                <w:sz w:val="24"/>
                <w:highlight w:val="none"/>
                <w:lang w:val="en-US" w:eastAsia="zh-CN"/>
              </w:rPr>
              <w:t>脉冲布袋除尘器工作原理：</w:t>
            </w:r>
            <w:r>
              <w:rPr>
                <w:rFonts w:hint="eastAsia" w:ascii="Times New Roman" w:hAnsi="Times New Roman" w:eastAsia="宋体" w:cs="Times New Roman"/>
                <w:color w:val="auto"/>
                <w:spacing w:val="0"/>
                <w:position w:val="0"/>
                <w:sz w:val="24"/>
                <w:highlight w:val="none"/>
              </w:rPr>
              <w:t>袋式除尘器是一种干式滤尘装置</w:t>
            </w:r>
            <w:r>
              <w:rPr>
                <w:rFonts w:hint="eastAsia" w:ascii="Times New Roman" w:hAnsi="Times New Roman" w:cs="Times New Roman"/>
                <w:color w:val="auto"/>
                <w:spacing w:val="0"/>
                <w:position w:val="0"/>
                <w:sz w:val="24"/>
                <w:highlight w:val="none"/>
                <w:lang w:eastAsia="zh-CN"/>
              </w:rPr>
              <w:t>，</w:t>
            </w:r>
            <w:r>
              <w:rPr>
                <w:rFonts w:hint="eastAsia" w:ascii="Times New Roman" w:hAnsi="Times New Roman" w:eastAsia="宋体" w:cs="Times New Roman"/>
                <w:color w:val="auto"/>
                <w:spacing w:val="0"/>
                <w:position w:val="0"/>
                <w:sz w:val="24"/>
                <w:highlight w:val="none"/>
              </w:rPr>
              <w:t>本体结构主要由上部箱体、中部箱体、下部箱体（灰斗）、清灰系统和排灰机构等部分组成</w:t>
            </w:r>
            <w:r>
              <w:rPr>
                <w:rFonts w:hint="eastAsia" w:ascii="Times New Roman" w:hAnsi="Times New Roman" w:cs="Times New Roman"/>
                <w:color w:val="auto"/>
                <w:spacing w:val="0"/>
                <w:position w:val="0"/>
                <w:sz w:val="24"/>
                <w:highlight w:val="none"/>
                <w:lang w:eastAsia="zh-CN"/>
              </w:rPr>
              <w:t>。</w:t>
            </w:r>
            <w:r>
              <w:rPr>
                <w:rFonts w:hint="eastAsia" w:ascii="Times New Roman" w:hAnsi="Times New Roman" w:cs="Times New Roman"/>
                <w:color w:val="auto"/>
                <w:spacing w:val="0"/>
                <w:position w:val="0"/>
                <w:sz w:val="24"/>
                <w:highlight w:val="none"/>
                <w:lang w:val="en-US" w:eastAsia="zh-CN"/>
              </w:rPr>
              <w:t>当含尘气体进入袋式除尘器后，颗粒大、比重大的粉尘，由于重力的作用沉降下来，落入灰斗，含有较细小粉尘的气体在通过滤料时，粉尘被阻留，使气体得到净化。</w:t>
            </w:r>
            <w:r>
              <w:rPr>
                <w:rFonts w:hint="eastAsia" w:ascii="Times New Roman" w:hAnsi="Times New Roman" w:eastAsia="宋体" w:cs="Times New Roman"/>
                <w:color w:val="auto"/>
                <w:spacing w:val="0"/>
                <w:position w:val="0"/>
                <w:sz w:val="24"/>
                <w:highlight w:val="none"/>
              </w:rPr>
              <w:t>滤料使用一段时间后，由于筛滤、碰撞、滞留、扩散、静电等效应，</w:t>
            </w:r>
            <w:r>
              <w:rPr>
                <w:rFonts w:ascii="Times New Roman" w:hAnsi="Times New Roman" w:eastAsia="宋体" w:cs="Times New Roman"/>
                <w:color w:val="auto"/>
                <w:spacing w:val="0"/>
                <w:position w:val="0"/>
                <w:sz w:val="24"/>
                <w:highlight w:val="none"/>
              </w:rPr>
              <w:fldChar w:fldCharType="begin"/>
            </w:r>
            <w:r>
              <w:rPr>
                <w:rFonts w:ascii="Times New Roman" w:hAnsi="Times New Roman" w:eastAsia="宋体" w:cs="Times New Roman"/>
                <w:color w:val="auto"/>
                <w:spacing w:val="0"/>
                <w:position w:val="0"/>
                <w:sz w:val="24"/>
                <w:highlight w:val="none"/>
              </w:rPr>
              <w:instrText xml:space="preserve"> HYPERLINK "http://baike.baidu.com/view/1007933.htm" \t "_blank" </w:instrText>
            </w:r>
            <w:r>
              <w:rPr>
                <w:rFonts w:ascii="Times New Roman" w:hAnsi="Times New Roman" w:eastAsia="宋体" w:cs="Times New Roman"/>
                <w:color w:val="auto"/>
                <w:spacing w:val="0"/>
                <w:position w:val="0"/>
                <w:sz w:val="24"/>
                <w:highlight w:val="none"/>
              </w:rPr>
              <w:fldChar w:fldCharType="separate"/>
            </w:r>
            <w:r>
              <w:rPr>
                <w:rFonts w:hint="eastAsia" w:ascii="Times New Roman" w:hAnsi="Times New Roman" w:eastAsia="宋体" w:cs="Times New Roman"/>
                <w:color w:val="auto"/>
                <w:spacing w:val="0"/>
                <w:position w:val="0"/>
                <w:sz w:val="24"/>
                <w:highlight w:val="none"/>
              </w:rPr>
              <w:t>滤袋</w:t>
            </w:r>
            <w:r>
              <w:rPr>
                <w:rFonts w:hint="eastAsia" w:ascii="Times New Roman" w:hAnsi="Times New Roman" w:eastAsia="宋体" w:cs="Times New Roman"/>
                <w:color w:val="auto"/>
                <w:spacing w:val="0"/>
                <w:position w:val="0"/>
                <w:sz w:val="24"/>
                <w:highlight w:val="none"/>
              </w:rPr>
              <w:fldChar w:fldCharType="end"/>
            </w:r>
            <w:r>
              <w:rPr>
                <w:rFonts w:hint="eastAsia" w:ascii="Times New Roman" w:hAnsi="Times New Roman" w:eastAsia="宋体" w:cs="Times New Roman"/>
                <w:color w:val="auto"/>
                <w:spacing w:val="0"/>
                <w:position w:val="0"/>
                <w:sz w:val="24"/>
                <w:highlight w:val="none"/>
              </w:rPr>
              <w:t>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收尘器效率下降。另外，收尘器的阻力过高会使收尘系统的风量显著下降。因此，</w:t>
            </w:r>
            <w:r>
              <w:rPr>
                <w:rFonts w:ascii="Times New Roman" w:hAnsi="Times New Roman" w:eastAsia="宋体" w:cs="Times New Roman"/>
                <w:color w:val="auto"/>
                <w:spacing w:val="0"/>
                <w:position w:val="0"/>
                <w:sz w:val="24"/>
                <w:highlight w:val="none"/>
              </w:rPr>
              <w:fldChar w:fldCharType="begin"/>
            </w:r>
            <w:r>
              <w:rPr>
                <w:rFonts w:ascii="Times New Roman" w:hAnsi="Times New Roman" w:eastAsia="宋体" w:cs="Times New Roman"/>
                <w:color w:val="auto"/>
                <w:spacing w:val="0"/>
                <w:position w:val="0"/>
                <w:sz w:val="24"/>
                <w:highlight w:val="none"/>
              </w:rPr>
              <w:instrText xml:space="preserve"> HYPERLINK "http://baike.baidu.com/view/20142.htm" \t "_blank" </w:instrText>
            </w:r>
            <w:r>
              <w:rPr>
                <w:rFonts w:ascii="Times New Roman" w:hAnsi="Times New Roman" w:eastAsia="宋体" w:cs="Times New Roman"/>
                <w:color w:val="auto"/>
                <w:spacing w:val="0"/>
                <w:position w:val="0"/>
                <w:sz w:val="24"/>
                <w:highlight w:val="none"/>
              </w:rPr>
              <w:fldChar w:fldCharType="separate"/>
            </w:r>
            <w:r>
              <w:rPr>
                <w:rFonts w:hint="eastAsia" w:ascii="Times New Roman" w:hAnsi="Times New Roman" w:eastAsia="宋体" w:cs="Times New Roman"/>
                <w:color w:val="auto"/>
                <w:spacing w:val="0"/>
                <w:position w:val="0"/>
                <w:sz w:val="24"/>
                <w:highlight w:val="none"/>
              </w:rPr>
              <w:t>收尘器</w:t>
            </w:r>
            <w:r>
              <w:rPr>
                <w:rFonts w:hint="eastAsia" w:ascii="Times New Roman" w:hAnsi="Times New Roman" w:eastAsia="宋体" w:cs="Times New Roman"/>
                <w:color w:val="auto"/>
                <w:spacing w:val="0"/>
                <w:position w:val="0"/>
                <w:sz w:val="24"/>
                <w:highlight w:val="none"/>
              </w:rPr>
              <w:fldChar w:fldCharType="end"/>
            </w:r>
            <w:r>
              <w:rPr>
                <w:rFonts w:hint="eastAsia" w:ascii="Times New Roman" w:hAnsi="Times New Roman" w:eastAsia="宋体" w:cs="Times New Roman"/>
                <w:color w:val="auto"/>
                <w:spacing w:val="0"/>
                <w:position w:val="0"/>
                <w:sz w:val="24"/>
                <w:highlight w:val="none"/>
              </w:rPr>
              <w:t>的阻力达到一定数值后，要及时清灰。清灰时不能破坏初层，以免效率下降。</w:t>
            </w:r>
            <w:r>
              <w:rPr>
                <w:rFonts w:hint="eastAsia"/>
                <w:color w:val="auto"/>
                <w:highlight w:val="none"/>
                <w:lang w:val="en-US" w:eastAsia="zh-CN"/>
              </w:rPr>
              <w:t>脉冲布袋除尘器技术参数见下表。</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hint="eastAsia" w:ascii="Times New Roman" w:hAnsi="Times New Roman" w:eastAsia="宋体" w:cs="Times New Roman"/>
                <w:b/>
                <w:color w:val="auto"/>
                <w:spacing w:val="0"/>
                <w:position w:val="0"/>
                <w:sz w:val="21"/>
                <w:szCs w:val="21"/>
                <w:highlight w:val="none"/>
                <w:lang w:val="en-US" w:eastAsia="zh-CN"/>
              </w:rPr>
            </w:pPr>
            <w:r>
              <w:rPr>
                <w:rFonts w:hint="eastAsia" w:ascii="Times New Roman" w:hAnsi="Times New Roman" w:eastAsia="宋体" w:cs="Times New Roman"/>
                <w:b/>
                <w:color w:val="auto"/>
                <w:spacing w:val="0"/>
                <w:position w:val="0"/>
                <w:sz w:val="21"/>
                <w:szCs w:val="21"/>
                <w:highlight w:val="none"/>
              </w:rPr>
              <w:t>表</w:t>
            </w:r>
            <w:r>
              <w:rPr>
                <w:rFonts w:hint="eastAsia" w:cs="Times New Roman"/>
                <w:b/>
                <w:color w:val="auto"/>
                <w:spacing w:val="0"/>
                <w:position w:val="0"/>
                <w:sz w:val="21"/>
                <w:szCs w:val="21"/>
                <w:highlight w:val="none"/>
                <w:lang w:val="en-US" w:eastAsia="zh-CN"/>
              </w:rPr>
              <w:t>28</w:t>
            </w:r>
            <w:r>
              <w:rPr>
                <w:rFonts w:ascii="Times New Roman" w:hAnsi="Times New Roman" w:eastAsia="宋体" w:cs="Times New Roman"/>
                <w:b/>
                <w:color w:val="auto"/>
                <w:spacing w:val="0"/>
                <w:position w:val="0"/>
                <w:sz w:val="21"/>
                <w:szCs w:val="21"/>
                <w:highlight w:val="none"/>
              </w:rPr>
              <w:t xml:space="preserve"> </w:t>
            </w:r>
            <w:r>
              <w:rPr>
                <w:rFonts w:hint="eastAsia" w:ascii="Times New Roman" w:hAnsi="Times New Roman" w:eastAsia="宋体" w:cs="Times New Roman"/>
                <w:b/>
                <w:color w:val="auto"/>
                <w:spacing w:val="0"/>
                <w:position w:val="0"/>
                <w:sz w:val="21"/>
                <w:szCs w:val="21"/>
                <w:highlight w:val="none"/>
              </w:rPr>
              <w:t xml:space="preserve"> </w:t>
            </w:r>
            <w:r>
              <w:rPr>
                <w:rFonts w:hint="eastAsia" w:cs="Times New Roman"/>
                <w:b/>
                <w:color w:val="auto"/>
                <w:spacing w:val="0"/>
                <w:position w:val="0"/>
                <w:sz w:val="21"/>
                <w:szCs w:val="21"/>
                <w:highlight w:val="none"/>
                <w:lang w:val="en-US" w:eastAsia="zh-CN"/>
              </w:rPr>
              <w:t>脉冲布袋</w:t>
            </w:r>
            <w:r>
              <w:rPr>
                <w:rFonts w:hint="eastAsia" w:ascii="Times New Roman" w:hAnsi="Times New Roman" w:eastAsia="宋体" w:cs="Times New Roman"/>
                <w:b/>
                <w:color w:val="auto"/>
                <w:spacing w:val="0"/>
                <w:position w:val="0"/>
                <w:sz w:val="21"/>
                <w:szCs w:val="21"/>
                <w:highlight w:val="none"/>
                <w:lang w:val="en-US" w:eastAsia="zh-CN"/>
              </w:rPr>
              <w:t>除尘器</w:t>
            </w:r>
            <w:r>
              <w:rPr>
                <w:rFonts w:hint="eastAsia" w:ascii="Times New Roman" w:hAnsi="Times New Roman" w:eastAsia="宋体" w:cs="Times New Roman"/>
                <w:b/>
                <w:color w:val="auto"/>
                <w:spacing w:val="0"/>
                <w:position w:val="0"/>
                <w:sz w:val="21"/>
                <w:szCs w:val="21"/>
                <w:highlight w:val="none"/>
              </w:rPr>
              <w:t>技术参数</w:t>
            </w:r>
            <w:r>
              <w:rPr>
                <w:rFonts w:hint="eastAsia" w:cs="Times New Roman"/>
                <w:b/>
                <w:color w:val="auto"/>
                <w:spacing w:val="0"/>
                <w:position w:val="0"/>
                <w:sz w:val="21"/>
                <w:szCs w:val="21"/>
                <w:highlight w:val="none"/>
                <w:lang w:val="en-US" w:eastAsia="zh-CN"/>
              </w:rPr>
              <w:t>一览表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780"/>
              <w:gridCol w:w="1360"/>
              <w:gridCol w:w="2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序号</w:t>
                  </w: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项目</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单位</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05" w:type="dxa"/>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风机风量</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m</w:t>
                  </w:r>
                  <w:r>
                    <w:rPr>
                      <w:rFonts w:hint="eastAsia" w:cs="Times New Roman"/>
                      <w:color w:val="auto"/>
                      <w:spacing w:val="0"/>
                      <w:position w:val="0"/>
                      <w:sz w:val="21"/>
                      <w:szCs w:val="21"/>
                      <w:highlight w:val="none"/>
                      <w:vertAlign w:val="superscript"/>
                      <w:lang w:val="en-US" w:eastAsia="zh-CN"/>
                    </w:rPr>
                    <w:t>3</w:t>
                  </w:r>
                  <w:r>
                    <w:rPr>
                      <w:rFonts w:hint="eastAsia" w:cs="Times New Roman"/>
                      <w:color w:val="auto"/>
                      <w:spacing w:val="0"/>
                      <w:position w:val="0"/>
                      <w:sz w:val="21"/>
                      <w:szCs w:val="21"/>
                      <w:highlight w:val="none"/>
                      <w:lang w:val="en-US" w:eastAsia="zh-CN"/>
                    </w:rPr>
                    <w:t>/h</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55000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5" w:type="dxa"/>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除尘效率</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99.2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5" w:type="dxa"/>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过滤风速</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m/min</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5" w:type="dxa"/>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ascii="Times New Roman" w:hAnsi="Times New Roman" w:eastAsia="宋体" w:cs="Times New Roman"/>
                      <w:color w:val="auto"/>
                      <w:spacing w:val="0"/>
                      <w:position w:val="0"/>
                      <w:sz w:val="21"/>
                      <w:szCs w:val="21"/>
                      <w:highlight w:val="none"/>
                    </w:rPr>
                    <w:t>布袋材质</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auto"/>
                      <w:spacing w:val="0"/>
                      <w:position w:val="0"/>
                      <w:sz w:val="21"/>
                      <w:szCs w:val="21"/>
                      <w:highlight w:val="none"/>
                    </w:rPr>
                  </w:pPr>
                  <w:r>
                    <w:rPr>
                      <w:rFonts w:hint="eastAsia" w:ascii="Times New Roman" w:hAnsi="Times New Roman" w:eastAsia="宋体" w:cs="Times New Roman"/>
                      <w:color w:val="auto"/>
                      <w:spacing w:val="0"/>
                      <w:position w:val="0"/>
                      <w:sz w:val="21"/>
                      <w:szCs w:val="21"/>
                      <w:highlight w:val="none"/>
                    </w:rPr>
                    <w:t>覆膜</w:t>
                  </w:r>
                  <w:r>
                    <w:rPr>
                      <w:rFonts w:ascii="Times New Roman" w:hAnsi="Times New Roman" w:eastAsia="宋体" w:cs="Times New Roman"/>
                      <w:color w:val="auto"/>
                      <w:spacing w:val="0"/>
                      <w:position w:val="0"/>
                      <w:sz w:val="21"/>
                      <w:szCs w:val="21"/>
                      <w:highlight w:val="none"/>
                    </w:rPr>
                    <w:t>针刺毡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5" w:type="dxa"/>
                  <w:noWrap w:val="0"/>
                  <w:vAlign w:val="center"/>
                </w:tcPr>
                <w:p>
                  <w:pPr>
                    <w:keepNext w:val="0"/>
                    <w:keepLines w:val="0"/>
                    <w:pageBreakBefore w:val="0"/>
                    <w:widowControl w:val="0"/>
                    <w:numPr>
                      <w:ilvl w:val="0"/>
                      <w:numId w:val="18"/>
                    </w:numPr>
                    <w:kinsoku/>
                    <w:wordWrap/>
                    <w:overflowPunct/>
                    <w:topLinePunct w:val="0"/>
                    <w:autoSpaceDE/>
                    <w:autoSpaceDN/>
                    <w:bidi w:val="0"/>
                    <w:adjustRightInd/>
                    <w:snapToGrid/>
                    <w:spacing w:line="360" w:lineRule="exact"/>
                    <w:ind w:left="0" w:leftChars="0" w:firstLine="0" w:firstLineChars="0"/>
                    <w:jc w:val="center"/>
                    <w:textAlignment w:val="auto"/>
                    <w:rPr>
                      <w:rFonts w:ascii="Times New Roman" w:hAnsi="Times New Roman" w:eastAsia="宋体" w:cs="Times New Roman"/>
                      <w:color w:val="auto"/>
                      <w:spacing w:val="0"/>
                      <w:position w:val="0"/>
                      <w:sz w:val="21"/>
                      <w:szCs w:val="21"/>
                      <w:highlight w:val="none"/>
                    </w:rPr>
                  </w:pPr>
                </w:p>
              </w:tc>
              <w:tc>
                <w:tcPr>
                  <w:tcW w:w="378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清灰方式</w:t>
                  </w:r>
                </w:p>
              </w:tc>
              <w:tc>
                <w:tcPr>
                  <w:tcW w:w="13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rPr>
                    <w:t>－</w:t>
                  </w:r>
                </w:p>
              </w:tc>
              <w:tc>
                <w:tcPr>
                  <w:tcW w:w="22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脉冲喷吹</w:t>
                  </w:r>
                </w:p>
              </w:tc>
            </w:tr>
          </w:tbl>
          <w:p>
            <w:pPr>
              <w:pStyle w:val="19"/>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spacing w:val="0"/>
                <w:kern w:val="2"/>
                <w:position w:val="0"/>
                <w:sz w:val="24"/>
                <w:highlight w:val="none"/>
              </w:rPr>
            </w:pPr>
            <w:r>
              <w:rPr>
                <w:rFonts w:ascii="Times New Roman" w:hAnsi="Times New Roman" w:eastAsia="宋体" w:cs="Times New Roman"/>
                <w:color w:val="auto"/>
                <w:spacing w:val="0"/>
                <w:position w:val="0"/>
                <w:sz w:val="24"/>
                <w:highlight w:val="none"/>
              </w:rPr>
              <w:t>本项目</w:t>
            </w:r>
            <w:r>
              <w:rPr>
                <w:rFonts w:hint="eastAsia" w:ascii="Times New Roman" w:hAnsi="Times New Roman" w:eastAsia="宋体" w:cs="Times New Roman"/>
                <w:color w:val="auto"/>
                <w:spacing w:val="0"/>
                <w:position w:val="0"/>
                <w:sz w:val="24"/>
                <w:highlight w:val="none"/>
                <w:lang w:val="en-US" w:eastAsia="zh-CN"/>
              </w:rPr>
              <w:t>建筑垃圾处理生产线生产过程产生的颗粒物，经脉冲布袋除尘器处理后</w:t>
            </w:r>
            <w:r>
              <w:rPr>
                <w:rFonts w:ascii="Times New Roman" w:hAnsi="Times New Roman" w:eastAsia="宋体" w:cs="Times New Roman"/>
                <w:color w:val="auto"/>
                <w:spacing w:val="0"/>
                <w:position w:val="0"/>
                <w:sz w:val="24"/>
                <w:highlight w:val="none"/>
              </w:rPr>
              <w:t>，</w:t>
            </w:r>
            <w:r>
              <w:rPr>
                <w:rFonts w:hint="eastAsia" w:ascii="Times New Roman" w:hAnsi="Times New Roman" w:eastAsia="宋体" w:cs="Times New Roman"/>
                <w:color w:val="auto"/>
                <w:spacing w:val="0"/>
                <w:position w:val="0"/>
                <w:sz w:val="24"/>
                <w:highlight w:val="none"/>
              </w:rPr>
              <w:t>污染物</w:t>
            </w:r>
            <w:r>
              <w:rPr>
                <w:rFonts w:ascii="Times New Roman" w:hAnsi="Times New Roman" w:eastAsia="宋体" w:cs="Times New Roman"/>
                <w:color w:val="auto"/>
                <w:spacing w:val="0"/>
                <w:position w:val="0"/>
                <w:sz w:val="24"/>
                <w:highlight w:val="none"/>
              </w:rPr>
              <w:t>得到有效治理，实现达标排放</w:t>
            </w:r>
            <w:r>
              <w:rPr>
                <w:rFonts w:hint="eastAsia" w:ascii="Times New Roman" w:hAnsi="Times New Roman" w:eastAsia="宋体" w:cs="Times New Roman"/>
                <w:color w:val="auto"/>
                <w:spacing w:val="0"/>
                <w:kern w:val="2"/>
                <w:position w:val="0"/>
                <w:sz w:val="24"/>
                <w:highlight w:val="none"/>
                <w:lang w:val="en-US" w:eastAsia="zh-CN"/>
              </w:rPr>
              <w:t>，该治理措施可行。</w:t>
            </w:r>
          </w:p>
          <w:p>
            <w:pPr>
              <w:keepNext w:val="0"/>
              <w:keepLines w:val="0"/>
              <w:pageBreakBefore w:val="0"/>
              <w:widowControl w:val="0"/>
              <w:kinsoku/>
              <w:wordWrap/>
              <w:overflowPunct/>
              <w:topLinePunct w:val="0"/>
              <w:autoSpaceDE/>
              <w:autoSpaceDN/>
              <w:bidi w:val="0"/>
              <w:adjustRightInd/>
              <w:snapToGrid/>
              <w:textAlignment w:val="auto"/>
              <w:rPr>
                <w:rFonts w:hint="eastAsia"/>
                <w:b/>
                <w:bCs/>
                <w:color w:val="auto"/>
                <w:highlight w:val="none"/>
                <w:lang w:val="en-US" w:eastAsia="zh-CN"/>
              </w:rPr>
            </w:pPr>
            <w:r>
              <w:rPr>
                <w:rFonts w:hint="default"/>
                <w:b/>
                <w:bCs/>
                <w:color w:val="auto"/>
                <w:highlight w:val="none"/>
              </w:rPr>
              <w:t>1.</w:t>
            </w:r>
            <w:r>
              <w:rPr>
                <w:rFonts w:hint="eastAsia"/>
                <w:b/>
                <w:bCs/>
                <w:color w:val="auto"/>
                <w:highlight w:val="none"/>
                <w:lang w:val="en-US" w:eastAsia="zh-CN"/>
              </w:rPr>
              <w:t>5</w:t>
            </w:r>
            <w:r>
              <w:rPr>
                <w:rFonts w:hint="eastAsia" w:ascii="Times New Roman" w:eastAsia="宋体"/>
                <w:b/>
                <w:bCs/>
                <w:color w:val="auto"/>
                <w:highlight w:val="none"/>
                <w:lang w:val="en-US" w:eastAsia="zh-CN"/>
              </w:rPr>
              <w:t>大气环境评价结论</w:t>
            </w:r>
          </w:p>
          <w:p>
            <w:pPr>
              <w:bidi w:val="0"/>
              <w:rPr>
                <w:rFonts w:hint="eastAsia"/>
                <w:b/>
                <w:bCs/>
                <w:color w:val="auto"/>
                <w:highlight w:val="none"/>
                <w:lang w:val="en-US" w:eastAsia="zh-CN"/>
              </w:rPr>
            </w:pPr>
            <w:r>
              <w:rPr>
                <w:rFonts w:hint="eastAsia"/>
                <w:color w:val="auto"/>
                <w:highlight w:val="none"/>
                <w:lang w:val="en-US" w:eastAsia="zh-CN"/>
              </w:rPr>
              <w:t>项目</w:t>
            </w:r>
            <w:r>
              <w:rPr>
                <w:rFonts w:hint="default"/>
                <w:color w:val="auto"/>
                <w:highlight w:val="none"/>
                <w:lang w:val="en-US" w:eastAsia="zh-CN"/>
              </w:rPr>
              <w:t>所在区域环境空气质量属于不达标区</w:t>
            </w:r>
            <w:r>
              <w:rPr>
                <w:rFonts w:hint="eastAsia"/>
                <w:color w:val="auto"/>
                <w:highlight w:val="none"/>
                <w:lang w:val="en-US" w:eastAsia="zh-CN"/>
              </w:rPr>
              <w:t>，特征</w:t>
            </w:r>
            <w:r>
              <w:rPr>
                <w:rFonts w:hint="default"/>
                <w:color w:val="auto"/>
                <w:highlight w:val="none"/>
              </w:rPr>
              <w:t>污染物</w:t>
            </w:r>
            <w:r>
              <w:rPr>
                <w:rFonts w:hint="eastAsia"/>
                <w:color w:val="auto"/>
                <w:highlight w:val="none"/>
                <w:lang w:val="en-US" w:eastAsia="zh-CN"/>
              </w:rPr>
              <w:t>TSP24</w:t>
            </w:r>
            <w:r>
              <w:rPr>
                <w:rFonts w:hint="default"/>
                <w:color w:val="auto"/>
                <w:highlight w:val="none"/>
              </w:rPr>
              <w:t>小时</w:t>
            </w:r>
            <w:r>
              <w:rPr>
                <w:rFonts w:hint="eastAsia"/>
                <w:color w:val="auto"/>
                <w:highlight w:val="none"/>
                <w:lang w:val="en-US" w:eastAsia="zh-CN"/>
              </w:rPr>
              <w:t>平均</w:t>
            </w:r>
            <w:r>
              <w:rPr>
                <w:rFonts w:hint="default"/>
                <w:color w:val="auto"/>
                <w:highlight w:val="none"/>
              </w:rPr>
              <w:t>浓度满足</w:t>
            </w:r>
            <w:r>
              <w:rPr>
                <w:rFonts w:hint="eastAsia"/>
                <w:color w:val="auto"/>
                <w:highlight w:val="none"/>
                <w:lang w:eastAsia="zh-CN"/>
              </w:rPr>
              <w:t>《</w:t>
            </w:r>
            <w:r>
              <w:rPr>
                <w:rFonts w:hint="eastAsia"/>
                <w:color w:val="auto"/>
                <w:highlight w:val="none"/>
                <w:lang w:val="en-US" w:eastAsia="zh-CN"/>
              </w:rPr>
              <w:t>环境空气质量标准</w:t>
            </w:r>
            <w:r>
              <w:rPr>
                <w:rFonts w:hint="eastAsia"/>
                <w:color w:val="auto"/>
                <w:highlight w:val="none"/>
                <w:lang w:eastAsia="zh-CN"/>
              </w:rPr>
              <w:t>》（</w:t>
            </w:r>
            <w:r>
              <w:rPr>
                <w:rFonts w:hint="eastAsia"/>
                <w:color w:val="auto"/>
                <w:highlight w:val="none"/>
                <w:lang w:val="en-US" w:eastAsia="zh-CN"/>
              </w:rPr>
              <w:t>GB3095-2012</w:t>
            </w:r>
            <w:r>
              <w:rPr>
                <w:rFonts w:hint="eastAsia"/>
                <w:color w:val="auto"/>
                <w:highlight w:val="none"/>
                <w:lang w:eastAsia="zh-CN"/>
              </w:rPr>
              <w:t>）</w:t>
            </w:r>
            <w:r>
              <w:rPr>
                <w:rFonts w:hint="default"/>
                <w:color w:val="auto"/>
                <w:highlight w:val="none"/>
                <w:lang w:val="en-US" w:eastAsia="zh-CN"/>
              </w:rPr>
              <w:t>二级标准及其修改单中相应浓度限值要求</w:t>
            </w:r>
            <w:r>
              <w:rPr>
                <w:rFonts w:hint="eastAsia" w:ascii="Times New Roman" w:hAnsi="Times New Roman" w:eastAsia="宋体" w:cs="Times New Roman"/>
                <w:smallCaps w:val="0"/>
                <w:color w:val="auto"/>
                <w:spacing w:val="0"/>
                <w:position w:val="0"/>
                <w:szCs w:val="24"/>
                <w:highlight w:val="none"/>
                <w:lang w:val="en-US" w:eastAsia="zh-CN"/>
              </w:rPr>
              <w:t>。本项目</w:t>
            </w:r>
            <w:r>
              <w:rPr>
                <w:rFonts w:hint="eastAsia" w:cs="Times New Roman"/>
                <w:color w:val="auto"/>
                <w:spacing w:val="0"/>
                <w:position w:val="0"/>
                <w:sz w:val="24"/>
                <w:highlight w:val="none"/>
                <w:lang w:val="en-US" w:eastAsia="zh-CN"/>
              </w:rPr>
              <w:t>建筑垃圾处理生产线产生的颗粒物，</w:t>
            </w:r>
            <w:r>
              <w:rPr>
                <w:rFonts w:hint="eastAsia" w:ascii="Times New Roman" w:hAnsi="Times New Roman" w:eastAsia="宋体" w:cs="Times New Roman"/>
                <w:color w:val="auto"/>
                <w:spacing w:val="0"/>
                <w:position w:val="0"/>
                <w:sz w:val="24"/>
                <w:highlight w:val="none"/>
                <w:lang w:val="en-US" w:eastAsia="zh-CN"/>
              </w:rPr>
              <w:t>经脉冲布袋除尘器处理后，</w:t>
            </w:r>
            <w:r>
              <w:rPr>
                <w:rFonts w:hint="eastAsia" w:cs="Times New Roman"/>
                <w:color w:val="auto"/>
                <w:spacing w:val="0"/>
                <w:position w:val="0"/>
                <w:sz w:val="24"/>
                <w:highlight w:val="none"/>
                <w:lang w:val="en-US" w:eastAsia="zh-CN"/>
              </w:rPr>
              <w:t>通过排气筒排放至大气中，项目建成后颗粒物有组织排放量为3.08t/a，无组织排放量为0.264t/a。</w:t>
            </w:r>
            <w:r>
              <w:rPr>
                <w:rFonts w:hint="eastAsia"/>
                <w:color w:val="auto"/>
                <w:highlight w:val="none"/>
                <w:lang w:val="en-US" w:eastAsia="zh-CN"/>
              </w:rPr>
              <w:t>项目厂界外500m范围内的大气环境保护目标为西侧125m处的三女河敬老院，西北侧130m、西南侧275m处的姚家庄回迁区（在建），245m处的港东铭郡小区，东北侧265m处的姚家庄村居民区，东南侧160m处的杨信庄村居民区</w:t>
            </w:r>
            <w:r>
              <w:rPr>
                <w:rFonts w:hint="eastAsia" w:ascii="Times New Roman" w:eastAsia="宋体"/>
                <w:color w:val="auto"/>
                <w:highlight w:val="none"/>
                <w:lang w:val="en-US" w:eastAsia="zh-CN"/>
              </w:rPr>
              <w:t>。</w:t>
            </w:r>
            <w:r>
              <w:rPr>
                <w:color w:val="auto"/>
                <w:highlight w:val="none"/>
              </w:rPr>
              <w:t>项目采取各项污染防治措施后，污染物排放均能满足相应标准要求，</w:t>
            </w:r>
            <w:r>
              <w:rPr>
                <w:rFonts w:hint="eastAsia" w:eastAsia="宋体"/>
                <w:color w:val="auto"/>
                <w:highlight w:val="none"/>
                <w:lang w:eastAsia="zh-CN"/>
              </w:rPr>
              <w:t>且排放量</w:t>
            </w:r>
            <w:r>
              <w:rPr>
                <w:rFonts w:hint="eastAsia" w:ascii="Times New Roman" w:eastAsia="宋体"/>
                <w:color w:val="auto"/>
                <w:highlight w:val="none"/>
                <w:lang w:val="en-US" w:eastAsia="zh-CN"/>
              </w:rPr>
              <w:t>较</w:t>
            </w:r>
            <w:r>
              <w:rPr>
                <w:rFonts w:hint="eastAsia" w:eastAsia="宋体"/>
                <w:color w:val="auto"/>
                <w:highlight w:val="none"/>
                <w:lang w:eastAsia="zh-CN"/>
              </w:rPr>
              <w:t>少，</w:t>
            </w:r>
            <w:r>
              <w:rPr>
                <w:color w:val="auto"/>
                <w:highlight w:val="none"/>
              </w:rPr>
              <w:t>对</w:t>
            </w:r>
            <w:r>
              <w:rPr>
                <w:rFonts w:hint="eastAsia"/>
                <w:color w:val="auto"/>
                <w:highlight w:val="none"/>
                <w:lang w:val="en-US" w:eastAsia="zh-CN"/>
              </w:rPr>
              <w:t>大气环境保护目标</w:t>
            </w:r>
            <w:r>
              <w:rPr>
                <w:color w:val="auto"/>
                <w:highlight w:val="none"/>
              </w:rPr>
              <w:t>影响</w:t>
            </w:r>
            <w:r>
              <w:rPr>
                <w:rFonts w:hint="eastAsia" w:ascii="Times New Roman" w:eastAsia="宋体"/>
                <w:color w:val="auto"/>
                <w:highlight w:val="none"/>
                <w:lang w:val="en-US" w:eastAsia="zh-CN"/>
              </w:rPr>
              <w:t>较</w:t>
            </w:r>
            <w:r>
              <w:rPr>
                <w:color w:val="auto"/>
                <w:highlight w:val="none"/>
              </w:rPr>
              <w:t>小，本项目大气环境影响可接受</w:t>
            </w:r>
            <w:r>
              <w:rPr>
                <w:rFonts w:hint="eastAsia" w:eastAsia="宋体"/>
                <w:color w:val="auto"/>
                <w:highlight w:val="none"/>
                <w:lang w:eastAsia="zh-CN"/>
              </w:rPr>
              <w:t>。</w:t>
            </w:r>
          </w:p>
          <w:p>
            <w:pPr>
              <w:keepNext w:val="0"/>
              <w:keepLines w:val="0"/>
              <w:pageBreakBefore w:val="0"/>
              <w:widowControl w:val="0"/>
              <w:numPr>
                <w:ilvl w:val="0"/>
                <w:numId w:val="19"/>
              </w:numPr>
              <w:suppressLineNumbers w:val="0"/>
              <w:kinsoku/>
              <w:wordWrap/>
              <w:overflowPunct/>
              <w:topLinePunct w:val="0"/>
              <w:bidi w:val="0"/>
              <w:spacing w:beforeAutospacing="0" w:after="0" w:afterAutospacing="0" w:line="480" w:lineRule="exact"/>
              <w:ind w:left="0" w:leftChars="0" w:right="0" w:firstLine="0" w:firstLineChars="0"/>
              <w:textAlignment w:val="auto"/>
              <w:rPr>
                <w:rFonts w:hint="eastAsia"/>
                <w:b/>
                <w:bCs/>
                <w:color w:val="auto"/>
                <w:highlight w:val="none"/>
                <w:lang w:val="en-US" w:eastAsia="zh-CN"/>
              </w:rPr>
            </w:pPr>
            <w:r>
              <w:rPr>
                <w:rFonts w:hint="eastAsia" w:ascii="Times New Roman" w:eastAsia="宋体"/>
                <w:b/>
                <w:bCs/>
                <w:color w:val="auto"/>
                <w:highlight w:val="none"/>
                <w:lang w:val="en-US" w:eastAsia="zh-CN"/>
              </w:rPr>
              <w:t>废水</w:t>
            </w:r>
          </w:p>
          <w:p>
            <w:pPr>
              <w:spacing w:line="480" w:lineRule="exact"/>
              <w:ind w:firstLine="480"/>
              <w:rPr>
                <w:rFonts w:hint="eastAsia" w:ascii="Times New Roman" w:eastAsia="宋体"/>
                <w:color w:val="auto"/>
                <w:highlight w:val="none"/>
                <w:lang w:val="en-US" w:eastAsia="zh-CN"/>
              </w:rPr>
            </w:pPr>
            <w:r>
              <w:rPr>
                <w:rFonts w:hint="eastAsia" w:ascii="Times New Roman" w:eastAsia="宋体"/>
                <w:b w:val="0"/>
                <w:bCs w:val="0"/>
                <w:color w:val="auto"/>
                <w:highlight w:val="none"/>
                <w:lang w:val="en-US" w:eastAsia="zh-CN"/>
              </w:rPr>
              <w:t>本项目废水主要为</w:t>
            </w:r>
            <w:r>
              <w:rPr>
                <w:rFonts w:hint="eastAsia"/>
                <w:b w:val="0"/>
                <w:bCs w:val="0"/>
                <w:color w:val="auto"/>
                <w:highlight w:val="none"/>
                <w:lang w:val="en-US" w:eastAsia="zh-CN"/>
              </w:rPr>
              <w:t>生产废水、洗车废水和职工生活污水</w:t>
            </w:r>
            <w:r>
              <w:rPr>
                <w:rFonts w:hint="eastAsia" w:ascii="Times New Roman" w:eastAsia="宋体"/>
                <w:color w:val="auto"/>
                <w:highlight w:val="none"/>
                <w:lang w:val="en-US" w:eastAsia="zh-CN"/>
              </w:rPr>
              <w:t>。</w:t>
            </w:r>
          </w:p>
          <w:p>
            <w:pPr>
              <w:numPr>
                <w:ilvl w:val="0"/>
                <w:numId w:val="20"/>
              </w:numPr>
              <w:spacing w:line="480" w:lineRule="exact"/>
              <w:ind w:firstLine="480"/>
              <w:rPr>
                <w:rFonts w:hint="eastAsia" w:ascii="Times New Roman" w:eastAsia="宋体"/>
                <w:color w:val="auto"/>
                <w:highlight w:val="none"/>
                <w:lang w:val="en-US" w:eastAsia="zh-CN"/>
              </w:rPr>
            </w:pPr>
            <w:r>
              <w:rPr>
                <w:rFonts w:hint="eastAsia"/>
                <w:color w:val="auto"/>
                <w:highlight w:val="none"/>
                <w:lang w:val="en-US" w:eastAsia="zh-CN"/>
              </w:rPr>
              <w:t>生产</w:t>
            </w:r>
            <w:r>
              <w:rPr>
                <w:rFonts w:hint="eastAsia" w:ascii="Times New Roman" w:eastAsia="宋体"/>
                <w:color w:val="auto"/>
                <w:highlight w:val="none"/>
                <w:lang w:val="en-US" w:eastAsia="zh-CN"/>
              </w:rPr>
              <w:t>废水</w:t>
            </w:r>
          </w:p>
          <w:p>
            <w:pPr>
              <w:bidi w:val="0"/>
              <w:rPr>
                <w:rFonts w:hint="eastAsia"/>
                <w:color w:val="auto"/>
                <w:highlight w:val="none"/>
                <w:lang w:val="en-US" w:eastAsia="zh-CN"/>
              </w:rPr>
            </w:pPr>
            <w:r>
              <w:rPr>
                <w:rFonts w:hint="eastAsia"/>
                <w:color w:val="auto"/>
                <w:highlight w:val="none"/>
                <w:lang w:val="en-US" w:eastAsia="zh-CN"/>
              </w:rPr>
              <w:t>本项目生产废水主要为筛分废水、脱泥废水、脱水废水、再生细骨料堆存废水，生产废水经管道或收集沟收集后，进入一级沉淀池和沉淀澄清池处理，根据工程分析，生产废水产生量为309.981m</w:t>
            </w:r>
            <w:r>
              <w:rPr>
                <w:rFonts w:hint="eastAsia"/>
                <w:color w:val="auto"/>
                <w:highlight w:val="none"/>
                <w:vertAlign w:val="superscript"/>
                <w:lang w:val="en-US" w:eastAsia="zh-CN"/>
              </w:rPr>
              <w:t>3</w:t>
            </w:r>
            <w:r>
              <w:rPr>
                <w:rFonts w:hint="eastAsia"/>
                <w:color w:val="auto"/>
                <w:highlight w:val="none"/>
                <w:lang w:val="en-US" w:eastAsia="zh-CN"/>
              </w:rPr>
              <w:t>/d（77495.333m</w:t>
            </w:r>
            <w:r>
              <w:rPr>
                <w:rFonts w:hint="eastAsia"/>
                <w:color w:val="auto"/>
                <w:highlight w:val="none"/>
                <w:vertAlign w:val="superscript"/>
                <w:lang w:val="en-US" w:eastAsia="zh-CN"/>
              </w:rPr>
              <w:t>3</w:t>
            </w:r>
            <w:r>
              <w:rPr>
                <w:rFonts w:hint="eastAsia"/>
                <w:color w:val="auto"/>
                <w:highlight w:val="none"/>
                <w:lang w:val="en-US" w:eastAsia="zh-CN"/>
              </w:rPr>
              <w:t>/a），主要污染物为SS、COD，废水经沉淀池沉淀处理后，上清液回用于生产，污泥经板框压滤机压滤后直接，由铲车装车运走（装车过程在综合车间内进行），外运填坑铺路，压滤废水返回沉淀池进行沉淀处理，无废水外排。</w:t>
            </w:r>
          </w:p>
          <w:p>
            <w:pPr>
              <w:numPr>
                <w:ilvl w:val="0"/>
                <w:numId w:val="0"/>
              </w:numPr>
              <w:bidi w:val="0"/>
              <w:ind w:leftChars="200"/>
              <w:rPr>
                <w:rFonts w:hint="eastAsia"/>
                <w:color w:val="auto"/>
                <w:highlight w:val="none"/>
                <w:lang w:val="en-US" w:eastAsia="zh-CN"/>
              </w:rPr>
            </w:pPr>
            <w:r>
              <w:rPr>
                <w:rFonts w:hint="eastAsia"/>
                <w:color w:val="auto"/>
                <w:highlight w:val="none"/>
                <w:lang w:val="en-US" w:eastAsia="zh-CN"/>
              </w:rPr>
              <w:t>（2）洗车废水</w:t>
            </w:r>
          </w:p>
          <w:p>
            <w:pPr>
              <w:bidi w:val="0"/>
              <w:rPr>
                <w:rFonts w:hint="eastAsia"/>
                <w:color w:val="auto"/>
                <w:highlight w:val="none"/>
                <w:lang w:val="en-US" w:eastAsia="zh-CN"/>
              </w:rPr>
            </w:pPr>
            <w:r>
              <w:rPr>
                <w:rFonts w:hint="eastAsia"/>
                <w:color w:val="auto"/>
                <w:highlight w:val="none"/>
                <w:lang w:val="en-US" w:eastAsia="zh-CN"/>
              </w:rPr>
              <w:t>项目在厂区出入口设置一座洗车平台，洗车过程废水产生量为1.8m</w:t>
            </w:r>
            <w:r>
              <w:rPr>
                <w:rFonts w:hint="eastAsia"/>
                <w:color w:val="auto"/>
                <w:highlight w:val="none"/>
                <w:vertAlign w:val="superscript"/>
                <w:lang w:val="en-US" w:eastAsia="zh-CN"/>
              </w:rPr>
              <w:t>3</w:t>
            </w:r>
            <w:r>
              <w:rPr>
                <w:rFonts w:hint="eastAsia"/>
                <w:color w:val="auto"/>
                <w:highlight w:val="none"/>
                <w:lang w:val="en-US" w:eastAsia="zh-CN"/>
              </w:rPr>
              <w:t>/d（450m</w:t>
            </w:r>
            <w:r>
              <w:rPr>
                <w:rFonts w:hint="eastAsia"/>
                <w:color w:val="auto"/>
                <w:highlight w:val="none"/>
                <w:vertAlign w:val="superscript"/>
                <w:lang w:val="en-US" w:eastAsia="zh-CN"/>
              </w:rPr>
              <w:t>3</w:t>
            </w:r>
            <w:r>
              <w:rPr>
                <w:rFonts w:hint="eastAsia"/>
                <w:color w:val="auto"/>
                <w:highlight w:val="none"/>
                <w:lang w:val="en-US" w:eastAsia="zh-CN"/>
              </w:rPr>
              <w:t>/a），主要污染物为SS、COD，洗车废水进入沉淀池沉淀处理，上清液进入清水池，回用于洗车过程，无废水外排。</w:t>
            </w:r>
          </w:p>
          <w:p>
            <w:pPr>
              <w:bidi w:val="0"/>
              <w:rPr>
                <w:rFonts w:hint="eastAsia"/>
                <w:color w:val="auto"/>
                <w:highlight w:val="none"/>
                <w:lang w:val="en-US" w:eastAsia="zh-CN"/>
              </w:rPr>
            </w:pPr>
            <w:r>
              <w:rPr>
                <w:rFonts w:hint="eastAsia"/>
                <w:color w:val="auto"/>
                <w:highlight w:val="none"/>
                <w:lang w:val="en-US" w:eastAsia="zh-CN"/>
              </w:rPr>
              <w:t>（3）生活污水</w:t>
            </w:r>
          </w:p>
          <w:p>
            <w:pPr>
              <w:bidi w:val="0"/>
              <w:rPr>
                <w:rFonts w:hint="eastAsia"/>
                <w:color w:val="auto"/>
                <w:highlight w:val="none"/>
                <w:lang w:val="en-US" w:eastAsia="zh-CN"/>
              </w:rPr>
            </w:pPr>
            <w:r>
              <w:rPr>
                <w:rFonts w:hint="eastAsia"/>
                <w:color w:val="auto"/>
                <w:highlight w:val="none"/>
                <w:lang w:val="en-US" w:eastAsia="zh-CN"/>
              </w:rPr>
              <w:t>本项目生活污水主要为盥洗废水，产生量为0.16m</w:t>
            </w:r>
            <w:r>
              <w:rPr>
                <w:rFonts w:hint="eastAsia"/>
                <w:color w:val="auto"/>
                <w:highlight w:val="none"/>
                <w:vertAlign w:val="superscript"/>
                <w:lang w:val="en-US" w:eastAsia="zh-CN"/>
              </w:rPr>
              <w:t>3</w:t>
            </w:r>
            <w:r>
              <w:rPr>
                <w:rFonts w:hint="eastAsia"/>
                <w:color w:val="auto"/>
                <w:highlight w:val="none"/>
                <w:lang w:val="en-US" w:eastAsia="zh-CN"/>
              </w:rPr>
              <w:t>/d（40m</w:t>
            </w:r>
            <w:r>
              <w:rPr>
                <w:rFonts w:hint="eastAsia"/>
                <w:color w:val="auto"/>
                <w:highlight w:val="none"/>
                <w:vertAlign w:val="superscript"/>
                <w:lang w:val="en-US" w:eastAsia="zh-CN"/>
              </w:rPr>
              <w:t>3</w:t>
            </w:r>
            <w:r>
              <w:rPr>
                <w:rFonts w:hint="eastAsia"/>
                <w:color w:val="auto"/>
                <w:highlight w:val="none"/>
                <w:lang w:val="en-US" w:eastAsia="zh-CN"/>
              </w:rPr>
              <w:t>/a），水质简单（主要污染物为SS、COD、氨氮等），产生量小，泼洒地面抑尘，无废水外排。</w:t>
            </w:r>
          </w:p>
          <w:p>
            <w:pPr>
              <w:bidi w:val="0"/>
              <w:rPr>
                <w:rFonts w:hint="eastAsia"/>
                <w:color w:val="auto"/>
                <w:highlight w:val="none"/>
                <w:lang w:val="en-US" w:eastAsia="zh-CN"/>
              </w:rPr>
            </w:pPr>
            <w:r>
              <w:rPr>
                <w:rFonts w:hint="eastAsia"/>
                <w:color w:val="auto"/>
                <w:highlight w:val="none"/>
                <w:lang w:val="en-US" w:eastAsia="zh-CN"/>
              </w:rPr>
              <w:t>综上分析，</w:t>
            </w:r>
            <w:r>
              <w:rPr>
                <w:rFonts w:hint="default"/>
                <w:color w:val="auto"/>
                <w:highlight w:val="none"/>
              </w:rPr>
              <w:t>本项目</w:t>
            </w:r>
            <w:r>
              <w:rPr>
                <w:rFonts w:hint="eastAsia"/>
                <w:color w:val="auto"/>
                <w:highlight w:val="none"/>
                <w:lang w:val="en-US" w:eastAsia="zh-CN"/>
              </w:rPr>
              <w:t>无废水外排，不会对周边地表</w:t>
            </w:r>
            <w:r>
              <w:rPr>
                <w:rFonts w:hint="default"/>
                <w:color w:val="auto"/>
                <w:highlight w:val="none"/>
              </w:rPr>
              <w:t>水环境</w:t>
            </w:r>
            <w:r>
              <w:rPr>
                <w:rFonts w:hint="eastAsia"/>
                <w:color w:val="auto"/>
                <w:highlight w:val="none"/>
                <w:lang w:val="en-US" w:eastAsia="zh-CN"/>
              </w:rPr>
              <w:t>造成</w:t>
            </w:r>
            <w:r>
              <w:rPr>
                <w:rFonts w:hint="default"/>
                <w:color w:val="auto"/>
                <w:highlight w:val="none"/>
              </w:rPr>
              <w:t>影响</w:t>
            </w:r>
            <w:r>
              <w:rPr>
                <w:rFonts w:hint="eastAsia"/>
                <w:color w:val="auto"/>
                <w:highlight w:val="none"/>
                <w:lang w:eastAsia="zh-CN"/>
              </w:rPr>
              <w:t>。</w:t>
            </w:r>
          </w:p>
          <w:p>
            <w:pPr>
              <w:keepNext w:val="0"/>
              <w:keepLines w:val="0"/>
              <w:pageBreakBefore w:val="0"/>
              <w:numPr>
                <w:ilvl w:val="0"/>
                <w:numId w:val="0"/>
              </w:numPr>
              <w:kinsoku/>
              <w:wordWrap/>
              <w:overflowPunct/>
              <w:topLinePunct w:val="0"/>
              <w:bidi w:val="0"/>
              <w:adjustRightInd w:val="0"/>
              <w:snapToGrid w:val="0"/>
              <w:spacing w:line="480" w:lineRule="exact"/>
              <w:textAlignment w:val="auto"/>
              <w:rPr>
                <w:rFonts w:hint="eastAsia"/>
                <w:b/>
                <w:bCs/>
                <w:color w:val="auto"/>
                <w:highlight w:val="none"/>
                <w:lang w:val="en-US" w:eastAsia="zh-CN"/>
              </w:rPr>
            </w:pPr>
            <w:r>
              <w:rPr>
                <w:rFonts w:hint="eastAsia" w:ascii="Times New Roman" w:eastAsia="宋体"/>
                <w:b/>
                <w:bCs/>
                <w:color w:val="auto"/>
                <w:highlight w:val="none"/>
                <w:lang w:val="en-US" w:eastAsia="zh-CN"/>
              </w:rPr>
              <w:t>3、噪声</w:t>
            </w:r>
          </w:p>
          <w:p>
            <w:pPr>
              <w:bidi w:val="0"/>
              <w:rPr>
                <w:rFonts w:hint="default" w:eastAsia="宋体"/>
                <w:b w:val="0"/>
                <w:bCs w:val="0"/>
                <w:color w:val="auto"/>
                <w:highlight w:val="none"/>
                <w:lang w:val="en-US" w:eastAsia="zh-CN"/>
              </w:rPr>
            </w:pPr>
            <w:r>
              <w:rPr>
                <w:rFonts w:hint="eastAsia" w:ascii="Times New Roman" w:eastAsia="宋体"/>
                <w:b/>
                <w:bCs/>
                <w:color w:val="auto"/>
                <w:highlight w:val="none"/>
                <w:lang w:val="en-US" w:eastAsia="zh-CN"/>
              </w:rPr>
              <w:t>3.1本项目噪声污染源分析</w:t>
            </w:r>
          </w:p>
          <w:p>
            <w:pPr>
              <w:pStyle w:val="11"/>
              <w:rPr>
                <w:rFonts w:hint="default"/>
                <w:b w:val="0"/>
                <w:bCs w:val="0"/>
                <w:color w:val="auto"/>
                <w:highlight w:val="none"/>
              </w:rPr>
            </w:pPr>
            <w:r>
              <w:rPr>
                <w:rFonts w:hint="default"/>
                <w:b w:val="0"/>
                <w:bCs w:val="0"/>
                <w:color w:val="auto"/>
                <w:highlight w:val="none"/>
              </w:rPr>
              <w:t>本项目营运期主要噪声源为</w:t>
            </w:r>
            <w:r>
              <w:rPr>
                <w:rFonts w:hint="eastAsia"/>
                <w:b w:val="0"/>
                <w:bCs w:val="0"/>
                <w:color w:val="auto"/>
                <w:highlight w:val="none"/>
                <w:lang w:val="en-US" w:eastAsia="zh-CN"/>
              </w:rPr>
              <w:t>给料机、破碎机、筛分机、螺旋洗砂机、脱泥桶、擦洗机、泵类、脱水筛等设备及风机、空压机等</w:t>
            </w:r>
            <w:r>
              <w:rPr>
                <w:rFonts w:hint="default"/>
                <w:b w:val="0"/>
                <w:bCs w:val="0"/>
                <w:color w:val="auto"/>
                <w:highlight w:val="none"/>
              </w:rPr>
              <w:t>运行时产生的噪声，设备噪声源强</w:t>
            </w:r>
            <w:r>
              <w:rPr>
                <w:rFonts w:hint="eastAsia"/>
                <w:b w:val="0"/>
                <w:bCs w:val="0"/>
                <w:color w:val="auto"/>
                <w:highlight w:val="none"/>
                <w:lang w:val="en-US" w:eastAsia="zh-CN"/>
              </w:rPr>
              <w:t>为70～90</w:t>
            </w:r>
            <w:r>
              <w:rPr>
                <w:rFonts w:hint="eastAsia"/>
                <w:b w:val="0"/>
                <w:bCs w:val="0"/>
                <w:color w:val="auto"/>
                <w:highlight w:val="none"/>
              </w:rPr>
              <w:t>dB</w:t>
            </w:r>
            <w:r>
              <w:rPr>
                <w:rFonts w:hint="default"/>
                <w:b w:val="0"/>
                <w:bCs w:val="0"/>
                <w:color w:val="auto"/>
                <w:highlight w:val="none"/>
              </w:rPr>
              <w:t>（A），采取基础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eastAsia"/>
                <w:color w:val="auto"/>
                <w:highlight w:val="none"/>
                <w:lang w:val="en-US" w:eastAsia="zh-CN"/>
              </w:rPr>
              <w:t>项目厂房为双层彩钢板，四侧均设置门窗，生产时门窗关闭，</w:t>
            </w:r>
            <w:r>
              <w:rPr>
                <w:rFonts w:hint="default"/>
                <w:b w:val="0"/>
                <w:bCs w:val="0"/>
                <w:color w:val="auto"/>
                <w:highlight w:val="none"/>
              </w:rPr>
              <w:t>本项目主要设备噪声源强及治理措施见下表：</w:t>
            </w:r>
          </w:p>
          <w:p>
            <w:pPr>
              <w:keepNext w:val="0"/>
              <w:keepLines w:val="0"/>
              <w:pageBreakBefore w:val="0"/>
              <w:widowControl w:val="0"/>
              <w:kinsoku/>
              <w:wordWrap/>
              <w:overflowPunct/>
              <w:topLinePunct/>
              <w:autoSpaceDE/>
              <w:autoSpaceDN/>
              <w:bidi w:val="0"/>
              <w:adjustRightInd/>
              <w:snapToGrid/>
              <w:textAlignment w:val="auto"/>
              <w:rPr>
                <w:rFonts w:hint="default"/>
                <w:b w:val="0"/>
                <w:bCs w:val="0"/>
                <w:color w:val="auto"/>
                <w:highlight w:val="none"/>
              </w:rPr>
            </w:pPr>
          </w:p>
          <w:p>
            <w:pPr>
              <w:keepNext w:val="0"/>
              <w:keepLines w:val="0"/>
              <w:pageBreakBefore w:val="0"/>
              <w:widowControl w:val="0"/>
              <w:kinsoku/>
              <w:wordWrap/>
              <w:overflowPunct/>
              <w:topLinePunct/>
              <w:autoSpaceDE/>
              <w:autoSpaceDN/>
              <w:bidi w:val="0"/>
              <w:adjustRightInd/>
              <w:snapToGrid/>
              <w:textAlignment w:val="auto"/>
              <w:rPr>
                <w:rFonts w:hint="default"/>
                <w:b w:val="0"/>
                <w:bCs w:val="0"/>
                <w:color w:val="auto"/>
                <w:highlight w:val="none"/>
              </w:rPr>
            </w:pPr>
          </w:p>
          <w:p>
            <w:pPr>
              <w:keepNext w:val="0"/>
              <w:keepLines w:val="0"/>
              <w:pageBreakBefore w:val="0"/>
              <w:widowControl w:val="0"/>
              <w:kinsoku/>
              <w:wordWrap/>
              <w:overflowPunct/>
              <w:topLinePunct/>
              <w:autoSpaceDE/>
              <w:autoSpaceDN/>
              <w:bidi w:val="0"/>
              <w:adjustRightInd/>
              <w:snapToGrid/>
              <w:textAlignment w:val="auto"/>
              <w:rPr>
                <w:rFonts w:hint="default"/>
                <w:b w:val="0"/>
                <w:bCs w:val="0"/>
                <w:color w:val="auto"/>
                <w:highlight w:val="no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p>
            <w:pPr>
              <w:ind w:left="0" w:leftChars="0" w:firstLine="0" w:firstLineChars="0"/>
              <w:rPr>
                <w:color w:val="auto"/>
                <w:highlight w:val="none"/>
                <w:vertAlign w:val="baseline"/>
              </w:rPr>
            </w:pP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0" w:type="dxa"/>
          </w:tcPr>
          <w:p>
            <w:pPr>
              <w:pStyle w:val="14"/>
              <w:rPr>
                <w:color w:val="auto"/>
                <w:highlight w:val="none"/>
                <w:vertAlign w:val="baseline"/>
              </w:rPr>
            </w:pPr>
          </w:p>
        </w:tc>
        <w:tc>
          <w:tcPr>
            <w:tcW w:w="13044" w:type="dxa"/>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color w:val="auto"/>
                <w:highlight w:val="none"/>
                <w:lang w:val="en-US" w:eastAsia="zh-CN"/>
              </w:rPr>
            </w:pPr>
            <w:r>
              <w:rPr>
                <w:rStyle w:val="48"/>
                <w:rFonts w:hint="default"/>
                <w:color w:val="auto"/>
                <w:sz w:val="21"/>
                <w:szCs w:val="21"/>
                <w:highlight w:val="none"/>
              </w:rPr>
              <w:t>表</w:t>
            </w:r>
            <w:r>
              <w:rPr>
                <w:rStyle w:val="48"/>
                <w:rFonts w:hint="eastAsia"/>
                <w:color w:val="auto"/>
                <w:sz w:val="21"/>
                <w:szCs w:val="21"/>
                <w:highlight w:val="none"/>
                <w:lang w:val="en-US" w:eastAsia="zh-CN"/>
              </w:rPr>
              <w:t>29</w:t>
            </w:r>
            <w:r>
              <w:rPr>
                <w:rStyle w:val="48"/>
                <w:rFonts w:hint="default"/>
                <w:color w:val="auto"/>
                <w:sz w:val="21"/>
                <w:szCs w:val="21"/>
                <w:highlight w:val="none"/>
              </w:rPr>
              <w:t xml:space="preserve">  噪声污染源及治理措施</w:t>
            </w:r>
            <w:r>
              <w:rPr>
                <w:rStyle w:val="48"/>
                <w:rFonts w:hint="eastAsia"/>
                <w:color w:val="auto"/>
                <w:sz w:val="21"/>
                <w:szCs w:val="21"/>
                <w:highlight w:val="none"/>
                <w:lang w:val="en-US" w:eastAsia="zh-CN"/>
              </w:rPr>
              <w:t>一览表（室内声源）</w:t>
            </w:r>
          </w:p>
          <w:tbl>
            <w:tblPr>
              <w:tblStyle w:val="5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06"/>
              <w:gridCol w:w="675"/>
              <w:gridCol w:w="870"/>
              <w:gridCol w:w="825"/>
              <w:gridCol w:w="705"/>
              <w:gridCol w:w="750"/>
              <w:gridCol w:w="795"/>
              <w:gridCol w:w="495"/>
              <w:gridCol w:w="495"/>
              <w:gridCol w:w="585"/>
              <w:gridCol w:w="765"/>
              <w:gridCol w:w="660"/>
              <w:gridCol w:w="930"/>
              <w:gridCol w:w="952"/>
              <w:gridCol w:w="855"/>
              <w:gridCol w:w="896"/>
              <w:gridCol w:w="113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158"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序号</w:t>
                  </w:r>
                </w:p>
              </w:tc>
              <w:tc>
                <w:tcPr>
                  <w:tcW w:w="26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建筑物名称</w:t>
                  </w:r>
                </w:p>
              </w:tc>
              <w:tc>
                <w:tcPr>
                  <w:tcW w:w="339"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声源名称</w:t>
                  </w:r>
                </w:p>
              </w:tc>
              <w:tc>
                <w:tcPr>
                  <w:tcW w:w="322"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型号</w:t>
                  </w:r>
                </w:p>
              </w:tc>
              <w:tc>
                <w:tcPr>
                  <w:tcW w:w="275"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声源源强</w:t>
                  </w:r>
                </w:p>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2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声源控制措施</w:t>
                  </w:r>
                </w:p>
              </w:tc>
              <w:tc>
                <w:tcPr>
                  <w:tcW w:w="310" w:type="pct"/>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32" w:beforeLines="10" w:after="32" w:afterLines="10" w:line="240" w:lineRule="auto"/>
                    <w:ind w:left="0" w:leftChars="0" w:right="0" w:rightChars="0"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default"/>
                      <w:color w:val="auto"/>
                      <w:sz w:val="21"/>
                      <w:szCs w:val="21"/>
                      <w:highlight w:val="none"/>
                    </w:rPr>
                    <w:t>降噪效果dB（A）</w:t>
                  </w:r>
                </w:p>
              </w:tc>
              <w:tc>
                <w:tcPr>
                  <w:tcW w:w="615" w:type="pct"/>
                  <w:gridSpan w:val="3"/>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空间相对位置/m</w:t>
                  </w:r>
                </w:p>
              </w:tc>
              <w:tc>
                <w:tcPr>
                  <w:tcW w:w="556" w:type="pct"/>
                  <w:gridSpan w:val="2"/>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距室内边界距离/m</w:t>
                  </w:r>
                </w:p>
              </w:tc>
              <w:tc>
                <w:tcPr>
                  <w:tcW w:w="36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pacing w:val="-5"/>
                      <w:sz w:val="21"/>
                      <w:szCs w:val="21"/>
                      <w:highlight w:val="none"/>
                    </w:rPr>
                    <w:t>室内边界</w:t>
                  </w:r>
                  <w:r>
                    <w:rPr>
                      <w:rFonts w:hint="default" w:ascii="Times New Roman" w:hAnsi="Times New Roman" w:cs="Times New Roman" w:eastAsiaTheme="minorEastAsia"/>
                      <w:b w:val="0"/>
                      <w:bCs w:val="0"/>
                      <w:color w:val="auto"/>
                      <w:sz w:val="21"/>
                      <w:szCs w:val="21"/>
                      <w:highlight w:val="none"/>
                    </w:rPr>
                    <w:t>声级/dB(A)</w:t>
                  </w:r>
                </w:p>
              </w:tc>
              <w:tc>
                <w:tcPr>
                  <w:tcW w:w="371"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运行时段</w:t>
                  </w:r>
                </w:p>
              </w:tc>
              <w:tc>
                <w:tcPr>
                  <w:tcW w:w="334"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建筑物插入损失/ dB(A)</w:t>
                  </w:r>
                </w:p>
              </w:tc>
              <w:tc>
                <w:tcPr>
                  <w:tcW w:w="795" w:type="pct"/>
                  <w:gridSpan w:val="2"/>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建筑物外噪声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158"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6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39"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22"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75"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29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10"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93"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X</w:t>
                  </w:r>
                </w:p>
              </w:tc>
              <w:tc>
                <w:tcPr>
                  <w:tcW w:w="193"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Y</w:t>
                  </w:r>
                </w:p>
              </w:tc>
              <w:tc>
                <w:tcPr>
                  <w:tcW w:w="22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highlight w:val="none"/>
                    </w:rPr>
                  </w:pPr>
                  <w:r>
                    <w:rPr>
                      <w:rFonts w:hint="default" w:ascii="Times New Roman" w:hAnsi="Times New Roman" w:cs="Times New Roman" w:eastAsiaTheme="minorEastAsia"/>
                      <w:b w:val="0"/>
                      <w:bCs w:val="0"/>
                      <w:i w:val="0"/>
                      <w:iCs/>
                      <w:color w:val="auto"/>
                      <w:sz w:val="21"/>
                      <w:szCs w:val="21"/>
                      <w:highlight w:val="none"/>
                    </w:rPr>
                    <w:t>Z</w:t>
                  </w:r>
                </w:p>
              </w:tc>
              <w:tc>
                <w:tcPr>
                  <w:tcW w:w="556" w:type="pct"/>
                  <w:gridSpan w:val="2"/>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63"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71"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3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350"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声压级</w:t>
                  </w:r>
                </w:p>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/dB(A)</w:t>
                  </w:r>
                </w:p>
              </w:tc>
              <w:tc>
                <w:tcPr>
                  <w:tcW w:w="444"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建筑物外距离/m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158" w:type="pct"/>
                  <w:vMerge w:val="restart"/>
                  <w:tcBorders>
                    <w:tl2br w:val="nil"/>
                    <w:tr2bl w:val="nil"/>
                  </w:tcBorders>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20" w:beforeLines="6" w:after="20" w:afterLines="6" w:line="240" w:lineRule="auto"/>
                    <w:ind w:left="-24" w:leftChars="-10" w:right="-24" w:rightChars="-10" w:firstLine="0" w:firstLineChars="0"/>
                    <w:jc w:val="center"/>
                    <w:textAlignment w:val="auto"/>
                    <w:rPr>
                      <w:rFonts w:hint="eastAsia" w:ascii="Times New Roman" w:hAnsi="Times New Roman" w:cs="Times New Roman" w:eastAsiaTheme="minorEastAsia"/>
                      <w:color w:val="auto"/>
                      <w:sz w:val="21"/>
                      <w:szCs w:val="21"/>
                      <w:highlight w:val="none"/>
                      <w:lang w:val="en-US" w:eastAsia="zh-CN" w:bidi="ar-SA"/>
                    </w:rPr>
                  </w:pPr>
                  <w:r>
                    <w:rPr>
                      <w:rFonts w:hint="eastAsia" w:cs="Times New Roman" w:eastAsiaTheme="minorEastAsia"/>
                      <w:color w:val="auto"/>
                      <w:sz w:val="21"/>
                      <w:szCs w:val="21"/>
                      <w:highlight w:val="none"/>
                      <w:lang w:val="en-US" w:eastAsia="zh-CN" w:bidi="ar-SA"/>
                    </w:rPr>
                    <w:t>振动给料机</w:t>
                  </w:r>
                </w:p>
              </w:tc>
              <w:tc>
                <w:tcPr>
                  <w:tcW w:w="3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en-US" w:bidi="ar-SA"/>
                    </w:rPr>
                  </w:pPr>
                  <w:r>
                    <w:rPr>
                      <w:rFonts w:hint="eastAsia" w:ascii="宋体" w:hAnsi="宋体" w:eastAsia="宋体" w:cs="宋体"/>
                      <w:color w:val="auto"/>
                      <w:sz w:val="21"/>
                      <w:szCs w:val="21"/>
                      <w:highlight w:val="none"/>
                      <w:lang w:val="en-US" w:eastAsia="en-US" w:bidi="ar-SA"/>
                    </w:rPr>
                    <w:t>－</w:t>
                  </w:r>
                </w:p>
              </w:tc>
              <w:tc>
                <w:tcPr>
                  <w:tcW w:w="275"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1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1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24</w:t>
                  </w:r>
                </w:p>
              </w:tc>
              <w:tc>
                <w:tcPr>
                  <w:tcW w:w="228"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930"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38.6 </w:t>
                  </w:r>
                </w:p>
              </w:tc>
              <w:tc>
                <w:tcPr>
                  <w:tcW w:w="371"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334"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14.6 </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5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highlight w:val="none"/>
                    </w:rPr>
                  </w:pPr>
                </w:p>
              </w:tc>
              <w:tc>
                <w:tcPr>
                  <w:tcW w:w="26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color w:val="auto"/>
                      <w:highlight w:val="none"/>
                    </w:rPr>
                  </w:pPr>
                </w:p>
              </w:tc>
              <w:tc>
                <w:tcPr>
                  <w:tcW w:w="339"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22"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75"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10"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2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9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24</w:t>
                  </w:r>
                </w:p>
              </w:tc>
              <w:tc>
                <w:tcPr>
                  <w:tcW w:w="930"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42.4 </w:t>
                  </w:r>
                </w:p>
              </w:tc>
              <w:tc>
                <w:tcPr>
                  <w:tcW w:w="371"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34"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18.4 </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51.9 </w:t>
                  </w:r>
                </w:p>
              </w:tc>
              <w:tc>
                <w:tcPr>
                  <w:tcW w:w="371"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34"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27.9 </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c>
                <w:tcPr>
                  <w:tcW w:w="930"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33.7 </w:t>
                  </w:r>
                </w:p>
              </w:tc>
              <w:tc>
                <w:tcPr>
                  <w:tcW w:w="371" w:type="pct"/>
                  <w:vMerge w:val="continue"/>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334"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9.7 </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default" w:ascii="Times New Roman" w:hAnsi="Times New Roman" w:cs="Times New Roman" w:eastAsiaTheme="minorEastAsia"/>
                      <w:color w:val="auto"/>
                      <w:sz w:val="21"/>
                      <w:szCs w:val="21"/>
                      <w:highlight w:val="none"/>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tcBorders>
                    <w:tl2br w:val="nil"/>
                    <w:tr2bl w:val="nil"/>
                  </w:tcBorders>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6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20" w:beforeLines="6" w:after="20" w:afterLines="6" w:line="240" w:lineRule="auto"/>
                    <w:ind w:left="-24" w:leftChars="-10" w:right="-24" w:rightChars="-1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bidi="ar-SA"/>
                    </w:rPr>
                    <w:t>振动给料机</w:t>
                  </w:r>
                </w:p>
              </w:tc>
              <w:tc>
                <w:tcPr>
                  <w:tcW w:w="32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ascii="宋体" w:hAnsi="宋体" w:eastAsia="宋体" w:cs="宋体"/>
                      <w:color w:val="auto"/>
                      <w:sz w:val="21"/>
                      <w:szCs w:val="21"/>
                      <w:highlight w:val="none"/>
                      <w:lang w:val="en-US" w:eastAsia="en-US" w:bidi="ar-SA"/>
                    </w:rPr>
                    <w:t>－</w:t>
                  </w:r>
                </w:p>
              </w:tc>
              <w:tc>
                <w:tcPr>
                  <w:tcW w:w="275"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75</w:t>
                  </w:r>
                </w:p>
              </w:tc>
              <w:tc>
                <w:tcPr>
                  <w:tcW w:w="2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40</w:t>
                  </w:r>
                </w:p>
              </w:tc>
              <w:tc>
                <w:tcPr>
                  <w:tcW w:w="193"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59</w:t>
                  </w:r>
                </w:p>
              </w:tc>
              <w:tc>
                <w:tcPr>
                  <w:tcW w:w="228"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4</w:t>
                  </w:r>
                </w:p>
              </w:tc>
              <w:tc>
                <w:tcPr>
                  <w:tcW w:w="930"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58.0 </w:t>
                  </w:r>
                </w:p>
              </w:tc>
              <w:tc>
                <w:tcPr>
                  <w:tcW w:w="371" w:type="pct"/>
                  <w:vMerge w:val="restart"/>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tcBorders>
                    <w:tl2br w:val="nil"/>
                    <w:tr2bl w:val="nil"/>
                  </w:tcBorders>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34.0 </w:t>
                  </w:r>
                </w:p>
              </w:tc>
              <w:tc>
                <w:tcPr>
                  <w:tcW w:w="444" w:type="pct"/>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59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34.6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10.6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40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38.0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14.0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40.2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16.2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颚式破碎机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eastAsia" w:ascii="Times New Roman" w:hAnsi="Times New Roman" w:cs="Times New Roman"/>
                      <w:bCs/>
                      <w:color w:val="auto"/>
                      <w:sz w:val="21"/>
                      <w:szCs w:val="21"/>
                      <w:highlight w:val="none"/>
                      <w:lang w:val="en-US" w:eastAsia="zh-CN"/>
                    </w:rPr>
                    <w:t>PE500</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750</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90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27</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53.4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29.4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56.4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32.4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66.9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63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锤式破碎机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en-US" w:bidi="ar-SA"/>
                    </w:rPr>
                  </w:pPr>
                  <w:r>
                    <w:rPr>
                      <w:rFonts w:hint="default" w:ascii="Times New Roman" w:hAnsi="Times New Roman" w:eastAsia="宋体" w:cs="Times New Roman"/>
                      <w:bCs/>
                      <w:color w:val="auto"/>
                      <w:sz w:val="21"/>
                      <w:szCs w:val="21"/>
                      <w:highlight w:val="none"/>
                      <w:lang w:val="en-US" w:eastAsia="zh-CN"/>
                    </w:rPr>
                    <w:t>PCH-040</w:t>
                  </w:r>
                  <w:r>
                    <w:rPr>
                      <w:rFonts w:hint="eastAsia" w:ascii="Times New Roman" w:hAnsi="Times New Roman" w:cs="Times New Roman"/>
                      <w:bCs/>
                      <w:color w:val="auto"/>
                      <w:sz w:val="21"/>
                      <w:szCs w:val="21"/>
                      <w:highlight w:val="none"/>
                      <w:lang w:val="en-US" w:eastAsia="zh-CN"/>
                    </w:rPr>
                    <w:t>4</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90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34</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53.6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29.6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54.4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30.4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66.9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55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50.2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26.2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kern w:val="2"/>
                      <w:sz w:val="21"/>
                      <w:szCs w:val="21"/>
                      <w:highlight w:val="none"/>
                      <w:lang w:val="en-US" w:eastAsia="zh-CN" w:bidi="ar-SA"/>
                    </w:rPr>
                    <w:t>冲击式破碎机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VSI-7611</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53.6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29.6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66.9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53.0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29.0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振动筛分机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42</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48.6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47.5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23.5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46.6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22.6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振动筛分机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56</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45.0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21.0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49.6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振动筛分机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sz w:val="21"/>
                      <w:szCs w:val="21"/>
                      <w:highlight w:val="none"/>
                      <w:lang w:val="en-US" w:eastAsia="zh-CN"/>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40</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68.0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44.0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43.7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19.7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kern w:val="2"/>
                      <w:sz w:val="21"/>
                      <w:szCs w:val="21"/>
                      <w:highlight w:val="none"/>
                      <w:lang w:val="en-US" w:eastAsia="zh-CN" w:bidi="ar-SA"/>
                    </w:rPr>
                    <w:t>螺旋洗砂机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1.5m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10m</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56.9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32.9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69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38.2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14.2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44.1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20.1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擦洗机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1.5m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2m</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41</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67</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63.0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39.0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67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38.5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14.5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41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42.7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擦洗机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1.5m</w:t>
                  </w:r>
                  <w:r>
                    <w:rPr>
                      <w:rFonts w:hint="default" w:ascii="Times New Roman" w:hAnsi="Times New Roman" w:cs="Times New Roman"/>
                      <w:bCs/>
                      <w:color w:val="auto"/>
                      <w:sz w:val="21"/>
                      <w:szCs w:val="21"/>
                      <w:highlight w:val="none"/>
                      <w:lang w:val="en-US" w:eastAsia="zh-CN"/>
                    </w:rPr>
                    <w:t>×</w:t>
                  </w:r>
                  <w:r>
                    <w:rPr>
                      <w:rFonts w:hint="eastAsia" w:ascii="Times New Roman" w:hAnsi="Times New Roman" w:cs="Times New Roman"/>
                      <w:bCs/>
                      <w:color w:val="auto"/>
                      <w:sz w:val="21"/>
                      <w:szCs w:val="21"/>
                      <w:highlight w:val="none"/>
                      <w:lang w:val="en-US" w:eastAsia="zh-CN"/>
                    </w:rPr>
                    <w:t>2m</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29</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51.5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38.2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14.2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45.8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21.8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脱泥桶</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34</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74</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31.0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37.6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13.6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44.4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20.4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51.5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71</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43.0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19.0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54.9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30.9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73</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42.7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32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31.9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ascii="Times New Roman" w:hAnsi="Times New Roman" w:eastAsia="宋体"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42.5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57.1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33.1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77</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42.3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18.3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71</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43.0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19.0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54.9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30.9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73</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42.7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31.9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42.5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57.1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33.1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kern w:val="2"/>
                      <w:sz w:val="21"/>
                      <w:szCs w:val="21"/>
                      <w:highlight w:val="none"/>
                      <w:lang w:val="en-US" w:eastAsia="zh-CN" w:bidi="ar-SA"/>
                    </w:rPr>
                    <w:t>筛分机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77</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42.3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18.3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48.9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24.9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58.4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28</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31.9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default"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color w:val="auto"/>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eastAsiaTheme="minorEastAsia"/>
                      <w:color w:val="auto"/>
                      <w:kern w:val="0"/>
                      <w:sz w:val="21"/>
                      <w:szCs w:val="21"/>
                      <w:highlight w:val="none"/>
                      <w:lang w:val="en-US" w:eastAsia="zh-CN" w:bidi="ar-SA"/>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29</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56.5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32.5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57.7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33.7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60.0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36.0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37</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61.9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37.9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39</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64.4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40.4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脱水筛</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rPr>
                  </w:pPr>
                  <w:r>
                    <w:rPr>
                      <w:rFonts w:hint="eastAsia" w:cs="Times New Roman" w:eastAsiaTheme="minorEastAsia"/>
                      <w:color w:val="auto"/>
                      <w:kern w:val="0"/>
                      <w:sz w:val="21"/>
                      <w:szCs w:val="21"/>
                      <w:highlight w:val="none"/>
                      <w:lang w:val="en-US" w:eastAsia="zh-CN" w:bidi="ar-SA"/>
                    </w:rPr>
                    <w:t>85</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40</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79</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66.0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79</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51.1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27.1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渣浆泵</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37</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56.9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32.9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40.2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16.2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43.6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19.6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44.1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20.1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清水泵</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43</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51</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69.0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42.3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18.3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40.8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16.8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43.4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19.4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24" w:leftChars="-10" w:right="-24" w:rightChars="-1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脉冲布袋除尘器风机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bCs/>
                      <w:color w:val="auto"/>
                      <w:sz w:val="21"/>
                      <w:szCs w:val="21"/>
                      <w:highlight w:val="none"/>
                      <w:lang w:val="en-US" w:eastAsia="zh-CN"/>
                    </w:rPr>
                    <w:t>风机风量：55000m</w:t>
                  </w:r>
                  <w:r>
                    <w:rPr>
                      <w:rFonts w:hint="eastAsia" w:ascii="Times New Roman" w:hAnsi="Times New Roman" w:cs="Times New Roman"/>
                      <w:bCs/>
                      <w:color w:val="auto"/>
                      <w:sz w:val="21"/>
                      <w:szCs w:val="21"/>
                      <w:highlight w:val="none"/>
                      <w:vertAlign w:val="superscript"/>
                      <w:lang w:val="en-US" w:eastAsia="zh-CN"/>
                    </w:rPr>
                    <w:t>3</w:t>
                  </w:r>
                  <w:r>
                    <w:rPr>
                      <w:rFonts w:hint="eastAsia" w:ascii="Times New Roman" w:hAnsi="Times New Roman" w:cs="Times New Roman"/>
                      <w:bCs/>
                      <w:color w:val="auto"/>
                      <w:sz w:val="21"/>
                      <w:szCs w:val="21"/>
                      <w:highlight w:val="none"/>
                      <w:lang w:val="en-US" w:eastAsia="zh-CN"/>
                    </w:rPr>
                    <w:t>/h</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62</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52.7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79.0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27</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56.4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32.4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脉冲布袋除尘器空压机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62</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41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52.7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49.2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25.2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79.0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55.0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cs="Times New Roman" w:eastAsiaTheme="minorEastAsia"/>
                      <w:color w:val="auto"/>
                      <w:sz w:val="21"/>
                      <w:szCs w:val="21"/>
                      <w:highlight w:val="none"/>
                      <w:lang w:val="en-US" w:eastAsia="zh-CN"/>
                    </w:rPr>
                    <w:t>24</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57.4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33.4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restart"/>
                  <w:vAlign w:val="center"/>
                </w:tcPr>
                <w:p>
                  <w:pPr>
                    <w:pStyle w:val="38"/>
                    <w:keepNext w:val="0"/>
                    <w:keepLines w:val="0"/>
                    <w:pageBreakBefore w:val="0"/>
                    <w:widowControl w:val="0"/>
                    <w:numPr>
                      <w:ilvl w:val="0"/>
                      <w:numId w:val="21"/>
                    </w:numPr>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综合</w:t>
                  </w:r>
                  <w:r>
                    <w:rPr>
                      <w:rFonts w:hint="default" w:ascii="Times New Roman" w:hAnsi="Times New Roman" w:cs="Times New Roman" w:eastAsiaTheme="minorEastAsia"/>
                      <w:color w:val="auto"/>
                      <w:sz w:val="21"/>
                      <w:szCs w:val="21"/>
                      <w:highlight w:val="none"/>
                      <w:lang w:val="en-US" w:eastAsia="zh-CN"/>
                    </w:rPr>
                    <w:t>车间</w:t>
                  </w:r>
                </w:p>
              </w:tc>
              <w:tc>
                <w:tcPr>
                  <w:tcW w:w="339"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48" w:leftChars="-20" w:right="-48" w:rightChars="-2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板框压滤机</w:t>
                  </w:r>
                </w:p>
              </w:tc>
              <w:tc>
                <w:tcPr>
                  <w:tcW w:w="322" w:type="pct"/>
                  <w:vMerge w:val="restart"/>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宋体" w:hAnsi="宋体" w:eastAsia="宋体" w:cs="宋体"/>
                      <w:color w:val="auto"/>
                      <w:sz w:val="21"/>
                      <w:szCs w:val="21"/>
                      <w:highlight w:val="none"/>
                      <w:lang w:val="en-US" w:eastAsia="en-US" w:bidi="ar-SA"/>
                    </w:rPr>
                    <w:t>－</w:t>
                  </w:r>
                </w:p>
              </w:tc>
              <w:tc>
                <w:tcPr>
                  <w:tcW w:w="275"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70</w:t>
                  </w:r>
                </w:p>
              </w:tc>
              <w:tc>
                <w:tcPr>
                  <w:tcW w:w="2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选用低噪声设备，基础减振</w:t>
                  </w:r>
                </w:p>
              </w:tc>
              <w:tc>
                <w:tcPr>
                  <w:tcW w:w="310"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color w:val="auto"/>
                      <w:sz w:val="21"/>
                      <w:szCs w:val="21"/>
                      <w:highlight w:val="none"/>
                      <w:lang w:val="en-US" w:eastAsia="zh-CN"/>
                    </w:rPr>
                    <w:t>5</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31</w:t>
                  </w:r>
                </w:p>
              </w:tc>
              <w:tc>
                <w:tcPr>
                  <w:tcW w:w="193"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58</w:t>
                  </w:r>
                </w:p>
              </w:tc>
              <w:tc>
                <w:tcPr>
                  <w:tcW w:w="228"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东边界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13</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42.7 </w:t>
                  </w:r>
                </w:p>
              </w:tc>
              <w:tc>
                <w:tcPr>
                  <w:tcW w:w="371" w:type="pct"/>
                  <w:vMerge w:val="restar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00:00-24:00</w:t>
                  </w: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18.7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58</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29.7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5.7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西边界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31</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35.2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11.2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napToGri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6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32" w:beforeLines="10" w:after="32" w:afterLines="1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39"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22"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75"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310"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193"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28"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298"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北边界</w:t>
                  </w:r>
                </w:p>
              </w:tc>
              <w:tc>
                <w:tcPr>
                  <w:tcW w:w="257" w:type="pct"/>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930"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34.9 </w:t>
                  </w:r>
                </w:p>
              </w:tc>
              <w:tc>
                <w:tcPr>
                  <w:tcW w:w="371" w:type="pct"/>
                  <w:vMerge w:val="continue"/>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p>
              </w:tc>
              <w:tc>
                <w:tcPr>
                  <w:tcW w:w="855"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w:t>
                  </w:r>
                </w:p>
              </w:tc>
              <w:tc>
                <w:tcPr>
                  <w:tcW w:w="896" w:type="dxa"/>
                  <w:vAlign w:val="center"/>
                </w:tcPr>
                <w:p>
                  <w:pPr>
                    <w:pStyle w:val="38"/>
                    <w:keepNext w:val="0"/>
                    <w:keepLines w:val="0"/>
                    <w:pageBreakBefore w:val="0"/>
                    <w:widowControl w:val="0"/>
                    <w:kinsoku/>
                    <w:wordWrap/>
                    <w:overflowPunct/>
                    <w:topLinePunct w:val="0"/>
                    <w:autoSpaceDE w:val="0"/>
                    <w:autoSpaceDN w:val="0"/>
                    <w:bidi w:val="0"/>
                    <w:adjustRightInd/>
                    <w:snapToGrid w:val="0"/>
                    <w:spacing w:before="20" w:beforeLines="6" w:after="20" w:afterLines="6" w:line="240" w:lineRule="auto"/>
                    <w:ind w:left="0" w:leftChars="0" w:right="0" w:rightChars="0" w:firstLine="0" w:firstLineChars="0"/>
                    <w:jc w:val="center"/>
                    <w:textAlignment w:val="auto"/>
                    <w:rPr>
                      <w:rFonts w:hint="default" w:cs="Times New Roman" w:eastAsiaTheme="minorEastAsia"/>
                      <w:color w:val="auto"/>
                      <w:kern w:val="0"/>
                      <w:sz w:val="21"/>
                      <w:szCs w:val="21"/>
                      <w:highlight w:val="none"/>
                      <w:lang w:val="en-US" w:eastAsia="zh-CN" w:bidi="ar-SA"/>
                    </w:rPr>
                  </w:pPr>
                  <w:r>
                    <w:rPr>
                      <w:rFonts w:hint="default" w:cs="Times New Roman" w:eastAsiaTheme="minorEastAsia"/>
                      <w:color w:val="auto"/>
                      <w:kern w:val="0"/>
                      <w:sz w:val="21"/>
                      <w:szCs w:val="21"/>
                      <w:highlight w:val="none"/>
                      <w:lang w:val="en-US" w:eastAsia="zh-CN" w:bidi="ar-SA"/>
                    </w:rPr>
                    <w:t xml:space="preserve">10.9 </w:t>
                  </w:r>
                </w:p>
              </w:tc>
              <w:tc>
                <w:tcPr>
                  <w:tcW w:w="444" w:type="pct"/>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center"/>
                    <w:textAlignment w:val="bottom"/>
                    <w:rPr>
                      <w:rFonts w:hint="eastAsia" w:cs="Times New Roman"/>
                      <w:i w:val="0"/>
                      <w:iCs w:val="0"/>
                      <w:color w:val="auto"/>
                      <w:kern w:val="0"/>
                      <w:sz w:val="22"/>
                      <w:szCs w:val="22"/>
                      <w:highlight w:val="none"/>
                      <w:u w:val="none"/>
                      <w:lang w:val="en-US" w:eastAsia="zh-CN" w:bidi="ar"/>
                    </w:rPr>
                  </w:pPr>
                  <w:r>
                    <w:rPr>
                      <w:rFonts w:hint="eastAsia" w:cs="Times New Roman"/>
                      <w:i w:val="0"/>
                      <w:iCs w:val="0"/>
                      <w:color w:val="auto"/>
                      <w:kern w:val="0"/>
                      <w:sz w:val="22"/>
                      <w:szCs w:val="22"/>
                      <w:highlight w:val="none"/>
                      <w:u w:val="none"/>
                      <w:lang w:val="en-US" w:eastAsia="zh-CN" w:bidi="ar"/>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5000" w:type="pct"/>
                  <w:gridSpan w:val="17"/>
                  <w:vAlign w:val="center"/>
                </w:tcPr>
                <w:p>
                  <w:pPr>
                    <w:keepNext w:val="0"/>
                    <w:keepLines w:val="0"/>
                    <w:pageBreakBefore w:val="0"/>
                    <w:widowControl/>
                    <w:suppressLineNumbers w:val="0"/>
                    <w:kinsoku/>
                    <w:wordWrap/>
                    <w:overflowPunct/>
                    <w:topLinePunct w:val="0"/>
                    <w:autoSpaceDE w:val="0"/>
                    <w:autoSpaceDN w:val="0"/>
                    <w:bidi w:val="0"/>
                    <w:adjustRightInd/>
                    <w:spacing w:before="20" w:beforeLines="6" w:after="20" w:afterLines="6" w:line="240" w:lineRule="auto"/>
                    <w:ind w:left="0" w:leftChars="0" w:right="0" w:rightChars="0" w:firstLine="0" w:firstLineChars="0"/>
                    <w:jc w:val="left"/>
                    <w:textAlignment w:val="bottom"/>
                    <w:rPr>
                      <w:rFonts w:hint="default" w:cs="Times New Roman"/>
                      <w:b/>
                      <w:bCs/>
                      <w:i w:val="0"/>
                      <w:iCs w:val="0"/>
                      <w:color w:val="auto"/>
                      <w:kern w:val="0"/>
                      <w:sz w:val="22"/>
                      <w:szCs w:val="22"/>
                      <w:highlight w:val="none"/>
                      <w:u w:val="none"/>
                      <w:lang w:val="en-US" w:eastAsia="zh-CN" w:bidi="ar"/>
                    </w:rPr>
                  </w:pPr>
                  <w:r>
                    <w:rPr>
                      <w:rFonts w:hint="eastAsia" w:cs="Times New Roman"/>
                      <w:b/>
                      <w:bCs/>
                      <w:i w:val="0"/>
                      <w:iCs w:val="0"/>
                      <w:color w:val="auto"/>
                      <w:kern w:val="0"/>
                      <w:sz w:val="22"/>
                      <w:szCs w:val="22"/>
                      <w:highlight w:val="none"/>
                      <w:u w:val="none"/>
                      <w:lang w:val="en-US" w:eastAsia="zh-CN" w:bidi="ar"/>
                    </w:rPr>
                    <w:t>注：厂区西南角坐标为（0,0,0）。</w:t>
                  </w: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Style w:val="48"/>
                <w:rFonts w:hint="default"/>
                <w:color w:val="auto"/>
                <w:sz w:val="21"/>
                <w:szCs w:val="21"/>
                <w:highlight w:val="none"/>
              </w:rPr>
            </w:pPr>
          </w:p>
          <w:p>
            <w:pPr>
              <w:bidi w:val="0"/>
              <w:rPr>
                <w:color w:val="auto"/>
                <w:highlight w:val="none"/>
              </w:rPr>
            </w:pPr>
          </w:p>
          <w:p>
            <w:pPr>
              <w:bidi w:val="0"/>
              <w:rPr>
                <w:color w:val="auto"/>
                <w:highlight w:val="none"/>
              </w:rPr>
            </w:pPr>
          </w:p>
          <w:p>
            <w:pPr>
              <w:bidi w:val="0"/>
              <w:rPr>
                <w:color w:val="auto"/>
                <w:highlight w:val="none"/>
              </w:rPr>
            </w:pPr>
          </w:p>
          <w:p>
            <w:pPr>
              <w:bidi w:val="0"/>
              <w:ind w:left="0" w:leftChars="0" w:firstLine="0" w:firstLineChars="0"/>
              <w:rPr>
                <w:color w:val="auto"/>
                <w:highlight w:val="none"/>
              </w:rPr>
            </w:pPr>
          </w:p>
          <w:p>
            <w:pPr>
              <w:bidi w:val="0"/>
              <w:ind w:left="0" w:leftChars="0" w:firstLine="0" w:firstLineChars="0"/>
              <w:rPr>
                <w:color w:val="auto"/>
                <w:highlight w:val="none"/>
              </w:rPr>
            </w:pPr>
          </w:p>
          <w:p>
            <w:pPr>
              <w:bidi w:val="0"/>
              <w:ind w:left="0" w:leftChars="0" w:firstLine="0" w:firstLineChars="0"/>
              <w:rPr>
                <w:color w:val="auto"/>
                <w:highlight w:val="none"/>
              </w:rPr>
            </w:pPr>
          </w:p>
          <w:p>
            <w:pPr>
              <w:bidi w:val="0"/>
              <w:ind w:left="0" w:leftChars="0" w:firstLine="0" w:firstLineChars="0"/>
              <w:rPr>
                <w:color w:val="auto"/>
                <w:highlight w:val="none"/>
              </w:rPr>
            </w:pPr>
          </w:p>
        </w:tc>
      </w:tr>
    </w:tbl>
    <w:p>
      <w:pPr>
        <w:pStyle w:val="14"/>
        <w:keepNext w:val="0"/>
        <w:keepLines w:val="0"/>
        <w:pageBreakBefore w:val="0"/>
        <w:widowControl w:val="0"/>
        <w:kinsoku/>
        <w:wordWrap/>
        <w:overflowPunct/>
        <w:topLinePunct w:val="0"/>
        <w:autoSpaceDE/>
        <w:autoSpaceDN/>
        <w:bidi w:val="0"/>
        <w:adjustRightInd/>
        <w:snapToGrid/>
        <w:spacing w:line="320" w:lineRule="exact"/>
        <w:textAlignment w:val="auto"/>
        <w:rPr>
          <w:color w:val="auto"/>
          <w:highlight w:val="none"/>
        </w:rPr>
        <w:sectPr>
          <w:pgSz w:w="16838" w:h="11906" w:orient="landscape"/>
          <w:pgMar w:top="1417" w:right="1440" w:bottom="124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pPr>
              <w:rPr>
                <w:color w:val="auto"/>
                <w:highlight w:val="none"/>
                <w:vertAlign w:val="baseline"/>
              </w:rPr>
            </w:pPr>
          </w:p>
        </w:tc>
        <w:tc>
          <w:tcPr>
            <w:tcW w:w="8606" w:type="dxa"/>
          </w:tcPr>
          <w:p>
            <w:pPr>
              <w:numPr>
                <w:ilvl w:val="0"/>
                <w:numId w:val="22"/>
              </w:numPr>
              <w:autoSpaceDE w:val="0"/>
              <w:autoSpaceDN w:val="0"/>
              <w:adjustRightInd w:val="0"/>
              <w:spacing w:line="480" w:lineRule="exact"/>
              <w:rPr>
                <w:rFonts w:hint="eastAsia"/>
                <w:color w:val="auto"/>
                <w:sz w:val="24"/>
                <w:highlight w:val="none"/>
                <w:lang w:val="zh-CN"/>
              </w:rPr>
            </w:pPr>
            <w:r>
              <w:rPr>
                <w:rFonts w:hint="eastAsia"/>
                <w:color w:val="auto"/>
                <w:sz w:val="24"/>
                <w:highlight w:val="none"/>
                <w:lang w:val="zh-CN"/>
              </w:rPr>
              <w:t>噪声预测</w:t>
            </w:r>
          </w:p>
          <w:p>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outlineLvl w:val="9"/>
              <w:rPr>
                <w:color w:val="auto"/>
                <w:sz w:val="24"/>
                <w:highlight w:val="none"/>
              </w:rPr>
            </w:pPr>
            <w:r>
              <w:rPr>
                <w:rFonts w:cs="宋体"/>
                <w:color w:val="auto"/>
                <w:sz w:val="24"/>
                <w:highlight w:val="none"/>
              </w:rPr>
              <w:t>预测模</w:t>
            </w:r>
            <w:r>
              <w:rPr>
                <w:rFonts w:hint="eastAsia" w:cs="宋体"/>
                <w:color w:val="auto"/>
                <w:sz w:val="24"/>
                <w:highlight w:val="none"/>
                <w:lang w:val="en-US" w:eastAsia="zh-CN"/>
              </w:rPr>
              <w:t>型</w:t>
            </w:r>
            <w:r>
              <w:rPr>
                <w:rFonts w:cs="宋体"/>
                <w:color w:val="auto"/>
                <w:sz w:val="24"/>
                <w:highlight w:val="none"/>
              </w:rPr>
              <w:t>采用《环境影响评价技术导则</w:t>
            </w:r>
            <w:r>
              <w:rPr>
                <w:rFonts w:hint="eastAsia" w:cs="宋体"/>
                <w:color w:val="auto"/>
                <w:sz w:val="24"/>
                <w:highlight w:val="none"/>
                <w:lang w:val="en-US" w:eastAsia="zh-CN"/>
              </w:rPr>
              <w:t xml:space="preserve"> 声环境</w:t>
            </w:r>
            <w:r>
              <w:rPr>
                <w:rFonts w:cs="宋体"/>
                <w:color w:val="auto"/>
                <w:sz w:val="24"/>
                <w:highlight w:val="none"/>
              </w:rPr>
              <w:t>》（</w:t>
            </w:r>
            <w:r>
              <w:rPr>
                <w:color w:val="auto"/>
                <w:sz w:val="24"/>
                <w:highlight w:val="none"/>
              </w:rPr>
              <w:t>HJ2.4-</w:t>
            </w:r>
            <w:r>
              <w:rPr>
                <w:rFonts w:hint="eastAsia"/>
                <w:color w:val="auto"/>
                <w:sz w:val="24"/>
                <w:highlight w:val="none"/>
                <w:lang w:val="en-US" w:eastAsia="zh-CN"/>
              </w:rPr>
              <w:t>2021</w:t>
            </w:r>
            <w:r>
              <w:rPr>
                <w:rFonts w:cs="宋体"/>
                <w:color w:val="auto"/>
                <w:sz w:val="24"/>
                <w:highlight w:val="none"/>
              </w:rPr>
              <w:t>）中</w:t>
            </w:r>
            <w:r>
              <w:rPr>
                <w:rFonts w:hint="eastAsia" w:cs="宋体"/>
                <w:color w:val="auto"/>
                <w:sz w:val="24"/>
                <w:highlight w:val="none"/>
                <w:lang w:val="en-US" w:eastAsia="zh-CN"/>
              </w:rPr>
              <w:t>附录A和附录B</w:t>
            </w:r>
            <w:r>
              <w:rPr>
                <w:rFonts w:cs="宋体"/>
                <w:color w:val="auto"/>
                <w:sz w:val="24"/>
                <w:highlight w:val="none"/>
              </w:rPr>
              <w:t>推荐的工业噪声预测模</w:t>
            </w:r>
            <w:r>
              <w:rPr>
                <w:rFonts w:hint="eastAsia" w:cs="宋体"/>
                <w:color w:val="auto"/>
                <w:sz w:val="24"/>
                <w:highlight w:val="none"/>
                <w:lang w:val="en-US" w:eastAsia="zh-CN"/>
              </w:rPr>
              <w:t>型</w:t>
            </w:r>
            <w:r>
              <w:rPr>
                <w:rFonts w:cs="宋体"/>
                <w:color w:val="auto"/>
                <w:sz w:val="24"/>
                <w:highlight w:val="none"/>
              </w:rPr>
              <w:t>。预测计算只考虑工程各声源所在厂房围护结构的屏蔽效应和声源至受声点的几何发散衰减，不考虑空气吸收及影响较小的附加衰减。</w:t>
            </w:r>
          </w:p>
          <w:p>
            <w:pPr>
              <w:spacing w:line="480" w:lineRule="exact"/>
              <w:ind w:firstLine="425"/>
              <w:rPr>
                <w:color w:val="auto"/>
                <w:sz w:val="24"/>
                <w:highlight w:val="none"/>
              </w:rPr>
            </w:pPr>
            <w:r>
              <w:rPr>
                <w:rFonts w:cs="宋体"/>
                <w:color w:val="auto"/>
                <w:sz w:val="24"/>
                <w:highlight w:val="none"/>
              </w:rPr>
              <w:t>采用预测模式如下：</w:t>
            </w:r>
          </w:p>
          <w:p>
            <w:pPr>
              <w:spacing w:line="480" w:lineRule="exact"/>
              <w:ind w:firstLine="425"/>
              <w:rPr>
                <w:color w:val="auto"/>
                <w:sz w:val="24"/>
                <w:highlight w:val="none"/>
              </w:rPr>
            </w:pPr>
            <w:r>
              <w:rPr>
                <w:snapToGrid w:val="0"/>
                <w:color w:val="auto"/>
                <w:sz w:val="24"/>
                <w:highlight w:val="none"/>
              </w:rPr>
              <w:fldChar w:fldCharType="begin"/>
            </w:r>
            <w:r>
              <w:rPr>
                <w:snapToGrid w:val="0"/>
                <w:color w:val="auto"/>
                <w:sz w:val="24"/>
                <w:highlight w:val="none"/>
              </w:rPr>
              <w:instrText xml:space="preserve"> = 1 \* GB3 </w:instrText>
            </w:r>
            <w:r>
              <w:rPr>
                <w:snapToGrid w:val="0"/>
                <w:color w:val="auto"/>
                <w:sz w:val="24"/>
                <w:highlight w:val="none"/>
              </w:rPr>
              <w:fldChar w:fldCharType="separate"/>
            </w:r>
            <w:r>
              <w:rPr>
                <w:rFonts w:hint="eastAsia"/>
                <w:snapToGrid w:val="0"/>
                <w:color w:val="auto"/>
                <w:sz w:val="24"/>
                <w:highlight w:val="none"/>
              </w:rPr>
              <w:t>①</w:t>
            </w:r>
            <w:r>
              <w:rPr>
                <w:snapToGrid w:val="0"/>
                <w:color w:val="auto"/>
                <w:sz w:val="24"/>
                <w:highlight w:val="none"/>
              </w:rPr>
              <w:fldChar w:fldCharType="end"/>
            </w:r>
            <w:r>
              <w:rPr>
                <w:rFonts w:cs="宋体"/>
                <w:color w:val="auto"/>
                <w:sz w:val="24"/>
                <w:highlight w:val="none"/>
              </w:rPr>
              <w:t>室内声源等效室外声源声功率级计算</w:t>
            </w:r>
          </w:p>
          <w:p>
            <w:pPr>
              <w:spacing w:line="480" w:lineRule="exact"/>
              <w:ind w:firstLine="3480" w:firstLineChars="1450"/>
              <w:rPr>
                <w:color w:val="auto"/>
                <w:sz w:val="24"/>
                <w:highlight w:val="none"/>
              </w:rPr>
            </w:pPr>
            <w:r>
              <w:rPr>
                <w:color w:val="auto"/>
                <w:sz w:val="24"/>
                <w:highlight w:val="none"/>
              </w:rPr>
              <w:t>L</w:t>
            </w:r>
            <w:r>
              <w:rPr>
                <w:color w:val="auto"/>
                <w:sz w:val="24"/>
                <w:highlight w:val="none"/>
                <w:vertAlign w:val="subscript"/>
              </w:rPr>
              <w:t>P2</w:t>
            </w:r>
            <w:r>
              <w:rPr>
                <w:color w:val="auto"/>
                <w:sz w:val="24"/>
                <w:highlight w:val="none"/>
              </w:rPr>
              <w:t>=L</w:t>
            </w:r>
            <w:r>
              <w:rPr>
                <w:color w:val="auto"/>
                <w:sz w:val="24"/>
                <w:highlight w:val="none"/>
                <w:vertAlign w:val="subscript"/>
              </w:rPr>
              <w:t>P1</w:t>
            </w:r>
            <w:r>
              <w:rPr>
                <w:rFonts w:hint="eastAsia" w:cs="宋体"/>
                <w:color w:val="auto"/>
                <w:sz w:val="24"/>
                <w:highlight w:val="none"/>
                <w:lang w:val="en-US" w:eastAsia="zh-CN"/>
              </w:rPr>
              <w:t>-</w:t>
            </w:r>
            <w:r>
              <w:rPr>
                <w:rFonts w:hint="eastAsia"/>
                <w:color w:val="auto"/>
                <w:sz w:val="24"/>
                <w:highlight w:val="none"/>
              </w:rPr>
              <w:t>（</w:t>
            </w:r>
            <w:r>
              <w:rPr>
                <w:color w:val="auto"/>
                <w:sz w:val="24"/>
                <w:highlight w:val="none"/>
              </w:rPr>
              <w:t>TL+6</w:t>
            </w:r>
            <w:r>
              <w:rPr>
                <w:rFonts w:hint="eastAsia"/>
                <w:color w:val="auto"/>
                <w:sz w:val="24"/>
                <w:highlight w:val="none"/>
              </w:rPr>
              <w:t>）</w:t>
            </w:r>
          </w:p>
          <w:p>
            <w:pPr>
              <w:spacing w:line="480" w:lineRule="exact"/>
              <w:ind w:firstLine="480" w:firstLineChars="200"/>
              <w:rPr>
                <w:color w:val="auto"/>
                <w:sz w:val="24"/>
                <w:highlight w:val="none"/>
              </w:rPr>
            </w:pPr>
            <w:r>
              <w:rPr>
                <w:rFonts w:cs="宋体"/>
                <w:color w:val="auto"/>
                <w:sz w:val="24"/>
                <w:highlight w:val="none"/>
              </w:rPr>
              <w:t>式中：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L</w:t>
            </w:r>
            <w:r>
              <w:rPr>
                <w:color w:val="auto"/>
                <w:sz w:val="24"/>
                <w:highlight w:val="none"/>
                <w:vertAlign w:val="subscript"/>
              </w:rPr>
              <w:t>P1</w:t>
            </w:r>
            <w:r>
              <w:rPr>
                <w:color w:val="auto"/>
                <w:sz w:val="24"/>
                <w:highlight w:val="none"/>
              </w:rPr>
              <w:t>—</w:t>
            </w:r>
            <w:r>
              <w:rPr>
                <w:rFonts w:cs="宋体"/>
                <w:color w:val="auto"/>
                <w:sz w:val="24"/>
                <w:highlight w:val="none"/>
              </w:rPr>
              <w:t>靠近开口处（或窗户）室内某倍频带</w:t>
            </w:r>
            <w:r>
              <w:rPr>
                <w:rFonts w:hint="eastAsia" w:cs="宋体"/>
                <w:color w:val="auto"/>
                <w:sz w:val="24"/>
                <w:highlight w:val="none"/>
                <w:lang w:val="en-US" w:eastAsia="zh-CN"/>
              </w:rPr>
              <w:t>的</w:t>
            </w:r>
            <w:r>
              <w:rPr>
                <w:rFonts w:cs="宋体"/>
                <w:color w:val="auto"/>
                <w:sz w:val="24"/>
                <w:highlight w:val="none"/>
              </w:rPr>
              <w:t>声压级</w:t>
            </w:r>
            <w:r>
              <w:rPr>
                <w:rFonts w:hint="eastAsia" w:cs="宋体"/>
                <w:color w:val="auto"/>
                <w:sz w:val="24"/>
                <w:highlight w:val="none"/>
                <w:lang w:val="en-US" w:eastAsia="zh-CN"/>
              </w:rPr>
              <w:t>或A声级</w:t>
            </w:r>
            <w:r>
              <w:rPr>
                <w:rFonts w:cs="宋体"/>
                <w:color w:val="auto"/>
                <w:sz w:val="24"/>
                <w:highlight w:val="none"/>
              </w:rPr>
              <w:t>，</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L</w:t>
            </w:r>
            <w:r>
              <w:rPr>
                <w:color w:val="auto"/>
                <w:sz w:val="24"/>
                <w:highlight w:val="none"/>
                <w:vertAlign w:val="subscript"/>
              </w:rPr>
              <w:t>P2</w:t>
            </w:r>
            <w:r>
              <w:rPr>
                <w:color w:val="auto"/>
                <w:sz w:val="24"/>
                <w:highlight w:val="none"/>
              </w:rPr>
              <w:t>—</w:t>
            </w:r>
            <w:r>
              <w:rPr>
                <w:rFonts w:cs="宋体"/>
                <w:color w:val="auto"/>
                <w:sz w:val="24"/>
                <w:highlight w:val="none"/>
              </w:rPr>
              <w:t>靠近开口处（或窗户）室外某倍频带</w:t>
            </w:r>
            <w:r>
              <w:rPr>
                <w:rFonts w:hint="eastAsia" w:cs="宋体"/>
                <w:color w:val="auto"/>
                <w:sz w:val="24"/>
                <w:highlight w:val="none"/>
                <w:lang w:val="en-US" w:eastAsia="zh-CN"/>
              </w:rPr>
              <w:t>的</w:t>
            </w:r>
            <w:r>
              <w:rPr>
                <w:rFonts w:cs="宋体"/>
                <w:color w:val="auto"/>
                <w:sz w:val="24"/>
                <w:highlight w:val="none"/>
              </w:rPr>
              <w:t>声压级</w:t>
            </w:r>
            <w:r>
              <w:rPr>
                <w:rFonts w:hint="eastAsia" w:cs="宋体"/>
                <w:color w:val="auto"/>
                <w:sz w:val="24"/>
                <w:highlight w:val="none"/>
                <w:lang w:val="en-US" w:eastAsia="zh-CN"/>
              </w:rPr>
              <w:t>或A声级</w:t>
            </w:r>
            <w:r>
              <w:rPr>
                <w:rFonts w:cs="宋体"/>
                <w:color w:val="auto"/>
                <w:sz w:val="24"/>
                <w:highlight w:val="none"/>
              </w:rPr>
              <w:t>，</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color w:val="auto"/>
                <w:sz w:val="24"/>
                <w:highlight w:val="none"/>
              </w:rPr>
              <w:t>TL—</w:t>
            </w:r>
            <w:r>
              <w:rPr>
                <w:rFonts w:cs="宋体"/>
                <w:color w:val="auto"/>
                <w:sz w:val="24"/>
                <w:highlight w:val="none"/>
              </w:rPr>
              <w:t>隔墙（或窗户）倍频带</w:t>
            </w:r>
            <w:r>
              <w:rPr>
                <w:rFonts w:hint="eastAsia" w:cs="宋体"/>
                <w:color w:val="auto"/>
                <w:sz w:val="24"/>
                <w:highlight w:val="none"/>
                <w:lang w:val="en-US" w:eastAsia="zh-CN"/>
              </w:rPr>
              <w:t>或A声级</w:t>
            </w:r>
            <w:r>
              <w:rPr>
                <w:rFonts w:cs="宋体"/>
                <w:color w:val="auto"/>
                <w:sz w:val="24"/>
                <w:highlight w:val="none"/>
              </w:rPr>
              <w:t>的隔声量，</w:t>
            </w:r>
            <w:r>
              <w:rPr>
                <w:color w:val="auto"/>
                <w:sz w:val="24"/>
                <w:highlight w:val="none"/>
              </w:rPr>
              <w:t>dB</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宋体"/>
                <w:color w:val="auto"/>
                <w:sz w:val="24"/>
                <w:highlight w:val="none"/>
                <w:lang w:eastAsia="zh-CN"/>
              </w:rPr>
            </w:pPr>
            <w:r>
              <w:rPr>
                <w:rFonts w:hint="eastAsia" w:eastAsia="宋体" w:cs="宋体"/>
                <w:color w:val="auto"/>
                <w:position w:val="-24"/>
                <w:sz w:val="24"/>
                <w:highlight w:val="none"/>
                <w:lang w:eastAsia="zh-CN"/>
              </w:rPr>
              <w:object>
                <v:shape id="_x0000_i1028" o:spt="75" type="#_x0000_t75" style="height:31pt;width:168.05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sz w:val="24"/>
                <w:highlight w:val="none"/>
              </w:rPr>
            </w:pPr>
            <w:r>
              <w:rPr>
                <w:rFonts w:cs="宋体"/>
                <w:color w:val="auto"/>
                <w:sz w:val="24"/>
                <w:highlight w:val="none"/>
              </w:rPr>
              <w:t>式中：</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color w:val="auto"/>
                <w:sz w:val="24"/>
                <w:highlight w:val="none"/>
              </w:rPr>
              <w:t>Q—</w:t>
            </w:r>
            <w:r>
              <w:rPr>
                <w:rFonts w:cs="宋体"/>
                <w:color w:val="auto"/>
                <w:sz w:val="24"/>
                <w:highlight w:val="none"/>
              </w:rPr>
              <w:t>指向因数；通常对无指向性声源，当声源放在房间中心时，</w:t>
            </w:r>
            <w:r>
              <w:rPr>
                <w:color w:val="auto"/>
                <w:sz w:val="24"/>
                <w:highlight w:val="none"/>
              </w:rPr>
              <w:t>Q=1</w:t>
            </w:r>
            <w:r>
              <w:rPr>
                <w:rFonts w:cs="宋体"/>
                <w:color w:val="auto"/>
                <w:sz w:val="24"/>
                <w:highlight w:val="none"/>
              </w:rPr>
              <w:t>；当放在一面墙的中心时，</w:t>
            </w:r>
            <w:r>
              <w:rPr>
                <w:color w:val="auto"/>
                <w:sz w:val="24"/>
                <w:highlight w:val="none"/>
              </w:rPr>
              <w:t>Q=2</w:t>
            </w:r>
            <w:r>
              <w:rPr>
                <w:rFonts w:cs="宋体"/>
                <w:color w:val="auto"/>
                <w:sz w:val="24"/>
                <w:highlight w:val="none"/>
              </w:rPr>
              <w:t>；当放在两面墙夹角处时，</w:t>
            </w:r>
            <w:r>
              <w:rPr>
                <w:color w:val="auto"/>
                <w:sz w:val="24"/>
                <w:highlight w:val="none"/>
              </w:rPr>
              <w:t>Q=4</w:t>
            </w:r>
            <w:r>
              <w:rPr>
                <w:rFonts w:cs="宋体"/>
                <w:color w:val="auto"/>
                <w:sz w:val="24"/>
                <w:highlight w:val="none"/>
              </w:rPr>
              <w:t>；当放在三面墙夹角处时，</w:t>
            </w:r>
            <w:r>
              <w:rPr>
                <w:color w:val="auto"/>
                <w:sz w:val="24"/>
                <w:highlight w:val="none"/>
              </w:rPr>
              <w:t>Q=8</w:t>
            </w:r>
            <w:r>
              <w:rPr>
                <w:rFonts w:cs="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rFonts w:hint="default" w:eastAsia="宋体"/>
                <w:color w:val="auto"/>
                <w:sz w:val="24"/>
                <w:highlight w:val="none"/>
                <w:vertAlign w:val="baseline"/>
                <w:lang w:val="en-US" w:eastAsia="zh-CN"/>
              </w:rPr>
            </w:pPr>
            <w:r>
              <w:rPr>
                <w:rFonts w:hint="eastAsia"/>
                <w:color w:val="auto"/>
                <w:sz w:val="24"/>
                <w:highlight w:val="none"/>
                <w:lang w:val="en-US" w:eastAsia="zh-CN"/>
              </w:rPr>
              <w:t>L</w:t>
            </w:r>
            <w:r>
              <w:rPr>
                <w:rFonts w:hint="eastAsia"/>
                <w:color w:val="auto"/>
                <w:sz w:val="24"/>
                <w:highlight w:val="none"/>
                <w:vertAlign w:val="subscript"/>
                <w:lang w:val="en-US" w:eastAsia="zh-CN"/>
              </w:rPr>
              <w:t>w</w:t>
            </w:r>
            <w:r>
              <w:rPr>
                <w:color w:val="auto"/>
                <w:sz w:val="24"/>
                <w:highlight w:val="none"/>
              </w:rPr>
              <w:t>—</w:t>
            </w:r>
            <w:r>
              <w:rPr>
                <w:rFonts w:hint="eastAsia"/>
                <w:color w:val="auto"/>
                <w:sz w:val="24"/>
                <w:highlight w:val="none"/>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color w:val="auto"/>
                <w:sz w:val="24"/>
                <w:highlight w:val="none"/>
              </w:rPr>
              <w:t>R—</w:t>
            </w:r>
            <w:r>
              <w:rPr>
                <w:rFonts w:cs="宋体"/>
                <w:color w:val="auto"/>
                <w:sz w:val="24"/>
                <w:highlight w:val="none"/>
              </w:rPr>
              <w:t>房间常数，</w:t>
            </w:r>
            <w:r>
              <w:rPr>
                <w:color w:val="auto"/>
                <w:sz w:val="24"/>
                <w:highlight w:val="none"/>
              </w:rPr>
              <w:t>R=Sα</w:t>
            </w:r>
            <w:r>
              <w:rPr>
                <w:rFonts w:hint="eastAsia"/>
                <w:color w:val="auto"/>
                <w:sz w:val="24"/>
                <w:highlight w:val="none"/>
                <w:lang w:val="en-US" w:eastAsia="zh-CN"/>
              </w:rPr>
              <w:t>/</w:t>
            </w:r>
            <w:r>
              <w:rPr>
                <w:rFonts w:cs="宋体"/>
                <w:color w:val="auto"/>
                <w:sz w:val="24"/>
                <w:highlight w:val="none"/>
              </w:rPr>
              <w:t>（</w:t>
            </w:r>
            <w:r>
              <w:rPr>
                <w:color w:val="auto"/>
                <w:sz w:val="24"/>
                <w:highlight w:val="none"/>
              </w:rPr>
              <w:t>1</w:t>
            </w:r>
            <w:r>
              <w:rPr>
                <w:rFonts w:hint="eastAsia" w:cs="宋体"/>
                <w:color w:val="auto"/>
                <w:sz w:val="24"/>
                <w:highlight w:val="none"/>
                <w:lang w:val="en-US" w:eastAsia="zh-CN"/>
              </w:rPr>
              <w:t>-</w:t>
            </w:r>
            <w:r>
              <w:rPr>
                <w:color w:val="auto"/>
                <w:sz w:val="24"/>
                <w:highlight w:val="none"/>
              </w:rPr>
              <w:t>α</w:t>
            </w:r>
            <w:r>
              <w:rPr>
                <w:rFonts w:cs="宋体"/>
                <w:color w:val="auto"/>
                <w:sz w:val="24"/>
                <w:highlight w:val="none"/>
              </w:rPr>
              <w:t>），</w:t>
            </w:r>
            <w:r>
              <w:rPr>
                <w:color w:val="auto"/>
                <w:sz w:val="24"/>
                <w:highlight w:val="none"/>
              </w:rPr>
              <w:t>S</w:t>
            </w:r>
            <w:r>
              <w:rPr>
                <w:rFonts w:cs="宋体"/>
                <w:color w:val="auto"/>
                <w:sz w:val="24"/>
                <w:highlight w:val="none"/>
              </w:rPr>
              <w:t>为房间内表面面积，</w:t>
            </w:r>
            <w:r>
              <w:rPr>
                <w:color w:val="auto"/>
                <w:sz w:val="24"/>
                <w:highlight w:val="none"/>
              </w:rPr>
              <w:t>m</w:t>
            </w:r>
            <w:r>
              <w:rPr>
                <w:color w:val="auto"/>
                <w:sz w:val="24"/>
                <w:highlight w:val="none"/>
                <w:vertAlign w:val="superscript"/>
              </w:rPr>
              <w:t>2</w:t>
            </w:r>
            <w:r>
              <w:rPr>
                <w:rFonts w:cs="宋体"/>
                <w:color w:val="auto"/>
                <w:sz w:val="24"/>
                <w:highlight w:val="none"/>
              </w:rPr>
              <w:t>；</w:t>
            </w:r>
            <w:r>
              <w:rPr>
                <w:color w:val="auto"/>
                <w:sz w:val="24"/>
                <w:highlight w:val="none"/>
              </w:rPr>
              <w:t>α</w:t>
            </w:r>
            <w:r>
              <w:rPr>
                <w:rFonts w:cs="宋体"/>
                <w:color w:val="auto"/>
                <w:sz w:val="24"/>
                <w:highlight w:val="none"/>
              </w:rPr>
              <w:t>为平均吸声系数。</w:t>
            </w:r>
          </w:p>
          <w:p>
            <w:pPr>
              <w:keepNext w:val="0"/>
              <w:keepLines w:val="0"/>
              <w:pageBreakBefore w:val="0"/>
              <w:widowControl w:val="0"/>
              <w:kinsoku/>
              <w:wordWrap/>
              <w:overflowPunct/>
              <w:topLinePunct w:val="0"/>
              <w:autoSpaceDE/>
              <w:autoSpaceDN/>
              <w:bidi w:val="0"/>
              <w:adjustRightInd/>
              <w:snapToGrid/>
              <w:spacing w:line="480" w:lineRule="atLeast"/>
              <w:ind w:firstLine="480" w:firstLineChars="200"/>
              <w:textAlignment w:val="auto"/>
              <w:rPr>
                <w:color w:val="auto"/>
                <w:sz w:val="24"/>
                <w:highlight w:val="none"/>
              </w:rPr>
            </w:pPr>
            <w:r>
              <w:rPr>
                <w:rFonts w:hint="eastAsia"/>
                <w:color w:val="auto"/>
                <w:sz w:val="24"/>
                <w:highlight w:val="none"/>
                <w:lang w:val="en-US" w:eastAsia="zh-CN"/>
              </w:rPr>
              <w:t>r</w:t>
            </w:r>
            <w:r>
              <w:rPr>
                <w:color w:val="auto"/>
                <w:sz w:val="24"/>
                <w:highlight w:val="none"/>
              </w:rPr>
              <w:t>—</w:t>
            </w:r>
            <w:r>
              <w:rPr>
                <w:rFonts w:cs="宋体"/>
                <w:color w:val="auto"/>
                <w:sz w:val="24"/>
                <w:highlight w:val="none"/>
              </w:rPr>
              <w:t>声源到靠近围护结构某点处的距离，</w:t>
            </w:r>
            <w:r>
              <w:rPr>
                <w:color w:val="auto"/>
                <w:sz w:val="24"/>
                <w:highlight w:val="none"/>
              </w:rPr>
              <w:t>m</w:t>
            </w:r>
            <w:r>
              <w:rPr>
                <w:rFonts w:cs="宋体"/>
                <w:color w:val="auto"/>
                <w:sz w:val="24"/>
                <w:highlight w:val="none"/>
              </w:rPr>
              <w:t>。</w:t>
            </w:r>
          </w:p>
          <w:p>
            <w:pPr>
              <w:pStyle w:val="31"/>
              <w:spacing w:before="0" w:after="0"/>
              <w:ind w:firstLineChars="200"/>
              <w:rPr>
                <w:color w:val="auto"/>
                <w:kern w:val="0"/>
                <w:highlight w:val="none"/>
              </w:rPr>
            </w:pPr>
            <w:r>
              <w:rPr>
                <w:rFonts w:cs="宋体"/>
                <w:color w:val="auto"/>
                <w:kern w:val="0"/>
                <w:highlight w:val="none"/>
              </w:rPr>
              <w:t>②声级计算</w:t>
            </w:r>
          </w:p>
          <w:p>
            <w:pPr>
              <w:pStyle w:val="31"/>
              <w:spacing w:before="0" w:after="0"/>
              <w:ind w:firstLineChars="200"/>
              <w:rPr>
                <w:color w:val="auto"/>
                <w:kern w:val="0"/>
                <w:highlight w:val="none"/>
              </w:rPr>
            </w:pPr>
            <w:r>
              <w:rPr>
                <w:rFonts w:cs="宋体"/>
                <w:color w:val="auto"/>
                <w:kern w:val="0"/>
                <w:highlight w:val="none"/>
              </w:rPr>
              <w:t>建设项目声源在预测点产生的等效声级贡献值</w:t>
            </w:r>
            <w:r>
              <w:rPr>
                <w:rFonts w:hint="eastAsia"/>
                <w:color w:val="auto"/>
                <w:kern w:val="0"/>
                <w:highlight w:val="none"/>
              </w:rPr>
              <w:t>（</w:t>
            </w:r>
            <w:r>
              <w:rPr>
                <w:color w:val="auto"/>
                <w:kern w:val="0"/>
                <w:highlight w:val="none"/>
              </w:rPr>
              <w:t>L</w:t>
            </w:r>
            <w:r>
              <w:rPr>
                <w:i/>
                <w:iCs/>
                <w:color w:val="auto"/>
                <w:kern w:val="0"/>
                <w:highlight w:val="none"/>
              </w:rPr>
              <w:t>eqg</w:t>
            </w:r>
            <w:r>
              <w:rPr>
                <w:rFonts w:hint="eastAsia"/>
                <w:color w:val="auto"/>
                <w:kern w:val="0"/>
                <w:highlight w:val="none"/>
              </w:rPr>
              <w:t>）</w:t>
            </w:r>
            <w:r>
              <w:rPr>
                <w:rFonts w:cs="宋体"/>
                <w:color w:val="auto"/>
                <w:kern w:val="0"/>
                <w:highlight w:val="none"/>
              </w:rPr>
              <w:t>计算公式：</w:t>
            </w:r>
          </w:p>
          <w:p>
            <w:pPr>
              <w:pStyle w:val="31"/>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cs="宋体"/>
                <w:color w:val="auto"/>
                <w:kern w:val="0"/>
                <w:highlight w:val="none"/>
              </w:rPr>
            </w:pPr>
            <w:r>
              <w:rPr>
                <w:color w:val="auto"/>
                <w:kern w:val="0"/>
                <w:position w:val="-36"/>
                <w:highlight w:val="none"/>
              </w:rPr>
              <w:object>
                <v:shape id="_x0000_i1029" o:spt="75" type="#_x0000_t75" style="height:42.2pt;width:205.35pt;" o:ole="t" filled="f" o:preferrelative="f" stroked="f" coordsize="21600,21600">
                  <v:path/>
                  <v:fill on="f" focussize="0,0"/>
                  <v:stroke on="f"/>
                  <v:imagedata r:id="rId25" o:title=""/>
                  <o:lock v:ext="edit" rotation="t" aspectratio="f"/>
                  <w10:wrap type="none"/>
                  <w10:anchorlock/>
                </v:shape>
                <o:OLEObject Type="Embed" ProgID="Equation.3" ShapeID="_x0000_i1029" DrawAspect="Content" ObjectID="_1468075729" r:id="rId24">
                  <o:LockedField>false</o:LockedField>
                </o:OLEObject>
              </w:object>
            </w:r>
          </w:p>
          <w:p>
            <w:pPr>
              <w:pStyle w:val="31"/>
              <w:spacing w:before="0" w:after="0" w:line="480" w:lineRule="exact"/>
              <w:ind w:firstLineChars="200"/>
              <w:rPr>
                <w:color w:val="auto"/>
                <w:kern w:val="0"/>
                <w:highlight w:val="none"/>
              </w:rPr>
            </w:pPr>
            <w:r>
              <w:rPr>
                <w:rFonts w:cs="宋体"/>
                <w:color w:val="auto"/>
                <w:kern w:val="0"/>
                <w:highlight w:val="none"/>
              </w:rPr>
              <w:t>式中：</w:t>
            </w:r>
          </w:p>
          <w:p>
            <w:pPr>
              <w:pStyle w:val="31"/>
              <w:spacing w:before="0" w:after="0" w:line="480" w:lineRule="exact"/>
              <w:ind w:firstLine="425"/>
              <w:rPr>
                <w:color w:val="auto"/>
                <w:kern w:val="0"/>
                <w:highlight w:val="none"/>
              </w:rPr>
            </w:pPr>
            <w:r>
              <w:rPr>
                <w:i/>
                <w:iCs/>
                <w:color w:val="auto"/>
                <w:kern w:val="0"/>
                <w:highlight w:val="none"/>
              </w:rPr>
              <w:t>L</w:t>
            </w:r>
            <w:r>
              <w:rPr>
                <w:i/>
                <w:iCs/>
                <w:color w:val="auto"/>
                <w:kern w:val="0"/>
                <w:highlight w:val="none"/>
                <w:vertAlign w:val="subscript"/>
              </w:rPr>
              <w:t>eqg</w:t>
            </w:r>
            <w:r>
              <w:rPr>
                <w:color w:val="auto"/>
                <w:kern w:val="0"/>
                <w:highlight w:val="none"/>
              </w:rPr>
              <w:t>—</w:t>
            </w:r>
            <w:r>
              <w:rPr>
                <w:rFonts w:cs="宋体"/>
                <w:color w:val="auto"/>
                <w:kern w:val="0"/>
                <w:highlight w:val="none"/>
              </w:rPr>
              <w:t>建设项目声源在预测点</w:t>
            </w:r>
            <w:r>
              <w:rPr>
                <w:rFonts w:hint="eastAsia" w:cs="宋体"/>
                <w:color w:val="auto"/>
                <w:kern w:val="0"/>
                <w:highlight w:val="none"/>
                <w:lang w:val="en-US" w:eastAsia="zh-CN"/>
              </w:rPr>
              <w:t>产生的噪声</w:t>
            </w:r>
            <w:r>
              <w:rPr>
                <w:rFonts w:cs="宋体"/>
                <w:color w:val="auto"/>
                <w:kern w:val="0"/>
                <w:highlight w:val="none"/>
              </w:rPr>
              <w:t>贡献值，</w:t>
            </w:r>
            <w:r>
              <w:rPr>
                <w:color w:val="auto"/>
                <w:kern w:val="0"/>
                <w:highlight w:val="none"/>
              </w:rPr>
              <w:t>dB</w:t>
            </w:r>
            <w:r>
              <w:rPr>
                <w:rFonts w:cs="宋体"/>
                <w:color w:val="auto"/>
                <w:kern w:val="0"/>
                <w:highlight w:val="none"/>
              </w:rPr>
              <w:t>；</w:t>
            </w:r>
          </w:p>
          <w:p>
            <w:pPr>
              <w:pStyle w:val="31"/>
              <w:spacing w:before="0" w:after="0" w:line="480" w:lineRule="exact"/>
              <w:ind w:firstLine="425"/>
              <w:rPr>
                <w:rFonts w:hint="eastAsia"/>
                <w:color w:val="auto"/>
                <w:kern w:val="0"/>
                <w:highlight w:val="none"/>
                <w:lang w:val="en-US" w:eastAsia="zh-CN"/>
              </w:rPr>
            </w:pPr>
            <w:r>
              <w:rPr>
                <w:rFonts w:hint="eastAsia"/>
                <w:i/>
                <w:iCs/>
                <w:color w:val="auto"/>
                <w:kern w:val="0"/>
                <w:highlight w:val="none"/>
                <w:lang w:val="en-US" w:eastAsia="zh-CN"/>
              </w:rPr>
              <w:t>T</w:t>
            </w:r>
            <w:r>
              <w:rPr>
                <w:color w:val="auto"/>
                <w:kern w:val="0"/>
                <w:highlight w:val="none"/>
              </w:rPr>
              <w:t>—</w:t>
            </w:r>
            <w:r>
              <w:rPr>
                <w:rFonts w:hint="eastAsia"/>
                <w:color w:val="auto"/>
                <w:kern w:val="0"/>
                <w:highlight w:val="none"/>
                <w:lang w:val="en-US" w:eastAsia="zh-CN"/>
              </w:rPr>
              <w:t>用于计算等效声级的时间，s；</w:t>
            </w:r>
          </w:p>
          <w:p>
            <w:pPr>
              <w:rPr>
                <w:rFonts w:hint="eastAsia"/>
                <w:color w:val="auto"/>
                <w:kern w:val="0"/>
                <w:highlight w:val="none"/>
                <w:lang w:val="en-US" w:eastAsia="zh-CN"/>
              </w:rPr>
            </w:pPr>
            <w:r>
              <w:rPr>
                <w:rFonts w:hint="eastAsia"/>
                <w:color w:val="auto"/>
                <w:kern w:val="0"/>
                <w:highlight w:val="none"/>
                <w:lang w:val="en-US" w:eastAsia="zh-CN"/>
              </w:rPr>
              <w:t>N</w:t>
            </w:r>
            <w:r>
              <w:rPr>
                <w:color w:val="auto"/>
                <w:kern w:val="0"/>
                <w:highlight w:val="none"/>
              </w:rPr>
              <w:t>—</w:t>
            </w:r>
            <w:r>
              <w:rPr>
                <w:rFonts w:hint="eastAsia"/>
                <w:color w:val="auto"/>
                <w:kern w:val="0"/>
                <w:highlight w:val="none"/>
                <w:lang w:val="en-US" w:eastAsia="zh-CN"/>
              </w:rPr>
              <w:t>室外声源个数；</w:t>
            </w:r>
          </w:p>
          <w:p>
            <w:pPr>
              <w:pStyle w:val="31"/>
              <w:spacing w:before="0" w:after="0" w:line="480" w:lineRule="exact"/>
              <w:ind w:firstLineChars="200"/>
              <w:rPr>
                <w:rFonts w:hint="eastAsia"/>
                <w:color w:val="auto"/>
                <w:kern w:val="0"/>
                <w:highlight w:val="none"/>
                <w:lang w:eastAsia="zh-CN"/>
              </w:rPr>
            </w:pPr>
            <w:r>
              <w:rPr>
                <w:color w:val="auto"/>
                <w:kern w:val="0"/>
                <w:highlight w:val="none"/>
              </w:rPr>
              <w:t>t</w:t>
            </w:r>
            <w:r>
              <w:rPr>
                <w:color w:val="auto"/>
                <w:kern w:val="0"/>
                <w:highlight w:val="none"/>
                <w:vertAlign w:val="subscript"/>
              </w:rPr>
              <w:t>i</w:t>
            </w:r>
            <w:r>
              <w:rPr>
                <w:color w:val="auto"/>
                <w:kern w:val="0"/>
                <w:highlight w:val="none"/>
              </w:rPr>
              <w:t xml:space="preserve">— </w:t>
            </w:r>
            <w:r>
              <w:rPr>
                <w:rFonts w:cs="宋体"/>
                <w:color w:val="auto"/>
                <w:kern w:val="0"/>
                <w:highlight w:val="none"/>
              </w:rPr>
              <w:t>在</w:t>
            </w:r>
            <w:r>
              <w:rPr>
                <w:color w:val="auto"/>
                <w:kern w:val="0"/>
                <w:highlight w:val="none"/>
              </w:rPr>
              <w:t>T</w:t>
            </w:r>
            <w:r>
              <w:rPr>
                <w:rFonts w:hint="eastAsia"/>
                <w:color w:val="auto"/>
                <w:kern w:val="0"/>
                <w:highlight w:val="none"/>
                <w:lang w:val="en-US" w:eastAsia="zh-CN"/>
              </w:rPr>
              <w:t>时间内i声源工作</w:t>
            </w:r>
            <w:r>
              <w:rPr>
                <w:rFonts w:cs="宋体"/>
                <w:color w:val="auto"/>
                <w:kern w:val="0"/>
                <w:highlight w:val="none"/>
              </w:rPr>
              <w:t>时间，</w:t>
            </w:r>
            <w:r>
              <w:rPr>
                <w:color w:val="auto"/>
                <w:kern w:val="0"/>
                <w:highlight w:val="none"/>
              </w:rPr>
              <w:t>s</w:t>
            </w:r>
            <w:r>
              <w:rPr>
                <w:rFonts w:hint="eastAsia"/>
                <w:color w:val="auto"/>
                <w:kern w:val="0"/>
                <w:highlight w:val="none"/>
                <w:lang w:eastAsia="zh-CN"/>
              </w:rPr>
              <w:t>；</w:t>
            </w:r>
          </w:p>
          <w:p>
            <w:pPr>
              <w:pStyle w:val="31"/>
              <w:spacing w:before="0" w:after="0" w:line="480" w:lineRule="exact"/>
              <w:ind w:firstLineChars="200"/>
              <w:rPr>
                <w:rFonts w:hint="eastAsia"/>
                <w:color w:val="auto"/>
                <w:kern w:val="0"/>
                <w:highlight w:val="none"/>
                <w:lang w:val="en-US" w:eastAsia="zh-CN"/>
              </w:rPr>
            </w:pPr>
            <w:r>
              <w:rPr>
                <w:rFonts w:hint="eastAsia"/>
                <w:color w:val="auto"/>
                <w:kern w:val="0"/>
                <w:highlight w:val="none"/>
                <w:lang w:val="en-US" w:eastAsia="zh-CN"/>
              </w:rPr>
              <w:t>M</w:t>
            </w:r>
            <w:r>
              <w:rPr>
                <w:color w:val="auto"/>
                <w:kern w:val="0"/>
                <w:highlight w:val="none"/>
              </w:rPr>
              <w:t>—</w:t>
            </w:r>
            <w:r>
              <w:rPr>
                <w:rFonts w:hint="eastAsia"/>
                <w:color w:val="auto"/>
                <w:kern w:val="0"/>
                <w:highlight w:val="none"/>
                <w:lang w:val="en-US" w:eastAsia="zh-CN"/>
              </w:rPr>
              <w:t>等效室外声源个数；</w:t>
            </w:r>
          </w:p>
          <w:p>
            <w:pPr>
              <w:pStyle w:val="31"/>
              <w:spacing w:before="0" w:after="0" w:line="480" w:lineRule="exact"/>
              <w:ind w:firstLineChars="200"/>
              <w:rPr>
                <w:color w:val="auto"/>
                <w:kern w:val="0"/>
                <w:highlight w:val="none"/>
              </w:rPr>
            </w:pPr>
            <w:r>
              <w:rPr>
                <w:color w:val="auto"/>
                <w:kern w:val="0"/>
                <w:highlight w:val="none"/>
              </w:rPr>
              <w:t>t</w:t>
            </w:r>
            <w:r>
              <w:rPr>
                <w:rFonts w:hint="eastAsia"/>
                <w:color w:val="auto"/>
                <w:kern w:val="0"/>
                <w:highlight w:val="none"/>
                <w:vertAlign w:val="subscript"/>
                <w:lang w:val="en-US" w:eastAsia="zh-CN"/>
              </w:rPr>
              <w:t>j</w:t>
            </w:r>
            <w:r>
              <w:rPr>
                <w:color w:val="auto"/>
                <w:kern w:val="0"/>
                <w:highlight w:val="none"/>
              </w:rPr>
              <w:t>—</w:t>
            </w:r>
            <w:r>
              <w:rPr>
                <w:rFonts w:cs="宋体"/>
                <w:color w:val="auto"/>
                <w:kern w:val="0"/>
                <w:highlight w:val="none"/>
              </w:rPr>
              <w:t>在</w:t>
            </w:r>
            <w:r>
              <w:rPr>
                <w:color w:val="auto"/>
                <w:kern w:val="0"/>
                <w:highlight w:val="none"/>
              </w:rPr>
              <w:t>T</w:t>
            </w:r>
            <w:r>
              <w:rPr>
                <w:rFonts w:hint="eastAsia"/>
                <w:color w:val="auto"/>
                <w:kern w:val="0"/>
                <w:highlight w:val="none"/>
                <w:lang w:val="en-US" w:eastAsia="zh-CN"/>
              </w:rPr>
              <w:t>时间内j声源工作</w:t>
            </w:r>
            <w:r>
              <w:rPr>
                <w:rFonts w:cs="宋体"/>
                <w:color w:val="auto"/>
                <w:kern w:val="0"/>
                <w:highlight w:val="none"/>
              </w:rPr>
              <w:t>时间，</w:t>
            </w:r>
            <w:r>
              <w:rPr>
                <w:color w:val="auto"/>
                <w:kern w:val="0"/>
                <w:highlight w:val="none"/>
              </w:rPr>
              <w:t>s</w:t>
            </w:r>
            <w:r>
              <w:rPr>
                <w:rFonts w:cs="宋体"/>
                <w:color w:val="auto"/>
                <w:kern w:val="0"/>
                <w:highlight w:val="none"/>
              </w:rPr>
              <w:t>。</w:t>
            </w:r>
          </w:p>
          <w:p>
            <w:pPr>
              <w:pStyle w:val="31"/>
              <w:spacing w:before="0" w:after="0" w:line="480" w:lineRule="exact"/>
              <w:ind w:firstLineChars="200"/>
              <w:rPr>
                <w:color w:val="auto"/>
                <w:kern w:val="0"/>
                <w:highlight w:val="none"/>
              </w:rPr>
            </w:pPr>
            <w:r>
              <w:rPr>
                <w:rFonts w:cs="宋体"/>
                <w:color w:val="auto"/>
                <w:kern w:val="0"/>
                <w:highlight w:val="none"/>
              </w:rPr>
              <w:t>③预测点的预测等效声级</w:t>
            </w:r>
            <w:r>
              <w:rPr>
                <w:rFonts w:hint="eastAsia"/>
                <w:color w:val="auto"/>
                <w:kern w:val="0"/>
                <w:highlight w:val="none"/>
              </w:rPr>
              <w:t>（</w:t>
            </w:r>
            <w:r>
              <w:rPr>
                <w:color w:val="auto"/>
                <w:kern w:val="0"/>
                <w:highlight w:val="none"/>
              </w:rPr>
              <w:t>Leq</w:t>
            </w:r>
            <w:r>
              <w:rPr>
                <w:rFonts w:hint="eastAsia"/>
                <w:color w:val="auto"/>
                <w:kern w:val="0"/>
                <w:highlight w:val="none"/>
              </w:rPr>
              <w:t>）</w:t>
            </w:r>
            <w:r>
              <w:rPr>
                <w:rFonts w:cs="宋体"/>
                <w:color w:val="auto"/>
                <w:kern w:val="0"/>
                <w:highlight w:val="none"/>
              </w:rPr>
              <w:t>计算公式</w:t>
            </w:r>
          </w:p>
          <w:p>
            <w:pPr>
              <w:pStyle w:val="31"/>
              <w:keepNext w:val="0"/>
              <w:keepLines w:val="0"/>
              <w:pageBreakBefore w:val="0"/>
              <w:widowControl w:val="0"/>
              <w:kinsoku/>
              <w:wordWrap/>
              <w:overflowPunct/>
              <w:topLinePunct w:val="0"/>
              <w:autoSpaceDE/>
              <w:autoSpaceDN/>
              <w:bidi w:val="0"/>
              <w:adjustRightInd/>
              <w:snapToGrid/>
              <w:spacing w:before="0" w:after="0"/>
              <w:ind w:firstLine="0" w:firstLineChars="0"/>
              <w:jc w:val="center"/>
              <w:textAlignment w:val="auto"/>
              <w:rPr>
                <w:rFonts w:hint="eastAsia" w:eastAsia="宋体"/>
                <w:color w:val="auto"/>
                <w:kern w:val="0"/>
                <w:highlight w:val="none"/>
                <w:lang w:eastAsia="zh-CN"/>
              </w:rPr>
            </w:pPr>
            <w:r>
              <w:rPr>
                <w:rFonts w:hint="eastAsia" w:eastAsia="宋体"/>
                <w:color w:val="auto"/>
                <w:kern w:val="0"/>
                <w:position w:val="-14"/>
                <w:highlight w:val="none"/>
                <w:lang w:eastAsia="zh-CN"/>
              </w:rPr>
              <w:object>
                <v:shape id="_x0000_i1030" o:spt="75" type="#_x0000_t75" style="height:23pt;width:136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pPr>
              <w:pStyle w:val="31"/>
              <w:spacing w:before="0" w:after="0" w:line="480" w:lineRule="exact"/>
              <w:ind w:firstLineChars="200"/>
              <w:rPr>
                <w:color w:val="auto"/>
                <w:kern w:val="0"/>
                <w:highlight w:val="none"/>
              </w:rPr>
            </w:pPr>
            <w:r>
              <w:rPr>
                <w:rFonts w:cs="宋体"/>
                <w:color w:val="auto"/>
                <w:kern w:val="0"/>
                <w:highlight w:val="none"/>
              </w:rPr>
              <w:t>式中：</w:t>
            </w:r>
          </w:p>
          <w:p>
            <w:pPr>
              <w:pStyle w:val="31"/>
              <w:spacing w:before="0" w:after="0" w:line="480" w:lineRule="exact"/>
              <w:ind w:firstLine="425"/>
              <w:rPr>
                <w:color w:val="auto"/>
                <w:kern w:val="0"/>
                <w:highlight w:val="none"/>
              </w:rPr>
            </w:pPr>
            <w:r>
              <w:rPr>
                <w:i/>
                <w:iCs/>
                <w:color w:val="auto"/>
                <w:kern w:val="0"/>
                <w:highlight w:val="none"/>
              </w:rPr>
              <w:t>L</w:t>
            </w:r>
            <w:r>
              <w:rPr>
                <w:i/>
                <w:iCs/>
                <w:color w:val="auto"/>
                <w:kern w:val="0"/>
                <w:highlight w:val="none"/>
                <w:vertAlign w:val="subscript"/>
              </w:rPr>
              <w:t>eq</w:t>
            </w:r>
            <w:r>
              <w:rPr>
                <w:color w:val="auto"/>
                <w:kern w:val="0"/>
                <w:highlight w:val="none"/>
              </w:rPr>
              <w:t>—</w:t>
            </w:r>
            <w:r>
              <w:rPr>
                <w:rFonts w:hint="eastAsia" w:cs="宋体"/>
                <w:color w:val="auto"/>
                <w:kern w:val="0"/>
                <w:highlight w:val="none"/>
                <w:lang w:val="en-US" w:eastAsia="zh-CN"/>
              </w:rPr>
              <w:t>预测点的噪声预测值</w:t>
            </w:r>
            <w:r>
              <w:rPr>
                <w:rFonts w:cs="宋体"/>
                <w:color w:val="auto"/>
                <w:kern w:val="0"/>
                <w:highlight w:val="none"/>
              </w:rPr>
              <w:t>，</w:t>
            </w:r>
            <w:r>
              <w:rPr>
                <w:color w:val="auto"/>
                <w:kern w:val="0"/>
                <w:highlight w:val="none"/>
              </w:rPr>
              <w:t>dB</w:t>
            </w:r>
            <w:r>
              <w:rPr>
                <w:rFonts w:cs="宋体"/>
                <w:color w:val="auto"/>
                <w:kern w:val="0"/>
                <w:highlight w:val="none"/>
              </w:rPr>
              <w:t>；</w:t>
            </w:r>
          </w:p>
          <w:p>
            <w:pPr>
              <w:pStyle w:val="31"/>
              <w:spacing w:before="0" w:after="0" w:line="480" w:lineRule="exact"/>
              <w:ind w:firstLineChars="200"/>
              <w:rPr>
                <w:rFonts w:hint="eastAsia" w:eastAsia="宋体"/>
                <w:color w:val="auto"/>
                <w:kern w:val="0"/>
                <w:highlight w:val="none"/>
                <w:lang w:eastAsia="zh-CN"/>
              </w:rPr>
            </w:pPr>
            <w:r>
              <w:rPr>
                <w:rFonts w:hint="eastAsia"/>
                <w:color w:val="auto"/>
                <w:kern w:val="0"/>
                <w:highlight w:val="none"/>
                <w:lang w:val="en-US" w:eastAsia="zh-CN"/>
              </w:rPr>
              <w:t>L</w:t>
            </w:r>
            <w:r>
              <w:rPr>
                <w:rFonts w:hint="eastAsia"/>
                <w:color w:val="auto"/>
                <w:kern w:val="0"/>
                <w:highlight w:val="none"/>
                <w:vertAlign w:val="subscript"/>
                <w:lang w:val="en-US" w:eastAsia="zh-CN"/>
              </w:rPr>
              <w:t>eqb</w:t>
            </w:r>
            <w:r>
              <w:rPr>
                <w:color w:val="auto"/>
                <w:kern w:val="0"/>
                <w:highlight w:val="none"/>
              </w:rPr>
              <w:t>—</w:t>
            </w:r>
            <w:r>
              <w:rPr>
                <w:rFonts w:hint="eastAsia"/>
                <w:color w:val="auto"/>
                <w:kern w:val="0"/>
                <w:highlight w:val="none"/>
                <w:lang w:val="en-US" w:eastAsia="zh-CN"/>
              </w:rPr>
              <w:t>预测点的背景噪声值，</w:t>
            </w:r>
            <w:r>
              <w:rPr>
                <w:color w:val="auto"/>
                <w:kern w:val="0"/>
                <w:highlight w:val="none"/>
              </w:rPr>
              <w:t>dB</w:t>
            </w:r>
            <w:r>
              <w:rPr>
                <w:rFonts w:hint="eastAsia"/>
                <w:color w:val="auto"/>
                <w:kern w:val="0"/>
                <w:highlight w:val="none"/>
                <w:lang w:eastAsia="zh-CN"/>
              </w:rPr>
              <w:t>。</w:t>
            </w:r>
          </w:p>
          <w:p>
            <w:pPr>
              <w:pStyle w:val="31"/>
              <w:spacing w:before="0" w:after="0" w:line="480" w:lineRule="exact"/>
              <w:ind w:firstLine="425"/>
              <w:rPr>
                <w:color w:val="auto"/>
                <w:kern w:val="0"/>
                <w:highlight w:val="none"/>
              </w:rPr>
            </w:pPr>
            <w:r>
              <w:rPr>
                <w:rFonts w:cs="宋体"/>
                <w:color w:val="auto"/>
                <w:kern w:val="0"/>
                <w:highlight w:val="none"/>
              </w:rPr>
              <w:t>④户外声传播衰减计算</w:t>
            </w:r>
          </w:p>
          <w:p>
            <w:pPr>
              <w:pStyle w:val="31"/>
              <w:spacing w:before="0" w:after="0" w:line="480" w:lineRule="exact"/>
              <w:ind w:firstLine="425"/>
              <w:rPr>
                <w:color w:val="auto"/>
                <w:kern w:val="0"/>
                <w:highlight w:val="none"/>
              </w:rPr>
            </w:pPr>
            <w:r>
              <w:rPr>
                <w:rFonts w:cs="宋体"/>
                <w:color w:val="auto"/>
                <w:kern w:val="0"/>
                <w:highlight w:val="none"/>
              </w:rPr>
              <w:t>户外声传播衰减包括几何发散（</w:t>
            </w:r>
            <w:r>
              <w:rPr>
                <w:color w:val="auto"/>
                <w:kern w:val="0"/>
                <w:highlight w:val="none"/>
              </w:rPr>
              <w:t>A</w:t>
            </w:r>
            <w:r>
              <w:rPr>
                <w:color w:val="auto"/>
                <w:kern w:val="0"/>
                <w:highlight w:val="none"/>
                <w:vertAlign w:val="subscript"/>
              </w:rPr>
              <w:t>div</w:t>
            </w:r>
            <w:r>
              <w:rPr>
                <w:rFonts w:cs="宋体"/>
                <w:color w:val="auto"/>
                <w:kern w:val="0"/>
                <w:highlight w:val="none"/>
              </w:rPr>
              <w:t>）、大气吸收（</w:t>
            </w:r>
            <w:r>
              <w:rPr>
                <w:color w:val="auto"/>
                <w:kern w:val="0"/>
                <w:highlight w:val="none"/>
              </w:rPr>
              <w:t>A</w:t>
            </w:r>
            <w:r>
              <w:rPr>
                <w:color w:val="auto"/>
                <w:kern w:val="0"/>
                <w:highlight w:val="none"/>
                <w:vertAlign w:val="subscript"/>
              </w:rPr>
              <w:t>atm</w:t>
            </w:r>
            <w:r>
              <w:rPr>
                <w:rFonts w:cs="宋体"/>
                <w:color w:val="auto"/>
                <w:kern w:val="0"/>
                <w:highlight w:val="none"/>
              </w:rPr>
              <w:t>）、地面效应（</w:t>
            </w:r>
            <w:r>
              <w:rPr>
                <w:color w:val="auto"/>
                <w:kern w:val="0"/>
                <w:highlight w:val="none"/>
              </w:rPr>
              <w:t>A</w:t>
            </w:r>
            <w:r>
              <w:rPr>
                <w:color w:val="auto"/>
                <w:kern w:val="0"/>
                <w:highlight w:val="none"/>
                <w:vertAlign w:val="subscript"/>
              </w:rPr>
              <w:t>gr</w:t>
            </w:r>
            <w:r>
              <w:rPr>
                <w:rFonts w:cs="宋体"/>
                <w:color w:val="auto"/>
                <w:kern w:val="0"/>
                <w:highlight w:val="none"/>
              </w:rPr>
              <w:t>）、屏障屏蔽（</w:t>
            </w:r>
            <w:r>
              <w:rPr>
                <w:color w:val="auto"/>
                <w:kern w:val="0"/>
                <w:highlight w:val="none"/>
              </w:rPr>
              <w:t>A</w:t>
            </w:r>
            <w:r>
              <w:rPr>
                <w:color w:val="auto"/>
                <w:kern w:val="0"/>
                <w:highlight w:val="none"/>
                <w:vertAlign w:val="subscript"/>
              </w:rPr>
              <w:t>bar</w:t>
            </w:r>
            <w:r>
              <w:rPr>
                <w:rFonts w:cs="宋体"/>
                <w:color w:val="auto"/>
                <w:kern w:val="0"/>
                <w:highlight w:val="none"/>
              </w:rPr>
              <w:t>）、其他多方面效应（</w:t>
            </w:r>
            <w:r>
              <w:rPr>
                <w:color w:val="auto"/>
                <w:kern w:val="0"/>
                <w:highlight w:val="none"/>
              </w:rPr>
              <w:t>A</w:t>
            </w:r>
            <w:r>
              <w:rPr>
                <w:color w:val="auto"/>
                <w:kern w:val="0"/>
                <w:highlight w:val="none"/>
                <w:vertAlign w:val="subscript"/>
              </w:rPr>
              <w:t>misc</w:t>
            </w:r>
            <w:r>
              <w:rPr>
                <w:rFonts w:cs="宋体"/>
                <w:color w:val="auto"/>
                <w:kern w:val="0"/>
                <w:highlight w:val="none"/>
              </w:rPr>
              <w:t>）引起的衰减。</w:t>
            </w:r>
          </w:p>
          <w:p>
            <w:pPr>
              <w:pStyle w:val="31"/>
              <w:spacing w:before="0" w:after="0" w:line="480" w:lineRule="exact"/>
              <w:ind w:firstLine="425"/>
              <w:rPr>
                <w:color w:val="auto"/>
                <w:kern w:val="0"/>
                <w:highlight w:val="none"/>
              </w:rPr>
            </w:pPr>
            <w:r>
              <w:rPr>
                <w:rFonts w:cs="宋体"/>
                <w:color w:val="auto"/>
                <w:kern w:val="0"/>
                <w:highlight w:val="none"/>
              </w:rPr>
              <w:t>距声源点</w:t>
            </w:r>
            <w:r>
              <w:rPr>
                <w:color w:val="auto"/>
                <w:kern w:val="0"/>
                <w:highlight w:val="none"/>
              </w:rPr>
              <w:t>r</w:t>
            </w:r>
            <w:r>
              <w:rPr>
                <w:rFonts w:cs="宋体"/>
                <w:color w:val="auto"/>
                <w:kern w:val="0"/>
                <w:highlight w:val="none"/>
              </w:rPr>
              <w:t>处的</w:t>
            </w:r>
            <w:r>
              <w:rPr>
                <w:color w:val="auto"/>
                <w:kern w:val="0"/>
                <w:highlight w:val="none"/>
              </w:rPr>
              <w:t>A</w:t>
            </w:r>
            <w:r>
              <w:rPr>
                <w:rFonts w:cs="宋体"/>
                <w:color w:val="auto"/>
                <w:kern w:val="0"/>
                <w:highlight w:val="none"/>
              </w:rPr>
              <w:t>声级按下式计算：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highlight w:val="none"/>
                <w:lang w:val="en-US" w:eastAsia="zh-CN"/>
              </w:rPr>
            </w:pPr>
            <w:r>
              <w:rPr>
                <w:rFonts w:hint="eastAsia" w:eastAsia="宋体"/>
                <w:color w:val="auto"/>
                <w:position w:val="-14"/>
                <w:highlight w:val="none"/>
                <w:lang w:val="en-US" w:eastAsia="zh-CN"/>
              </w:rPr>
              <w:object>
                <v:shape id="_x0000_i1031" o:spt="75" type="#_x0000_t75" style="height:19pt;width:243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pPr>
              <w:pStyle w:val="13"/>
              <w:keepNext w:val="0"/>
              <w:keepLines w:val="0"/>
              <w:pageBreakBefore w:val="0"/>
              <w:widowControl w:val="0"/>
              <w:kinsoku/>
              <w:wordWrap/>
              <w:overflowPunct/>
              <w:topLinePunct w:val="0"/>
              <w:autoSpaceDE/>
              <w:autoSpaceDN/>
              <w:bidi w:val="0"/>
              <w:adjustRightInd/>
              <w:snapToGrid/>
              <w:spacing w:after="0" w:line="480" w:lineRule="exact"/>
              <w:ind w:left="0" w:leftChars="0" w:firstLine="480" w:firstLineChars="200"/>
              <w:textAlignment w:val="auto"/>
              <w:rPr>
                <w:rFonts w:hint="default" w:ascii="Times New Roman" w:hAnsi="Times New Roman" w:eastAsia="宋体" w:cs="Times New Roman"/>
                <w:color w:val="auto"/>
                <w:sz w:val="24"/>
                <w:highlight w:val="none"/>
              </w:rPr>
            </w:pPr>
            <w:r>
              <w:rPr>
                <w:rFonts w:hint="eastAsia" w:cs="Times New Roman"/>
                <w:color w:val="auto"/>
                <w:kern w:val="0"/>
                <w:sz w:val="24"/>
                <w:highlight w:val="none"/>
                <w:lang w:val="zh-CN"/>
              </w:rPr>
              <w:t>本项目</w:t>
            </w:r>
            <w:r>
              <w:rPr>
                <w:rFonts w:hint="default" w:ascii="Times New Roman" w:hAnsi="Times New Roman" w:cs="Times New Roman"/>
                <w:color w:val="auto"/>
                <w:kern w:val="0"/>
                <w:sz w:val="24"/>
                <w:highlight w:val="none"/>
                <w:lang w:val="zh-CN"/>
              </w:rPr>
              <w:t>预测计算只考虑各声源至受声点的几何发散衰减，不考虑空气吸收及影响较小的附加衰减。</w:t>
            </w:r>
          </w:p>
          <w:p>
            <w:pPr>
              <w:bidi w:val="0"/>
              <w:rPr>
                <w:rFonts w:hint="default"/>
                <w:color w:val="auto"/>
                <w:highlight w:val="none"/>
              </w:rPr>
            </w:pPr>
            <w:r>
              <w:rPr>
                <w:rFonts w:hint="eastAsia"/>
                <w:color w:val="auto"/>
                <w:highlight w:val="none"/>
              </w:rPr>
              <w:t>（2）</w:t>
            </w:r>
            <w:r>
              <w:rPr>
                <w:rFonts w:hint="default"/>
                <w:color w:val="auto"/>
                <w:highlight w:val="none"/>
              </w:rPr>
              <w:t>预测结果</w:t>
            </w:r>
          </w:p>
          <w:p>
            <w:pPr>
              <w:bidi w:val="0"/>
              <w:rPr>
                <w:rFonts w:hint="default"/>
                <w:color w:val="auto"/>
                <w:highlight w:val="none"/>
              </w:rPr>
            </w:pPr>
            <w:r>
              <w:rPr>
                <w:rFonts w:hint="eastAsia"/>
                <w:color w:val="auto"/>
                <w:highlight w:val="none"/>
                <w:lang w:val="en-US" w:eastAsia="zh-CN"/>
              </w:rPr>
              <w:t>车间</w:t>
            </w:r>
            <w:r>
              <w:rPr>
                <w:rFonts w:hint="default"/>
                <w:color w:val="auto"/>
                <w:highlight w:val="none"/>
              </w:rPr>
              <w:t>到项目厂界的距离如下：</w:t>
            </w:r>
          </w:p>
          <w:p>
            <w:pPr>
              <w:pStyle w:val="29"/>
              <w:bidi w:val="0"/>
              <w:rPr>
                <w:rFonts w:hint="eastAsia" w:eastAsia="宋体"/>
                <w:color w:val="auto"/>
                <w:sz w:val="21"/>
                <w:szCs w:val="21"/>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30</w:t>
            </w:r>
            <w:r>
              <w:rPr>
                <w:rFonts w:hint="eastAsia"/>
                <w:color w:val="auto"/>
                <w:sz w:val="21"/>
                <w:szCs w:val="21"/>
                <w:highlight w:val="none"/>
              </w:rPr>
              <w:t xml:space="preserve">  </w:t>
            </w:r>
            <w:r>
              <w:rPr>
                <w:rFonts w:hint="default"/>
                <w:color w:val="auto"/>
                <w:sz w:val="21"/>
                <w:szCs w:val="21"/>
                <w:highlight w:val="none"/>
              </w:rPr>
              <w:t>本项目</w:t>
            </w:r>
            <w:r>
              <w:rPr>
                <w:rFonts w:hint="eastAsia"/>
                <w:color w:val="auto"/>
                <w:sz w:val="21"/>
                <w:szCs w:val="21"/>
                <w:highlight w:val="none"/>
                <w:lang w:val="en-US" w:eastAsia="zh-CN"/>
              </w:rPr>
              <w:t>噪声源距</w:t>
            </w:r>
            <w:r>
              <w:rPr>
                <w:rFonts w:hint="default"/>
                <w:color w:val="auto"/>
                <w:sz w:val="21"/>
                <w:szCs w:val="21"/>
                <w:highlight w:val="none"/>
              </w:rPr>
              <w:t>厂界距离</w:t>
            </w:r>
            <w:r>
              <w:rPr>
                <w:rFonts w:hint="eastAsia"/>
                <w:color w:val="auto"/>
                <w:sz w:val="21"/>
                <w:szCs w:val="21"/>
                <w:highlight w:val="none"/>
                <w:lang w:val="en-US" w:eastAsia="zh-CN"/>
              </w:rPr>
              <w:t>一览表</w:t>
            </w:r>
          </w:p>
          <w:tbl>
            <w:tblPr>
              <w:tblStyle w:val="24"/>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816"/>
              <w:gridCol w:w="1521"/>
              <w:gridCol w:w="1507"/>
              <w:gridCol w:w="1272"/>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64" w:hRule="atLeast"/>
                <w:jc w:val="center"/>
              </w:trPr>
              <w:tc>
                <w:tcPr>
                  <w:tcW w:w="8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序号</w:t>
                  </w:r>
                </w:p>
              </w:tc>
              <w:tc>
                <w:tcPr>
                  <w:tcW w:w="1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噪声源</w:t>
                  </w:r>
                </w:p>
              </w:tc>
              <w:tc>
                <w:tcPr>
                  <w:tcW w:w="15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东厂界（m）</w:t>
                  </w:r>
                </w:p>
              </w:tc>
              <w:tc>
                <w:tcPr>
                  <w:tcW w:w="14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南厂界（m）</w:t>
                  </w:r>
                </w:p>
              </w:tc>
              <w:tc>
                <w:tcPr>
                  <w:tcW w:w="12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西厂界（m）</w:t>
                  </w:r>
                </w:p>
              </w:tc>
              <w:tc>
                <w:tcPr>
                  <w:tcW w:w="13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北厂界（m）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8" w:hRule="atLeast"/>
                <w:jc w:val="center"/>
              </w:trPr>
              <w:tc>
                <w:tcPr>
                  <w:tcW w:w="898" w:type="dxa"/>
                  <w:tcBorders>
                    <w:tl2br w:val="nil"/>
                    <w:tr2bl w:val="nil"/>
                  </w:tcBorders>
                  <w:vAlign w:val="center"/>
                </w:tcPr>
                <w:p>
                  <w:pPr>
                    <w:keepNext w:val="0"/>
                    <w:keepLines w:val="0"/>
                    <w:pageBreakBefore w:val="0"/>
                    <w:widowControl w:val="0"/>
                    <w:numPr>
                      <w:ilvl w:val="0"/>
                      <w:numId w:val="23"/>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ahoma"/>
                      <w:color w:val="auto"/>
                      <w:sz w:val="21"/>
                      <w:szCs w:val="21"/>
                      <w:highlight w:val="none"/>
                      <w:lang w:val="en-US" w:eastAsia="zh-CN"/>
                    </w:rPr>
                    <w:t>综合车间</w:t>
                  </w:r>
                </w:p>
              </w:tc>
              <w:tc>
                <w:tcPr>
                  <w:tcW w:w="151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49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264"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13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38</w:t>
                  </w:r>
                </w:p>
              </w:tc>
            </w:tr>
          </w:tbl>
          <w:p>
            <w:pPr>
              <w:bidi w:val="0"/>
              <w:rPr>
                <w:rFonts w:hint="default"/>
                <w:color w:val="auto"/>
                <w:highlight w:val="none"/>
                <w:lang w:val="zh-CN"/>
              </w:rPr>
            </w:pPr>
            <w:r>
              <w:rPr>
                <w:rFonts w:hint="default"/>
                <w:color w:val="auto"/>
                <w:highlight w:val="none"/>
              </w:rPr>
              <w:t>按照噪声预测模式，</w:t>
            </w:r>
            <w:r>
              <w:rPr>
                <w:rFonts w:hint="eastAsia"/>
                <w:color w:val="auto"/>
                <w:highlight w:val="none"/>
                <w:lang w:val="en-US" w:eastAsia="zh-CN"/>
              </w:rPr>
              <w:t>采取</w:t>
            </w:r>
            <w:r>
              <w:rPr>
                <w:rFonts w:hint="default"/>
                <w:b w:val="0"/>
                <w:bCs w:val="0"/>
                <w:color w:val="auto"/>
                <w:highlight w:val="none"/>
              </w:rPr>
              <w:t>基础</w:t>
            </w:r>
            <w:r>
              <w:rPr>
                <w:rFonts w:hint="eastAsia"/>
                <w:b w:val="0"/>
                <w:bCs w:val="0"/>
                <w:color w:val="auto"/>
                <w:highlight w:val="none"/>
                <w:lang w:eastAsia="zh-CN"/>
              </w:rPr>
              <w:t>减振</w:t>
            </w:r>
            <w:r>
              <w:rPr>
                <w:rFonts w:hint="default"/>
                <w:b w:val="0"/>
                <w:bCs w:val="0"/>
                <w:color w:val="auto"/>
                <w:highlight w:val="none"/>
              </w:rPr>
              <w:t>、</w:t>
            </w:r>
            <w:r>
              <w:rPr>
                <w:rFonts w:hint="eastAsia"/>
                <w:b w:val="0"/>
                <w:bCs w:val="0"/>
                <w:color w:val="auto"/>
                <w:highlight w:val="none"/>
                <w:lang w:val="en-US" w:eastAsia="zh-CN"/>
              </w:rPr>
              <w:t>厂房隔声</w:t>
            </w:r>
            <w:r>
              <w:rPr>
                <w:rFonts w:hint="default"/>
                <w:b w:val="0"/>
                <w:bCs w:val="0"/>
                <w:color w:val="auto"/>
                <w:highlight w:val="none"/>
              </w:rPr>
              <w:t>等措施</w:t>
            </w:r>
            <w:r>
              <w:rPr>
                <w:rFonts w:hint="default"/>
                <w:color w:val="auto"/>
                <w:highlight w:val="none"/>
                <w:lang w:val="zh-CN"/>
              </w:rPr>
              <w:t>后，各噪声源到各厂界</w:t>
            </w:r>
            <w:r>
              <w:rPr>
                <w:rFonts w:hint="eastAsia"/>
                <w:color w:val="auto"/>
                <w:highlight w:val="none"/>
                <w:lang w:val="en-US" w:eastAsia="zh-CN"/>
              </w:rPr>
              <w:t>噪声贡献</w:t>
            </w:r>
            <w:r>
              <w:rPr>
                <w:rFonts w:hint="default"/>
                <w:color w:val="auto"/>
                <w:highlight w:val="none"/>
                <w:lang w:val="zh-CN"/>
              </w:rPr>
              <w:t>值见下表。</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31</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r>
              <w:rPr>
                <w:rFonts w:hint="default" w:ascii="Times New Roman" w:hAnsi="Times New Roman" w:eastAsia="宋体" w:cs="Times New Roman"/>
                <w:b/>
                <w:bCs/>
                <w:color w:val="auto"/>
                <w:sz w:val="21"/>
                <w:szCs w:val="21"/>
                <w:highlight w:val="none"/>
                <w:shd w:val="clear" w:color="auto" w:fill="auto"/>
                <w:lang w:val="zh-CN" w:eastAsia="zh-CN"/>
              </w:rPr>
              <w:t>各厂界</w:t>
            </w:r>
            <w:r>
              <w:rPr>
                <w:rFonts w:hint="eastAsia" w:ascii="Times New Roman" w:hAnsi="Times New Roman" w:eastAsia="宋体" w:cs="Times New Roman"/>
                <w:b/>
                <w:bCs/>
                <w:color w:val="auto"/>
                <w:sz w:val="21"/>
                <w:szCs w:val="21"/>
                <w:highlight w:val="none"/>
                <w:shd w:val="clear" w:color="auto" w:fill="auto"/>
                <w:lang w:val="zh-CN" w:eastAsia="zh-CN"/>
              </w:rPr>
              <w:t>噪声</w:t>
            </w:r>
            <w:r>
              <w:rPr>
                <w:rFonts w:hint="eastAsia" w:ascii="Times New Roman" w:hAnsi="Times New Roman" w:eastAsia="宋体" w:cs="Times New Roman"/>
                <w:b/>
                <w:bCs/>
                <w:color w:val="auto"/>
                <w:sz w:val="21"/>
                <w:szCs w:val="21"/>
                <w:highlight w:val="none"/>
                <w:shd w:val="clear" w:color="auto" w:fill="auto"/>
                <w:lang w:val="en-US" w:eastAsia="zh-CN"/>
              </w:rPr>
              <w:t>贡献</w:t>
            </w:r>
            <w:r>
              <w:rPr>
                <w:rFonts w:hint="default" w:ascii="Times New Roman" w:hAnsi="Times New Roman" w:eastAsia="宋体" w:cs="Times New Roman"/>
                <w:b/>
                <w:bCs/>
                <w:color w:val="auto"/>
                <w:sz w:val="21"/>
                <w:szCs w:val="21"/>
                <w:highlight w:val="none"/>
                <w:shd w:val="clear" w:color="auto" w:fill="auto"/>
                <w:lang w:val="zh-CN" w:eastAsia="zh-CN"/>
              </w:rPr>
              <w:t>值</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9"/>
              <w:gridCol w:w="1342"/>
              <w:gridCol w:w="1342"/>
              <w:gridCol w:w="1343"/>
              <w:gridCol w:w="1498"/>
              <w:gridCol w:w="15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6" w:hRule="atLeast"/>
                <w:jc w:val="center"/>
              </w:trPr>
              <w:tc>
                <w:tcPr>
                  <w:tcW w:w="1330"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厂界</w:t>
                  </w:r>
                </w:p>
              </w:tc>
              <w:tc>
                <w:tcPr>
                  <w:tcW w:w="133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噪声贡献值</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2667"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val="en-US" w:eastAsia="zh-CN"/>
                    </w:rPr>
                    <w:t>标准值/</w:t>
                  </w:r>
                  <w:r>
                    <w:rPr>
                      <w:rFonts w:hint="eastAsia" w:ascii="Times New Roman" w:hAnsi="Times New Roman" w:eastAsia="宋体" w:cs="Times New Roman"/>
                      <w:color w:val="auto"/>
                      <w:spacing w:val="0"/>
                      <w:position w:val="0"/>
                      <w:sz w:val="21"/>
                      <w:szCs w:val="21"/>
                      <w:highlight w:val="none"/>
                      <w:shd w:val="clear" w:color="auto" w:fill="auto"/>
                      <w:lang w:val="en-US" w:eastAsia="zh-CN"/>
                    </w:rPr>
                    <w:t>dB（A）</w:t>
                  </w:r>
                </w:p>
              </w:tc>
              <w:tc>
                <w:tcPr>
                  <w:tcW w:w="3004" w:type="dxa"/>
                  <w:gridSpan w:val="2"/>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1330"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3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昼间</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auto"/>
                      <w:sz w:val="21"/>
                      <w:szCs w:val="21"/>
                      <w:highlight w:val="none"/>
                      <w:shd w:val="clear" w:color="auto" w:fill="auto"/>
                      <w:lang w:eastAsia="zh-CN"/>
                    </w:rPr>
                  </w:pPr>
                  <w:r>
                    <w:rPr>
                      <w:rFonts w:hint="eastAsia"/>
                      <w:color w:val="auto"/>
                      <w:sz w:val="21"/>
                      <w:szCs w:val="21"/>
                      <w:highlight w:val="none"/>
                      <w:shd w:val="clear" w:color="auto" w:fill="auto"/>
                      <w:lang w:eastAsia="zh-CN"/>
                    </w:rPr>
                    <w:t>夜间</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昼间</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东厂界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4</w:t>
                  </w:r>
                  <w:r>
                    <w:rPr>
                      <w:rFonts w:hint="eastAsia" w:cs="Times New Roman"/>
                      <w:color w:val="auto"/>
                      <w:sz w:val="21"/>
                      <w:szCs w:val="21"/>
                      <w:highlight w:val="none"/>
                      <w:shd w:val="clear" w:color="auto" w:fill="auto"/>
                      <w:lang w:val="en-US" w:eastAsia="zh-CN"/>
                    </w:rPr>
                    <w:t>3</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南厂界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1</w:t>
                  </w:r>
                  <w:r>
                    <w:rPr>
                      <w:rFonts w:hint="eastAsia" w:cs="Times New Roman"/>
                      <w:color w:val="auto"/>
                      <w:sz w:val="21"/>
                      <w:szCs w:val="21"/>
                      <w:highlight w:val="none"/>
                      <w:shd w:val="clear" w:color="auto" w:fill="auto"/>
                      <w:lang w:val="en-US" w:eastAsia="zh-CN"/>
                    </w:rPr>
                    <w:t>8</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西厂界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49</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3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北厂界</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15</w:t>
                  </w:r>
                </w:p>
              </w:tc>
              <w:tc>
                <w:tcPr>
                  <w:tcW w:w="13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60</w:t>
                  </w:r>
                </w:p>
              </w:tc>
              <w:tc>
                <w:tcPr>
                  <w:tcW w:w="133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w:t>
                  </w:r>
                  <w:r>
                    <w:rPr>
                      <w:rFonts w:hint="eastAsia" w:cs="Times New Roman"/>
                      <w:color w:val="auto"/>
                      <w:sz w:val="21"/>
                      <w:szCs w:val="21"/>
                      <w:highlight w:val="none"/>
                      <w:shd w:val="clear" w:color="auto" w:fill="auto"/>
                      <w:lang w:val="en-US" w:eastAsia="zh-CN"/>
                    </w:rPr>
                    <w:t>0</w:t>
                  </w:r>
                </w:p>
              </w:tc>
              <w:tc>
                <w:tcPr>
                  <w:tcW w:w="148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c>
                <w:tcPr>
                  <w:tcW w:w="15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达标</w:t>
                  </w:r>
                </w:p>
              </w:tc>
            </w:tr>
          </w:tbl>
          <w:p>
            <w:pPr>
              <w:bidi w:val="0"/>
              <w:rPr>
                <w:rFonts w:hint="default" w:eastAsia="宋体"/>
                <w:b/>
                <w:bCs/>
                <w:color w:val="auto"/>
                <w:highlight w:val="none"/>
                <w:lang w:val="en-US" w:eastAsia="zh-CN"/>
              </w:rPr>
            </w:pPr>
            <w:r>
              <w:rPr>
                <w:rFonts w:hint="eastAsia"/>
                <w:b/>
                <w:bCs/>
                <w:color w:val="auto"/>
                <w:highlight w:val="none"/>
                <w:lang w:val="en-US" w:eastAsia="zh-CN"/>
              </w:rPr>
              <w:t>3.2达标情况分析</w:t>
            </w:r>
          </w:p>
          <w:p>
            <w:pPr>
              <w:bidi w:val="0"/>
              <w:rPr>
                <w:rFonts w:hint="eastAsia" w:eastAsia="宋体"/>
                <w:color w:val="auto"/>
                <w:highlight w:val="none"/>
                <w:lang w:eastAsia="zh-CN"/>
              </w:rPr>
            </w:pPr>
            <w:r>
              <w:rPr>
                <w:rFonts w:hint="default"/>
                <w:b w:val="0"/>
                <w:bCs w:val="0"/>
                <w:color w:val="auto"/>
                <w:highlight w:val="none"/>
              </w:rPr>
              <w:t>本项目营运期主要噪声源为</w:t>
            </w:r>
            <w:r>
              <w:rPr>
                <w:rFonts w:hint="eastAsia"/>
                <w:b w:val="0"/>
                <w:bCs w:val="0"/>
                <w:color w:val="auto"/>
                <w:highlight w:val="none"/>
                <w:lang w:val="en-US" w:eastAsia="zh-CN"/>
              </w:rPr>
              <w:t>给料机、破碎机、筛分机、螺旋洗砂机、脱泥桶、擦洗机、泵类、脱水筛等设备及风机、空压机等</w:t>
            </w:r>
            <w:r>
              <w:rPr>
                <w:rFonts w:hint="default"/>
                <w:b w:val="0"/>
                <w:bCs w:val="0"/>
                <w:color w:val="auto"/>
                <w:highlight w:val="none"/>
              </w:rPr>
              <w:t>运行时产生的噪声</w:t>
            </w:r>
            <w:r>
              <w:rPr>
                <w:rFonts w:hint="eastAsia"/>
                <w:color w:val="auto"/>
                <w:highlight w:val="none"/>
                <w:lang w:val="en-US" w:eastAsia="zh-CN"/>
              </w:rPr>
              <w:t>，在对设备采取基础减振、厂房隔声等降噪措施后，</w:t>
            </w:r>
            <w:r>
              <w:rPr>
                <w:rFonts w:hint="eastAsia"/>
                <w:color w:val="auto"/>
                <w:highlight w:val="none"/>
              </w:rPr>
              <w:t>厂界</w:t>
            </w:r>
            <w:r>
              <w:rPr>
                <w:rFonts w:hint="default"/>
                <w:color w:val="auto"/>
                <w:highlight w:val="none"/>
              </w:rPr>
              <w:t>噪声</w:t>
            </w:r>
            <w:r>
              <w:rPr>
                <w:rFonts w:hint="eastAsia"/>
                <w:color w:val="auto"/>
                <w:highlight w:val="none"/>
                <w:lang w:val="en-US" w:eastAsia="zh-CN"/>
              </w:rPr>
              <w:t>贡献值</w:t>
            </w:r>
            <w:r>
              <w:rPr>
                <w:rFonts w:hint="eastAsia"/>
                <w:color w:val="auto"/>
                <w:highlight w:val="none"/>
              </w:rPr>
              <w:t>满足</w:t>
            </w:r>
            <w:r>
              <w:rPr>
                <w:rFonts w:hint="default"/>
                <w:color w:val="auto"/>
                <w:highlight w:val="none"/>
              </w:rPr>
              <w:t>《工业企业厂界环境噪声排放标准》（GB12348-2008）</w:t>
            </w:r>
            <w:r>
              <w:rPr>
                <w:rFonts w:hint="eastAsia"/>
                <w:color w:val="auto"/>
                <w:highlight w:val="none"/>
                <w:lang w:val="en-US" w:eastAsia="zh-CN"/>
              </w:rPr>
              <w:t>2</w:t>
            </w:r>
            <w:r>
              <w:rPr>
                <w:rFonts w:hint="default"/>
                <w:color w:val="auto"/>
                <w:highlight w:val="none"/>
              </w:rPr>
              <w:t>类标准</w:t>
            </w:r>
            <w:r>
              <w:rPr>
                <w:rFonts w:hint="eastAsia"/>
                <w:color w:val="auto"/>
                <w:highlight w:val="none"/>
                <w:lang w:eastAsia="zh-CN"/>
              </w:rPr>
              <w:t>，</w:t>
            </w:r>
            <w:r>
              <w:rPr>
                <w:rFonts w:hint="eastAsia"/>
                <w:color w:val="auto"/>
                <w:highlight w:val="none"/>
                <w:lang w:val="en-US" w:eastAsia="zh-CN"/>
              </w:rPr>
              <w:t>昼间</w:t>
            </w:r>
            <w:r>
              <w:rPr>
                <w:rFonts w:hint="eastAsia"/>
                <w:color w:val="auto"/>
                <w:sz w:val="24"/>
                <w:szCs w:val="24"/>
                <w:highlight w:val="none"/>
                <w:lang w:val="en-US" w:eastAsia="zh-CN"/>
              </w:rPr>
              <w:t>60</w:t>
            </w:r>
            <w:r>
              <w:rPr>
                <w:rFonts w:hint="default"/>
                <w:color w:val="auto"/>
                <w:sz w:val="24"/>
                <w:szCs w:val="24"/>
                <w:highlight w:val="none"/>
              </w:rPr>
              <w:t>dB（A）</w:t>
            </w:r>
            <w:r>
              <w:rPr>
                <w:rFonts w:hint="eastAsia"/>
                <w:color w:val="auto"/>
                <w:sz w:val="24"/>
                <w:szCs w:val="24"/>
                <w:highlight w:val="none"/>
                <w:lang w:eastAsia="zh-CN"/>
              </w:rPr>
              <w:t>，</w:t>
            </w:r>
            <w:r>
              <w:rPr>
                <w:rFonts w:hint="eastAsia"/>
                <w:color w:val="auto"/>
                <w:sz w:val="24"/>
                <w:szCs w:val="24"/>
                <w:highlight w:val="none"/>
                <w:lang w:val="en-US" w:eastAsia="zh-CN"/>
              </w:rPr>
              <w:t>夜间50</w:t>
            </w:r>
            <w:r>
              <w:rPr>
                <w:rFonts w:hint="default"/>
                <w:color w:val="auto"/>
                <w:sz w:val="24"/>
                <w:szCs w:val="24"/>
                <w:highlight w:val="none"/>
              </w:rPr>
              <w:t>dB（A）</w:t>
            </w:r>
            <w:r>
              <w:rPr>
                <w:rFonts w:hint="eastAsia"/>
                <w:color w:val="auto"/>
                <w:sz w:val="24"/>
                <w:szCs w:val="24"/>
                <w:highlight w:val="none"/>
                <w:lang w:val="en-US" w:eastAsia="zh-CN"/>
              </w:rPr>
              <w:t>的要求</w:t>
            </w:r>
            <w:r>
              <w:rPr>
                <w:rFonts w:hint="eastAsia"/>
                <w:color w:val="auto"/>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3.3监测计划</w:t>
            </w:r>
          </w:p>
          <w:p>
            <w:pPr>
              <w:bidi w:val="0"/>
              <w:rPr>
                <w:rFonts w:hint="eastAsia"/>
                <w:color w:val="auto"/>
                <w:kern w:val="1"/>
                <w:sz w:val="24"/>
                <w:szCs w:val="24"/>
                <w:highlight w:val="none"/>
                <w:lang w:val="en-US" w:eastAsia="zh-CN" w:bidi="ar"/>
              </w:rPr>
            </w:pPr>
            <w:r>
              <w:rPr>
                <w:rFonts w:ascii="Times New Roman" w:hAnsi="Times New Roman"/>
                <w:snapToGrid w:val="0"/>
                <w:color w:val="auto"/>
                <w:kern w:val="0"/>
                <w:sz w:val="24"/>
                <w:szCs w:val="24"/>
                <w:highlight w:val="none"/>
                <w:lang w:bidi="ar"/>
              </w:rPr>
              <w:t>根据本建设项目性质与实际情况，</w:t>
            </w:r>
            <w:r>
              <w:rPr>
                <w:rFonts w:ascii="Times New Roman" w:hAnsi="Times New Roman"/>
                <w:color w:val="auto"/>
                <w:sz w:val="24"/>
                <w:szCs w:val="24"/>
                <w:highlight w:val="none"/>
              </w:rPr>
              <w:t>按照《排污单位自行监测技术指南 总则》</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HJ819-2017</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和</w:t>
            </w:r>
            <w:r>
              <w:rPr>
                <w:rFonts w:hint="eastAsia"/>
                <w:color w:val="auto"/>
                <w:highlight w:val="none"/>
                <w:lang w:val="en-US" w:eastAsia="zh-CN"/>
              </w:rPr>
              <w:t>《排污许可证申请与核发技术规范 工业固体废物和危险废物治理》（HJ 1033</w:t>
            </w:r>
            <w:r>
              <w:rPr>
                <w:rFonts w:hint="eastAsia"/>
                <w:color w:val="auto"/>
                <w:sz w:val="24"/>
                <w:szCs w:val="24"/>
                <w:highlight w:val="none"/>
                <w:lang w:val="en-US" w:eastAsia="zh-CN"/>
              </w:rPr>
              <w:t>-</w:t>
            </w:r>
            <w:r>
              <w:rPr>
                <w:rFonts w:hint="eastAsia"/>
                <w:color w:val="auto"/>
                <w:highlight w:val="none"/>
                <w:lang w:val="en-US" w:eastAsia="zh-CN"/>
              </w:rPr>
              <w:t>2019）以及《排污单位自行监测技术指南 工业固体废物和危险废物治理》（HJ1250-2022）</w:t>
            </w:r>
            <w:r>
              <w:rPr>
                <w:rFonts w:hint="eastAsia"/>
                <w:color w:val="auto"/>
                <w:kern w:val="1"/>
                <w:sz w:val="24"/>
                <w:szCs w:val="24"/>
                <w:highlight w:val="none"/>
                <w:lang w:val="en-US" w:eastAsia="zh-CN" w:bidi="ar"/>
              </w:rPr>
              <w:t>要求，企业投入运营后噪声监测情况见下表。</w:t>
            </w:r>
          </w:p>
          <w:p>
            <w:pPr>
              <w:pStyle w:val="29"/>
              <w:bidi w:val="0"/>
              <w:rPr>
                <w:rFonts w:hint="default"/>
                <w:b/>
                <w:color w:val="auto"/>
                <w:sz w:val="24"/>
                <w:szCs w:val="24"/>
                <w:highlight w:val="none"/>
              </w:rPr>
            </w:pPr>
            <w:r>
              <w:rPr>
                <w:rFonts w:hint="default"/>
                <w:color w:val="auto"/>
                <w:sz w:val="21"/>
                <w:szCs w:val="21"/>
                <w:highlight w:val="none"/>
              </w:rPr>
              <w:t>表</w:t>
            </w:r>
            <w:r>
              <w:rPr>
                <w:rFonts w:hint="eastAsia"/>
                <w:color w:val="auto"/>
                <w:sz w:val="21"/>
                <w:szCs w:val="21"/>
                <w:highlight w:val="none"/>
                <w:lang w:val="en-US" w:eastAsia="zh-CN"/>
              </w:rPr>
              <w:t xml:space="preserve">32  </w:t>
            </w:r>
            <w:r>
              <w:rPr>
                <w:rFonts w:hint="default"/>
                <w:color w:val="auto"/>
                <w:sz w:val="21"/>
                <w:szCs w:val="21"/>
                <w:highlight w:val="none"/>
              </w:rPr>
              <w:t>项目厂界噪声监测计划</w:t>
            </w:r>
            <w:r>
              <w:rPr>
                <w:rFonts w:hint="eastAsia"/>
                <w:color w:val="auto"/>
                <w:sz w:val="21"/>
                <w:szCs w:val="21"/>
                <w:highlight w:val="none"/>
                <w:lang w:val="en-US" w:eastAsia="zh-CN"/>
              </w:rPr>
              <w:t>一览</w:t>
            </w:r>
            <w:r>
              <w:rPr>
                <w:rFonts w:hint="default"/>
                <w:color w:val="auto"/>
                <w:sz w:val="21"/>
                <w:szCs w:val="21"/>
                <w:highlight w:val="none"/>
              </w:rPr>
              <w:t>表</w:t>
            </w:r>
          </w:p>
          <w:tbl>
            <w:tblPr>
              <w:tblStyle w:val="23"/>
              <w:tblW w:w="839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1778"/>
              <w:gridCol w:w="1205"/>
              <w:gridCol w:w="39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77" w:hRule="atLeast"/>
                <w:jc w:val="center"/>
              </w:trPr>
              <w:tc>
                <w:tcPr>
                  <w:tcW w:w="1499"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监测点位</w:t>
                  </w:r>
                </w:p>
              </w:tc>
              <w:tc>
                <w:tcPr>
                  <w:tcW w:w="1778"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监测指标</w:t>
                  </w:r>
                </w:p>
              </w:tc>
              <w:tc>
                <w:tcPr>
                  <w:tcW w:w="120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监测频次</w:t>
                  </w:r>
                </w:p>
              </w:tc>
              <w:tc>
                <w:tcPr>
                  <w:tcW w:w="3908"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执行排放标准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714" w:hRule="atLeast"/>
                <w:jc w:val="center"/>
              </w:trPr>
              <w:tc>
                <w:tcPr>
                  <w:tcW w:w="1499"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eastAsia"/>
                      <w:color w:val="auto"/>
                      <w:sz w:val="21"/>
                      <w:szCs w:val="21"/>
                      <w:highlight w:val="none"/>
                      <w:lang w:val="en-US" w:eastAsia="zh-CN"/>
                    </w:rPr>
                    <w:t>厂</w:t>
                  </w:r>
                  <w:r>
                    <w:rPr>
                      <w:rFonts w:hint="default"/>
                      <w:color w:val="auto"/>
                      <w:sz w:val="21"/>
                      <w:szCs w:val="21"/>
                      <w:highlight w:val="none"/>
                    </w:rPr>
                    <w:t>界外1m处</w:t>
                  </w:r>
                </w:p>
              </w:tc>
              <w:tc>
                <w:tcPr>
                  <w:tcW w:w="1778"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color w:val="auto"/>
                      <w:sz w:val="21"/>
                      <w:szCs w:val="21"/>
                      <w:highlight w:val="none"/>
                    </w:rPr>
                  </w:pPr>
                  <w:r>
                    <w:rPr>
                      <w:rFonts w:hint="default"/>
                      <w:color w:val="auto"/>
                      <w:sz w:val="21"/>
                      <w:szCs w:val="21"/>
                      <w:highlight w:val="none"/>
                    </w:rPr>
                    <w:t>等效连续A声级</w:t>
                  </w:r>
                </w:p>
              </w:tc>
              <w:tc>
                <w:tcPr>
                  <w:tcW w:w="1205"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1次</w:t>
                  </w:r>
                  <w:r>
                    <w:rPr>
                      <w:rFonts w:hint="eastAsia"/>
                      <w:color w:val="auto"/>
                      <w:sz w:val="21"/>
                      <w:szCs w:val="21"/>
                      <w:highlight w:val="none"/>
                      <w:lang w:val="en-US" w:eastAsia="zh-CN"/>
                    </w:rPr>
                    <w:t>/季度</w:t>
                  </w:r>
                </w:p>
              </w:tc>
              <w:tc>
                <w:tcPr>
                  <w:tcW w:w="3908" w:type="dxa"/>
                  <w:tcBorders>
                    <w:tl2br w:val="nil"/>
                    <w:tr2bl w:val="nil"/>
                  </w:tcBorders>
                  <w:noWrap w:val="0"/>
                  <w:tcMar>
                    <w:top w:w="15" w:type="dxa"/>
                    <w:left w:w="15" w:type="dxa"/>
                    <w:bottom w:w="15" w:type="dxa"/>
                    <w:right w:w="15" w:type="dxa"/>
                  </w:tcMar>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default" w:eastAsia="宋体"/>
                      <w:color w:val="auto"/>
                      <w:sz w:val="21"/>
                      <w:szCs w:val="21"/>
                      <w:highlight w:val="none"/>
                      <w:lang w:val="en-US" w:eastAsia="zh-CN"/>
                    </w:rPr>
                  </w:pPr>
                  <w:r>
                    <w:rPr>
                      <w:rFonts w:hint="default"/>
                      <w:color w:val="auto"/>
                      <w:sz w:val="21"/>
                      <w:szCs w:val="21"/>
                      <w:highlight w:val="none"/>
                    </w:rPr>
                    <w:t>《工业企业厂界环境噪声排放标准》（GB12348-2008）中</w:t>
                  </w:r>
                  <w:r>
                    <w:rPr>
                      <w:rFonts w:hint="eastAsia"/>
                      <w:color w:val="auto"/>
                      <w:sz w:val="21"/>
                      <w:szCs w:val="21"/>
                      <w:highlight w:val="none"/>
                      <w:lang w:val="en-US" w:eastAsia="zh-CN"/>
                    </w:rPr>
                    <w:t>2</w:t>
                  </w:r>
                  <w:r>
                    <w:rPr>
                      <w:rFonts w:hint="default"/>
                      <w:color w:val="auto"/>
                      <w:sz w:val="21"/>
                      <w:szCs w:val="21"/>
                      <w:highlight w:val="none"/>
                    </w:rPr>
                    <w:t>类标准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eastAsia"/>
                <w:b/>
                <w:bCs/>
                <w:color w:val="auto"/>
                <w:highlight w:val="none"/>
                <w:lang w:val="en-US" w:eastAsia="zh-CN"/>
              </w:rPr>
            </w:pPr>
            <w:r>
              <w:rPr>
                <w:rFonts w:hint="eastAsia"/>
                <w:b/>
                <w:bCs/>
                <w:color w:val="auto"/>
                <w:highlight w:val="none"/>
                <w:lang w:val="en-US" w:eastAsia="zh-CN"/>
              </w:rPr>
              <w:t>4、固体废物</w:t>
            </w:r>
          </w:p>
          <w:p>
            <w:pPr>
              <w:bidi w:val="0"/>
              <w:rPr>
                <w:rFonts w:hint="eastAsia" w:eastAsia="宋体"/>
                <w:b w:val="0"/>
                <w:bCs w:val="0"/>
                <w:color w:val="auto"/>
                <w:highlight w:val="none"/>
                <w:lang w:val="en-US" w:eastAsia="zh-CN"/>
              </w:rPr>
            </w:pPr>
            <w:r>
              <w:rPr>
                <w:rFonts w:hint="eastAsia" w:ascii="Times New Roman" w:eastAsia="宋体"/>
                <w:b w:val="0"/>
                <w:bCs w:val="0"/>
                <w:color w:val="auto"/>
                <w:sz w:val="24"/>
                <w:szCs w:val="24"/>
                <w:highlight w:val="none"/>
                <w:lang w:val="en-US" w:eastAsia="zh-CN"/>
              </w:rPr>
              <w:t>本项目固体废物主要</w:t>
            </w:r>
            <w:r>
              <w:rPr>
                <w:rFonts w:hint="default" w:ascii="Times New Roman" w:hAnsi="Times New Roman" w:eastAsia="宋体" w:cs="Times New Roman"/>
                <w:b w:val="0"/>
                <w:bCs w:val="0"/>
                <w:snapToGrid w:val="0"/>
                <w:color w:val="auto"/>
                <w:kern w:val="0"/>
                <w:sz w:val="24"/>
                <w:szCs w:val="21"/>
                <w:highlight w:val="none"/>
                <w:shd w:val="clear" w:color="auto" w:fill="auto"/>
                <w:lang w:val="en-US" w:eastAsia="zh-CN" w:bidi="ar-SA"/>
              </w:rPr>
              <w:t>为</w:t>
            </w:r>
            <w:r>
              <w:rPr>
                <w:rFonts w:hint="eastAsia" w:cs="Times New Roman"/>
                <w:b w:val="0"/>
                <w:bCs w:val="0"/>
                <w:snapToGrid w:val="0"/>
                <w:color w:val="auto"/>
                <w:kern w:val="0"/>
                <w:sz w:val="24"/>
                <w:szCs w:val="21"/>
                <w:highlight w:val="none"/>
                <w:shd w:val="clear" w:color="auto" w:fill="auto"/>
                <w:lang w:val="en-US" w:eastAsia="zh-CN" w:bidi="ar-SA"/>
              </w:rPr>
              <w:t>生产过程产生的废料、废钢筋；洗车平台产生的污泥；</w:t>
            </w:r>
            <w:r>
              <w:rPr>
                <w:rFonts w:hint="eastAsia" w:cs="Times New Roman"/>
                <w:b w:val="0"/>
                <w:bCs w:val="0"/>
                <w:color w:val="auto"/>
                <w:sz w:val="24"/>
                <w:szCs w:val="24"/>
                <w:highlight w:val="none"/>
                <w:lang w:val="en-US" w:eastAsia="zh-CN"/>
              </w:rPr>
              <w:t>除尘器收集的除尘灰；除尘器定期更换的废布袋；废水处理过程产生的污泥；</w:t>
            </w:r>
            <w:r>
              <w:rPr>
                <w:rFonts w:hint="eastAsia" w:eastAsia="宋体"/>
                <w:b w:val="0"/>
                <w:bCs w:val="0"/>
                <w:color w:val="auto"/>
                <w:highlight w:val="none"/>
                <w:lang w:val="en-US" w:eastAsia="zh-CN"/>
              </w:rPr>
              <w:t>设备维护保养过程产生的含油废抹布、废润滑油、</w:t>
            </w:r>
            <w:r>
              <w:rPr>
                <w:rFonts w:hint="eastAsia"/>
                <w:b w:val="0"/>
                <w:bCs w:val="0"/>
                <w:color w:val="auto"/>
                <w:highlight w:val="none"/>
                <w:lang w:val="en-US" w:eastAsia="zh-CN"/>
              </w:rPr>
              <w:t>废液压油、废油桶</w:t>
            </w:r>
            <w:r>
              <w:rPr>
                <w:rFonts w:hint="eastAsia" w:eastAsia="宋体"/>
                <w:b w:val="0"/>
                <w:bCs w:val="0"/>
                <w:color w:val="auto"/>
                <w:highlight w:val="none"/>
                <w:lang w:val="en-US" w:eastAsia="zh-CN"/>
              </w:rPr>
              <w:t>；职工生活产生的生活垃圾</w:t>
            </w:r>
            <w:r>
              <w:rPr>
                <w:rFonts w:hint="eastAsia" w:cs="Times New Roman"/>
                <w:b w:val="0"/>
                <w:bCs w:val="0"/>
                <w:snapToGrid w:val="0"/>
                <w:color w:val="auto"/>
                <w:kern w:val="0"/>
                <w:sz w:val="24"/>
                <w:szCs w:val="21"/>
                <w:highlight w:val="none"/>
                <w:shd w:val="clear" w:color="auto" w:fill="auto"/>
                <w:lang w:val="en-US" w:eastAsia="zh-CN" w:bidi="ar-SA"/>
              </w:rPr>
              <w:t>。</w:t>
            </w:r>
          </w:p>
          <w:p>
            <w:pPr>
              <w:bidi w:val="0"/>
              <w:rPr>
                <w:rFonts w:hint="eastAsia"/>
                <w:b/>
                <w:bCs/>
                <w:color w:val="auto"/>
                <w:highlight w:val="none"/>
                <w:lang w:val="en-US" w:eastAsia="zh-CN"/>
              </w:rPr>
            </w:pPr>
            <w:r>
              <w:rPr>
                <w:rFonts w:hint="eastAsia"/>
                <w:b/>
                <w:bCs/>
                <w:color w:val="auto"/>
                <w:highlight w:val="none"/>
                <w:lang w:val="en-US" w:eastAsia="zh-CN"/>
              </w:rPr>
              <w:t>4.1一般工业固体废物</w:t>
            </w:r>
          </w:p>
          <w:p>
            <w:pPr>
              <w:bidi w:val="0"/>
              <w:rPr>
                <w:rFonts w:hint="default" w:ascii="Times New Roman" w:eastAsia="宋体"/>
                <w:b/>
                <w:bCs/>
                <w:color w:val="auto"/>
                <w:highlight w:val="none"/>
                <w:lang w:val="en-US" w:eastAsia="zh-CN"/>
              </w:rPr>
            </w:pPr>
            <w:r>
              <w:rPr>
                <w:rFonts w:hint="eastAsia" w:ascii="Times New Roman" w:eastAsia="宋体"/>
                <w:b/>
                <w:bCs/>
                <w:color w:val="auto"/>
                <w:highlight w:val="none"/>
                <w:lang w:val="en-US" w:eastAsia="zh-CN"/>
              </w:rPr>
              <w:t>4.1.1 一般工业固体废物基本情况</w:t>
            </w:r>
          </w:p>
          <w:p>
            <w:pPr>
              <w:bidi w:val="0"/>
              <w:rPr>
                <w:rFonts w:hint="eastAsia"/>
                <w:color w:val="auto"/>
                <w:highlight w:val="none"/>
                <w:lang w:eastAsia="zh-CN"/>
              </w:rPr>
            </w:pPr>
            <w:r>
              <w:rPr>
                <w:rFonts w:hint="eastAsia"/>
                <w:color w:val="auto"/>
                <w:highlight w:val="none"/>
                <w:lang w:val="en-US" w:eastAsia="zh-CN"/>
              </w:rPr>
              <w:t>本项目产生的一般工业固体废物主要</w:t>
            </w:r>
            <w:r>
              <w:rPr>
                <w:rFonts w:hint="default"/>
                <w:color w:val="auto"/>
                <w:highlight w:val="none"/>
                <w:lang w:val="en-US" w:eastAsia="zh-CN"/>
              </w:rPr>
              <w:t>为</w:t>
            </w:r>
            <w:r>
              <w:rPr>
                <w:rFonts w:hint="eastAsia"/>
                <w:color w:val="auto"/>
                <w:highlight w:val="none"/>
                <w:lang w:val="en-US" w:eastAsia="zh-CN"/>
              </w:rPr>
              <w:t>生产过程产生的废料、废钢筋；洗车平台产生的污泥；除尘器收集的除尘灰；除尘器定期更换的废布袋；废水处理过程产生的污泥</w:t>
            </w:r>
            <w:r>
              <w:rPr>
                <w:rFonts w:hint="eastAsia"/>
                <w:color w:val="auto"/>
                <w:highlight w:val="none"/>
                <w:lang w:eastAsia="zh-CN"/>
              </w:rPr>
              <w:t>。</w:t>
            </w:r>
          </w:p>
          <w:p>
            <w:pPr>
              <w:numPr>
                <w:ilvl w:val="0"/>
                <w:numId w:val="24"/>
              </w:numPr>
              <w:bidi w:val="0"/>
              <w:rPr>
                <w:rFonts w:hint="eastAsia"/>
                <w:color w:val="auto"/>
                <w:highlight w:val="none"/>
                <w:lang w:val="en-US" w:eastAsia="zh-CN"/>
              </w:rPr>
            </w:pPr>
            <w:r>
              <w:rPr>
                <w:rFonts w:hint="eastAsia"/>
                <w:color w:val="auto"/>
                <w:highlight w:val="none"/>
                <w:lang w:val="en-US" w:eastAsia="zh-CN"/>
              </w:rPr>
              <w:t>生产过程产生的废料（772-003-99）</w:t>
            </w:r>
          </w:p>
          <w:p>
            <w:pPr>
              <w:bidi w:val="0"/>
              <w:rPr>
                <w:rFonts w:hint="eastAsia"/>
                <w:color w:val="auto"/>
                <w:highlight w:val="none"/>
                <w:lang w:val="en-US" w:eastAsia="zh-CN"/>
              </w:rPr>
            </w:pPr>
            <w:r>
              <w:rPr>
                <w:rFonts w:hint="eastAsia"/>
                <w:color w:val="auto"/>
                <w:highlight w:val="none"/>
                <w:lang w:val="en-US" w:eastAsia="zh-CN"/>
              </w:rPr>
              <w:t>本项目生产过程会产生一定量的废料，产生量约为5t/a，暂存于车间内的废料暂存区，外售废品回收站。</w:t>
            </w:r>
          </w:p>
          <w:p>
            <w:pPr>
              <w:pStyle w:val="11"/>
              <w:numPr>
                <w:ilvl w:val="0"/>
                <w:numId w:val="24"/>
              </w:numPr>
              <w:ind w:left="0" w:leftChars="0" w:firstLine="480" w:firstLineChars="200"/>
              <w:rPr>
                <w:rFonts w:hint="eastAsia" w:eastAsia="宋体" w:cs="Times New Roman"/>
                <w:snapToGrid w:val="0"/>
                <w:color w:val="auto"/>
                <w:kern w:val="0"/>
                <w:sz w:val="24"/>
                <w:szCs w:val="21"/>
                <w:highlight w:val="none"/>
                <w:shd w:val="clear" w:color="auto" w:fill="auto"/>
                <w:lang w:val="en-US" w:eastAsia="zh-CN" w:bidi="ar-SA"/>
              </w:rPr>
            </w:pPr>
            <w:r>
              <w:rPr>
                <w:rFonts w:hint="eastAsia" w:eastAsia="宋体" w:cs="Times New Roman"/>
                <w:snapToGrid w:val="0"/>
                <w:color w:val="auto"/>
                <w:kern w:val="0"/>
                <w:sz w:val="24"/>
                <w:szCs w:val="21"/>
                <w:highlight w:val="none"/>
                <w:shd w:val="clear" w:color="auto" w:fill="auto"/>
                <w:lang w:val="en-US" w:eastAsia="zh-CN" w:bidi="ar-SA"/>
              </w:rPr>
              <w:t>生产过程产生的</w:t>
            </w:r>
            <w:r>
              <w:rPr>
                <w:rFonts w:hint="eastAsia" w:cs="Times New Roman"/>
                <w:snapToGrid w:val="0"/>
                <w:color w:val="auto"/>
                <w:kern w:val="0"/>
                <w:sz w:val="24"/>
                <w:szCs w:val="21"/>
                <w:highlight w:val="none"/>
                <w:shd w:val="clear" w:color="auto" w:fill="auto"/>
                <w:lang w:val="en-US" w:eastAsia="zh-CN" w:bidi="ar-SA"/>
              </w:rPr>
              <w:t>废钢筋</w:t>
            </w:r>
            <w:r>
              <w:rPr>
                <w:rFonts w:hint="eastAsia"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772-003-99</w:t>
            </w:r>
            <w:r>
              <w:rPr>
                <w:rFonts w:hint="eastAsia" w:eastAsia="宋体" w:cs="Times New Roman"/>
                <w:snapToGrid w:val="0"/>
                <w:color w:val="auto"/>
                <w:kern w:val="0"/>
                <w:sz w:val="24"/>
                <w:szCs w:val="21"/>
                <w:highlight w:val="none"/>
                <w:shd w:val="clear" w:color="auto" w:fill="auto"/>
                <w:lang w:val="en-US" w:eastAsia="zh-CN" w:bidi="ar-SA"/>
              </w:rPr>
              <w:t>）</w:t>
            </w:r>
          </w:p>
          <w:p>
            <w:pPr>
              <w:bidi w:val="0"/>
              <w:rPr>
                <w:rFonts w:hint="default"/>
                <w:color w:val="auto"/>
                <w:highlight w:val="none"/>
                <w:lang w:val="en-US" w:eastAsia="zh-CN"/>
              </w:rPr>
            </w:pPr>
            <w:r>
              <w:rPr>
                <w:rFonts w:hint="eastAsia"/>
                <w:color w:val="auto"/>
                <w:highlight w:val="none"/>
                <w:lang w:val="en-US" w:eastAsia="zh-CN"/>
              </w:rPr>
              <w:t>本项目生产过程会产生一定量废钢筋，产生量约为40t/a，暂存于车间内的一般固废暂存区，外售废品回收站。</w:t>
            </w:r>
          </w:p>
          <w:p>
            <w:pPr>
              <w:pStyle w:val="11"/>
              <w:rPr>
                <w:rFonts w:hint="default" w:ascii="Times New Roman" w:hAnsi="Times New Roman" w:eastAsia="宋体" w:cs="Times New Roman"/>
                <w:snapToGrid w:val="0"/>
                <w:color w:val="auto"/>
                <w:kern w:val="0"/>
                <w:sz w:val="24"/>
                <w:szCs w:val="21"/>
                <w:highlight w:val="none"/>
                <w:shd w:val="clear" w:color="auto" w:fill="auto"/>
                <w:lang w:val="en-US" w:eastAsia="zh-CN" w:bidi="ar-SA"/>
              </w:rPr>
            </w:pPr>
            <w:r>
              <w:rPr>
                <w:rFonts w:hint="eastAsia" w:eastAsia="宋体" w:cs="Times New Roman"/>
                <w:snapToGrid w:val="0"/>
                <w:color w:val="auto"/>
                <w:kern w:val="0"/>
                <w:sz w:val="24"/>
                <w:szCs w:val="21"/>
                <w:highlight w:val="none"/>
                <w:shd w:val="clear" w:color="auto" w:fill="auto"/>
                <w:lang w:val="en-US" w:eastAsia="zh-CN" w:bidi="ar-SA"/>
              </w:rPr>
              <w:t>（3）除尘器收集的除尘灰</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772-003-66</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pStyle w:val="11"/>
              <w:rPr>
                <w:rFonts w:hint="eastAsia" w:ascii="Times New Roman" w:hAnsi="Times New Roman" w:eastAsia="宋体" w:cs="Times New Roman"/>
                <w:snapToGrid w:val="0"/>
                <w:color w:val="auto"/>
                <w:kern w:val="0"/>
                <w:sz w:val="24"/>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本项目</w:t>
            </w:r>
            <w:r>
              <w:rPr>
                <w:rFonts w:hint="eastAsia" w:cs="Times New Roman"/>
                <w:snapToGrid w:val="0"/>
                <w:color w:val="auto"/>
                <w:kern w:val="0"/>
                <w:sz w:val="24"/>
                <w:szCs w:val="21"/>
                <w:highlight w:val="none"/>
                <w:shd w:val="clear" w:color="auto" w:fill="auto"/>
                <w:lang w:val="en-US" w:eastAsia="zh-CN" w:bidi="ar-SA"/>
              </w:rPr>
              <w:t>除尘器会收集一定量的除尘灰</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，产生量约为</w:t>
            </w:r>
            <w:r>
              <w:rPr>
                <w:rFonts w:hint="eastAsia" w:cs="Times New Roman"/>
                <w:snapToGrid w:val="0"/>
                <w:color w:val="auto"/>
                <w:kern w:val="0"/>
                <w:sz w:val="24"/>
                <w:szCs w:val="21"/>
                <w:highlight w:val="none"/>
                <w:shd w:val="clear" w:color="auto" w:fill="auto"/>
                <w:lang w:val="en-US" w:eastAsia="zh-CN" w:bidi="ar-SA"/>
              </w:rPr>
              <w:t>381.98</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t/a，</w:t>
            </w:r>
            <w:r>
              <w:rPr>
                <w:rFonts w:hint="eastAsia"/>
                <w:color w:val="auto"/>
                <w:highlight w:val="none"/>
                <w:lang w:val="en-US" w:eastAsia="zh-CN"/>
              </w:rPr>
              <w:t>除尘器下方设置密闭收集斗，收集斗下方设置吨包袋，集中收集后暂存于一般固废暂存区，外售砖厂制砖</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numPr>
                <w:ilvl w:val="0"/>
                <w:numId w:val="0"/>
              </w:numPr>
              <w:bidi w:val="0"/>
              <w:ind w:leftChars="200"/>
              <w:rPr>
                <w:rFonts w:hint="eastAsia"/>
                <w:color w:val="auto"/>
                <w:sz w:val="24"/>
                <w:szCs w:val="24"/>
                <w:highlight w:val="none"/>
                <w:lang w:val="en-US" w:eastAsia="zh-CN"/>
              </w:rPr>
            </w:pPr>
            <w:r>
              <w:rPr>
                <w:rFonts w:hint="eastAsia"/>
                <w:color w:val="auto"/>
                <w:sz w:val="24"/>
                <w:szCs w:val="24"/>
                <w:highlight w:val="none"/>
                <w:lang w:val="en-US" w:eastAsia="zh-CN"/>
              </w:rPr>
              <w:t>（4）脉冲布袋除尘器更换下来的废布袋</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772-003-99</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pStyle w:val="22"/>
              <w:keepNext w:val="0"/>
              <w:keepLines w:val="0"/>
              <w:pageBreakBefore w:val="0"/>
              <w:widowControl w:val="0"/>
              <w:kinsoku/>
              <w:wordWrap/>
              <w:overflowPunct/>
              <w:topLinePunct w:val="0"/>
              <w:autoSpaceDE/>
              <w:autoSpaceDN/>
              <w:bidi w:val="0"/>
              <w:adjustRightInd/>
              <w:snapToGrid/>
              <w:ind w:leftChars="0"/>
              <w:textAlignment w:val="auto"/>
              <w:rPr>
                <w:rFonts w:hint="eastAsia" w:ascii="Times New Roman" w:hAnsi="Times New Roman" w:eastAsia="宋体" w:cs="Times New Roman"/>
                <w:snapToGrid w:val="0"/>
                <w:color w:val="auto"/>
                <w:kern w:val="0"/>
                <w:sz w:val="24"/>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本项目</w:t>
            </w:r>
            <w:r>
              <w:rPr>
                <w:rFonts w:hint="eastAsia" w:cs="Times New Roman"/>
                <w:snapToGrid w:val="0"/>
                <w:color w:val="auto"/>
                <w:kern w:val="0"/>
                <w:sz w:val="24"/>
                <w:szCs w:val="21"/>
                <w:highlight w:val="none"/>
                <w:shd w:val="clear" w:color="auto" w:fill="auto"/>
                <w:lang w:val="en-US" w:eastAsia="zh-CN" w:bidi="ar-SA"/>
              </w:rPr>
              <w:t>脉冲布袋除尘器需定期更换布袋</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废布袋</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产生量为</w:t>
            </w:r>
            <w:r>
              <w:rPr>
                <w:rFonts w:hint="eastAsia" w:cs="Times New Roman"/>
                <w:snapToGrid w:val="0"/>
                <w:color w:val="auto"/>
                <w:kern w:val="0"/>
                <w:sz w:val="24"/>
                <w:szCs w:val="21"/>
                <w:highlight w:val="none"/>
                <w:shd w:val="clear" w:color="auto" w:fill="auto"/>
                <w:lang w:val="en-US" w:eastAsia="zh-CN" w:bidi="ar-SA"/>
              </w:rPr>
              <w:t>0.5</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t/a，</w:t>
            </w:r>
            <w:r>
              <w:rPr>
                <w:rFonts w:hint="eastAsia" w:cs="Times New Roman"/>
                <w:snapToGrid w:val="0"/>
                <w:color w:val="auto"/>
                <w:kern w:val="0"/>
                <w:sz w:val="24"/>
                <w:szCs w:val="21"/>
                <w:highlight w:val="none"/>
                <w:shd w:val="clear" w:color="auto" w:fill="auto"/>
                <w:lang w:val="en-US" w:eastAsia="zh-CN" w:bidi="ar-SA"/>
              </w:rPr>
              <w:t>由厂家更换回收，不在厂区存放</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numPr>
                <w:ilvl w:val="0"/>
                <w:numId w:val="0"/>
              </w:numPr>
              <w:ind w:leftChars="200"/>
              <w:rPr>
                <w:rFonts w:hint="eastAsia"/>
                <w:color w:val="auto"/>
                <w:highlight w:val="none"/>
                <w:lang w:val="en-US" w:eastAsia="zh-CN"/>
              </w:rPr>
            </w:pPr>
            <w:r>
              <w:rPr>
                <w:rFonts w:hint="eastAsia"/>
                <w:color w:val="auto"/>
                <w:sz w:val="24"/>
                <w:szCs w:val="24"/>
                <w:highlight w:val="none"/>
                <w:lang w:val="en-US" w:eastAsia="zh-CN"/>
              </w:rPr>
              <w:t>（5）洗车平台沉淀池产生的污泥</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772-003-99</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pStyle w:val="11"/>
              <w:rPr>
                <w:rFonts w:hint="eastAsia" w:ascii="Times New Roman" w:hAnsi="Times New Roman" w:eastAsia="宋体" w:cs="Times New Roman"/>
                <w:snapToGrid w:val="0"/>
                <w:color w:val="auto"/>
                <w:kern w:val="0"/>
                <w:sz w:val="24"/>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本项目洗车平台沉淀池会产生一定量的污泥，产生量为3t/a，</w:t>
            </w:r>
            <w:r>
              <w:rPr>
                <w:rFonts w:hint="eastAsia" w:cs="Times New Roman"/>
                <w:snapToGrid w:val="0"/>
                <w:color w:val="auto"/>
                <w:kern w:val="0"/>
                <w:sz w:val="24"/>
                <w:szCs w:val="21"/>
                <w:highlight w:val="none"/>
                <w:shd w:val="clear" w:color="auto" w:fill="auto"/>
                <w:lang w:val="en-US" w:eastAsia="zh-CN" w:bidi="ar-SA"/>
              </w:rPr>
              <w:t>定期清理，集中收集后外运填坑铺路</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，不在厂区内储存。</w:t>
            </w:r>
          </w:p>
          <w:p>
            <w:pPr>
              <w:numPr>
                <w:ilvl w:val="0"/>
                <w:numId w:val="0"/>
              </w:numPr>
              <w:ind w:leftChars="200"/>
              <w:rPr>
                <w:rFonts w:hint="eastAsia"/>
                <w:color w:val="auto"/>
                <w:highlight w:val="none"/>
                <w:lang w:val="en-US" w:eastAsia="zh-CN"/>
              </w:rPr>
            </w:pPr>
            <w:r>
              <w:rPr>
                <w:rFonts w:hint="eastAsia"/>
                <w:color w:val="auto"/>
                <w:sz w:val="24"/>
                <w:szCs w:val="24"/>
                <w:highlight w:val="none"/>
                <w:lang w:val="en-US" w:eastAsia="zh-CN"/>
              </w:rPr>
              <w:t>（6）废水处理过程产生的污泥</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r>
              <w:rPr>
                <w:rFonts w:hint="eastAsia" w:cs="Times New Roman"/>
                <w:snapToGrid w:val="0"/>
                <w:color w:val="auto"/>
                <w:kern w:val="0"/>
                <w:sz w:val="24"/>
                <w:szCs w:val="21"/>
                <w:highlight w:val="none"/>
                <w:shd w:val="clear" w:color="auto" w:fill="auto"/>
                <w:lang w:val="en-US" w:eastAsia="zh-CN" w:bidi="ar-SA"/>
              </w:rPr>
              <w:t>772-003-99</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w:t>
            </w:r>
          </w:p>
          <w:p>
            <w:pPr>
              <w:pStyle w:val="11"/>
              <w:rPr>
                <w:rFonts w:hint="eastAsia" w:ascii="Times New Roman" w:hAnsi="Times New Roman" w:eastAsia="宋体" w:cs="Times New Roman"/>
                <w:snapToGrid w:val="0"/>
                <w:color w:val="auto"/>
                <w:kern w:val="0"/>
                <w:sz w:val="24"/>
                <w:szCs w:val="21"/>
                <w:highlight w:val="none"/>
                <w:shd w:val="clear" w:color="auto" w:fill="auto"/>
                <w:lang w:val="en-US" w:eastAsia="zh-CN" w:bidi="ar-SA"/>
              </w:rPr>
            </w:pP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本项目洗车平台沉淀池会产生一定量的污泥，产生量为</w:t>
            </w:r>
            <w:r>
              <w:rPr>
                <w:rFonts w:hint="eastAsia" w:cs="Times New Roman"/>
                <w:snapToGrid w:val="0"/>
                <w:color w:val="auto"/>
                <w:kern w:val="0"/>
                <w:sz w:val="24"/>
                <w:szCs w:val="21"/>
                <w:highlight w:val="none"/>
                <w:shd w:val="clear" w:color="auto" w:fill="auto"/>
                <w:lang w:val="en-US" w:eastAsia="zh-CN" w:bidi="ar-SA"/>
              </w:rPr>
              <w:t>500</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t/a，</w:t>
            </w:r>
            <w:r>
              <w:rPr>
                <w:rFonts w:hint="eastAsia" w:cs="Times New Roman"/>
                <w:snapToGrid w:val="0"/>
                <w:color w:val="auto"/>
                <w:kern w:val="0"/>
                <w:sz w:val="24"/>
                <w:szCs w:val="21"/>
                <w:highlight w:val="none"/>
                <w:shd w:val="clear" w:color="auto" w:fill="auto"/>
                <w:lang w:val="en-US" w:eastAsia="zh-CN" w:bidi="ar-SA"/>
              </w:rPr>
              <w:t>定期清理，集中收集后外运填坑铺路</w:t>
            </w:r>
            <w:r>
              <w:rPr>
                <w:rFonts w:hint="eastAsia" w:ascii="Times New Roman" w:hAnsi="Times New Roman" w:eastAsia="宋体" w:cs="Times New Roman"/>
                <w:snapToGrid w:val="0"/>
                <w:color w:val="auto"/>
                <w:kern w:val="0"/>
                <w:sz w:val="24"/>
                <w:szCs w:val="21"/>
                <w:highlight w:val="none"/>
                <w:shd w:val="clear" w:color="auto" w:fill="auto"/>
                <w:lang w:val="en-US" w:eastAsia="zh-CN" w:bidi="ar-SA"/>
              </w:rPr>
              <w:t>，不在厂区内储存。</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ascii="Times New Roman" w:hAnsi="Times New Roman" w:eastAsia="宋体" w:cs="Times New Roman"/>
                <w:b w:val="0"/>
                <w:bCs w:val="0"/>
                <w:color w:val="auto"/>
                <w:sz w:val="24"/>
                <w:szCs w:val="21"/>
                <w:highlight w:val="none"/>
                <w:shd w:val="clear" w:color="auto" w:fill="auto"/>
                <w:lang w:val="en-US" w:eastAsia="zh-CN"/>
              </w:rPr>
            </w:pPr>
            <w:r>
              <w:rPr>
                <w:rFonts w:hint="eastAsia" w:eastAsia="宋体" w:cs="Times New Roman"/>
                <w:b w:val="0"/>
                <w:bCs w:val="0"/>
                <w:color w:val="auto"/>
                <w:sz w:val="24"/>
                <w:szCs w:val="21"/>
                <w:highlight w:val="none"/>
                <w:shd w:val="clear" w:color="auto" w:fill="auto"/>
                <w:lang w:val="en-US" w:eastAsia="zh-CN"/>
              </w:rPr>
              <w:t>本项目</w:t>
            </w:r>
            <w:r>
              <w:rPr>
                <w:rFonts w:hint="eastAsia" w:ascii="Times New Roman" w:hAnsi="Times New Roman" w:eastAsia="宋体" w:cs="Times New Roman"/>
                <w:b w:val="0"/>
                <w:bCs w:val="0"/>
                <w:color w:val="auto"/>
                <w:sz w:val="24"/>
                <w:szCs w:val="21"/>
                <w:highlight w:val="none"/>
                <w:shd w:val="clear" w:color="auto" w:fill="auto"/>
                <w:lang w:val="en-US" w:eastAsia="zh-CN"/>
              </w:rPr>
              <w:t>一般工业固体废物产生及处置情况见下表。</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33</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一般工业</w:t>
            </w:r>
            <w:r>
              <w:rPr>
                <w:rFonts w:hint="eastAsia" w:ascii="Times New Roman" w:hAnsi="Times New Roman" w:eastAsia="宋体" w:cs="Times New Roman"/>
                <w:b/>
                <w:bCs/>
                <w:color w:val="auto"/>
                <w:sz w:val="21"/>
                <w:szCs w:val="21"/>
                <w:highlight w:val="none"/>
                <w:shd w:val="clear" w:color="auto" w:fill="auto"/>
                <w:lang w:val="en-US" w:eastAsia="zh-CN"/>
              </w:rPr>
              <w:t>固体废物污染源及治理措施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2"/>
              <w:gridCol w:w="523"/>
              <w:gridCol w:w="599"/>
              <w:gridCol w:w="779"/>
              <w:gridCol w:w="465"/>
              <w:gridCol w:w="540"/>
              <w:gridCol w:w="604"/>
              <w:gridCol w:w="1323"/>
              <w:gridCol w:w="973"/>
              <w:gridCol w:w="745"/>
              <w:gridCol w:w="12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93" w:hRule="atLeast"/>
                <w:jc w:val="center"/>
              </w:trPr>
              <w:tc>
                <w:tcPr>
                  <w:tcW w:w="56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r>
                    <w:rPr>
                      <w:rFonts w:hint="eastAsia"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t/a</w:t>
                  </w:r>
                  <w:r>
                    <w:rPr>
                      <w:rFonts w:hint="eastAsia" w:eastAsia="宋体" w:cs="Times New Roman"/>
                      <w:color w:val="auto"/>
                      <w:sz w:val="21"/>
                      <w:szCs w:val="21"/>
                      <w:highlight w:val="none"/>
                      <w:shd w:val="clear" w:color="auto" w:fill="auto"/>
                      <w:lang w:val="en-US" w:eastAsia="zh-CN"/>
                    </w:rPr>
                    <w:t>）</w:t>
                  </w:r>
                </w:p>
              </w:tc>
              <w:tc>
                <w:tcPr>
                  <w:tcW w:w="13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97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r>
                    <w:rPr>
                      <w:rFonts w:hint="eastAsia"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t/a</w:t>
                  </w:r>
                  <w:r>
                    <w:rPr>
                      <w:rFonts w:hint="eastAsia" w:eastAsia="宋体" w:cs="Times New Roman"/>
                      <w:color w:val="auto"/>
                      <w:sz w:val="21"/>
                      <w:szCs w:val="21"/>
                      <w:highlight w:val="none"/>
                      <w:shd w:val="clear" w:color="auto" w:fill="auto"/>
                      <w:lang w:val="en-US" w:eastAsia="zh-CN"/>
                    </w:rPr>
                    <w:t>）</w:t>
                  </w:r>
                </w:p>
              </w:tc>
              <w:tc>
                <w:tcPr>
                  <w:tcW w:w="1277"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32" w:hRule="atLeast"/>
                <w:jc w:val="center"/>
              </w:trPr>
              <w:tc>
                <w:tcPr>
                  <w:tcW w:w="56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除尘器</w:t>
                  </w: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除尘灰</w:t>
                  </w:r>
                </w:p>
              </w:tc>
              <w:tc>
                <w:tcPr>
                  <w:tcW w:w="599"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一般工业固体废物</w:t>
                  </w: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381.98</w:t>
                  </w:r>
                </w:p>
              </w:tc>
              <w:tc>
                <w:tcPr>
                  <w:tcW w:w="13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暂存于除尘器下方接灰斗，收集斗下方设置吨包袋，集中收集后暂存于一般固废暂存区</w:t>
                  </w:r>
                </w:p>
              </w:tc>
              <w:tc>
                <w:tcPr>
                  <w:tcW w:w="97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外售砖厂制砖</w:t>
                  </w: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381.98</w:t>
                  </w:r>
                </w:p>
              </w:tc>
              <w:tc>
                <w:tcPr>
                  <w:tcW w:w="1277"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一般固体废物临时存放应严格执行《中华人民共和国固体废物污染环境防治法》中第二十条第一款</w:t>
                  </w:r>
                  <w:r>
                    <w:rPr>
                      <w:rFonts w:hint="eastAsia" w:ascii="Times New Roman" w:hAnsi="Times New Roman" w:eastAsia="宋体" w:cs="Times New Roman"/>
                      <w:color w:val="auto"/>
                      <w:sz w:val="21"/>
                      <w:szCs w:val="21"/>
                      <w:highlight w:val="none"/>
                      <w:shd w:val="clear" w:color="auto" w:fill="auto"/>
                      <w:lang w:val="en-US" w:eastAsia="zh-CN"/>
                    </w:rPr>
                    <w:t>相关要求</w:t>
                  </w:r>
                  <w:r>
                    <w:rPr>
                      <w:rFonts w:hint="eastAsia"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的要求对一般固体废物的临时存放场所设置环境保护图形标志牌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56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废布袋</w:t>
                  </w:r>
                </w:p>
              </w:tc>
              <w:tc>
                <w:tcPr>
                  <w:tcW w:w="59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w:t>
                  </w:r>
                </w:p>
              </w:tc>
              <w:tc>
                <w:tcPr>
                  <w:tcW w:w="13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厂家更换回收，不在厂区储存</w:t>
                  </w:r>
                </w:p>
              </w:tc>
              <w:tc>
                <w:tcPr>
                  <w:tcW w:w="97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厂家回收</w:t>
                  </w: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0.5</w:t>
                  </w:r>
                </w:p>
              </w:tc>
              <w:tc>
                <w:tcPr>
                  <w:tcW w:w="127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5" w:hRule="atLeast"/>
                <w:jc w:val="center"/>
              </w:trPr>
              <w:tc>
                <w:tcPr>
                  <w:tcW w:w="562"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生产过程</w:t>
                  </w: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废料</w:t>
                  </w:r>
                </w:p>
              </w:tc>
              <w:tc>
                <w:tcPr>
                  <w:tcW w:w="59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13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暂存于</w:t>
                  </w:r>
                  <w:r>
                    <w:rPr>
                      <w:rFonts w:hint="eastAsia" w:eastAsia="宋体" w:cs="Times New Roman"/>
                      <w:color w:val="auto"/>
                      <w:sz w:val="21"/>
                      <w:szCs w:val="21"/>
                      <w:highlight w:val="none"/>
                      <w:shd w:val="clear" w:color="auto" w:fill="auto"/>
                      <w:lang w:val="en-US" w:eastAsia="zh-CN"/>
                    </w:rPr>
                    <w:t>废料</w:t>
                  </w:r>
                  <w:r>
                    <w:rPr>
                      <w:rFonts w:hint="eastAsia" w:cs="Times New Roman"/>
                      <w:color w:val="auto"/>
                      <w:sz w:val="21"/>
                      <w:szCs w:val="21"/>
                      <w:highlight w:val="none"/>
                      <w:shd w:val="clear" w:color="auto" w:fill="auto"/>
                      <w:lang w:val="en-US" w:eastAsia="zh-CN"/>
                    </w:rPr>
                    <w:t>暂</w:t>
                  </w:r>
                  <w:r>
                    <w:rPr>
                      <w:rFonts w:hint="eastAsia" w:eastAsia="宋体" w:cs="Times New Roman"/>
                      <w:color w:val="auto"/>
                      <w:sz w:val="21"/>
                      <w:szCs w:val="21"/>
                      <w:highlight w:val="none"/>
                      <w:shd w:val="clear" w:color="auto" w:fill="auto"/>
                      <w:lang w:val="en-US" w:eastAsia="zh-CN"/>
                    </w:rPr>
                    <w:t>存区</w:t>
                  </w:r>
                </w:p>
              </w:tc>
              <w:tc>
                <w:tcPr>
                  <w:tcW w:w="97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外售废品回收站</w:t>
                  </w: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w:t>
                  </w:r>
                </w:p>
              </w:tc>
              <w:tc>
                <w:tcPr>
                  <w:tcW w:w="127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562"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highlight w:val="none"/>
                    </w:rPr>
                  </w:pPr>
                </w:p>
              </w:tc>
              <w:tc>
                <w:tcPr>
                  <w:tcW w:w="523"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废钢筋</w:t>
                  </w:r>
                </w:p>
              </w:tc>
              <w:tc>
                <w:tcPr>
                  <w:tcW w:w="599" w:type="dxa"/>
                  <w:vMerge w:val="continue"/>
                  <w:tcBorders>
                    <w:tl2br w:val="nil"/>
                    <w:tr2bl w:val="nil"/>
                  </w:tcBorders>
                  <w:noWrap w:val="0"/>
                  <w:tcMar>
                    <w:top w:w="15" w:type="dxa"/>
                    <w:left w:w="15" w:type="dxa"/>
                    <w:right w:w="15" w:type="dxa"/>
                  </w:tcMar>
                  <w:vAlign w:val="center"/>
                </w:tcPr>
                <w:p>
                  <w:pPr>
                    <w:pStyle w:val="30"/>
                    <w:bidi w:val="0"/>
                    <w:rPr>
                      <w:color w:val="auto"/>
                      <w:highlight w:val="none"/>
                    </w:rPr>
                  </w:pPr>
                </w:p>
              </w:tc>
              <w:tc>
                <w:tcPr>
                  <w:tcW w:w="779"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40</w:t>
                  </w:r>
                </w:p>
              </w:tc>
              <w:tc>
                <w:tcPr>
                  <w:tcW w:w="1323"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暂存于一般固废暂存区</w:t>
                  </w:r>
                </w:p>
              </w:tc>
              <w:tc>
                <w:tcPr>
                  <w:tcW w:w="973"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外售废品回收站</w:t>
                  </w:r>
                </w:p>
              </w:tc>
              <w:tc>
                <w:tcPr>
                  <w:tcW w:w="745" w:type="dxa"/>
                  <w:tcBorders>
                    <w:tl2br w:val="nil"/>
                    <w:tr2bl w:val="nil"/>
                  </w:tcBorders>
                  <w:noWrap w:val="0"/>
                  <w:tcMar>
                    <w:top w:w="15" w:type="dxa"/>
                    <w:left w:w="15" w:type="dxa"/>
                    <w:right w:w="15" w:type="dxa"/>
                  </w:tcMar>
                  <w:vAlign w:val="center"/>
                </w:tcPr>
                <w:p>
                  <w:pPr>
                    <w:pStyle w:val="30"/>
                    <w:bidi w:val="0"/>
                    <w:rPr>
                      <w:rFonts w:hint="default"/>
                      <w:color w:val="auto"/>
                      <w:highlight w:val="none"/>
                      <w:lang w:val="en-US" w:eastAsia="zh-CN"/>
                    </w:rPr>
                  </w:pPr>
                  <w:r>
                    <w:rPr>
                      <w:rFonts w:hint="eastAsia"/>
                      <w:color w:val="auto"/>
                      <w:highlight w:val="none"/>
                      <w:lang w:val="en-US" w:eastAsia="zh-CN"/>
                    </w:rPr>
                    <w:t>40</w:t>
                  </w:r>
                </w:p>
              </w:tc>
              <w:tc>
                <w:tcPr>
                  <w:tcW w:w="127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3" w:hRule="atLeast"/>
                <w:jc w:val="center"/>
              </w:trPr>
              <w:tc>
                <w:tcPr>
                  <w:tcW w:w="56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洗车平台</w:t>
                  </w: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sz w:val="21"/>
                      <w:szCs w:val="21"/>
                      <w:highlight w:val="none"/>
                      <w:lang w:val="en-US" w:eastAsia="zh-CN"/>
                    </w:rPr>
                    <w:t>污泥</w:t>
                  </w:r>
                </w:p>
              </w:tc>
              <w:tc>
                <w:tcPr>
                  <w:tcW w:w="59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32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定期清理，集中收集后外售</w:t>
                  </w:r>
                  <w:r>
                    <w:rPr>
                      <w:rFonts w:hint="eastAsia" w:ascii="Times New Roman" w:hAnsi="Times New Roman" w:eastAsia="宋体" w:cs="Times New Roman"/>
                      <w:color w:val="auto"/>
                      <w:sz w:val="21"/>
                      <w:szCs w:val="21"/>
                      <w:highlight w:val="none"/>
                      <w:shd w:val="clear" w:color="auto" w:fill="auto"/>
                      <w:lang w:val="en-US" w:eastAsia="zh-CN"/>
                    </w:rPr>
                    <w:t>，不在厂区贮存</w:t>
                  </w:r>
                </w:p>
              </w:tc>
              <w:tc>
                <w:tcPr>
                  <w:tcW w:w="97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外运填坑铺路</w:t>
                  </w: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27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3" w:hRule="atLeast"/>
                <w:jc w:val="center"/>
              </w:trPr>
              <w:tc>
                <w:tcPr>
                  <w:tcW w:w="56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废水处理过程</w:t>
                  </w:r>
                </w:p>
              </w:tc>
              <w:tc>
                <w:tcPr>
                  <w:tcW w:w="52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highlight w:val="none"/>
                      <w:lang w:val="en-US" w:eastAsia="zh-CN"/>
                    </w:rPr>
                  </w:pPr>
                  <w:r>
                    <w:rPr>
                      <w:rFonts w:hint="eastAsia"/>
                      <w:color w:val="auto"/>
                      <w:sz w:val="21"/>
                      <w:szCs w:val="21"/>
                      <w:highlight w:val="none"/>
                      <w:lang w:val="en-US" w:eastAsia="zh-CN"/>
                    </w:rPr>
                    <w:t>污泥</w:t>
                  </w:r>
                </w:p>
              </w:tc>
              <w:tc>
                <w:tcPr>
                  <w:tcW w:w="59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p>
              </w:tc>
              <w:tc>
                <w:tcPr>
                  <w:tcW w:w="7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46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w:t>
                  </w:r>
                </w:p>
              </w:tc>
              <w:tc>
                <w:tcPr>
                  <w:tcW w:w="5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无</w:t>
                  </w:r>
                </w:p>
              </w:tc>
              <w:tc>
                <w:tcPr>
                  <w:tcW w:w="604"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500</w:t>
                  </w:r>
                </w:p>
              </w:tc>
              <w:tc>
                <w:tcPr>
                  <w:tcW w:w="132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97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p>
              </w:tc>
              <w:tc>
                <w:tcPr>
                  <w:tcW w:w="74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500</w:t>
                  </w:r>
                </w:p>
              </w:tc>
              <w:tc>
                <w:tcPr>
                  <w:tcW w:w="1277"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4.1.2一般工业固体废物管理措施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1</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贮存、处置场的建设类型，必须与将要堆放的一般工业</w:t>
            </w:r>
            <w:r>
              <w:rPr>
                <w:rFonts w:hint="default" w:ascii="Times New Roman" w:hAnsi="Times New Roman" w:eastAsia="宋体" w:cs="Times New Roman"/>
                <w:color w:val="auto"/>
                <w:sz w:val="24"/>
                <w:szCs w:val="21"/>
                <w:highlight w:val="none"/>
                <w:shd w:val="clear" w:color="auto" w:fill="auto"/>
                <w:lang w:eastAsia="zh-CN"/>
              </w:rPr>
              <w:t>固</w:t>
            </w:r>
            <w:r>
              <w:rPr>
                <w:rFonts w:hint="default" w:ascii="Times New Roman" w:hAnsi="Times New Roman" w:eastAsia="宋体" w:cs="Times New Roman"/>
                <w:color w:val="auto"/>
                <w:sz w:val="24"/>
                <w:szCs w:val="21"/>
                <w:highlight w:val="none"/>
                <w:shd w:val="clear" w:color="auto" w:fill="auto"/>
              </w:rPr>
              <w:t>体废物的类别相一致。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1"/>
                <w:highlight w:val="none"/>
                <w:shd w:val="clear" w:color="auto" w:fill="auto"/>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2</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贮存、处置场应采取防止粉尘污染的措施。</w:t>
            </w:r>
          </w:p>
          <w:p>
            <w:pPr>
              <w:numPr>
                <w:ilvl w:val="0"/>
                <w:numId w:val="0"/>
              </w:numPr>
              <w:bidi w:val="0"/>
              <w:ind w:leftChars="200"/>
              <w:rPr>
                <w:rFonts w:hint="eastAsia"/>
                <w:color w:val="auto"/>
                <w:sz w:val="24"/>
                <w:szCs w:val="24"/>
                <w:highlight w:val="none"/>
                <w:lang w:val="en-US" w:eastAsia="zh-CN"/>
              </w:rPr>
            </w:pPr>
            <w:r>
              <w:rPr>
                <w:rFonts w:hint="eastAsia" w:ascii="Times New Roman" w:hAnsi="Times New Roman" w:cs="Times New Roman"/>
                <w:color w:val="auto"/>
                <w:sz w:val="24"/>
                <w:szCs w:val="21"/>
                <w:highlight w:val="none"/>
                <w:shd w:val="clear" w:color="auto" w:fill="auto"/>
                <w:lang w:eastAsia="zh-CN"/>
              </w:rPr>
              <w:t>（</w:t>
            </w:r>
            <w:r>
              <w:rPr>
                <w:rFonts w:hint="eastAsia" w:ascii="Times New Roman" w:hAnsi="Times New Roman" w:cs="Times New Roman"/>
                <w:color w:val="auto"/>
                <w:sz w:val="24"/>
                <w:szCs w:val="21"/>
                <w:highlight w:val="none"/>
                <w:shd w:val="clear" w:color="auto" w:fill="auto"/>
                <w:lang w:val="en-US" w:eastAsia="zh-CN"/>
              </w:rPr>
              <w:t>3</w:t>
            </w:r>
            <w:r>
              <w:rPr>
                <w:rFonts w:hint="eastAsia" w:ascii="Times New Roman" w:hAnsi="Times New Roman" w:cs="Times New Roman"/>
                <w:color w:val="auto"/>
                <w:sz w:val="24"/>
                <w:szCs w:val="21"/>
                <w:highlight w:val="none"/>
                <w:shd w:val="clear" w:color="auto" w:fill="auto"/>
                <w:lang w:eastAsia="zh-CN"/>
              </w:rPr>
              <w:t>）</w:t>
            </w:r>
            <w:r>
              <w:rPr>
                <w:rFonts w:hint="default" w:ascii="Times New Roman" w:hAnsi="Times New Roman" w:eastAsia="宋体" w:cs="Times New Roman"/>
                <w:color w:val="auto"/>
                <w:sz w:val="24"/>
                <w:szCs w:val="21"/>
                <w:highlight w:val="none"/>
                <w:shd w:val="clear" w:color="auto" w:fill="auto"/>
              </w:rPr>
              <w:t>为加强监督管理，贮存、处置场应设置环境保护图形标志。</w:t>
            </w:r>
          </w:p>
          <w:p>
            <w:pPr>
              <w:bidi w:val="0"/>
              <w:rPr>
                <w:rFonts w:hint="eastAsia"/>
                <w:color w:val="auto"/>
                <w:highlight w:val="none"/>
                <w:lang w:eastAsia="zh-CN"/>
              </w:rPr>
            </w:pPr>
            <w:r>
              <w:rPr>
                <w:rFonts w:hint="eastAsia"/>
                <w:color w:val="auto"/>
                <w:highlight w:val="none"/>
                <w:lang w:eastAsia="zh-CN"/>
              </w:rPr>
              <w:t>本项目一般</w:t>
            </w:r>
            <w:r>
              <w:rPr>
                <w:rFonts w:hint="eastAsia"/>
                <w:color w:val="auto"/>
                <w:highlight w:val="none"/>
                <w:lang w:val="en-US" w:eastAsia="zh-CN"/>
              </w:rPr>
              <w:t>工业</w:t>
            </w:r>
            <w:r>
              <w:rPr>
                <w:rFonts w:hint="eastAsia"/>
                <w:color w:val="auto"/>
                <w:highlight w:val="none"/>
                <w:lang w:eastAsia="zh-CN"/>
              </w:rPr>
              <w:t>固</w:t>
            </w:r>
            <w:r>
              <w:rPr>
                <w:rFonts w:hint="eastAsia"/>
                <w:color w:val="auto"/>
                <w:highlight w:val="none"/>
                <w:lang w:val="en-US" w:eastAsia="zh-CN"/>
              </w:rPr>
              <w:t>体废物</w:t>
            </w:r>
            <w:r>
              <w:rPr>
                <w:rFonts w:hint="default"/>
                <w:color w:val="auto"/>
                <w:highlight w:val="none"/>
                <w:lang w:val="en-US" w:eastAsia="zh-CN"/>
              </w:rPr>
              <w:t>除尘灰</w:t>
            </w:r>
            <w:r>
              <w:rPr>
                <w:rFonts w:hint="eastAsia"/>
                <w:color w:val="auto"/>
                <w:highlight w:val="none"/>
                <w:lang w:val="en-US" w:eastAsia="zh-CN"/>
              </w:rPr>
              <w:t>暂存于一般固废暂存区，外售砖厂制砖</w:t>
            </w:r>
            <w:r>
              <w:rPr>
                <w:rFonts w:hint="default"/>
                <w:color w:val="auto"/>
                <w:highlight w:val="none"/>
                <w:lang w:eastAsia="zh-CN"/>
              </w:rPr>
              <w:t>；</w:t>
            </w:r>
            <w:r>
              <w:rPr>
                <w:rFonts w:hint="default"/>
                <w:color w:val="auto"/>
                <w:highlight w:val="none"/>
                <w:lang w:val="en-US" w:eastAsia="zh-CN"/>
              </w:rPr>
              <w:t>废布袋由厂家回收；污泥定期清理，</w:t>
            </w:r>
            <w:r>
              <w:rPr>
                <w:rFonts w:hint="eastAsia"/>
                <w:color w:val="auto"/>
                <w:highlight w:val="none"/>
                <w:lang w:val="en-US" w:eastAsia="zh-CN"/>
              </w:rPr>
              <w:t>直接外运填坑铺路</w:t>
            </w:r>
            <w:r>
              <w:rPr>
                <w:rFonts w:hint="default"/>
                <w:color w:val="auto"/>
                <w:highlight w:val="none"/>
                <w:lang w:val="en-US" w:eastAsia="zh-CN"/>
              </w:rPr>
              <w:t>；废料暂存于</w:t>
            </w:r>
            <w:r>
              <w:rPr>
                <w:rFonts w:hint="eastAsia"/>
                <w:color w:val="auto"/>
                <w:highlight w:val="none"/>
                <w:lang w:val="en-US" w:eastAsia="zh-CN"/>
              </w:rPr>
              <w:t>废料暂存区</w:t>
            </w:r>
            <w:r>
              <w:rPr>
                <w:rFonts w:hint="default"/>
                <w:color w:val="auto"/>
                <w:highlight w:val="none"/>
                <w:lang w:val="en-US" w:eastAsia="zh-CN"/>
              </w:rPr>
              <w:t>，</w:t>
            </w:r>
            <w:r>
              <w:rPr>
                <w:rFonts w:hint="eastAsia"/>
                <w:color w:val="auto"/>
                <w:highlight w:val="none"/>
                <w:lang w:val="en-US" w:eastAsia="zh-CN"/>
              </w:rPr>
              <w:t>外售废品回收站</w:t>
            </w:r>
            <w:r>
              <w:rPr>
                <w:rFonts w:hint="default"/>
                <w:color w:val="auto"/>
                <w:highlight w:val="none"/>
                <w:lang w:val="en-US" w:eastAsia="zh-CN"/>
              </w:rPr>
              <w:t>；</w:t>
            </w:r>
            <w:r>
              <w:rPr>
                <w:rFonts w:hint="eastAsia"/>
                <w:color w:val="auto"/>
                <w:highlight w:val="none"/>
                <w:lang w:val="en-US" w:eastAsia="zh-CN"/>
              </w:rPr>
              <w:t>废钢筋暂存于一般固废暂存区，外售废品回收站</w:t>
            </w:r>
            <w:r>
              <w:rPr>
                <w:rFonts w:hint="eastAsia"/>
                <w:color w:val="auto"/>
                <w:highlight w:val="none"/>
                <w:lang w:eastAsia="zh-CN"/>
              </w:rPr>
              <w:t>。</w:t>
            </w:r>
          </w:p>
          <w:p>
            <w:pPr>
              <w:bidi w:val="0"/>
              <w:rPr>
                <w:rFonts w:hint="default"/>
                <w:b/>
                <w:bCs/>
                <w:color w:val="auto"/>
                <w:highlight w:val="none"/>
                <w:lang w:val="en-US" w:eastAsia="zh-CN"/>
              </w:rPr>
            </w:pPr>
            <w:r>
              <w:rPr>
                <w:rFonts w:hint="eastAsia"/>
                <w:b/>
                <w:bCs/>
                <w:color w:val="auto"/>
                <w:highlight w:val="none"/>
                <w:lang w:val="en-US" w:eastAsia="zh-CN"/>
              </w:rPr>
              <w:t>4.2 生活垃圾</w:t>
            </w:r>
          </w:p>
          <w:p>
            <w:pPr>
              <w:bidi w:val="0"/>
              <w:rPr>
                <w:rFonts w:hint="default"/>
                <w:color w:val="auto"/>
                <w:highlight w:val="none"/>
              </w:rPr>
            </w:pPr>
            <w:r>
              <w:rPr>
                <w:rFonts w:hint="eastAsia"/>
                <w:color w:val="auto"/>
                <w:highlight w:val="none"/>
                <w:lang w:val="en-US" w:eastAsia="zh-CN"/>
              </w:rPr>
              <w:t>本项目职工生活会产生一定量的生活垃圾，主要为</w:t>
            </w:r>
            <w:r>
              <w:rPr>
                <w:rFonts w:hint="default"/>
                <w:color w:val="auto"/>
                <w:highlight w:val="none"/>
              </w:rPr>
              <w:t>废纸、废塑料袋等，职工产生的垃圾按0.5kg/人•天计，</w:t>
            </w:r>
            <w:r>
              <w:rPr>
                <w:rFonts w:hint="eastAsia"/>
                <w:color w:val="auto"/>
                <w:highlight w:val="none"/>
                <w:lang w:val="en-US" w:eastAsia="zh-CN"/>
              </w:rPr>
              <w:t>项目年工作250天，劳动定员为20人，</w:t>
            </w:r>
            <w:r>
              <w:rPr>
                <w:rFonts w:hint="default"/>
                <w:color w:val="auto"/>
                <w:highlight w:val="none"/>
              </w:rPr>
              <w:t>垃圾产生量为</w:t>
            </w:r>
            <w:r>
              <w:rPr>
                <w:rFonts w:hint="eastAsia"/>
                <w:color w:val="auto"/>
                <w:highlight w:val="none"/>
                <w:lang w:val="en-US" w:eastAsia="zh-CN"/>
              </w:rPr>
              <w:t>2.5t/a</w:t>
            </w:r>
            <w:r>
              <w:rPr>
                <w:rFonts w:hint="default"/>
                <w:color w:val="auto"/>
                <w:highlight w:val="none"/>
              </w:rPr>
              <w:t>，袋装化</w:t>
            </w:r>
            <w:r>
              <w:rPr>
                <w:rFonts w:hint="eastAsia"/>
                <w:color w:val="auto"/>
                <w:highlight w:val="none"/>
                <w:lang w:eastAsia="zh-CN"/>
              </w:rPr>
              <w:t>，</w:t>
            </w:r>
            <w:r>
              <w:rPr>
                <w:rFonts w:hint="default"/>
                <w:color w:val="auto"/>
                <w:highlight w:val="none"/>
              </w:rPr>
              <w:t>集中收集，送当地环卫部门指定地点统一处理。</w:t>
            </w:r>
          </w:p>
          <w:p>
            <w:pPr>
              <w:numPr>
                <w:ilvl w:val="0"/>
                <w:numId w:val="0"/>
              </w:numPr>
              <w:bidi w:val="0"/>
              <w:ind w:leftChars="200"/>
              <w:rPr>
                <w:rFonts w:hint="eastAsia"/>
                <w:b/>
                <w:bCs/>
                <w:color w:val="auto"/>
                <w:sz w:val="24"/>
                <w:szCs w:val="24"/>
                <w:highlight w:val="none"/>
                <w:lang w:val="en-US" w:eastAsia="zh-CN"/>
              </w:rPr>
            </w:pPr>
            <w:r>
              <w:rPr>
                <w:rFonts w:hint="eastAsia"/>
                <w:b/>
                <w:bCs/>
                <w:color w:val="auto"/>
                <w:sz w:val="24"/>
                <w:szCs w:val="24"/>
                <w:highlight w:val="none"/>
                <w:lang w:val="en-US" w:eastAsia="zh-CN"/>
              </w:rPr>
              <w:t>4.3危险废物</w:t>
            </w:r>
          </w:p>
          <w:p>
            <w:pPr>
              <w:bidi w:val="0"/>
              <w:rPr>
                <w:rFonts w:hint="eastAsia"/>
                <w:b/>
                <w:bCs/>
                <w:color w:val="auto"/>
                <w:sz w:val="24"/>
                <w:szCs w:val="24"/>
                <w:highlight w:val="none"/>
                <w:lang w:val="en-US" w:eastAsia="zh-CN"/>
              </w:rPr>
            </w:pPr>
            <w:r>
              <w:rPr>
                <w:rFonts w:hint="eastAsia" w:cs="Times New Roman"/>
                <w:b/>
                <w:bCs/>
                <w:color w:val="auto"/>
                <w:sz w:val="24"/>
                <w:szCs w:val="24"/>
                <w:highlight w:val="none"/>
                <w:lang w:val="en-US" w:eastAsia="zh-CN"/>
              </w:rPr>
              <w:t>4.3.1</w:t>
            </w:r>
            <w:r>
              <w:rPr>
                <w:rFonts w:hint="default"/>
                <w:b/>
                <w:bCs/>
                <w:color w:val="auto"/>
                <w:sz w:val="24"/>
                <w:szCs w:val="24"/>
                <w:highlight w:val="none"/>
              </w:rPr>
              <w:t>危险废物基本情况</w:t>
            </w:r>
          </w:p>
          <w:p>
            <w:pPr>
              <w:bidi w:val="0"/>
              <w:rPr>
                <w:rFonts w:hint="eastAsia"/>
                <w:color w:val="auto"/>
                <w:highlight w:val="none"/>
                <w:lang w:val="en-US" w:eastAsia="zh-CN"/>
              </w:rPr>
            </w:pPr>
            <w:r>
              <w:rPr>
                <w:rFonts w:hint="eastAsia" w:cs="Times New Roman"/>
                <w:snapToGrid w:val="0"/>
                <w:color w:val="auto"/>
                <w:kern w:val="0"/>
                <w:sz w:val="24"/>
                <w:szCs w:val="21"/>
                <w:highlight w:val="none"/>
                <w:shd w:val="clear" w:color="auto" w:fill="auto"/>
                <w:lang w:val="en-US" w:eastAsia="zh-CN" w:bidi="ar-SA"/>
              </w:rPr>
              <w:t>本项目产生的危险废物主要</w:t>
            </w:r>
            <w:r>
              <w:rPr>
                <w:rFonts w:hint="eastAsia" w:eastAsia="宋体"/>
                <w:b w:val="0"/>
                <w:bCs w:val="0"/>
                <w:color w:val="auto"/>
                <w:highlight w:val="none"/>
                <w:lang w:val="en-US" w:eastAsia="zh-CN"/>
              </w:rPr>
              <w:t>设备维护保养过程产生的含油废抹布、废润滑油、</w:t>
            </w:r>
            <w:r>
              <w:rPr>
                <w:rFonts w:hint="eastAsia"/>
                <w:b w:val="0"/>
                <w:bCs w:val="0"/>
                <w:color w:val="auto"/>
                <w:highlight w:val="none"/>
                <w:lang w:val="en-US" w:eastAsia="zh-CN"/>
              </w:rPr>
              <w:t>废液压油、废油桶</w:t>
            </w:r>
            <w:r>
              <w:rPr>
                <w:rFonts w:hint="eastAsia" w:cs="Times New Roman"/>
                <w:snapToGrid w:val="0"/>
                <w:color w:val="auto"/>
                <w:kern w:val="0"/>
                <w:sz w:val="24"/>
                <w:szCs w:val="21"/>
                <w:highlight w:val="none"/>
                <w:shd w:val="clear" w:color="auto" w:fill="auto"/>
                <w:lang w:val="en-US" w:eastAsia="zh-CN" w:bidi="ar-SA"/>
              </w:rPr>
              <w:t>。</w:t>
            </w:r>
          </w:p>
          <w:p>
            <w:pPr>
              <w:bidi w:val="0"/>
              <w:rPr>
                <w:rFonts w:hint="eastAsia"/>
                <w:color w:val="auto"/>
                <w:sz w:val="24"/>
                <w:szCs w:val="24"/>
                <w:highlight w:val="none"/>
                <w:lang w:eastAsia="zh-CN"/>
              </w:rPr>
            </w:pPr>
            <w:r>
              <w:rPr>
                <w:rFonts w:hint="default"/>
                <w:color w:val="auto"/>
                <w:sz w:val="24"/>
                <w:szCs w:val="24"/>
                <w:highlight w:val="none"/>
              </w:rPr>
              <w:t>根据《国家危险废物名录</w:t>
            </w:r>
            <w:r>
              <w:rPr>
                <w:rFonts w:hint="eastAsia"/>
                <w:color w:val="auto"/>
                <w:sz w:val="24"/>
                <w:szCs w:val="24"/>
                <w:highlight w:val="none"/>
              </w:rPr>
              <w:t>（2021年版）</w:t>
            </w:r>
            <w:r>
              <w:rPr>
                <w:rFonts w:hint="default"/>
                <w:color w:val="auto"/>
                <w:sz w:val="24"/>
                <w:szCs w:val="24"/>
                <w:highlight w:val="none"/>
              </w:rPr>
              <w:t>》中的规定</w:t>
            </w:r>
            <w:r>
              <w:rPr>
                <w:rFonts w:hint="eastAsia" w:eastAsia="宋体"/>
                <w:color w:val="auto"/>
                <w:sz w:val="24"/>
                <w:szCs w:val="24"/>
                <w:highlight w:val="none"/>
                <w:lang w:eastAsia="zh-CN"/>
              </w:rPr>
              <w:t>，</w:t>
            </w:r>
            <w:r>
              <w:rPr>
                <w:rFonts w:hint="eastAsia" w:ascii="Times New Roman" w:eastAsia="宋体"/>
                <w:color w:val="auto"/>
                <w:sz w:val="24"/>
                <w:szCs w:val="24"/>
                <w:highlight w:val="none"/>
                <w:lang w:val="en-US" w:eastAsia="zh-CN"/>
              </w:rPr>
              <w:t>本项目</w:t>
            </w:r>
            <w:r>
              <w:rPr>
                <w:rFonts w:hint="eastAsia" w:eastAsia="宋体"/>
                <w:color w:val="auto"/>
                <w:sz w:val="24"/>
                <w:szCs w:val="24"/>
                <w:highlight w:val="none"/>
                <w:lang w:eastAsia="zh-CN"/>
              </w:rPr>
              <w:t>危险废物类别、代码、产生量及收集、处置方式见</w:t>
            </w:r>
            <w:r>
              <w:rPr>
                <w:rFonts w:hint="eastAsia" w:ascii="Times New Roman" w:eastAsia="宋体"/>
                <w:color w:val="auto"/>
                <w:sz w:val="24"/>
                <w:szCs w:val="24"/>
                <w:highlight w:val="none"/>
                <w:lang w:val="en-US" w:eastAsia="zh-CN"/>
              </w:rPr>
              <w:t>下表</w:t>
            </w:r>
            <w:r>
              <w:rPr>
                <w:rFonts w:hint="eastAsia" w:eastAsia="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zh-CN" w:eastAsia="zh-CN"/>
              </w:rPr>
            </w:pP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34</w:t>
            </w:r>
            <w:r>
              <w:rPr>
                <w:rFonts w:hint="default" w:ascii="Times New Roman" w:hAnsi="Times New Roman" w:eastAsia="宋体" w:cs="Times New Roman"/>
                <w:b/>
                <w:bCs/>
                <w:color w:val="auto"/>
                <w:sz w:val="21"/>
                <w:szCs w:val="21"/>
                <w:highlight w:val="none"/>
                <w:shd w:val="clear" w:color="auto" w:fill="auto"/>
                <w:lang w:val="zh-CN" w:eastAsia="zh-CN"/>
              </w:rPr>
              <w:t xml:space="preserve"> </w:t>
            </w:r>
            <w:r>
              <w:rPr>
                <w:rFonts w:hint="default" w:ascii="Times New Roman" w:hAnsi="Times New Roman" w:eastAsia="宋体" w:cs="Times New Roman"/>
                <w:b/>
                <w:bCs/>
                <w:color w:val="auto"/>
                <w:sz w:val="21"/>
                <w:szCs w:val="21"/>
                <w:highlight w:val="none"/>
                <w:shd w:val="clear" w:color="auto" w:fill="auto"/>
                <w:lang w:val="en-US" w:eastAsia="zh-CN"/>
              </w:rPr>
              <w:t xml:space="preserve"> </w:t>
            </w:r>
            <w:r>
              <w:rPr>
                <w:rFonts w:hint="eastAsia" w:cs="Times New Roman"/>
                <w:b/>
                <w:bCs/>
                <w:color w:val="auto"/>
                <w:sz w:val="21"/>
                <w:szCs w:val="21"/>
                <w:highlight w:val="none"/>
                <w:shd w:val="clear" w:color="auto" w:fill="auto"/>
                <w:lang w:val="en-US" w:eastAsia="zh-CN"/>
              </w:rPr>
              <w:t>危险废物</w:t>
            </w:r>
            <w:r>
              <w:rPr>
                <w:rFonts w:hint="eastAsia" w:ascii="Times New Roman" w:hAnsi="Times New Roman" w:eastAsia="宋体" w:cs="Times New Roman"/>
                <w:b/>
                <w:bCs/>
                <w:color w:val="auto"/>
                <w:sz w:val="21"/>
                <w:szCs w:val="21"/>
                <w:highlight w:val="none"/>
                <w:shd w:val="clear" w:color="auto" w:fill="auto"/>
                <w:lang w:val="en-US" w:eastAsia="zh-CN"/>
              </w:rPr>
              <w:t>污染源及治理措施</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33"/>
              <w:gridCol w:w="909"/>
              <w:gridCol w:w="585"/>
              <w:gridCol w:w="660"/>
              <w:gridCol w:w="585"/>
              <w:gridCol w:w="585"/>
              <w:gridCol w:w="510"/>
              <w:gridCol w:w="795"/>
              <w:gridCol w:w="840"/>
              <w:gridCol w:w="809"/>
              <w:gridCol w:w="1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88" w:hRule="atLeast"/>
                <w:jc w:val="center"/>
              </w:trPr>
              <w:tc>
                <w:tcPr>
                  <w:tcW w:w="63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产生环节</w:t>
                  </w:r>
                </w:p>
              </w:tc>
              <w:tc>
                <w:tcPr>
                  <w:tcW w:w="9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名称</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属性</w:t>
                  </w:r>
                </w:p>
              </w:tc>
              <w:tc>
                <w:tcPr>
                  <w:tcW w:w="6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主要有毒有害物质名称</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物理性状</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环境危险特性</w:t>
                  </w:r>
                </w:p>
              </w:tc>
              <w:tc>
                <w:tcPr>
                  <w:tcW w:w="51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产生量</w:t>
                  </w:r>
                </w:p>
              </w:tc>
              <w:tc>
                <w:tcPr>
                  <w:tcW w:w="79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贮存方式</w:t>
                  </w:r>
                </w:p>
              </w:tc>
              <w:tc>
                <w:tcPr>
                  <w:tcW w:w="8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利用及处置方式和去向</w:t>
                  </w:r>
                </w:p>
              </w:tc>
              <w:tc>
                <w:tcPr>
                  <w:tcW w:w="8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利用或处置量</w:t>
                  </w:r>
                </w:p>
              </w:tc>
              <w:tc>
                <w:tcPr>
                  <w:tcW w:w="147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环境管理要求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633"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设备</w:t>
                  </w:r>
                  <w:r>
                    <w:rPr>
                      <w:rFonts w:hint="eastAsia" w:ascii="Times New Roman" w:hAnsi="Times New Roman" w:eastAsia="宋体" w:cs="Times New Roman"/>
                      <w:color w:val="auto"/>
                      <w:sz w:val="21"/>
                      <w:szCs w:val="21"/>
                      <w:highlight w:val="none"/>
                      <w:shd w:val="clear" w:color="auto" w:fill="auto"/>
                      <w:lang w:val="en-US" w:eastAsia="zh-CN"/>
                    </w:rPr>
                    <w:t>维护保养</w:t>
                  </w:r>
                </w:p>
              </w:tc>
              <w:tc>
                <w:tcPr>
                  <w:tcW w:w="9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含油废抹布（</w:t>
                  </w:r>
                  <w:r>
                    <w:rPr>
                      <w:rFonts w:hint="eastAsia" w:cs="Times New Roman"/>
                      <w:color w:val="auto"/>
                      <w:sz w:val="21"/>
                      <w:szCs w:val="21"/>
                      <w:highlight w:val="none"/>
                      <w:shd w:val="clear" w:color="auto" w:fill="auto"/>
                      <w:lang w:val="en-US" w:eastAsia="zh-CN"/>
                    </w:rPr>
                    <w:t xml:space="preserve">HW49 </w:t>
                  </w:r>
                  <w:r>
                    <w:rPr>
                      <w:rFonts w:hint="eastAsia" w:eastAsia="宋体" w:cs="Times New Roman"/>
                      <w:color w:val="auto"/>
                      <w:sz w:val="21"/>
                      <w:szCs w:val="21"/>
                      <w:highlight w:val="none"/>
                      <w:shd w:val="clear" w:color="auto" w:fill="auto"/>
                      <w:lang w:val="en-US" w:eastAsia="zh-CN"/>
                    </w:rPr>
                    <w:t>900-041-49）</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6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石油烃</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固态</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T/In</w:t>
                  </w:r>
                </w:p>
              </w:tc>
              <w:tc>
                <w:tcPr>
                  <w:tcW w:w="51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0.0</w:t>
                  </w:r>
                  <w:r>
                    <w:rPr>
                      <w:rFonts w:hint="eastAsia" w:cs="Times New Roman"/>
                      <w:color w:val="auto"/>
                      <w:sz w:val="21"/>
                      <w:szCs w:val="21"/>
                      <w:highlight w:val="none"/>
                      <w:shd w:val="clear" w:color="auto" w:fill="auto"/>
                      <w:lang w:val="en-US" w:eastAsia="zh-CN"/>
                    </w:rPr>
                    <w:t>25</w:t>
                  </w:r>
                  <w:r>
                    <w:rPr>
                      <w:rFonts w:hint="eastAsia" w:ascii="Times New Roman" w:hAnsi="Times New Roman" w:eastAsia="宋体" w:cs="Times New Roman"/>
                      <w:color w:val="auto"/>
                      <w:sz w:val="21"/>
                      <w:szCs w:val="21"/>
                      <w:highlight w:val="none"/>
                      <w:shd w:val="clear" w:color="auto" w:fill="auto"/>
                      <w:lang w:val="en-US" w:eastAsia="zh-CN"/>
                    </w:rPr>
                    <w:t>t/a</w:t>
                  </w:r>
                </w:p>
              </w:tc>
              <w:tc>
                <w:tcPr>
                  <w:tcW w:w="79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8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8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0.0</w:t>
                  </w:r>
                  <w:r>
                    <w:rPr>
                      <w:rFonts w:hint="eastAsia" w:cs="Times New Roman"/>
                      <w:color w:val="auto"/>
                      <w:sz w:val="21"/>
                      <w:szCs w:val="21"/>
                      <w:highlight w:val="none"/>
                      <w:shd w:val="clear" w:color="auto" w:fill="auto"/>
                      <w:lang w:val="en-US" w:eastAsia="zh-CN"/>
                    </w:rPr>
                    <w:t>25</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479"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危险废物的收集及临时存放应严格执行</w:t>
                  </w:r>
                  <w:r>
                    <w:rPr>
                      <w:rFonts w:hint="eastAsia" w:cs="Times New Roman"/>
                      <w:color w:val="auto"/>
                      <w:sz w:val="21"/>
                      <w:szCs w:val="21"/>
                      <w:highlight w:val="none"/>
                      <w:shd w:val="clear" w:color="auto" w:fill="auto"/>
                      <w:lang w:eastAsia="zh-CN"/>
                    </w:rPr>
                    <w:t>《危险废物贮存污染控制标准》（GB18597-2023）</w:t>
                  </w:r>
                  <w:r>
                    <w:rPr>
                      <w:rFonts w:hint="eastAsia" w:ascii="Times New Roman" w:hAnsi="Times New Roman" w:eastAsia="宋体" w:cs="Times New Roman"/>
                      <w:color w:val="auto"/>
                      <w:sz w:val="21"/>
                      <w:szCs w:val="21"/>
                      <w:highlight w:val="none"/>
                      <w:shd w:val="clear" w:color="auto" w:fill="auto"/>
                      <w:lang w:eastAsia="zh-CN"/>
                    </w:rPr>
                    <w:t>；</w:t>
                  </w:r>
                  <w:r>
                    <w:rPr>
                      <w:rFonts w:hint="eastAsia" w:eastAsia="宋体" w:cs="Times New Roman"/>
                      <w:color w:val="auto"/>
                      <w:sz w:val="21"/>
                      <w:szCs w:val="21"/>
                      <w:highlight w:val="none"/>
                      <w:shd w:val="clear" w:color="auto" w:fill="auto"/>
                      <w:lang w:val="en-US" w:eastAsia="zh-CN"/>
                    </w:rPr>
                    <w:t>按</w:t>
                  </w:r>
                  <w:r>
                    <w:rPr>
                      <w:rFonts w:hint="eastAsia" w:eastAsia="宋体" w:cs="Times New Roman"/>
                      <w:color w:val="auto"/>
                      <w:sz w:val="21"/>
                      <w:szCs w:val="21"/>
                      <w:highlight w:val="none"/>
                      <w:shd w:val="clear" w:color="auto" w:fill="auto"/>
                      <w:lang w:eastAsia="zh-CN"/>
                    </w:rPr>
                    <w:t>照《环境保护图形标志》（GB15562-1995）</w:t>
                  </w:r>
                  <w:r>
                    <w:rPr>
                      <w:rFonts w:hint="eastAsia" w:cs="Times New Roman"/>
                      <w:color w:val="auto"/>
                      <w:sz w:val="21"/>
                      <w:szCs w:val="21"/>
                      <w:highlight w:val="none"/>
                      <w:shd w:val="clear" w:color="auto" w:fill="auto"/>
                      <w:lang w:val="en-US" w:eastAsia="zh-CN"/>
                    </w:rPr>
                    <w:t>及修改单</w:t>
                  </w:r>
                  <w:r>
                    <w:rPr>
                      <w:rFonts w:hint="eastAsia" w:eastAsia="宋体" w:cs="Times New Roman"/>
                      <w:color w:val="auto"/>
                      <w:sz w:val="21"/>
                      <w:szCs w:val="21"/>
                      <w:highlight w:val="none"/>
                      <w:shd w:val="clear" w:color="auto" w:fill="auto"/>
                      <w:lang w:eastAsia="zh-CN"/>
                    </w:rPr>
                    <w:t>的要求对</w:t>
                  </w:r>
                  <w:r>
                    <w:rPr>
                      <w:rFonts w:hint="eastAsia" w:eastAsia="宋体" w:cs="Times New Roman"/>
                      <w:color w:val="auto"/>
                      <w:sz w:val="21"/>
                      <w:szCs w:val="21"/>
                      <w:highlight w:val="none"/>
                      <w:shd w:val="clear" w:color="auto" w:fill="auto"/>
                      <w:lang w:val="en-US" w:eastAsia="zh-CN"/>
                    </w:rPr>
                    <w:t>危险废物</w:t>
                  </w:r>
                  <w:r>
                    <w:rPr>
                      <w:rFonts w:hint="eastAsia" w:eastAsia="宋体" w:cs="Times New Roman"/>
                      <w:color w:val="auto"/>
                      <w:sz w:val="21"/>
                      <w:szCs w:val="21"/>
                      <w:highlight w:val="none"/>
                      <w:shd w:val="clear" w:color="auto" w:fill="auto"/>
                      <w:lang w:eastAsia="zh-CN"/>
                    </w:rPr>
                    <w:t>的临时存放场所设置环境保护图形标志牌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97" w:hRule="atLeast"/>
                <w:jc w:val="center"/>
              </w:trPr>
              <w:tc>
                <w:tcPr>
                  <w:tcW w:w="6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9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w:t>
                  </w:r>
                  <w:r>
                    <w:rPr>
                      <w:rFonts w:hint="eastAsia" w:eastAsia="宋体" w:cs="Times New Roman"/>
                      <w:color w:val="auto"/>
                      <w:sz w:val="21"/>
                      <w:szCs w:val="21"/>
                      <w:highlight w:val="none"/>
                      <w:shd w:val="clear" w:color="auto" w:fill="auto"/>
                      <w:lang w:val="en-US" w:eastAsia="zh-CN"/>
                    </w:rPr>
                    <w:t>润滑油</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 xml:space="preserve">HW08 </w:t>
                  </w: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eastAsia="宋体" w:cs="Times New Roman"/>
                      <w:color w:val="auto"/>
                      <w:sz w:val="21"/>
                      <w:szCs w:val="21"/>
                      <w:highlight w:val="none"/>
                      <w:shd w:val="clear" w:color="auto" w:fill="auto"/>
                      <w:lang w:val="en-US" w:eastAsia="zh-CN"/>
                    </w:rPr>
                    <w:t>7</w:t>
                  </w:r>
                  <w:r>
                    <w:rPr>
                      <w:rFonts w:hint="eastAsia" w:ascii="Times New Roman" w:hAnsi="Times New Roman" w:eastAsia="宋体" w:cs="Times New Roman"/>
                      <w:color w:val="auto"/>
                      <w:sz w:val="21"/>
                      <w:szCs w:val="21"/>
                      <w:highlight w:val="none"/>
                      <w:shd w:val="clear" w:color="auto" w:fill="auto"/>
                      <w:lang w:val="en-US" w:eastAsia="zh-CN"/>
                    </w:rPr>
                    <w:t>-08）</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6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石油烃</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51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t/a</w:t>
                  </w:r>
                </w:p>
              </w:tc>
              <w:tc>
                <w:tcPr>
                  <w:tcW w:w="79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8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8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47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62" w:hRule="atLeast"/>
                <w:jc w:val="center"/>
              </w:trPr>
              <w:tc>
                <w:tcPr>
                  <w:tcW w:w="6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p>
              </w:tc>
              <w:tc>
                <w:tcPr>
                  <w:tcW w:w="9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 xml:space="preserve">废液压油（HW08 </w:t>
                  </w:r>
                  <w:r>
                    <w:rPr>
                      <w:rFonts w:hint="eastAsia" w:ascii="Times New Roman" w:hAnsi="Times New Roman" w:eastAsia="宋体" w:cs="Times New Roman"/>
                      <w:color w:val="auto"/>
                      <w:sz w:val="21"/>
                      <w:szCs w:val="21"/>
                      <w:highlight w:val="none"/>
                      <w:shd w:val="clear" w:color="auto" w:fill="auto"/>
                      <w:lang w:val="en-US" w:eastAsia="zh-CN"/>
                    </w:rPr>
                    <w:t>900-21</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-08</w:t>
                  </w:r>
                  <w:r>
                    <w:rPr>
                      <w:rFonts w:hint="eastAsia" w:cs="Times New Roman"/>
                      <w:color w:val="auto"/>
                      <w:sz w:val="21"/>
                      <w:szCs w:val="21"/>
                      <w:highlight w:val="none"/>
                      <w:shd w:val="clear" w:color="auto" w:fill="auto"/>
                      <w:lang w:val="en-US" w:eastAsia="zh-CN"/>
                    </w:rPr>
                    <w:t>）</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6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石油烃</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液态</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51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val="en-US" w:eastAsia="zh-CN"/>
                    </w:rPr>
                    <w:t>t/a</w:t>
                  </w:r>
                </w:p>
              </w:tc>
              <w:tc>
                <w:tcPr>
                  <w:tcW w:w="79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桶装加盖，暂存于危废间</w:t>
                  </w:r>
                </w:p>
              </w:tc>
              <w:tc>
                <w:tcPr>
                  <w:tcW w:w="8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8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2</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47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68" w:hRule="atLeast"/>
                <w:jc w:val="center"/>
              </w:trPr>
              <w:tc>
                <w:tcPr>
                  <w:tcW w:w="633"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c>
                <w:tcPr>
                  <w:tcW w:w="9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废油桶</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 xml:space="preserve">HW08 </w:t>
                  </w:r>
                  <w:r>
                    <w:rPr>
                      <w:rFonts w:hint="eastAsia" w:ascii="Times New Roman" w:hAnsi="Times New Roman" w:eastAsia="宋体" w:cs="Times New Roman"/>
                      <w:color w:val="auto"/>
                      <w:sz w:val="21"/>
                      <w:szCs w:val="21"/>
                      <w:highlight w:val="none"/>
                      <w:shd w:val="clear" w:color="auto" w:fill="auto"/>
                      <w:lang w:val="en-US" w:eastAsia="zh-CN"/>
                    </w:rPr>
                    <w:t>900-249-08）</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危险废物</w:t>
                  </w:r>
                </w:p>
              </w:tc>
              <w:tc>
                <w:tcPr>
                  <w:tcW w:w="66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石油烃</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固态</w:t>
                  </w:r>
                </w:p>
              </w:tc>
              <w:tc>
                <w:tcPr>
                  <w:tcW w:w="58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T，I</w:t>
                  </w:r>
                </w:p>
              </w:tc>
              <w:tc>
                <w:tcPr>
                  <w:tcW w:w="51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08</w:t>
                  </w:r>
                  <w:r>
                    <w:rPr>
                      <w:rFonts w:hint="eastAsia" w:ascii="Times New Roman" w:hAnsi="Times New Roman" w:eastAsia="宋体" w:cs="Times New Roman"/>
                      <w:color w:val="auto"/>
                      <w:sz w:val="21"/>
                      <w:szCs w:val="21"/>
                      <w:highlight w:val="none"/>
                      <w:shd w:val="clear" w:color="auto" w:fill="auto"/>
                      <w:lang w:val="en-US" w:eastAsia="zh-CN"/>
                    </w:rPr>
                    <w:t>t/a</w:t>
                  </w:r>
                </w:p>
              </w:tc>
              <w:tc>
                <w:tcPr>
                  <w:tcW w:w="79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加盖，暂存于危废间</w:t>
                  </w:r>
                </w:p>
              </w:tc>
              <w:tc>
                <w:tcPr>
                  <w:tcW w:w="840"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定期委托有资质单位进行处置</w:t>
                  </w:r>
                </w:p>
              </w:tc>
              <w:tc>
                <w:tcPr>
                  <w:tcW w:w="809"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0.</w:t>
                  </w:r>
                  <w:r>
                    <w:rPr>
                      <w:rFonts w:hint="eastAsia" w:cs="Times New Roman"/>
                      <w:color w:val="auto"/>
                      <w:sz w:val="21"/>
                      <w:szCs w:val="21"/>
                      <w:highlight w:val="none"/>
                      <w:shd w:val="clear" w:color="auto" w:fill="auto"/>
                      <w:lang w:val="en-US" w:eastAsia="zh-CN"/>
                    </w:rPr>
                    <w:t>08</w:t>
                  </w:r>
                  <w:r>
                    <w:rPr>
                      <w:rFonts w:hint="eastAsia" w:ascii="Times New Roman" w:hAnsi="Times New Roman" w:eastAsia="宋体" w:cs="Times New Roman"/>
                      <w:color w:val="auto"/>
                      <w:sz w:val="21"/>
                      <w:szCs w:val="21"/>
                      <w:highlight w:val="none"/>
                      <w:shd w:val="clear" w:color="auto" w:fill="auto"/>
                      <w:lang w:val="en-US" w:eastAsia="zh-CN"/>
                    </w:rPr>
                    <w:t>t/a</w:t>
                  </w:r>
                </w:p>
              </w:tc>
              <w:tc>
                <w:tcPr>
                  <w:tcW w:w="1479"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24" w:leftChars="-10" w:right="-24" w:rightChars="-10"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pPr>
              <w:pStyle w:val="14"/>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rightChars="0" w:firstLine="482" w:firstLineChars="200"/>
              <w:textAlignment w:val="auto"/>
              <w:rPr>
                <w:rFonts w:hint="default"/>
                <w:b/>
                <w:bCs/>
                <w:color w:val="auto"/>
                <w:sz w:val="24"/>
                <w:szCs w:val="24"/>
                <w:highlight w:val="none"/>
              </w:rPr>
            </w:pPr>
            <w:r>
              <w:rPr>
                <w:rFonts w:hint="eastAsia" w:cs="Times New Roman"/>
                <w:b/>
                <w:bCs/>
                <w:color w:val="auto"/>
                <w:sz w:val="24"/>
                <w:szCs w:val="24"/>
                <w:highlight w:val="none"/>
                <w:lang w:val="en-US" w:eastAsia="zh-CN"/>
              </w:rPr>
              <w:t>4.3.2</w:t>
            </w:r>
            <w:r>
              <w:rPr>
                <w:rFonts w:hint="default"/>
                <w:b/>
                <w:bCs/>
                <w:color w:val="auto"/>
                <w:sz w:val="24"/>
                <w:szCs w:val="24"/>
                <w:highlight w:val="none"/>
              </w:rPr>
              <w:t>危险废物环境管理要求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危险废物应按</w:t>
            </w:r>
            <w:r>
              <w:rPr>
                <w:rFonts w:hint="eastAsia"/>
                <w:color w:val="auto"/>
                <w:sz w:val="24"/>
                <w:szCs w:val="24"/>
                <w:highlight w:val="none"/>
                <w:lang w:eastAsia="zh-CN"/>
              </w:rPr>
              <w:t>《危险废物贮存污染控制标准》（GB18597-2023）</w:t>
            </w:r>
            <w:r>
              <w:rPr>
                <w:rFonts w:hint="default"/>
                <w:color w:val="auto"/>
                <w:sz w:val="24"/>
                <w:szCs w:val="24"/>
                <w:highlight w:val="none"/>
              </w:rPr>
              <w:t>、《危险废物收集、贮存、运输技术规范》</w:t>
            </w:r>
            <w:r>
              <w:rPr>
                <w:rFonts w:hint="eastAsia"/>
                <w:color w:val="auto"/>
                <w:sz w:val="24"/>
                <w:szCs w:val="24"/>
                <w:highlight w:val="none"/>
                <w:lang w:eastAsia="zh-CN"/>
              </w:rPr>
              <w:t>（</w:t>
            </w:r>
            <w:r>
              <w:rPr>
                <w:rFonts w:hint="default"/>
                <w:color w:val="auto"/>
                <w:sz w:val="24"/>
                <w:szCs w:val="24"/>
                <w:highlight w:val="none"/>
              </w:rPr>
              <w:t>HJ2025-2012</w:t>
            </w:r>
            <w:r>
              <w:rPr>
                <w:rFonts w:hint="eastAsia"/>
                <w:color w:val="auto"/>
                <w:sz w:val="24"/>
                <w:szCs w:val="24"/>
                <w:highlight w:val="none"/>
                <w:lang w:eastAsia="zh-CN"/>
              </w:rPr>
              <w:t>）</w:t>
            </w:r>
            <w:r>
              <w:rPr>
                <w:rFonts w:hint="default"/>
                <w:color w:val="auto"/>
                <w:sz w:val="24"/>
                <w:szCs w:val="24"/>
                <w:highlight w:val="none"/>
              </w:rPr>
              <w:t>和《河北省环境保护厅办公室关于建设全省危险废物智能监控体系的通知》</w:t>
            </w:r>
            <w:r>
              <w:rPr>
                <w:rFonts w:hint="eastAsia"/>
                <w:color w:val="auto"/>
                <w:sz w:val="24"/>
                <w:szCs w:val="24"/>
                <w:highlight w:val="none"/>
                <w:lang w:eastAsia="zh-CN"/>
              </w:rPr>
              <w:t>（</w:t>
            </w:r>
            <w:r>
              <w:rPr>
                <w:rFonts w:hint="default"/>
                <w:color w:val="auto"/>
                <w:sz w:val="24"/>
                <w:szCs w:val="24"/>
                <w:highlight w:val="none"/>
              </w:rPr>
              <w:t>冀环办发[2017]11</w:t>
            </w:r>
            <w:r>
              <w:rPr>
                <w:rFonts w:hint="eastAsia"/>
                <w:color w:val="auto"/>
                <w:sz w:val="24"/>
                <w:szCs w:val="24"/>
                <w:highlight w:val="none"/>
              </w:rPr>
              <w:t>2号</w:t>
            </w:r>
            <w:r>
              <w:rPr>
                <w:rFonts w:hint="eastAsia"/>
                <w:color w:val="auto"/>
                <w:sz w:val="24"/>
                <w:szCs w:val="24"/>
                <w:highlight w:val="none"/>
                <w:lang w:eastAsia="zh-CN"/>
              </w:rPr>
              <w:t>）</w:t>
            </w:r>
            <w:r>
              <w:rPr>
                <w:rFonts w:hint="default"/>
                <w:color w:val="auto"/>
                <w:sz w:val="24"/>
                <w:szCs w:val="24"/>
                <w:highlight w:val="none"/>
              </w:rPr>
              <w:t>、《关于发布&lt;建设项目危险废物环境影响评价指南&gt;的公告》（环境保护部公告2017年第43号）中的相关内容要求进行处理处置。</w:t>
            </w:r>
          </w:p>
          <w:p>
            <w:pPr>
              <w:bidi w:val="0"/>
              <w:rPr>
                <w:rFonts w:hint="default"/>
                <w:color w:val="auto"/>
                <w:highlight w:val="none"/>
              </w:rPr>
            </w:pPr>
            <w:r>
              <w:rPr>
                <w:rFonts w:hint="default"/>
                <w:color w:val="auto"/>
                <w:highlight w:val="none"/>
              </w:rPr>
              <w:t>本项目</w:t>
            </w:r>
            <w:r>
              <w:rPr>
                <w:rFonts w:hint="eastAsia"/>
                <w:color w:val="auto"/>
                <w:highlight w:val="none"/>
                <w:lang w:val="en-US" w:eastAsia="zh-CN"/>
              </w:rPr>
              <w:t>建成后</w:t>
            </w:r>
            <w:r>
              <w:rPr>
                <w:rFonts w:hint="default"/>
                <w:color w:val="auto"/>
                <w:highlight w:val="none"/>
              </w:rPr>
              <w:t>拟采取以下措施：</w:t>
            </w:r>
          </w:p>
          <w:p>
            <w:pPr>
              <w:bidi w:val="0"/>
              <w:rPr>
                <w:rFonts w:hint="default"/>
                <w:color w:val="auto"/>
                <w:highlight w:val="none"/>
              </w:rPr>
            </w:pPr>
            <w:r>
              <w:rPr>
                <w:rFonts w:hint="eastAsia"/>
                <w:color w:val="auto"/>
                <w:highlight w:val="none"/>
                <w:lang w:val="en-US" w:eastAsia="zh-CN"/>
              </w:rPr>
              <w:t>4.3.2.1</w:t>
            </w:r>
            <w:r>
              <w:rPr>
                <w:rFonts w:hint="default"/>
                <w:color w:val="auto"/>
                <w:highlight w:val="none"/>
              </w:rPr>
              <w:t>危险废物收集</w:t>
            </w:r>
            <w:r>
              <w:rPr>
                <w:rFonts w:hint="default"/>
                <w:color w:val="auto"/>
                <w:highlight w:val="none"/>
              </w:rPr>
              <w:tab/>
            </w:r>
          </w:p>
          <w:p>
            <w:pPr>
              <w:bidi w:val="0"/>
              <w:rPr>
                <w:rFonts w:hint="default"/>
                <w:color w:val="auto"/>
                <w:highlight w:val="none"/>
              </w:rPr>
            </w:pPr>
            <w:r>
              <w:rPr>
                <w:rFonts w:hint="default"/>
                <w:color w:val="auto"/>
                <w:highlight w:val="none"/>
              </w:rPr>
              <w:t>将</w:t>
            </w:r>
            <w:r>
              <w:rPr>
                <w:rFonts w:hint="eastAsia"/>
                <w:color w:val="auto"/>
                <w:highlight w:val="none"/>
                <w:lang w:val="en-US" w:eastAsia="zh-CN"/>
              </w:rPr>
              <w:t>含油废抹布、废润滑油、废液压油桶装加盖收集，</w:t>
            </w:r>
            <w:r>
              <w:rPr>
                <w:rFonts w:hint="default"/>
                <w:color w:val="auto"/>
                <w:highlight w:val="none"/>
              </w:rPr>
              <w:t>容器</w:t>
            </w:r>
            <w:r>
              <w:rPr>
                <w:rFonts w:hint="eastAsia"/>
                <w:color w:val="auto"/>
                <w:highlight w:val="none"/>
                <w:lang w:val="en-US" w:eastAsia="zh-CN"/>
              </w:rPr>
              <w:t>应达到防渗、防漏、防腐和强度等要求，内部留有适当的空间，以适应因温度变化等可能引发的收缩和膨胀，防止其导致容器渗漏或永久变形</w:t>
            </w:r>
            <w:r>
              <w:rPr>
                <w:rFonts w:hint="default"/>
                <w:color w:val="auto"/>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eastAsia"/>
                <w:color w:val="auto"/>
                <w:sz w:val="24"/>
                <w:szCs w:val="24"/>
                <w:highlight w:val="none"/>
                <w:lang w:val="en-US" w:eastAsia="zh-CN"/>
              </w:rPr>
              <w:t>4.3.2.2</w:t>
            </w:r>
            <w:r>
              <w:rPr>
                <w:rFonts w:hint="default"/>
                <w:color w:val="auto"/>
                <w:sz w:val="24"/>
                <w:szCs w:val="24"/>
                <w:highlight w:val="none"/>
              </w:rPr>
              <w:t>危险废物贮存</w:t>
            </w:r>
          </w:p>
          <w:p>
            <w:pPr>
              <w:bidi w:val="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贮存设施选址要求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①贮存设施选址应满足生态环境保护法律法规、规划和“三线一单”生态环境分区管控的要求，建设项目应依法进行环境影响评价。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集中贮存设施不应选在生态保护红线区域、永久基本农田和其他需要特别保护的区域内，不应建在溶洞区或易遭受洪水、滑坡、泥石流、潮汐等严重自然灾害影响的地区</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③贮存设施不应选在江河、湖泊、运河、渠道、水库及其最高水位线以下的滩地和岸坡，以及法律法规规定禁止贮存危险废物的其他地点</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④贮存设施场址的位置以及其与周围环境敏感目标的距离应依据环境影响评价文件确定</w:t>
            </w:r>
            <w:r>
              <w:rPr>
                <w:rFonts w:hint="eastAsia"/>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本项目的建设满足生态环境保护法律法规、规划和“三线一单”生态环境分区管控的要求，不在</w:t>
            </w:r>
            <w:r>
              <w:rPr>
                <w:rFonts w:hint="default"/>
                <w:color w:val="auto"/>
                <w:highlight w:val="none"/>
                <w:lang w:val="en-US" w:eastAsia="zh-CN"/>
              </w:rPr>
              <w:t>生态保护红线区域、永久基本农田和其他需要特别保护的区域内，不在溶洞区或易遭受洪水、滑坡、泥石流、潮汐等严重自然灾害影响的地区</w:t>
            </w:r>
            <w:r>
              <w:rPr>
                <w:rFonts w:hint="eastAsia"/>
                <w:color w:val="auto"/>
                <w:highlight w:val="none"/>
                <w:lang w:val="en-US" w:eastAsia="zh-CN"/>
              </w:rPr>
              <w:t>，不在</w:t>
            </w:r>
            <w:r>
              <w:rPr>
                <w:rFonts w:hint="default"/>
                <w:color w:val="auto"/>
                <w:highlight w:val="none"/>
                <w:lang w:val="en-US" w:eastAsia="zh-CN"/>
              </w:rPr>
              <w:t>江河、湖泊、运河、渠道、水库及其最高水位线以下的滩地和岸坡</w:t>
            </w:r>
            <w:r>
              <w:rPr>
                <w:rFonts w:hint="eastAsia"/>
                <w:color w:val="auto"/>
                <w:highlight w:val="none"/>
                <w:lang w:val="en-US" w:eastAsia="zh-CN"/>
              </w:rPr>
              <w:t>，同时不在</w:t>
            </w:r>
            <w:r>
              <w:rPr>
                <w:rFonts w:hint="default"/>
                <w:color w:val="auto"/>
                <w:highlight w:val="none"/>
                <w:lang w:val="en-US" w:eastAsia="zh-CN"/>
              </w:rPr>
              <w:t>法律法规规定禁止贮存危险废物的其他地点</w:t>
            </w:r>
            <w:r>
              <w:rPr>
                <w:rFonts w:hint="eastAsia"/>
                <w:color w:val="auto"/>
                <w:highlight w:val="none"/>
                <w:lang w:val="en-US" w:eastAsia="zh-CN"/>
              </w:rPr>
              <w:t>，满足贮存设施选址要求。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lang w:val="en-US" w:eastAsia="zh-CN"/>
              </w:rPr>
              <w:t>贮存设施污染控制要求</w:t>
            </w:r>
          </w:p>
          <w:p>
            <w:pPr>
              <w:bidi w:val="0"/>
              <w:rPr>
                <w:rFonts w:hint="eastAsia"/>
                <w:color w:val="auto"/>
                <w:highlight w:val="none"/>
                <w:lang w:val="en-US" w:eastAsia="zh-CN"/>
              </w:rPr>
            </w:pPr>
            <w:r>
              <w:rPr>
                <w:rFonts w:hint="eastAsia"/>
                <w:color w:val="auto"/>
                <w:highlight w:val="none"/>
                <w:lang w:val="en-US" w:eastAsia="zh-CN"/>
              </w:rPr>
              <w:t>①贮存设施应根据危险废物的形态、物理化学性质、包装形式和污染物迁移途径，采取必要的防风、防晒、防雨、防漏、防渗、防腐以及其他环境污染防治措施，不得露天堆放危险废物。</w:t>
            </w:r>
          </w:p>
          <w:p>
            <w:pPr>
              <w:bidi w:val="0"/>
              <w:rPr>
                <w:rFonts w:hint="default"/>
                <w:color w:val="auto"/>
                <w:highlight w:val="none"/>
                <w:lang w:val="en-US" w:eastAsia="zh-CN"/>
              </w:rPr>
            </w:pPr>
            <w:r>
              <w:rPr>
                <w:rFonts w:hint="default"/>
                <w:color w:val="auto"/>
                <w:highlight w:val="none"/>
                <w:lang w:val="en-US" w:eastAsia="zh-CN"/>
              </w:rPr>
              <w:t>②贮存设施或贮存分区内地面、墙面裙脚、堵截泄漏的围堰、接触危险废物的隔板和墙体等应采用坚固的材料建造，表面无裂缝</w:t>
            </w:r>
            <w:r>
              <w:rPr>
                <w:rFonts w:hint="eastAsia"/>
                <w:color w:val="auto"/>
                <w:highlight w:val="none"/>
                <w:lang w:val="en-US" w:eastAsia="zh-CN"/>
              </w:rPr>
              <w:t>。</w:t>
            </w:r>
          </w:p>
          <w:p>
            <w:pPr>
              <w:bidi w:val="0"/>
              <w:rPr>
                <w:rFonts w:hint="default"/>
                <w:color w:val="auto"/>
                <w:sz w:val="24"/>
                <w:szCs w:val="24"/>
                <w:highlight w:val="none"/>
                <w:lang w:val="en-US" w:eastAsia="zh-CN"/>
              </w:rPr>
            </w:pPr>
            <w:r>
              <w:rPr>
                <w:rFonts w:hint="default"/>
                <w:color w:val="auto"/>
                <w:sz w:val="24"/>
                <w:szCs w:val="24"/>
                <w:highlight w:val="none"/>
                <w:lang w:val="en-US" w:eastAsia="zh-CN"/>
              </w:rPr>
              <w:t>③贮存设施地面与裙脚应采取表面防渗措施；表面防渗材料应与所接触的物料或污染物相容，可采用抗渗混凝土、高密度聚乙烯膜、钠基膨润土防水毯或其他防渗性能等效的材料。贮存的危险废物直接接触地面的，</w:t>
            </w:r>
            <w:r>
              <w:rPr>
                <w:rFonts w:hint="eastAsia"/>
                <w:color w:val="auto"/>
                <w:sz w:val="24"/>
                <w:szCs w:val="24"/>
                <w:highlight w:val="none"/>
                <w:lang w:val="en-US" w:eastAsia="zh-CN"/>
              </w:rPr>
              <w:t>需</w:t>
            </w:r>
            <w:r>
              <w:rPr>
                <w:rFonts w:hint="default"/>
                <w:color w:val="auto"/>
                <w:sz w:val="24"/>
                <w:szCs w:val="24"/>
                <w:highlight w:val="none"/>
                <w:lang w:val="en-US" w:eastAsia="zh-CN"/>
              </w:rPr>
              <w:t>进行基础防渗，防渗层为至少1m厚黏土层（渗透系数不大于10</w:t>
            </w:r>
            <w:r>
              <w:rPr>
                <w:rFonts w:hint="default"/>
                <w:color w:val="auto"/>
                <w:sz w:val="24"/>
                <w:szCs w:val="24"/>
                <w:highlight w:val="none"/>
                <w:vertAlign w:val="superscript"/>
                <w:lang w:val="en-US" w:eastAsia="zh-CN"/>
              </w:rPr>
              <w:t>-7</w:t>
            </w:r>
            <w:r>
              <w:rPr>
                <w:rFonts w:hint="default"/>
                <w:color w:val="auto"/>
                <w:sz w:val="24"/>
                <w:szCs w:val="24"/>
                <w:highlight w:val="none"/>
                <w:lang w:val="en-US" w:eastAsia="zh-CN"/>
              </w:rPr>
              <w:t>cm/s），或至少2mm厚高密度聚乙烯膜等人工防渗材料（渗透系数不大于10</w:t>
            </w:r>
            <w:r>
              <w:rPr>
                <w:rFonts w:hint="default"/>
                <w:color w:val="auto"/>
                <w:sz w:val="24"/>
                <w:szCs w:val="24"/>
                <w:highlight w:val="none"/>
                <w:vertAlign w:val="superscript"/>
                <w:lang w:val="en-US" w:eastAsia="zh-CN"/>
              </w:rPr>
              <w:t>-10</w:t>
            </w:r>
            <w:r>
              <w:rPr>
                <w:rFonts w:hint="default"/>
                <w:color w:val="auto"/>
                <w:sz w:val="24"/>
                <w:szCs w:val="24"/>
                <w:highlight w:val="none"/>
                <w:lang w:val="en-US" w:eastAsia="zh-CN"/>
              </w:rPr>
              <w:t>cm/s），或其他防渗性能等效的材料</w:t>
            </w:r>
            <w:r>
              <w:rPr>
                <w:rFonts w:hint="eastAsia"/>
                <w:color w:val="auto"/>
                <w:sz w:val="24"/>
                <w:szCs w:val="24"/>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④同一贮存设施宜采用相同的防渗、防腐工艺（包括防渗、防腐结构或材料），防渗、防腐材料应覆盖所有可能与废物及其渗滤液、渗漏液等接触的构筑物表面；采用不同防渗、防腐工艺应分别建设贮存分区</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⑤采取技术和管理措施防止无关人员进入</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⑥贮存库内不同贮存分区之间应采取隔离措施。隔离措施可根据危险废物特性采用过道、隔板或隔墙等方式</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⑦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⑧贮存易产生粉尘、VOCs、酸雾、有毒有害大气污染物和刺激性气味气体的危险废物贮存库，应设置气体收集装置和气体净化设施；气体净化设施的排气筒高度应符合GB16297要求</w:t>
            </w:r>
            <w:r>
              <w:rPr>
                <w:rFonts w:hint="eastAsia"/>
                <w:color w:val="auto"/>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w:t>
            </w:r>
            <w:r>
              <w:rPr>
                <w:rFonts w:hint="eastAsia"/>
                <w:color w:val="auto"/>
                <w:sz w:val="24"/>
                <w:szCs w:val="24"/>
                <w:highlight w:val="none"/>
                <w:vertAlign w:val="baseline"/>
                <w:lang w:val="en-US" w:eastAsia="zh-CN"/>
              </w:rPr>
              <w:t>在综合车间外西北侧设置一座6m</w:t>
            </w:r>
            <w:r>
              <w:rPr>
                <w:rFonts w:hint="eastAsia"/>
                <w:color w:val="auto"/>
                <w:sz w:val="24"/>
                <w:szCs w:val="24"/>
                <w:highlight w:val="none"/>
                <w:vertAlign w:val="superscript"/>
                <w:lang w:val="en-US" w:eastAsia="zh-CN"/>
              </w:rPr>
              <w:t>2</w:t>
            </w:r>
            <w:r>
              <w:rPr>
                <w:rFonts w:hint="eastAsia"/>
                <w:color w:val="auto"/>
                <w:sz w:val="24"/>
                <w:szCs w:val="24"/>
                <w:highlight w:val="none"/>
                <w:vertAlign w:val="baseline"/>
                <w:lang w:val="en-US" w:eastAsia="zh-CN"/>
              </w:rPr>
              <w:t>的危废间，用于暂存生产过程产生的危险废物，</w:t>
            </w:r>
            <w:r>
              <w:rPr>
                <w:rFonts w:hint="default"/>
                <w:color w:val="auto"/>
                <w:sz w:val="24"/>
                <w:szCs w:val="24"/>
                <w:highlight w:val="none"/>
                <w:lang w:val="en-US" w:eastAsia="zh-CN"/>
              </w:rPr>
              <w:t>贮存设施内地面、墙面裙脚、堵截泄漏的围堰、接触危险废物的隔板和墙体等采用坚固的材料建造，表面无裂缝</w:t>
            </w:r>
            <w:r>
              <w:rPr>
                <w:rFonts w:hint="eastAsia"/>
                <w:color w:val="auto"/>
                <w:sz w:val="24"/>
                <w:szCs w:val="24"/>
                <w:highlight w:val="none"/>
                <w:lang w:val="en-US" w:eastAsia="zh-CN"/>
              </w:rPr>
              <w:t>；</w:t>
            </w:r>
            <w:r>
              <w:rPr>
                <w:rFonts w:hint="default"/>
                <w:color w:val="auto"/>
                <w:sz w:val="24"/>
                <w:szCs w:val="24"/>
                <w:highlight w:val="none"/>
                <w:lang w:val="en-US" w:eastAsia="zh-CN"/>
              </w:rPr>
              <w:t>地面与裙脚</w:t>
            </w:r>
            <w:r>
              <w:rPr>
                <w:rFonts w:hint="eastAsia"/>
                <w:color w:val="auto"/>
                <w:sz w:val="24"/>
                <w:szCs w:val="24"/>
                <w:highlight w:val="none"/>
                <w:lang w:val="en-US" w:eastAsia="zh-CN"/>
              </w:rPr>
              <w:t>按要求</w:t>
            </w:r>
            <w:r>
              <w:rPr>
                <w:rFonts w:hint="default"/>
                <w:color w:val="auto"/>
                <w:sz w:val="24"/>
                <w:szCs w:val="24"/>
                <w:highlight w:val="none"/>
                <w:lang w:val="en-US" w:eastAsia="zh-CN"/>
              </w:rPr>
              <w:t>采取表面防渗措施</w:t>
            </w:r>
            <w:r>
              <w:rPr>
                <w:rFonts w:hint="eastAsia"/>
                <w:color w:val="auto"/>
                <w:sz w:val="24"/>
                <w:szCs w:val="24"/>
                <w:highlight w:val="none"/>
                <w:lang w:val="en-US" w:eastAsia="zh-CN"/>
              </w:rPr>
              <w:t>；危废间内</w:t>
            </w:r>
            <w:r>
              <w:rPr>
                <w:rFonts w:hint="default"/>
                <w:color w:val="auto"/>
                <w:sz w:val="24"/>
                <w:szCs w:val="24"/>
                <w:highlight w:val="none"/>
                <w:lang w:val="en-US" w:eastAsia="zh-CN"/>
              </w:rPr>
              <w:t>不同贮存分区之间采取过道、隔板或隔墙等隔离措施</w:t>
            </w:r>
            <w:r>
              <w:rPr>
                <w:rFonts w:hint="eastAsia"/>
                <w:color w:val="auto"/>
                <w:sz w:val="24"/>
                <w:szCs w:val="24"/>
                <w:highlight w:val="none"/>
                <w:lang w:val="en-US" w:eastAsia="zh-CN"/>
              </w:rPr>
              <w:t>，危险废物设置液体泄漏堵截设施</w:t>
            </w:r>
            <w:r>
              <w:rPr>
                <w:rFonts w:hint="default"/>
                <w:color w:val="auto"/>
                <w:sz w:val="24"/>
                <w:szCs w:val="24"/>
                <w:highlight w:val="none"/>
                <w:lang w:val="en-US" w:eastAsia="zh-CN"/>
              </w:rPr>
              <w:t>，堵截设施最小容积不低于对应贮存区域最大液态废物容器容积或液态废物总储量1/10（二者取较大者）</w:t>
            </w:r>
            <w:r>
              <w:rPr>
                <w:rFonts w:hint="eastAsia"/>
                <w:color w:val="auto"/>
                <w:sz w:val="24"/>
                <w:szCs w:val="24"/>
                <w:highlight w:val="none"/>
                <w:lang w:val="en-US" w:eastAsia="zh-CN"/>
              </w:rPr>
              <w:t>；本项目危废间贮存的危险废物为含油废抹布、废润滑油、废液压油、废油桶，常温常压下无废气产生，无需设置</w:t>
            </w:r>
            <w:r>
              <w:rPr>
                <w:rFonts w:hint="default"/>
                <w:color w:val="auto"/>
                <w:sz w:val="24"/>
                <w:szCs w:val="24"/>
                <w:highlight w:val="none"/>
                <w:lang w:val="en-US" w:eastAsia="zh-CN"/>
              </w:rPr>
              <w:t>气体收集装置和气体净化设施</w:t>
            </w:r>
            <w:r>
              <w:rPr>
                <w:rFonts w:hint="eastAsia"/>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lang w:val="en-US" w:eastAsia="zh-CN"/>
              </w:rPr>
              <w:t>贮存过程污染控制要求</w:t>
            </w:r>
          </w:p>
          <w:p>
            <w:pPr>
              <w:bidi w:val="0"/>
              <w:rPr>
                <w:rFonts w:hint="eastAsia"/>
                <w:color w:val="auto"/>
                <w:highlight w:val="none"/>
                <w:lang w:val="en-US" w:eastAsia="zh-CN"/>
              </w:rPr>
            </w:pPr>
            <w:r>
              <w:rPr>
                <w:rFonts w:hint="eastAsia"/>
                <w:color w:val="auto"/>
                <w:highlight w:val="none"/>
                <w:lang w:val="en-US" w:eastAsia="zh-CN"/>
              </w:rPr>
              <w:t>①在常温常压下不易水解、不易挥发的固态危险废物可分类堆放贮存，其他固态危险废物应装入容器或包装物内贮存。</w:t>
            </w:r>
          </w:p>
          <w:p>
            <w:pPr>
              <w:bidi w:val="0"/>
              <w:rPr>
                <w:rFonts w:hint="default"/>
                <w:color w:val="auto"/>
                <w:highlight w:val="none"/>
                <w:lang w:val="en-US" w:eastAsia="zh-CN"/>
              </w:rPr>
            </w:pPr>
            <w:r>
              <w:rPr>
                <w:rFonts w:hint="default"/>
                <w:color w:val="auto"/>
                <w:highlight w:val="none"/>
                <w:lang w:val="en-US" w:eastAsia="zh-CN"/>
              </w:rPr>
              <w:t>②液态危险废物应装入容器内贮存，或直接采用贮存池、贮存罐区贮存</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③半固态危险废物应装入容器或包装袋内贮存，或直接采用贮存池贮存</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④具有热塑性的危险废物应装入容器或包装袋内进行贮存</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⑤易产生粉尘、VOCs、酸雾、有毒有害大气污染物和刺激性气味气体的危险废物应装入闭口容器或包装物内贮存</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⑥危险废物贮存过程中易产生粉尘等无组织排放的，应采取抑尘等有效措施</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⑦危险废物存入贮存设施前应对危险废物类别和特性与危险废物标签等危险废物识别标志的一致性进行核验，不一致的或类别、特性不明的不应存入</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⑧应定期检查危险废物的贮存状况，及时清理贮存设施地面，更换破损泄漏的危险废物贮存容器和包装物，保证堆存危险废物的防雨、防风、防扬尘等设施功能完好</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⑨贮存设施运行期间，应按国家有关标准和规定建立危险废物管理台账并保存</w:t>
            </w:r>
            <w:r>
              <w:rPr>
                <w:rFonts w:hint="eastAsia"/>
                <w:color w:val="auto"/>
                <w:highlight w:val="none"/>
                <w:lang w:val="en-US" w:eastAsia="zh-CN"/>
              </w:rPr>
              <w:t>。</w:t>
            </w:r>
          </w:p>
          <w:p>
            <w:pPr>
              <w:bidi w:val="0"/>
              <w:rPr>
                <w:rFonts w:hint="default"/>
                <w:color w:val="auto"/>
                <w:highlight w:val="none"/>
                <w:lang w:val="en-US" w:eastAsia="zh-CN"/>
              </w:rPr>
            </w:pPr>
            <w:r>
              <w:rPr>
                <w:rFonts w:hint="default"/>
                <w:color w:val="auto"/>
                <w:highlight w:val="none"/>
                <w:lang w:val="en-US" w:eastAsia="zh-CN"/>
              </w:rPr>
              <w:t>⑩贮存设施所有者或运营者应建立贮存设施环境管理制度、管理人员岗位职责制度、设施运行操作制度、人员岗位培训制度等</w:t>
            </w:r>
            <w:r>
              <w:rPr>
                <w:rFonts w:hint="eastAsia"/>
                <w:color w:val="auto"/>
                <w:highlight w:val="none"/>
                <w:lang w:val="en-US" w:eastAsia="zh-CN"/>
              </w:rPr>
              <w:t>。</w:t>
            </w:r>
          </w:p>
          <w:p>
            <w:pPr>
              <w:bidi w:val="0"/>
              <w:rPr>
                <w:rFonts w:hint="eastAsia"/>
                <w:color w:val="auto"/>
                <w:highlight w:val="none"/>
                <w:lang w:val="en-US" w:eastAsia="zh-CN"/>
              </w:rPr>
            </w:pPr>
            <w:r>
              <w:rPr>
                <w:rFonts w:hint="default"/>
                <w:color w:val="auto"/>
                <w:highlight w:val="none"/>
                <w:lang w:val="en-US" w:eastAsia="zh-CN"/>
              </w:rPr>
              <w:t>⑪贮存设施所有者或运营者应依据国家土壤和地下水污染防治的有关规定，结合贮存设施特点建立土壤和地下水污染隐患排查制度，并定期开展隐患排查；发现隐患应及时采取措施消除隐患，并建立档案</w:t>
            </w:r>
            <w:r>
              <w:rPr>
                <w:rFonts w:hint="eastAsia"/>
                <w:color w:val="auto"/>
                <w:highlight w:val="none"/>
                <w:lang w:val="en-US" w:eastAsia="zh-CN"/>
              </w:rPr>
              <w:t>。</w:t>
            </w:r>
          </w:p>
          <w:p>
            <w:pPr>
              <w:bidi w:val="0"/>
              <w:rPr>
                <w:rFonts w:hint="eastAsia"/>
                <w:color w:val="auto"/>
                <w:highlight w:val="none"/>
                <w:lang w:val="en-US" w:eastAsia="zh-CN"/>
              </w:rPr>
            </w:pPr>
            <w:r>
              <w:rPr>
                <w:rFonts w:hint="default"/>
                <w:color w:val="auto"/>
                <w:highlight w:val="none"/>
                <w:lang w:val="en-US" w:eastAsia="zh-CN"/>
              </w:rPr>
              <w:t>⑫贮存设施所有者或运营者应建立贮存设施全部档案，包括设计、施工、验收、运行、监测和环境应急等，应按国家有关档案管理的法律法规进行整理和归档</w:t>
            </w:r>
            <w:r>
              <w:rPr>
                <w:rFonts w:hint="eastAsia"/>
                <w:color w:val="auto"/>
                <w:highlight w:val="none"/>
                <w:lang w:val="en-US" w:eastAsia="zh-CN"/>
              </w:rPr>
              <w:t>。</w:t>
            </w:r>
          </w:p>
          <w:p>
            <w:pPr>
              <w:bidi w:val="0"/>
              <w:rPr>
                <w:rFonts w:hint="default"/>
                <w:color w:val="auto"/>
                <w:highlight w:val="none"/>
                <w:lang w:val="en-US" w:eastAsia="zh-CN"/>
              </w:rPr>
            </w:pPr>
            <w:r>
              <w:rPr>
                <w:rFonts w:hint="eastAsia"/>
                <w:color w:val="auto"/>
                <w:highlight w:val="none"/>
                <w:lang w:val="en-US" w:eastAsia="zh-CN"/>
              </w:rPr>
              <w:t>本项目产生的危险废物为含油废抹布、废润滑油、废液压油、废油桶，含油废抹布、废润滑油、废液压油分别桶装加盖收集，与废油桶分区暂存于危废间；项目建成后</w:t>
            </w:r>
            <w:r>
              <w:rPr>
                <w:rFonts w:hint="default"/>
                <w:color w:val="auto"/>
                <w:highlight w:val="none"/>
                <w:lang w:val="en-US" w:eastAsia="zh-CN"/>
              </w:rPr>
              <w:t>定期检查危险废物的贮存状况</w:t>
            </w:r>
            <w:r>
              <w:rPr>
                <w:rFonts w:hint="eastAsia"/>
                <w:color w:val="auto"/>
                <w:highlight w:val="none"/>
                <w:lang w:val="en-US" w:eastAsia="zh-CN"/>
              </w:rPr>
              <w:t>，</w:t>
            </w:r>
            <w:r>
              <w:rPr>
                <w:rFonts w:hint="default"/>
                <w:color w:val="auto"/>
                <w:highlight w:val="none"/>
                <w:lang w:val="en-US" w:eastAsia="zh-CN"/>
              </w:rPr>
              <w:t>保证堆存危险废物的防雨、防风、防扬尘等设施功能完好</w:t>
            </w:r>
            <w:r>
              <w:rPr>
                <w:rFonts w:hint="eastAsia"/>
                <w:color w:val="auto"/>
                <w:highlight w:val="none"/>
                <w:lang w:val="en-US" w:eastAsia="zh-CN"/>
              </w:rPr>
              <w:t>；</w:t>
            </w:r>
            <w:r>
              <w:rPr>
                <w:rFonts w:hint="default"/>
                <w:color w:val="auto"/>
                <w:highlight w:val="none"/>
                <w:lang w:val="en-US" w:eastAsia="zh-CN"/>
              </w:rPr>
              <w:t>按国家有关标准和规定建立危险废物管理台账并保存</w:t>
            </w:r>
            <w:r>
              <w:rPr>
                <w:rFonts w:hint="eastAsia"/>
                <w:color w:val="auto"/>
                <w:highlight w:val="none"/>
                <w:lang w:val="en-US" w:eastAsia="zh-CN"/>
              </w:rPr>
              <w:t>；</w:t>
            </w:r>
            <w:r>
              <w:rPr>
                <w:rFonts w:hint="default"/>
                <w:color w:val="auto"/>
                <w:highlight w:val="none"/>
                <w:lang w:val="en-US" w:eastAsia="zh-CN"/>
              </w:rPr>
              <w:t>建立贮存设施环境管理制度、管理人员岗位职责制度、设施运行操作制度、人员岗位培训制度等</w:t>
            </w:r>
            <w:r>
              <w:rPr>
                <w:rFonts w:hint="eastAsia"/>
                <w:color w:val="auto"/>
                <w:highlight w:val="none"/>
                <w:lang w:val="en-US" w:eastAsia="zh-CN"/>
              </w:rPr>
              <w:t>；</w:t>
            </w:r>
            <w:r>
              <w:rPr>
                <w:rFonts w:hint="default"/>
                <w:color w:val="auto"/>
                <w:highlight w:val="none"/>
                <w:lang w:val="en-US" w:eastAsia="zh-CN"/>
              </w:rPr>
              <w:t>依据国家土壤和地下水污染防治的有关规定，结合贮存设施特点建立土壤和地下水污染隐患排查制度，并定期开展隐患排查</w:t>
            </w:r>
            <w:r>
              <w:rPr>
                <w:rFonts w:hint="eastAsia"/>
                <w:color w:val="auto"/>
                <w:highlight w:val="none"/>
                <w:lang w:val="en-US" w:eastAsia="zh-CN"/>
              </w:rPr>
              <w:t>，</w:t>
            </w:r>
            <w:r>
              <w:rPr>
                <w:rFonts w:hint="default"/>
                <w:color w:val="auto"/>
                <w:highlight w:val="none"/>
                <w:lang w:val="en-US" w:eastAsia="zh-CN"/>
              </w:rPr>
              <w:t>发现隐患及时采取措施消除隐患，并建立档案</w:t>
            </w:r>
            <w:r>
              <w:rPr>
                <w:rFonts w:hint="eastAsia"/>
                <w:color w:val="auto"/>
                <w:highlight w:val="none"/>
                <w:lang w:val="en-US" w:eastAsia="zh-CN"/>
              </w:rPr>
              <w:t>；</w:t>
            </w:r>
            <w:r>
              <w:rPr>
                <w:rFonts w:hint="default"/>
                <w:color w:val="auto"/>
                <w:highlight w:val="none"/>
                <w:lang w:val="en-US" w:eastAsia="zh-CN"/>
              </w:rPr>
              <w:t>建立贮存设施全部档案</w:t>
            </w:r>
            <w:r>
              <w:rPr>
                <w:rFonts w:hint="eastAsia"/>
                <w:color w:val="auto"/>
                <w:highlight w:val="none"/>
                <w:lang w:val="en-US" w:eastAsia="zh-CN"/>
              </w:rPr>
              <w:t>，</w:t>
            </w:r>
            <w:r>
              <w:rPr>
                <w:rFonts w:hint="default"/>
                <w:color w:val="auto"/>
                <w:highlight w:val="none"/>
                <w:lang w:val="en-US" w:eastAsia="zh-CN"/>
              </w:rPr>
              <w:t>按国家有关档案管理的法律法规进行整理和归档</w:t>
            </w:r>
            <w:r>
              <w:rPr>
                <w:rFonts w:hint="eastAsia"/>
                <w:color w:val="auto"/>
                <w:highlight w:val="none"/>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szCs w:val="24"/>
                <w:highlight w:val="none"/>
              </w:rPr>
            </w:pPr>
            <w:r>
              <w:rPr>
                <w:rFonts w:hint="default"/>
                <w:color w:val="auto"/>
                <w:sz w:val="24"/>
                <w:szCs w:val="24"/>
                <w:highlight w:val="none"/>
              </w:rPr>
              <w:t>本项目危险废物贮存场所基本情况见下表。</w:t>
            </w:r>
          </w:p>
          <w:p>
            <w:pPr>
              <w:pStyle w:val="29"/>
              <w:bidi w:val="0"/>
              <w:rPr>
                <w:rFonts w:hint="default"/>
                <w:color w:val="auto"/>
                <w:sz w:val="21"/>
                <w:szCs w:val="21"/>
                <w:highlight w:val="none"/>
              </w:rPr>
            </w:pPr>
          </w:p>
          <w:p>
            <w:pPr>
              <w:pStyle w:val="29"/>
              <w:bidi w:val="0"/>
              <w:rPr>
                <w:rFonts w:hint="default"/>
                <w:color w:val="auto"/>
                <w:sz w:val="21"/>
                <w:szCs w:val="21"/>
                <w:highlight w:val="none"/>
              </w:rPr>
            </w:pPr>
          </w:p>
          <w:p>
            <w:pPr>
              <w:pStyle w:val="29"/>
              <w:bidi w:val="0"/>
              <w:rPr>
                <w:rFonts w:hint="eastAsia" w:eastAsia="宋体"/>
                <w:color w:val="auto"/>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35</w:t>
            </w:r>
            <w:r>
              <w:rPr>
                <w:rFonts w:hint="default"/>
                <w:color w:val="auto"/>
                <w:sz w:val="21"/>
                <w:szCs w:val="21"/>
                <w:highlight w:val="none"/>
              </w:rPr>
              <w:t xml:space="preserve">  危险废物贮存场所基本情况表</w:t>
            </w:r>
            <w:r>
              <w:rPr>
                <w:rFonts w:hint="eastAsia"/>
                <w:color w:val="auto"/>
                <w:sz w:val="21"/>
                <w:szCs w:val="21"/>
                <w:highlight w:val="none"/>
                <w:lang w:val="en-US" w:eastAsia="zh-CN"/>
              </w:rPr>
              <w:t>一览表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7"/>
              <w:gridCol w:w="736"/>
              <w:gridCol w:w="1623"/>
              <w:gridCol w:w="778"/>
              <w:gridCol w:w="1281"/>
              <w:gridCol w:w="719"/>
              <w:gridCol w:w="750"/>
              <w:gridCol w:w="1103"/>
              <w:gridCol w:w="8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577"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序号</w:t>
                  </w:r>
                </w:p>
              </w:tc>
              <w:tc>
                <w:tcPr>
                  <w:tcW w:w="736"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贮存场所名称</w:t>
                  </w:r>
                </w:p>
              </w:tc>
              <w:tc>
                <w:tcPr>
                  <w:tcW w:w="162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危险废物名称</w:t>
                  </w:r>
                </w:p>
              </w:tc>
              <w:tc>
                <w:tcPr>
                  <w:tcW w:w="77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危险废物类别</w:t>
                  </w:r>
                </w:p>
              </w:tc>
              <w:tc>
                <w:tcPr>
                  <w:tcW w:w="1281"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危险废物代码</w:t>
                  </w:r>
                </w:p>
              </w:tc>
              <w:tc>
                <w:tcPr>
                  <w:tcW w:w="71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位置</w:t>
                  </w:r>
                </w:p>
              </w:tc>
              <w:tc>
                <w:tcPr>
                  <w:tcW w:w="75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占地面积</w:t>
                  </w:r>
                </w:p>
              </w:tc>
              <w:tc>
                <w:tcPr>
                  <w:tcW w:w="11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贮存方式</w:t>
                  </w:r>
                </w:p>
              </w:tc>
              <w:tc>
                <w:tcPr>
                  <w:tcW w:w="82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贮存</w:t>
                  </w:r>
                </w:p>
                <w:p>
                  <w:pPr>
                    <w:pStyle w:val="30"/>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color w:val="auto"/>
                      <w:sz w:val="21"/>
                      <w:szCs w:val="21"/>
                      <w:highlight w:val="none"/>
                    </w:rPr>
                  </w:pPr>
                  <w:r>
                    <w:rPr>
                      <w:rFonts w:hint="default"/>
                      <w:color w:val="auto"/>
                      <w:sz w:val="21"/>
                      <w:szCs w:val="21"/>
                      <w:highlight w:val="none"/>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577" w:type="dxa"/>
                  <w:tcBorders>
                    <w:tl2br w:val="nil"/>
                    <w:tr2bl w:val="nil"/>
                  </w:tcBorders>
                  <w:noWrap w:val="0"/>
                  <w:vAlign w:val="center"/>
                </w:tcPr>
                <w:p>
                  <w:pPr>
                    <w:pStyle w:val="30"/>
                    <w:keepNext w:val="0"/>
                    <w:keepLines w:val="0"/>
                    <w:pageBreakBefore w:val="0"/>
                    <w:widowControl w:val="0"/>
                    <w:numPr>
                      <w:ilvl w:val="0"/>
                      <w:numId w:val="25"/>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危废间</w:t>
                  </w:r>
                </w:p>
              </w:tc>
              <w:tc>
                <w:tcPr>
                  <w:tcW w:w="1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含油废抹布</w:t>
                  </w:r>
                </w:p>
              </w:tc>
              <w:tc>
                <w:tcPr>
                  <w:tcW w:w="7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HW49</w:t>
                  </w:r>
                </w:p>
              </w:tc>
              <w:tc>
                <w:tcPr>
                  <w:tcW w:w="128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900-</w:t>
                  </w:r>
                  <w:r>
                    <w:rPr>
                      <w:rFonts w:hint="eastAsia" w:eastAsia="宋体" w:cs="Times New Roman"/>
                      <w:color w:val="auto"/>
                      <w:sz w:val="21"/>
                      <w:szCs w:val="21"/>
                      <w:highlight w:val="none"/>
                      <w:shd w:val="clear" w:color="auto" w:fill="auto"/>
                      <w:lang w:val="en-US" w:eastAsia="zh-CN"/>
                    </w:rPr>
                    <w:t>041</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49</w:t>
                  </w:r>
                </w:p>
              </w:tc>
              <w:tc>
                <w:tcPr>
                  <w:tcW w:w="719"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综合车间外西北侧</w:t>
                  </w:r>
                </w:p>
              </w:tc>
              <w:tc>
                <w:tcPr>
                  <w:tcW w:w="750"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6m</w:t>
                  </w:r>
                  <w:r>
                    <w:rPr>
                      <w:rFonts w:hint="eastAsia"/>
                      <w:color w:val="auto"/>
                      <w:sz w:val="21"/>
                      <w:szCs w:val="21"/>
                      <w:highlight w:val="none"/>
                      <w:vertAlign w:val="superscript"/>
                      <w:lang w:val="en-US" w:eastAsia="zh-CN"/>
                    </w:rPr>
                    <w:t>2</w:t>
                  </w:r>
                </w:p>
              </w:tc>
              <w:tc>
                <w:tcPr>
                  <w:tcW w:w="11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577" w:type="dxa"/>
                  <w:tcBorders>
                    <w:tl2br w:val="nil"/>
                    <w:tr2bl w:val="nil"/>
                  </w:tcBorders>
                  <w:noWrap w:val="0"/>
                  <w:vAlign w:val="center"/>
                </w:tcPr>
                <w:p>
                  <w:pPr>
                    <w:pStyle w:val="30"/>
                    <w:keepNext w:val="0"/>
                    <w:keepLines w:val="0"/>
                    <w:pageBreakBefore w:val="0"/>
                    <w:widowControl w:val="0"/>
                    <w:numPr>
                      <w:ilvl w:val="0"/>
                      <w:numId w:val="25"/>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废润滑油</w:t>
                  </w:r>
                </w:p>
              </w:tc>
              <w:tc>
                <w:tcPr>
                  <w:tcW w:w="7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28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w:t>
                  </w:r>
                  <w:r>
                    <w:rPr>
                      <w:rFonts w:hint="eastAsia" w:eastAsia="宋体" w:cs="Times New Roman"/>
                      <w:color w:val="auto"/>
                      <w:sz w:val="21"/>
                      <w:szCs w:val="21"/>
                      <w:highlight w:val="none"/>
                      <w:shd w:val="clear" w:color="auto" w:fill="auto"/>
                      <w:lang w:val="en-US" w:eastAsia="zh-CN"/>
                    </w:rPr>
                    <w:t>17</w:t>
                  </w:r>
                  <w:r>
                    <w:rPr>
                      <w:rFonts w:hint="eastAsia" w:ascii="Times New Roman" w:hAnsi="Times New Roman" w:eastAsia="宋体" w:cs="Times New Roman"/>
                      <w:color w:val="auto"/>
                      <w:sz w:val="21"/>
                      <w:szCs w:val="21"/>
                      <w:highlight w:val="none"/>
                      <w:shd w:val="clear" w:color="auto" w:fill="auto"/>
                      <w:lang w:val="en-US" w:eastAsia="zh-CN"/>
                    </w:rPr>
                    <w:t>-08</w:t>
                  </w:r>
                </w:p>
              </w:tc>
              <w:tc>
                <w:tcPr>
                  <w:tcW w:w="719"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7" w:type="dxa"/>
                  <w:tcBorders>
                    <w:tl2br w:val="nil"/>
                    <w:tr2bl w:val="nil"/>
                  </w:tcBorders>
                  <w:noWrap w:val="0"/>
                  <w:vAlign w:val="center"/>
                </w:tcPr>
                <w:p>
                  <w:pPr>
                    <w:pStyle w:val="30"/>
                    <w:keepNext w:val="0"/>
                    <w:keepLines w:val="0"/>
                    <w:pageBreakBefore w:val="0"/>
                    <w:widowControl w:val="0"/>
                    <w:numPr>
                      <w:ilvl w:val="0"/>
                      <w:numId w:val="25"/>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tc>
              <w:tc>
                <w:tcPr>
                  <w:tcW w:w="7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28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900-2</w:t>
                  </w:r>
                  <w:r>
                    <w:rPr>
                      <w:rFonts w:hint="eastAsia" w:eastAsia="宋体" w:cs="Times New Roman"/>
                      <w:color w:val="auto"/>
                      <w:sz w:val="21"/>
                      <w:szCs w:val="21"/>
                      <w:highlight w:val="none"/>
                      <w:shd w:val="clear" w:color="auto" w:fill="auto"/>
                      <w:lang w:val="en-US" w:eastAsia="zh-CN"/>
                    </w:rPr>
                    <w:t>1</w:t>
                  </w:r>
                  <w:r>
                    <w:rPr>
                      <w:rFonts w:hint="eastAsia" w:cs="Times New Roman"/>
                      <w:color w:val="auto"/>
                      <w:sz w:val="21"/>
                      <w:szCs w:val="21"/>
                      <w:highlight w:val="none"/>
                      <w:shd w:val="clear" w:color="auto" w:fill="auto"/>
                      <w:lang w:val="en-US" w:eastAsia="zh-CN"/>
                    </w:rPr>
                    <w:t>8</w:t>
                  </w:r>
                  <w:r>
                    <w:rPr>
                      <w:rFonts w:hint="eastAsia" w:ascii="Times New Roman" w:hAnsi="Times New Roman" w:eastAsia="宋体" w:cs="Times New Roman"/>
                      <w:color w:val="auto"/>
                      <w:sz w:val="21"/>
                      <w:szCs w:val="21"/>
                      <w:highlight w:val="none"/>
                      <w:shd w:val="clear" w:color="auto" w:fill="auto"/>
                      <w:lang w:val="en-US" w:eastAsia="zh-CN"/>
                    </w:rPr>
                    <w:t>-08</w:t>
                  </w:r>
                </w:p>
              </w:tc>
              <w:tc>
                <w:tcPr>
                  <w:tcW w:w="719"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桶装加盖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一年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7" w:type="dxa"/>
                  <w:tcBorders>
                    <w:tl2br w:val="nil"/>
                    <w:tr2bl w:val="nil"/>
                  </w:tcBorders>
                  <w:noWrap w:val="0"/>
                  <w:vAlign w:val="center"/>
                </w:tcPr>
                <w:p>
                  <w:pPr>
                    <w:pStyle w:val="30"/>
                    <w:keepNext w:val="0"/>
                    <w:keepLines w:val="0"/>
                    <w:pageBreakBefore w:val="0"/>
                    <w:widowControl w:val="0"/>
                    <w:numPr>
                      <w:ilvl w:val="0"/>
                      <w:numId w:val="25"/>
                    </w:numPr>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eastAsia="zh-CN"/>
                    </w:rPr>
                  </w:pPr>
                </w:p>
              </w:tc>
              <w:tc>
                <w:tcPr>
                  <w:tcW w:w="736"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162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废油桶</w:t>
                  </w:r>
                </w:p>
              </w:tc>
              <w:tc>
                <w:tcPr>
                  <w:tcW w:w="77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HW08</w:t>
                  </w:r>
                </w:p>
              </w:tc>
              <w:tc>
                <w:tcPr>
                  <w:tcW w:w="128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900-</w:t>
                  </w:r>
                  <w:r>
                    <w:rPr>
                      <w:rFonts w:hint="eastAsia" w:eastAsia="宋体" w:cs="Times New Roman"/>
                      <w:color w:val="auto"/>
                      <w:sz w:val="21"/>
                      <w:szCs w:val="21"/>
                      <w:highlight w:val="none"/>
                      <w:shd w:val="clear" w:color="auto" w:fill="auto"/>
                      <w:lang w:val="en-US" w:eastAsia="zh-CN"/>
                    </w:rPr>
                    <w:t>249</w:t>
                  </w:r>
                  <w:r>
                    <w:rPr>
                      <w:rFonts w:hint="eastAsia" w:ascii="Times New Roman" w:hAnsi="Times New Roman" w:eastAsia="宋体" w:cs="Times New Roman"/>
                      <w:color w:val="auto"/>
                      <w:sz w:val="21"/>
                      <w:szCs w:val="21"/>
                      <w:highlight w:val="none"/>
                      <w:shd w:val="clear" w:color="auto" w:fill="auto"/>
                      <w:lang w:val="en-US" w:eastAsia="zh-CN"/>
                    </w:rPr>
                    <w:t>-</w:t>
                  </w:r>
                  <w:r>
                    <w:rPr>
                      <w:rFonts w:hint="eastAsia" w:eastAsia="宋体" w:cs="Times New Roman"/>
                      <w:color w:val="auto"/>
                      <w:sz w:val="21"/>
                      <w:szCs w:val="21"/>
                      <w:highlight w:val="none"/>
                      <w:shd w:val="clear" w:color="auto" w:fill="auto"/>
                      <w:lang w:val="en-US" w:eastAsia="zh-CN"/>
                    </w:rPr>
                    <w:t>08</w:t>
                  </w:r>
                </w:p>
              </w:tc>
              <w:tc>
                <w:tcPr>
                  <w:tcW w:w="719"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color w:val="auto"/>
                      <w:sz w:val="21"/>
                      <w:szCs w:val="21"/>
                      <w:highlight w:val="none"/>
                      <w:lang w:val="en-US" w:eastAsia="zh-CN"/>
                    </w:rPr>
                  </w:pPr>
                </w:p>
              </w:tc>
              <w:tc>
                <w:tcPr>
                  <w:tcW w:w="7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eastAsia"/>
                      <w:color w:val="auto"/>
                      <w:sz w:val="21"/>
                      <w:szCs w:val="21"/>
                      <w:highlight w:val="none"/>
                      <w:lang w:val="en-US" w:eastAsia="zh-CN"/>
                    </w:rPr>
                  </w:pPr>
                </w:p>
              </w:tc>
              <w:tc>
                <w:tcPr>
                  <w:tcW w:w="11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加盖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一年</w:t>
                  </w:r>
                </w:p>
              </w:tc>
            </w:tr>
          </w:tbl>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cs="Times New Roman"/>
                <w:b w:val="0"/>
                <w:bCs w:val="0"/>
                <w:color w:val="auto"/>
                <w:sz w:val="24"/>
                <w:szCs w:val="21"/>
                <w:highlight w:val="none"/>
                <w:shd w:val="clear" w:color="auto" w:fill="auto"/>
                <w:lang w:val="en-US" w:eastAsia="zh-CN"/>
              </w:rPr>
            </w:pPr>
            <w:r>
              <w:rPr>
                <w:rFonts w:hint="eastAsia" w:cs="Times New Roman"/>
                <w:b w:val="0"/>
                <w:bCs w:val="0"/>
                <w:color w:val="auto"/>
                <w:sz w:val="24"/>
                <w:szCs w:val="21"/>
                <w:highlight w:val="none"/>
                <w:shd w:val="clear" w:color="auto" w:fill="auto"/>
                <w:lang w:val="en-US" w:eastAsia="zh-CN"/>
              </w:rPr>
              <w:t>危废暂存间标识要求：</w:t>
            </w:r>
          </w:p>
          <w:p>
            <w:pPr>
              <w:bidi w:val="0"/>
              <w:rPr>
                <w:rFonts w:hint="default"/>
                <w:color w:val="auto"/>
                <w:highlight w:val="none"/>
              </w:rPr>
            </w:pPr>
            <w:r>
              <w:rPr>
                <w:rFonts w:hint="default"/>
                <w:color w:val="auto"/>
                <w:highlight w:val="none"/>
              </w:rPr>
              <w:t>按照</w:t>
            </w:r>
            <w:r>
              <w:rPr>
                <w:rFonts w:hint="eastAsia"/>
                <w:color w:val="auto"/>
                <w:highlight w:val="none"/>
                <w:lang w:eastAsia="zh-CN"/>
              </w:rPr>
              <w:t>《危险废物贮存污染控制标准》（GB18597-2023）</w:t>
            </w:r>
            <w:r>
              <w:rPr>
                <w:rFonts w:hint="default"/>
                <w:color w:val="auto"/>
                <w:highlight w:val="none"/>
              </w:rPr>
              <w:t>相关规定要求，危废间及危险废物储存容器上需要张贴标签，具体要求如下：</w:t>
            </w:r>
          </w:p>
          <w:p>
            <w:pPr>
              <w:pStyle w:val="50"/>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b/>
                <w:bCs/>
                <w:color w:val="auto"/>
                <w:spacing w:val="6"/>
                <w:sz w:val="21"/>
                <w:szCs w:val="21"/>
                <w:highlight w:val="none"/>
              </w:rPr>
            </w:pPr>
            <w:r>
              <w:rPr>
                <w:rFonts w:hint="default" w:ascii="Times New Roman" w:hAnsi="Times New Roman" w:cs="Times New Roman"/>
                <w:b/>
                <w:bCs/>
                <w:color w:val="auto"/>
                <w:spacing w:val="6"/>
                <w:sz w:val="21"/>
                <w:szCs w:val="21"/>
                <w:highlight w:val="none"/>
              </w:rPr>
              <w:t>表</w:t>
            </w:r>
            <w:r>
              <w:rPr>
                <w:rFonts w:hint="eastAsia" w:cs="Times New Roman"/>
                <w:b/>
                <w:bCs/>
                <w:color w:val="auto"/>
                <w:spacing w:val="6"/>
                <w:sz w:val="21"/>
                <w:szCs w:val="21"/>
                <w:highlight w:val="none"/>
                <w:lang w:val="en-US" w:eastAsia="zh-CN"/>
              </w:rPr>
              <w:t xml:space="preserve">36 </w:t>
            </w:r>
            <w:r>
              <w:rPr>
                <w:rFonts w:hint="default" w:ascii="Times New Roman" w:hAnsi="Times New Roman" w:cs="Times New Roman"/>
                <w:b/>
                <w:bCs/>
                <w:color w:val="auto"/>
                <w:spacing w:val="6"/>
                <w:sz w:val="21"/>
                <w:szCs w:val="21"/>
                <w:highlight w:val="none"/>
              </w:rPr>
              <w:t xml:space="preserve"> 危废间及储存容器标签示例</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0" w:type="dxa"/>
              </w:tblCellMar>
            </w:tblPr>
            <w:tblGrid>
              <w:gridCol w:w="717"/>
              <w:gridCol w:w="2310"/>
              <w:gridCol w:w="5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48" w:hRule="atLeast"/>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场合</w:t>
                  </w:r>
                </w:p>
              </w:tc>
              <w:tc>
                <w:tcPr>
                  <w:tcW w:w="23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样式</w:t>
                  </w:r>
                </w:p>
              </w:tc>
              <w:tc>
                <w:tcPr>
                  <w:tcW w:w="53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98" w:hRule="atLeast"/>
                <w:jc w:val="center"/>
              </w:trPr>
              <w:tc>
                <w:tcPr>
                  <w:tcW w:w="7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粘贴于危险废物储存容器</w:t>
                  </w:r>
                </w:p>
              </w:tc>
              <w:tc>
                <w:tcPr>
                  <w:tcW w:w="23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369060" cy="1369060"/>
                        <wp:effectExtent l="0" t="0" r="2540" b="254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30"/>
                                <a:stretch>
                                  <a:fillRect/>
                                </a:stretch>
                              </pic:blipFill>
                              <pic:spPr>
                                <a:xfrm>
                                  <a:off x="0" y="0"/>
                                  <a:ext cx="1369060" cy="1369060"/>
                                </a:xfrm>
                                <a:prstGeom prst="rect">
                                  <a:avLst/>
                                </a:prstGeom>
                                <a:noFill/>
                                <a:ln>
                                  <a:noFill/>
                                </a:ln>
                              </pic:spPr>
                            </pic:pic>
                          </a:graphicData>
                        </a:graphic>
                      </wp:inline>
                    </w:drawing>
                  </w:r>
                </w:p>
              </w:tc>
              <w:tc>
                <w:tcPr>
                  <w:tcW w:w="5363" w:type="dxa"/>
                  <w:noWrap w:val="0"/>
                  <w:vAlign w:val="center"/>
                </w:tcPr>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危险废物标签的颜色：危险废物标签背景色应采用醒目的橘黄色，RGB颜色值为（255，150，0）。标签边框和字体颜色为黑色，RGB颜色值为（0，0，0）；</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危险废物标签的字体：危险废物标签字体宜采用黑体字，其中“危险废物”字样应加粗放大；</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危险废物标签的尺寸：宜根据其设置位置和对应的观察距离按照《危险废物识别标志设置技术规范》（HJ 1276-2022）中表1要求进行设计；</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危险废物标签的材质：危险废物标签所选用的材质宜具有一定的耐用性和防水性。标签可采用不干胶印刷品，或印刷品外加防水塑料袋或塑封等；</w:t>
                  </w:r>
                </w:p>
                <w:p>
                  <w:pPr>
                    <w:keepNext w:val="0"/>
                    <w:keepLines w:val="0"/>
                    <w:pageBreakBefore w:val="0"/>
                    <w:widowControl w:val="0"/>
                    <w:numPr>
                      <w:ilvl w:val="0"/>
                      <w:numId w:val="26"/>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危险废物标签的印刷：危险废物标签印刷的油墨应均匀，图案和文字应清晰、完整。危险废物标签的文字边缘宜加黑色边框，边框宽度不小于1mm，边框外宜留不小于3mm的空白。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0" w:hRule="atLeast"/>
                <w:jc w:val="center"/>
              </w:trPr>
              <w:tc>
                <w:tcPr>
                  <w:tcW w:w="7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室外（粘贴于门上或悬挂）</w:t>
                  </w:r>
                </w:p>
              </w:tc>
              <w:tc>
                <w:tcPr>
                  <w:tcW w:w="23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color w:val="auto"/>
                      <w:highlight w:val="none"/>
                    </w:rPr>
                    <w:drawing>
                      <wp:inline distT="0" distB="0" distL="114300" distR="114300">
                        <wp:extent cx="1310005" cy="2062480"/>
                        <wp:effectExtent l="0" t="0" r="4445" b="1397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1"/>
                                <a:stretch>
                                  <a:fillRect/>
                                </a:stretch>
                              </pic:blipFill>
                              <pic:spPr>
                                <a:xfrm>
                                  <a:off x="0" y="0"/>
                                  <a:ext cx="1310005" cy="2062480"/>
                                </a:xfrm>
                                <a:prstGeom prst="rect">
                                  <a:avLst/>
                                </a:prstGeom>
                                <a:noFill/>
                                <a:ln>
                                  <a:noFill/>
                                </a:ln>
                              </pic:spPr>
                            </pic:pic>
                          </a:graphicData>
                        </a:graphic>
                      </wp:inline>
                    </w:drawing>
                  </w:r>
                </w:p>
              </w:tc>
              <w:tc>
                <w:tcPr>
                  <w:tcW w:w="5363"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危险废物贮存设施标志可采用横版或竖版的形式</w:t>
                  </w:r>
                  <w:r>
                    <w:rPr>
                      <w:rFonts w:hint="eastAsia" w:cs="Times New Roman"/>
                      <w:color w:val="auto"/>
                      <w:sz w:val="21"/>
                      <w:szCs w:val="21"/>
                      <w:highlight w:val="none"/>
                      <w:lang w:val="en-US"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危险废物贮存设施标志的颜色：危险废物设施标志背景颜色为黄色，RGB颜色值为（255，255，0）。字体和边框颜色为黑色，RGB颜色值为（0，0，0）；</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危险废物贮存设施标志的字体：危险废物设施标志字体应采用黑体字，其中危险废物设施类型的字样应加粗放大并居中显示；</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危险废物贮存设施标志的尺寸：宜根据其设置位置和对应的观察距离按照《危险废物识别标志设置技术规范》（HJ 1276-2022）中表3要求进行设计；</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危险废物贮存设施标志的材质：宜采用坚固耐用的材料（如1.5mm～2mm冷轧钢板），并做搪瓷处理或贴膜处理；</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印刷：危险废物贮存、利用、处置设施标志的图形和文字应清晰、完整，保证在足够的观察距离条件下也不影响阅读。三角形警告性图形与其他信息间宜加黑色分界线区分，分界线的宽度宜不小于3mm；</w:t>
                  </w:r>
                </w:p>
                <w:p>
                  <w:pPr>
                    <w:keepNext w:val="0"/>
                    <w:keepLines w:val="0"/>
                    <w:pageBreakBefore w:val="0"/>
                    <w:widowControl w:val="0"/>
                    <w:numPr>
                      <w:ilvl w:val="0"/>
                      <w:numId w:val="27"/>
                    </w:numPr>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危险废物贮存设施标志的外观：危险废物贮存、利用、处置设施的标志牌和立柱无明显变形。标志牌表面无气泡，膜或搪瓷无脱落。图案清晰，色泽一致，没有明显缺损。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0" w:hRule="atLeast"/>
                <w:jc w:val="center"/>
              </w:trPr>
              <w:tc>
                <w:tcPr>
                  <w:tcW w:w="7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23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r>
                    <w:rPr>
                      <w:color w:val="auto"/>
                      <w:highlight w:val="none"/>
                    </w:rPr>
                    <w:drawing>
                      <wp:inline distT="0" distB="0" distL="114300" distR="114300">
                        <wp:extent cx="1311275" cy="828675"/>
                        <wp:effectExtent l="0" t="0" r="31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2"/>
                                <a:stretch>
                                  <a:fillRect/>
                                </a:stretch>
                              </pic:blipFill>
                              <pic:spPr>
                                <a:xfrm>
                                  <a:off x="0" y="0"/>
                                  <a:ext cx="1311275" cy="828675"/>
                                </a:xfrm>
                                <a:prstGeom prst="rect">
                                  <a:avLst/>
                                </a:prstGeom>
                                <a:noFill/>
                                <a:ln>
                                  <a:noFill/>
                                </a:ln>
                              </pic:spPr>
                            </pic:pic>
                          </a:graphicData>
                        </a:graphic>
                      </wp:inline>
                    </w:drawing>
                  </w:r>
                </w:p>
              </w:tc>
              <w:tc>
                <w:tcPr>
                  <w:tcW w:w="536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0" w:type="dxa"/>
                </w:tblCellMar>
              </w:tblPrEx>
              <w:trPr>
                <w:trHeight w:val="3360" w:hRule="atLeast"/>
                <w:jc w:val="center"/>
              </w:trPr>
              <w:tc>
                <w:tcPr>
                  <w:tcW w:w="30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1845310" cy="1545590"/>
                        <wp:effectExtent l="0" t="0" r="2540"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3"/>
                                <a:stretch>
                                  <a:fillRect/>
                                </a:stretch>
                              </pic:blipFill>
                              <pic:spPr>
                                <a:xfrm>
                                  <a:off x="0" y="0"/>
                                  <a:ext cx="1845310" cy="1545590"/>
                                </a:xfrm>
                                <a:prstGeom prst="rect">
                                  <a:avLst/>
                                </a:prstGeom>
                                <a:noFill/>
                                <a:ln>
                                  <a:noFill/>
                                </a:ln>
                              </pic:spPr>
                            </pic:pic>
                          </a:graphicData>
                        </a:graphic>
                      </wp:inline>
                    </w:drawing>
                  </w:r>
                </w:p>
              </w:tc>
              <w:tc>
                <w:tcPr>
                  <w:tcW w:w="5363" w:type="dxa"/>
                  <w:noWrap w:val="0"/>
                  <w:vAlign w:val="center"/>
                </w:tcPr>
                <w:p>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危险废物贮存分区标志的颜色：危险废物分区标志背景色应采用黄色，RGB颜色值为（255，255，0）。废物种类信息应采用醒目的橘黄色，RGB 颜色值为（255，150， 0）。字体颜色为黑色，RGB颜色值为（0，0，0）；</w:t>
                  </w:r>
                </w:p>
                <w:p>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危险废物贮存分区标志的字体：危险废物分区标志的字体宜采用黑体字，其中“危险废物贮存分区标志”字样应加粗放大并居中显示；</w:t>
                  </w:r>
                </w:p>
                <w:p>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危险废物贮存分区标志的尺寸：宜根据对应的观察距离按照《危险废物识别标志设置技术规范》（HJ 1276-2022）中表2要求进行设计；</w:t>
                  </w:r>
                </w:p>
                <w:p>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危险废物贮存分区标志的材质：危险废物贮存分区标志的衬底宜采用坚固耐用的材料，并具有耐用性和防水性。废物贮存种类信息等可采用印刷纸张、不粘胶材质或塑料卡片等，以便固定在衬底上；</w:t>
                  </w:r>
                </w:p>
                <w:p>
                  <w:pPr>
                    <w:keepNext w:val="0"/>
                    <w:keepLines w:val="0"/>
                    <w:pageBreakBefore w:val="0"/>
                    <w:widowControl w:val="0"/>
                    <w:numPr>
                      <w:ilvl w:val="0"/>
                      <w:numId w:val="28"/>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危险废物贮存分区标志的印刷：危险废物贮存分区标志的图形和文字应清晰、完整，保证在足够的观察距离条件下不影响阅读。“危险废物贮存分区标志”字样与其他信息宜加黑色分界线区分，分界线的宽度不小于2mm。</w:t>
                  </w:r>
                </w:p>
              </w:tc>
            </w:tr>
          </w:tbl>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 xml:space="preserve">危险废物运输 </w:t>
            </w:r>
          </w:p>
          <w:p>
            <w:pPr>
              <w:bidi w:val="0"/>
              <w:rPr>
                <w:rFonts w:hint="default"/>
                <w:color w:val="auto"/>
                <w:highlight w:val="none"/>
              </w:rPr>
            </w:pPr>
            <w:r>
              <w:rPr>
                <w:rFonts w:hint="default"/>
                <w:color w:val="auto"/>
                <w:highlight w:val="none"/>
              </w:rPr>
              <w:t xml:space="preserve">本项目产生的危险废物按照《危险废物收集、贮存、运输技术规范》 （HJ2025-2012）相关要求进行运输，并按要求填写危险废物的收集记录、厂内转运记录表，并将记录表作为危险废物管理的重要档案妥善保存。 </w:t>
            </w:r>
          </w:p>
          <w:p>
            <w:pPr>
              <w:bidi w:val="0"/>
              <w:rPr>
                <w:rFonts w:hint="default"/>
                <w:color w:val="auto"/>
                <w:highlight w:val="none"/>
              </w:rPr>
            </w:pPr>
            <w:r>
              <w:rPr>
                <w:rFonts w:hint="default"/>
                <w:color w:val="auto"/>
                <w:highlight w:val="none"/>
              </w:rPr>
              <w:t xml:space="preserve">a、运输承运危险废物时，应按照相关标准要求在危险废物包装上设置标志。 </w:t>
            </w:r>
          </w:p>
          <w:p>
            <w:pPr>
              <w:bidi w:val="0"/>
              <w:rPr>
                <w:rFonts w:hint="default"/>
                <w:color w:val="auto"/>
                <w:highlight w:val="none"/>
              </w:rPr>
            </w:pPr>
            <w:r>
              <w:rPr>
                <w:rFonts w:hint="default"/>
                <w:color w:val="auto"/>
                <w:highlight w:val="none"/>
              </w:rPr>
              <w:t xml:space="preserve">b、所有运输车辆按规定的路线运输。 </w:t>
            </w:r>
          </w:p>
          <w:p>
            <w:pPr>
              <w:bidi w:val="0"/>
              <w:rPr>
                <w:rFonts w:hint="default"/>
                <w:color w:val="auto"/>
                <w:highlight w:val="none"/>
              </w:rPr>
            </w:pPr>
            <w:r>
              <w:rPr>
                <w:rFonts w:hint="default"/>
                <w:color w:val="auto"/>
                <w:highlight w:val="none"/>
              </w:rPr>
              <w:t xml:space="preserve">c、运输过程中危险废物应放置在密闭容器中，且运输设施应为封闭结构，具有防臭防遗撒功能，安装行驶及装卸记录仪。 </w:t>
            </w:r>
          </w:p>
          <w:p>
            <w:pPr>
              <w:bidi w:val="0"/>
              <w:rPr>
                <w:rFonts w:hint="default"/>
                <w:color w:val="auto"/>
                <w:highlight w:val="none"/>
              </w:rPr>
            </w:pPr>
            <w:r>
              <w:rPr>
                <w:rFonts w:hint="default"/>
                <w:color w:val="auto"/>
                <w:highlight w:val="none"/>
              </w:rPr>
              <w:t xml:space="preserve">d、危险废物内部转运作业应采用专用的工具，危险废物内部转运应按照标准要求填写《危险废物厂内转运记录表》。 </w:t>
            </w:r>
          </w:p>
          <w:p>
            <w:pPr>
              <w:bidi w:val="0"/>
              <w:rPr>
                <w:rFonts w:hint="default"/>
                <w:color w:val="auto"/>
                <w:highlight w:val="none"/>
              </w:rPr>
            </w:pPr>
            <w:r>
              <w:rPr>
                <w:rFonts w:hint="default"/>
                <w:color w:val="auto"/>
                <w:highlight w:val="none"/>
              </w:rPr>
              <w:t>e、危险废物内部转运结束后，应对转运路线进行检查和清理，无危险废物遗失在转运路线上。</w:t>
            </w:r>
          </w:p>
          <w:p>
            <w:pPr>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 xml:space="preserve">危险废物处置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eastAsia="宋体"/>
                <w:color w:val="auto"/>
                <w:sz w:val="24"/>
                <w:szCs w:val="24"/>
                <w:highlight w:val="none"/>
                <w:lang w:val="en-US" w:eastAsia="zh-CN"/>
              </w:rPr>
            </w:pPr>
            <w:r>
              <w:rPr>
                <w:rFonts w:hint="default"/>
                <w:color w:val="auto"/>
                <w:sz w:val="24"/>
                <w:szCs w:val="24"/>
                <w:highlight w:val="none"/>
              </w:rPr>
              <w:t>本项目</w:t>
            </w:r>
            <w:r>
              <w:rPr>
                <w:rFonts w:hint="eastAsia"/>
                <w:color w:val="auto"/>
                <w:sz w:val="24"/>
                <w:szCs w:val="24"/>
                <w:highlight w:val="none"/>
                <w:lang w:val="en-US" w:eastAsia="zh-CN"/>
              </w:rPr>
              <w:t>含油废抹布、</w:t>
            </w:r>
            <w:r>
              <w:rPr>
                <w:rFonts w:hint="eastAsia"/>
                <w:color w:val="auto"/>
                <w:highlight w:val="none"/>
                <w:lang w:val="en-US" w:eastAsia="zh-CN"/>
              </w:rPr>
              <w:t>废润滑油、废液压油桶装加盖收集，</w:t>
            </w:r>
            <w:r>
              <w:rPr>
                <w:rFonts w:hint="eastAsia"/>
                <w:color w:val="auto"/>
                <w:sz w:val="24"/>
                <w:szCs w:val="24"/>
                <w:highlight w:val="none"/>
                <w:lang w:val="en-US" w:eastAsia="zh-CN"/>
              </w:rPr>
              <w:t>与废油桶一起暂存于危废间，</w:t>
            </w:r>
            <w:r>
              <w:rPr>
                <w:rFonts w:hint="default"/>
                <w:color w:val="auto"/>
                <w:sz w:val="24"/>
                <w:szCs w:val="24"/>
                <w:highlight w:val="none"/>
              </w:rPr>
              <w:t>根据危险废物种类及数量，委托有资质的危险废物处置单位进行处理</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firstLine="482" w:firstLineChars="200"/>
              <w:textAlignment w:val="auto"/>
              <w:outlineLvl w:val="9"/>
              <w:rPr>
                <w:rFonts w:hint="eastAsia" w:ascii="Times New Roman" w:hAnsi="Times New Roman" w:eastAsia="宋体" w:cs="Times New Roman"/>
                <w:b/>
                <w:bCs/>
                <w:color w:val="auto"/>
                <w:sz w:val="24"/>
                <w:szCs w:val="21"/>
                <w:highlight w:val="none"/>
                <w:shd w:val="clear" w:color="auto" w:fill="auto"/>
                <w:lang w:val="en-US" w:eastAsia="zh-CN"/>
              </w:rPr>
            </w:pPr>
            <w:r>
              <w:rPr>
                <w:rFonts w:hint="eastAsia" w:ascii="Times New Roman" w:hAnsi="Times New Roman" w:eastAsia="宋体" w:cs="Times New Roman"/>
                <w:b/>
                <w:bCs/>
                <w:color w:val="auto"/>
                <w:sz w:val="24"/>
                <w:szCs w:val="21"/>
                <w:highlight w:val="none"/>
                <w:shd w:val="clear" w:color="auto" w:fill="auto"/>
                <w:lang w:val="en-US" w:eastAsia="zh-CN"/>
              </w:rPr>
              <w:t>4.4固体废物影响评价结论</w:t>
            </w:r>
          </w:p>
          <w:p>
            <w:pPr>
              <w:bidi w:val="0"/>
              <w:rPr>
                <w:rFonts w:hint="default"/>
                <w:color w:val="auto"/>
                <w:highlight w:val="none"/>
              </w:rPr>
            </w:pPr>
            <w:r>
              <w:rPr>
                <w:rFonts w:hint="eastAsia"/>
                <w:color w:val="auto"/>
                <w:highlight w:val="none"/>
                <w:lang w:val="en-US" w:eastAsia="zh-CN"/>
              </w:rPr>
              <w:t>采取本项目提出的固体废物处置措施，各固体废物均得到合理处置，不会对环境造成二次污染。</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5、地下水、土壤</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eastAsia"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本项目生产过程</w:t>
            </w:r>
            <w:r>
              <w:rPr>
                <w:rFonts w:hint="eastAsia" w:cs="Times New Roman"/>
                <w:color w:val="auto"/>
                <w:sz w:val="24"/>
                <w:szCs w:val="21"/>
                <w:highlight w:val="none"/>
                <w:shd w:val="clear" w:color="auto" w:fill="auto"/>
                <w:lang w:val="en-US" w:eastAsia="zh-CN"/>
              </w:rPr>
              <w:t>排放的废气为颗粒物，产生量较少</w:t>
            </w:r>
            <w:r>
              <w:rPr>
                <w:rFonts w:hint="eastAsia" w:ascii="Times New Roman" w:hAnsi="Times New Roman" w:eastAsia="宋体" w:cs="Times New Roman"/>
                <w:color w:val="auto"/>
                <w:sz w:val="24"/>
                <w:szCs w:val="21"/>
                <w:highlight w:val="none"/>
                <w:shd w:val="clear" w:color="auto" w:fill="auto"/>
                <w:lang w:eastAsia="zh-CN"/>
              </w:rPr>
              <w:t>，因此</w:t>
            </w:r>
            <w:r>
              <w:rPr>
                <w:rFonts w:hint="eastAsia" w:cs="Times New Roman"/>
                <w:color w:val="auto"/>
                <w:sz w:val="24"/>
                <w:szCs w:val="21"/>
                <w:highlight w:val="none"/>
                <w:shd w:val="clear" w:color="auto" w:fill="auto"/>
                <w:lang w:eastAsia="zh-CN"/>
              </w:rPr>
              <w:t>，</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通过大气沉降</w:t>
            </w:r>
            <w:r>
              <w:rPr>
                <w:rFonts w:hint="eastAsia" w:ascii="Times New Roman" w:hAnsi="Times New Roman" w:eastAsia="宋体" w:cs="Times New Roman"/>
                <w:color w:val="auto"/>
                <w:sz w:val="24"/>
                <w:szCs w:val="21"/>
                <w:highlight w:val="none"/>
                <w:shd w:val="clear" w:color="auto" w:fill="auto"/>
                <w:lang w:eastAsia="zh-CN"/>
              </w:rPr>
              <w:t>对土壤环境及地下水环境产生</w:t>
            </w:r>
            <w:r>
              <w:rPr>
                <w:rFonts w:hint="eastAsia" w:cs="Times New Roman"/>
                <w:color w:val="auto"/>
                <w:sz w:val="24"/>
                <w:szCs w:val="21"/>
                <w:highlight w:val="none"/>
                <w:shd w:val="clear" w:color="auto" w:fill="auto"/>
                <w:lang w:val="en-US" w:eastAsia="zh-CN"/>
              </w:rPr>
              <w:t>明显</w:t>
            </w:r>
            <w:r>
              <w:rPr>
                <w:rFonts w:hint="eastAsia" w:ascii="Times New Roman" w:hAnsi="Times New Roman" w:eastAsia="宋体" w:cs="Times New Roman"/>
                <w:color w:val="auto"/>
                <w:sz w:val="24"/>
                <w:szCs w:val="21"/>
                <w:highlight w:val="none"/>
                <w:shd w:val="clear" w:color="auto" w:fill="auto"/>
                <w:lang w:eastAsia="zh-CN"/>
              </w:rPr>
              <w:t>不利影响。</w:t>
            </w:r>
          </w:p>
          <w:p>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textAlignment w:val="auto"/>
              <w:outlineLvl w:val="9"/>
              <w:rPr>
                <w:rFonts w:hint="default" w:ascii="Times New Roman" w:hAnsi="Times New Roman" w:eastAsia="宋体" w:cs="Times New Roman"/>
                <w:color w:val="auto"/>
                <w:sz w:val="24"/>
                <w:szCs w:val="21"/>
                <w:highlight w:val="none"/>
                <w:shd w:val="clear" w:color="auto" w:fill="auto"/>
                <w:lang w:eastAsia="zh-CN"/>
              </w:rPr>
            </w:pPr>
            <w:r>
              <w:rPr>
                <w:rFonts w:hint="eastAsia" w:ascii="Times New Roman" w:hAnsi="Times New Roman" w:eastAsia="宋体" w:cs="Times New Roman"/>
                <w:color w:val="auto"/>
                <w:sz w:val="24"/>
                <w:szCs w:val="21"/>
                <w:highlight w:val="none"/>
                <w:shd w:val="clear" w:color="auto" w:fill="auto"/>
                <w:lang w:eastAsia="zh-CN"/>
              </w:rPr>
              <w:t>本项目</w:t>
            </w:r>
            <w:r>
              <w:rPr>
                <w:rFonts w:hint="eastAsia" w:cs="Times New Roman"/>
                <w:color w:val="auto"/>
                <w:sz w:val="24"/>
                <w:szCs w:val="21"/>
                <w:highlight w:val="none"/>
                <w:shd w:val="clear" w:color="auto" w:fill="auto"/>
                <w:lang w:val="en-US" w:eastAsia="zh-CN"/>
              </w:rPr>
              <w:t>生产废水、洗车废水处理后循环使用，生活污水泼洒地面抑尘，</w:t>
            </w:r>
            <w:r>
              <w:rPr>
                <w:rFonts w:hint="eastAsia" w:cs="Times New Roman"/>
                <w:smallCaps w:val="0"/>
                <w:color w:val="auto"/>
                <w:spacing w:val="0"/>
                <w:kern w:val="24"/>
                <w:position w:val="0"/>
                <w:sz w:val="24"/>
                <w:szCs w:val="24"/>
                <w:highlight w:val="none"/>
                <w:lang w:val="en-US" w:eastAsia="zh-CN" w:bidi="ar-SA"/>
              </w:rPr>
              <w:t>因此，</w:t>
            </w:r>
            <w:r>
              <w:rPr>
                <w:rFonts w:hint="eastAsia" w:ascii="Times New Roman" w:hAnsi="Times New Roman" w:eastAsia="宋体" w:cs="Times New Roman"/>
                <w:color w:val="auto"/>
                <w:sz w:val="24"/>
                <w:szCs w:val="21"/>
                <w:highlight w:val="none"/>
                <w:shd w:val="clear" w:color="auto" w:fill="auto"/>
                <w:lang w:eastAsia="zh-CN"/>
              </w:rPr>
              <w:t>不会</w:t>
            </w:r>
            <w:r>
              <w:rPr>
                <w:rFonts w:hint="eastAsia" w:cs="Times New Roman"/>
                <w:color w:val="auto"/>
                <w:sz w:val="24"/>
                <w:szCs w:val="21"/>
                <w:highlight w:val="none"/>
                <w:shd w:val="clear" w:color="auto" w:fill="auto"/>
                <w:lang w:val="en-US" w:eastAsia="zh-CN"/>
              </w:rPr>
              <w:t>通过地表漫流</w:t>
            </w:r>
            <w:r>
              <w:rPr>
                <w:rFonts w:hint="eastAsia" w:ascii="Times New Roman" w:hAnsi="Times New Roman" w:eastAsia="宋体" w:cs="Times New Roman"/>
                <w:color w:val="auto"/>
                <w:sz w:val="24"/>
                <w:szCs w:val="21"/>
                <w:highlight w:val="none"/>
                <w:shd w:val="clear" w:color="auto" w:fill="auto"/>
                <w:lang w:eastAsia="zh-CN"/>
              </w:rPr>
              <w:t>对土壤及地下水环境产生明显不利影响。</w:t>
            </w:r>
          </w:p>
          <w:p>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油品储存间储存的润滑油、液压油；废水管道或集水沟收集的废水，一级沉淀池、沉淀澄清池储存的废水、湿式生产区生产过程、再生细骨料储存区储存的再生细骨料、原料储存区储存的建筑渣土、废料暂存区储存的废料、使用油类设备区的润滑油、液压油，</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pPr>
              <w:bidi w:val="0"/>
              <w:rPr>
                <w:rFonts w:hint="eastAsia"/>
                <w:color w:val="auto"/>
                <w:highlight w:val="none"/>
              </w:rPr>
            </w:pPr>
            <w:r>
              <w:rPr>
                <w:rFonts w:hint="eastAsia"/>
                <w:color w:val="auto"/>
                <w:highlight w:val="none"/>
                <w:lang w:val="en-US" w:eastAsia="zh-CN"/>
              </w:rPr>
              <w:t>使用油类设备区、危废间、油品储存间为重点防渗区，湿式生产区、再生细骨料储存区、原料储存区、收集废水的管道或集水沟、一级沉淀池、沉淀澄清池及其他生产区域为</w:t>
            </w:r>
            <w:r>
              <w:rPr>
                <w:rFonts w:hint="eastAsia"/>
                <w:color w:val="auto"/>
                <w:highlight w:val="none"/>
              </w:rPr>
              <w:t>一般防渗区</w:t>
            </w:r>
            <w:r>
              <w:rPr>
                <w:rFonts w:hint="eastAsia"/>
                <w:color w:val="auto"/>
                <w:highlight w:val="none"/>
                <w:lang w:eastAsia="zh-CN"/>
              </w:rPr>
              <w:t>，</w:t>
            </w:r>
            <w:r>
              <w:rPr>
                <w:rFonts w:hint="eastAsia"/>
                <w:color w:val="auto"/>
                <w:highlight w:val="none"/>
                <w:lang w:val="en-US" w:eastAsia="zh-CN"/>
              </w:rPr>
              <w:t>办公区及厂区道路为简单防渗区</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color w:val="auto"/>
                <w:sz w:val="24"/>
                <w:szCs w:val="24"/>
                <w:highlight w:val="none"/>
                <w:lang w:val="en-US" w:eastAsia="zh-CN"/>
              </w:rPr>
              <w:t>危废间地面与裙脚应采取表面防渗措施；表面防渗材料应与所接触的物料或污染物相容，可采用抗渗混凝土、高密度聚乙烯膜、钠基膨润土防水毯或其他防渗性能等效的材料。贮存的危险废物直接接触地面的，需进行基础防渗，防渗层为至少1m厚黏土层（渗透系数不大于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cm/s），或至少2mm厚高密度聚乙烯膜等人工防渗材料（渗透系数不大于10</w:t>
            </w:r>
            <w:r>
              <w:rPr>
                <w:rFonts w:hint="eastAsia"/>
                <w:color w:val="auto"/>
                <w:sz w:val="24"/>
                <w:szCs w:val="24"/>
                <w:highlight w:val="none"/>
                <w:vertAlign w:val="superscript"/>
                <w:lang w:val="en-US" w:eastAsia="zh-CN"/>
              </w:rPr>
              <w:t>-10</w:t>
            </w:r>
            <w:r>
              <w:rPr>
                <w:rFonts w:hint="eastAsia"/>
                <w:color w:val="auto"/>
                <w:sz w:val="24"/>
                <w:szCs w:val="24"/>
                <w:highlight w:val="none"/>
                <w:lang w:val="en-US" w:eastAsia="zh-CN"/>
              </w:rPr>
              <w:t>cm/s），或其他防渗性能等效的材料；油品储存间</w:t>
            </w:r>
            <w:r>
              <w:rPr>
                <w:rFonts w:hint="eastAsia" w:eastAsia="宋体"/>
                <w:color w:val="auto"/>
                <w:sz w:val="24"/>
                <w:szCs w:val="24"/>
                <w:highlight w:val="none"/>
              </w:rPr>
              <w:t>地面</w:t>
            </w:r>
            <w:r>
              <w:rPr>
                <w:rFonts w:eastAsia="宋体"/>
                <w:color w:val="auto"/>
                <w:sz w:val="24"/>
                <w:szCs w:val="24"/>
                <w:highlight w:val="none"/>
              </w:rPr>
              <w:t>采取抗渗水泥</w:t>
            </w:r>
            <w:r>
              <w:rPr>
                <w:rFonts w:hint="eastAsia" w:eastAsia="宋体"/>
                <w:color w:val="auto"/>
                <w:sz w:val="24"/>
                <w:szCs w:val="24"/>
                <w:highlight w:val="none"/>
              </w:rPr>
              <w:t>（</w:t>
            </w:r>
            <w:r>
              <w:rPr>
                <w:rFonts w:eastAsia="宋体"/>
                <w:color w:val="auto"/>
                <w:sz w:val="24"/>
                <w:szCs w:val="24"/>
                <w:highlight w:val="none"/>
              </w:rPr>
              <w:t>20cm</w:t>
            </w:r>
            <w:r>
              <w:rPr>
                <w:rFonts w:hint="eastAsia" w:eastAsia="宋体"/>
                <w:color w:val="auto"/>
                <w:sz w:val="24"/>
                <w:szCs w:val="24"/>
                <w:highlight w:val="none"/>
              </w:rPr>
              <w:t>）+</w:t>
            </w:r>
            <w:r>
              <w:rPr>
                <w:rFonts w:eastAsia="宋体"/>
                <w:color w:val="auto"/>
                <w:sz w:val="24"/>
                <w:szCs w:val="24"/>
                <w:highlight w:val="none"/>
              </w:rPr>
              <w:t>土工膜（2mm）防渗</w:t>
            </w:r>
            <w:r>
              <w:rPr>
                <w:rFonts w:hint="eastAsia" w:eastAsia="宋体"/>
                <w:color w:val="auto"/>
                <w:sz w:val="24"/>
                <w:szCs w:val="24"/>
                <w:highlight w:val="none"/>
              </w:rPr>
              <w:t>，</w:t>
            </w:r>
            <w:r>
              <w:rPr>
                <w:rFonts w:eastAsia="宋体"/>
                <w:color w:val="auto"/>
                <w:sz w:val="24"/>
                <w:szCs w:val="24"/>
                <w:highlight w:val="none"/>
              </w:rPr>
              <w:t>防渗层渗透系数</w:t>
            </w:r>
            <w:r>
              <w:rPr>
                <w:rFonts w:ascii="Times New Roman" w:hAnsi="Times New Roman" w:eastAsia="宋体"/>
                <w:color w:val="auto"/>
                <w:sz w:val="24"/>
                <w:szCs w:val="24"/>
                <w:highlight w:val="none"/>
              </w:rPr>
              <w:t>≤</w:t>
            </w:r>
            <w:r>
              <w:rPr>
                <w:rFonts w:eastAsia="宋体"/>
                <w:color w:val="auto"/>
                <w:sz w:val="24"/>
                <w:szCs w:val="24"/>
                <w:highlight w:val="none"/>
              </w:rPr>
              <w:t>10</w:t>
            </w:r>
            <w:r>
              <w:rPr>
                <w:rFonts w:eastAsia="宋体"/>
                <w:color w:val="auto"/>
                <w:sz w:val="24"/>
                <w:szCs w:val="24"/>
                <w:highlight w:val="none"/>
                <w:vertAlign w:val="superscript"/>
              </w:rPr>
              <w:t>-10</w:t>
            </w:r>
            <w:r>
              <w:rPr>
                <w:rFonts w:eastAsia="宋体"/>
                <w:color w:val="auto"/>
                <w:sz w:val="24"/>
                <w:szCs w:val="24"/>
                <w:highlight w:val="none"/>
              </w:rPr>
              <w:t>cm/s</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车间内使用润滑油</w:t>
            </w:r>
            <w:r>
              <w:rPr>
                <w:rFonts w:hint="eastAsia"/>
                <w:color w:val="auto"/>
                <w:sz w:val="24"/>
                <w:szCs w:val="24"/>
                <w:highlight w:val="none"/>
                <w:lang w:val="en-US" w:eastAsia="zh-CN"/>
              </w:rPr>
              <w:t>、液压油</w:t>
            </w:r>
            <w:r>
              <w:rPr>
                <w:rFonts w:hint="eastAsia" w:eastAsia="宋体"/>
                <w:color w:val="auto"/>
                <w:sz w:val="24"/>
                <w:szCs w:val="24"/>
                <w:highlight w:val="none"/>
                <w:lang w:val="en-US" w:eastAsia="zh-CN"/>
              </w:rPr>
              <w:t>设备下方设置</w:t>
            </w:r>
            <w:r>
              <w:rPr>
                <w:rFonts w:hint="eastAsia"/>
                <w:color w:val="auto"/>
                <w:sz w:val="24"/>
                <w:szCs w:val="24"/>
                <w:highlight w:val="none"/>
                <w:lang w:val="en-US" w:eastAsia="zh-CN"/>
              </w:rPr>
              <w:t>铁质焊接托盘，无缝隙，不渗漏，确保废润滑油、废液压油不落地。</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color w:val="auto"/>
                <w:sz w:val="24"/>
                <w:szCs w:val="24"/>
                <w:highlight w:val="none"/>
                <w:lang w:val="en-US" w:eastAsia="zh-CN"/>
              </w:rPr>
              <w:t>湿式生产区和原料储存区、再生细骨料储存区、废料暂存区</w:t>
            </w:r>
            <w:r>
              <w:rPr>
                <w:rFonts w:hint="eastAsia" w:eastAsia="宋体"/>
                <w:color w:val="auto"/>
                <w:sz w:val="24"/>
                <w:szCs w:val="24"/>
                <w:highlight w:val="none"/>
                <w:lang w:val="en-US" w:eastAsia="zh-CN"/>
              </w:rPr>
              <w:t>地面</w:t>
            </w:r>
            <w:r>
              <w:rPr>
                <w:rFonts w:hint="eastAsia"/>
                <w:color w:val="auto"/>
                <w:sz w:val="24"/>
                <w:szCs w:val="24"/>
                <w:highlight w:val="none"/>
                <w:lang w:val="en-US" w:eastAsia="zh-CN"/>
              </w:rPr>
              <w:t>防渗层为至少1m厚粘土层（渗透系数</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w:t>
            </w:r>
            <w:r>
              <w:rPr>
                <w:rFonts w:hint="eastAsia" w:ascii="Times New Roman" w:hAnsi="Times New Roman" w:eastAsia="Times New Roman" w:cs="Times New Roman"/>
                <w:color w:val="auto"/>
                <w:kern w:val="0"/>
                <w:sz w:val="24"/>
                <w:szCs w:val="24"/>
                <w:highlight w:val="none"/>
                <w:lang w:val="en-US" w:eastAsia="zh-CN" w:bidi="ar"/>
              </w:rPr>
              <w:t>；</w:t>
            </w:r>
            <w:r>
              <w:rPr>
                <w:rFonts w:hint="eastAsia" w:eastAsia="宋体"/>
                <w:color w:val="auto"/>
                <w:sz w:val="24"/>
                <w:szCs w:val="24"/>
                <w:highlight w:val="none"/>
                <w:lang w:val="en-US" w:eastAsia="zh-CN"/>
              </w:rPr>
              <w:t>收集废水的管道或集水沟均为抗渗混凝土结构，地上或明沟设置，</w:t>
            </w:r>
            <w:r>
              <w:rPr>
                <w:rFonts w:hint="eastAsia"/>
                <w:color w:val="auto"/>
                <w:sz w:val="24"/>
                <w:szCs w:val="24"/>
                <w:highlight w:val="none"/>
                <w:lang w:val="en-US" w:eastAsia="zh-CN"/>
              </w:rPr>
              <w:t>渗透系数</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cm/s；一级沉淀池、沉淀澄清池</w:t>
            </w:r>
            <w:r>
              <w:rPr>
                <w:rFonts w:hint="eastAsia" w:ascii="Times New Roman" w:hAnsi="Times New Roman" w:eastAsia="Times New Roman" w:cs="Times New Roman"/>
                <w:color w:val="auto"/>
                <w:kern w:val="0"/>
                <w:sz w:val="24"/>
                <w:szCs w:val="24"/>
                <w:highlight w:val="none"/>
                <w:lang w:val="en-US" w:eastAsia="zh-CN" w:bidi="ar"/>
              </w:rPr>
              <w:t>底部及四周均</w:t>
            </w:r>
            <w:r>
              <w:rPr>
                <w:rFonts w:hint="eastAsia"/>
                <w:color w:val="auto"/>
                <w:sz w:val="24"/>
                <w:szCs w:val="24"/>
                <w:highlight w:val="none"/>
                <w:lang w:val="en-US" w:eastAsia="zh-CN"/>
              </w:rPr>
              <w:t>为抗渗混凝土结构，渗透系数</w:t>
            </w:r>
            <w:r>
              <w:rPr>
                <w:rFonts w:hint="default" w:ascii="Times New Roman" w:hAnsi="Times New Roman" w:cs="Times New Roman"/>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cm/s；洗车平台沉淀池、清水池为抗渗混凝土结构，渗透系数</w:t>
            </w:r>
            <w:r>
              <w:rPr>
                <w:rFonts w:hint="default" w:ascii="Times New Roman" w:hAnsi="Times New Roman" w:cs="Times New Roman"/>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w:t>
            </w:r>
            <w:r>
              <w:rPr>
                <w:rFonts w:hint="eastAsia" w:ascii="Times New Roman" w:hAnsi="Times New Roman" w:eastAsia="宋体"/>
                <w:color w:val="auto"/>
                <w:sz w:val="24"/>
                <w:szCs w:val="24"/>
                <w:highlight w:val="none"/>
              </w:rPr>
              <w:t>生产车间</w:t>
            </w:r>
            <w:r>
              <w:rPr>
                <w:rFonts w:ascii="Times New Roman" w:hAnsi="Times New Roman" w:eastAsia="宋体"/>
                <w:color w:val="auto"/>
                <w:sz w:val="24"/>
                <w:szCs w:val="24"/>
                <w:highlight w:val="none"/>
              </w:rPr>
              <w:t>其他区域的建设进行基础防渗处理，需满足等效黏土防渗层Mb≥6.0m，K≤1×10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③</w:t>
            </w:r>
            <w:r>
              <w:rPr>
                <w:rFonts w:hint="eastAsia" w:ascii="Times New Roman" w:hAnsi="Times New Roman" w:eastAsia="宋体"/>
                <w:color w:val="auto"/>
                <w:sz w:val="24"/>
                <w:szCs w:val="24"/>
                <w:highlight w:val="none"/>
                <w:lang w:val="en-US" w:eastAsia="zh-CN"/>
              </w:rPr>
              <w:t>简单防渗区：办公区及厂区道路地面做好硬化处理。</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b/>
                <w:bCs/>
                <w:color w:val="auto"/>
                <w:highlight w:val="none"/>
                <w:lang w:val="en-US" w:eastAsia="zh-CN"/>
              </w:rPr>
            </w:pPr>
            <w:r>
              <w:rPr>
                <w:rFonts w:hint="eastAsia" w:eastAsia="宋体"/>
                <w:color w:val="auto"/>
                <w:sz w:val="24"/>
                <w:szCs w:val="24"/>
                <w:highlight w:val="none"/>
                <w:lang w:eastAsia="zh-CN"/>
              </w:rPr>
              <w:t>综上，</w:t>
            </w:r>
            <w:r>
              <w:rPr>
                <w:rFonts w:hint="eastAsia" w:ascii="Times New Roman" w:hAnsi="Times New Roman" w:eastAsia="宋体"/>
                <w:color w:val="auto"/>
                <w:sz w:val="24"/>
                <w:szCs w:val="24"/>
                <w:highlight w:val="none"/>
              </w:rPr>
              <w:t>本项目</w:t>
            </w:r>
            <w:r>
              <w:rPr>
                <w:rFonts w:hint="eastAsia" w:eastAsia="宋体"/>
                <w:color w:val="auto"/>
                <w:sz w:val="24"/>
                <w:szCs w:val="24"/>
                <w:highlight w:val="none"/>
                <w:lang w:eastAsia="zh-CN"/>
              </w:rPr>
              <w:t>采取上述防控措施后，</w:t>
            </w:r>
            <w:r>
              <w:rPr>
                <w:rFonts w:hint="eastAsia" w:ascii="Times New Roman" w:hAnsi="Times New Roman" w:eastAsia="宋体"/>
                <w:color w:val="auto"/>
                <w:sz w:val="24"/>
                <w:szCs w:val="24"/>
                <w:highlight w:val="none"/>
              </w:rPr>
              <w:t>对区域</w:t>
            </w:r>
            <w:r>
              <w:rPr>
                <w:rFonts w:hint="eastAsia" w:eastAsia="宋体"/>
                <w:color w:val="auto"/>
                <w:sz w:val="24"/>
                <w:szCs w:val="24"/>
                <w:highlight w:val="none"/>
                <w:lang w:eastAsia="zh-CN"/>
              </w:rPr>
              <w:t>地下水、土壤</w:t>
            </w:r>
            <w:r>
              <w:rPr>
                <w:rFonts w:hint="eastAsia" w:ascii="Times New Roman" w:hAnsi="Times New Roman" w:eastAsia="宋体"/>
                <w:color w:val="auto"/>
                <w:sz w:val="24"/>
                <w:szCs w:val="24"/>
                <w:highlight w:val="none"/>
              </w:rPr>
              <w:t>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textAlignment w:val="auto"/>
              <w:rPr>
                <w:rFonts w:hint="eastAsia"/>
                <w:b/>
                <w:bCs/>
                <w:color w:val="auto"/>
                <w:highlight w:val="none"/>
                <w:lang w:val="en-US" w:eastAsia="zh-CN"/>
              </w:rPr>
            </w:pPr>
            <w:r>
              <w:rPr>
                <w:rFonts w:hint="eastAsia"/>
                <w:b/>
                <w:bCs/>
                <w:color w:val="auto"/>
                <w:highlight w:val="none"/>
                <w:lang w:val="en-US" w:eastAsia="zh-CN"/>
              </w:rPr>
              <w:t>6、生态</w:t>
            </w:r>
          </w:p>
          <w:p>
            <w:pPr>
              <w:bidi w:val="0"/>
              <w:rPr>
                <w:rFonts w:hint="eastAsia"/>
                <w:color w:val="auto"/>
                <w:highlight w:val="none"/>
                <w:lang w:eastAsia="zh-CN"/>
              </w:rPr>
            </w:pPr>
            <w:r>
              <w:rPr>
                <w:rFonts w:hint="eastAsia"/>
                <w:color w:val="auto"/>
                <w:highlight w:val="none"/>
                <w:lang w:eastAsia="zh-CN"/>
              </w:rPr>
              <w:t>本项目用地范围内无生态环境保护目标，</w:t>
            </w:r>
            <w:r>
              <w:rPr>
                <w:rFonts w:hint="eastAsia"/>
                <w:color w:val="auto"/>
                <w:highlight w:val="none"/>
                <w:lang w:val="en-US" w:eastAsia="zh-CN"/>
              </w:rPr>
              <w:t>对生态的影响主要为</w:t>
            </w:r>
            <w:r>
              <w:rPr>
                <w:color w:val="auto"/>
                <w:highlight w:val="none"/>
              </w:rPr>
              <w:t>建设施工</w:t>
            </w:r>
            <w:r>
              <w:rPr>
                <w:rFonts w:hint="eastAsia"/>
                <w:color w:val="auto"/>
                <w:highlight w:val="none"/>
                <w:lang w:val="en-US" w:eastAsia="zh-CN"/>
              </w:rPr>
              <w:t>过程</w:t>
            </w:r>
            <w:r>
              <w:rPr>
                <w:color w:val="auto"/>
                <w:highlight w:val="none"/>
              </w:rPr>
              <w:t>引</w:t>
            </w:r>
            <w:r>
              <w:rPr>
                <w:rFonts w:hint="eastAsia"/>
                <w:color w:val="auto"/>
                <w:highlight w:val="none"/>
                <w:lang w:val="en-US" w:eastAsia="zh-CN"/>
              </w:rPr>
              <w:t>起占地范围内的</w:t>
            </w:r>
            <w:r>
              <w:rPr>
                <w:color w:val="auto"/>
                <w:highlight w:val="none"/>
              </w:rPr>
              <w:t>土壤松动和水土流失</w:t>
            </w:r>
            <w:r>
              <w:rPr>
                <w:rFonts w:hint="eastAsia"/>
                <w:color w:val="auto"/>
                <w:highlight w:val="none"/>
                <w:lang w:eastAsia="zh-CN"/>
              </w:rPr>
              <w:t>，</w:t>
            </w:r>
            <w:r>
              <w:rPr>
                <w:rFonts w:hint="eastAsia"/>
                <w:color w:val="auto"/>
                <w:highlight w:val="none"/>
                <w:lang w:val="en-US" w:eastAsia="zh-CN"/>
              </w:rPr>
              <w:t>项目建成后采取地面硬化、绿化等措施，可有效减少水土流失，对生态环境具有一定的改善作用，</w:t>
            </w:r>
            <w:r>
              <w:rPr>
                <w:rFonts w:hint="eastAsia"/>
                <w:color w:val="auto"/>
                <w:highlight w:val="none"/>
                <w:lang w:eastAsia="zh-CN"/>
              </w:rPr>
              <w:t>对区域生态环境影响较小。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7、环境风险</w:t>
            </w:r>
          </w:p>
          <w:p>
            <w:pPr>
              <w:bidi w:val="0"/>
              <w:rPr>
                <w:rFonts w:hint="eastAsia"/>
                <w:b/>
                <w:bCs/>
                <w:color w:val="auto"/>
                <w:highlight w:val="none"/>
                <w:lang w:val="en-US" w:eastAsia="zh-CN"/>
              </w:rPr>
            </w:pPr>
            <w:r>
              <w:rPr>
                <w:rFonts w:hint="eastAsia"/>
                <w:b/>
                <w:bCs/>
                <w:color w:val="auto"/>
                <w:highlight w:val="none"/>
                <w:lang w:val="en-US" w:eastAsia="zh-CN"/>
              </w:rPr>
              <w:t>7.1环境风险的识别</w:t>
            </w:r>
          </w:p>
          <w:p>
            <w:pPr>
              <w:bidi w:val="0"/>
              <w:rPr>
                <w:rFonts w:hint="default"/>
                <w:color w:val="auto"/>
                <w:highlight w:val="none"/>
                <w:lang w:val="en-US" w:eastAsia="zh-CN"/>
              </w:rPr>
            </w:pPr>
            <w:r>
              <w:rPr>
                <w:rFonts w:hint="default"/>
                <w:color w:val="auto"/>
                <w:highlight w:val="none"/>
                <w:lang w:val="en-US" w:eastAsia="zh-CN"/>
              </w:rPr>
              <w:t>本</w:t>
            </w:r>
            <w:r>
              <w:rPr>
                <w:rFonts w:hint="eastAsia"/>
                <w:color w:val="auto"/>
                <w:highlight w:val="none"/>
                <w:lang w:val="en-US" w:eastAsia="zh-CN"/>
              </w:rPr>
              <w:t>项目建成后</w:t>
            </w:r>
            <w:r>
              <w:rPr>
                <w:rFonts w:hint="default"/>
                <w:color w:val="auto"/>
                <w:highlight w:val="none"/>
                <w:lang w:val="en-US" w:eastAsia="zh-CN"/>
              </w:rPr>
              <w:t>的风险物质主要为</w:t>
            </w:r>
            <w:r>
              <w:rPr>
                <w:rFonts w:hint="eastAsia"/>
                <w:color w:val="auto"/>
                <w:highlight w:val="none"/>
                <w:lang w:val="en-US" w:eastAsia="zh-CN"/>
              </w:rPr>
              <w:t>润滑油、废润滑油、液压油、废液压油，润滑油、废润滑油、液压油、废液压油</w:t>
            </w:r>
            <w:r>
              <w:rPr>
                <w:rFonts w:hint="default"/>
                <w:color w:val="auto"/>
                <w:highlight w:val="none"/>
                <w:lang w:val="en-US" w:eastAsia="zh-CN"/>
              </w:rPr>
              <w:t>在储存、使用过程中可能发生泄漏事故、火灾事故。</w:t>
            </w:r>
            <w:r>
              <w:rPr>
                <w:rFonts w:hint="eastAsia"/>
                <w:color w:val="auto"/>
                <w:highlight w:val="none"/>
                <w:lang w:val="en-US" w:eastAsia="zh-CN"/>
              </w:rPr>
              <w:t>润滑油、废液压油密闭桶装储存于油品储存间，废润滑油、废液压油桶装加盖储存于危废间</w:t>
            </w:r>
            <w:r>
              <w:rPr>
                <w:rFonts w:hint="default"/>
                <w:color w:val="auto"/>
                <w:highlight w:val="none"/>
                <w:lang w:val="en-US" w:eastAsia="zh-CN"/>
              </w:rPr>
              <w:t>内。</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val="zh-CN" w:eastAsia="zh-CN"/>
              </w:rPr>
              <w:t>表</w:t>
            </w:r>
            <w:r>
              <w:rPr>
                <w:rFonts w:hint="eastAsia" w:cs="Times New Roman"/>
                <w:b/>
                <w:bCs/>
                <w:color w:val="auto"/>
                <w:sz w:val="21"/>
                <w:szCs w:val="21"/>
                <w:highlight w:val="none"/>
                <w:shd w:val="clear" w:color="auto" w:fill="auto"/>
                <w:lang w:val="en-US" w:eastAsia="zh-CN"/>
              </w:rPr>
              <w:t>37</w:t>
            </w:r>
            <w:r>
              <w:rPr>
                <w:rFonts w:hint="eastAsia" w:ascii="Times New Roman" w:hAnsi="Times New Roman" w:eastAsia="宋体" w:cs="Times New Roman"/>
                <w:b/>
                <w:bCs/>
                <w:color w:val="auto"/>
                <w:sz w:val="21"/>
                <w:szCs w:val="21"/>
                <w:highlight w:val="none"/>
                <w:shd w:val="clear" w:color="auto" w:fill="auto"/>
                <w:lang w:val="en-US" w:eastAsia="zh-CN"/>
              </w:rPr>
              <w:t xml:space="preserve">  风险物质识别及影响途径</w:t>
            </w:r>
            <w:r>
              <w:rPr>
                <w:rFonts w:hint="eastAsia" w:ascii="Times New Roman" w:hAnsi="Times New Roman" w:eastAsia="宋体" w:cs="Times New Roman"/>
                <w:b/>
                <w:bCs/>
                <w:color w:val="auto"/>
                <w:sz w:val="21"/>
                <w:szCs w:val="21"/>
                <w:highlight w:val="none"/>
                <w:shd w:val="clear" w:color="auto" w:fill="auto"/>
                <w:lang w:val="zh-CN" w:eastAsia="zh-CN"/>
              </w:rPr>
              <w:t>一览</w:t>
            </w:r>
            <w:r>
              <w:rPr>
                <w:rFonts w:hint="default" w:ascii="Times New Roman" w:hAnsi="Times New Roman" w:eastAsia="宋体" w:cs="Times New Roman"/>
                <w:b/>
                <w:bCs/>
                <w:color w:val="auto"/>
                <w:sz w:val="21"/>
                <w:szCs w:val="21"/>
                <w:highlight w:val="none"/>
                <w:shd w:val="clear" w:color="auto" w:fill="auto"/>
                <w:lang w:val="zh-CN" w:eastAsia="zh-CN"/>
              </w:rPr>
              <w:t>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13"/>
              <w:gridCol w:w="1412"/>
              <w:gridCol w:w="1525"/>
              <w:gridCol w:w="1118"/>
              <w:gridCol w:w="1006"/>
              <w:gridCol w:w="2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313"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风险物质名称</w:t>
                  </w:r>
                </w:p>
              </w:tc>
              <w:tc>
                <w:tcPr>
                  <w:tcW w:w="1412"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储存场所</w:t>
                  </w:r>
                </w:p>
              </w:tc>
              <w:tc>
                <w:tcPr>
                  <w:tcW w:w="15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最大储存量</w:t>
                  </w:r>
                  <w:r>
                    <w:rPr>
                      <w:rFonts w:hint="eastAsia" w:eastAsia="宋体" w:cs="Times New Roman"/>
                      <w:color w:val="auto"/>
                      <w:sz w:val="21"/>
                      <w:szCs w:val="21"/>
                      <w:highlight w:val="none"/>
                      <w:shd w:val="clear" w:color="auto" w:fill="auto"/>
                      <w:lang w:val="en-US" w:eastAsia="zh-CN"/>
                    </w:rPr>
                    <w:t>（t）</w:t>
                  </w:r>
                </w:p>
              </w:tc>
              <w:tc>
                <w:tcPr>
                  <w:tcW w:w="111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临界量（t）</w:t>
                  </w:r>
                </w:p>
              </w:tc>
              <w:tc>
                <w:tcPr>
                  <w:tcW w:w="100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Q值</w:t>
                  </w:r>
                </w:p>
              </w:tc>
              <w:tc>
                <w:tcPr>
                  <w:tcW w:w="201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影响途经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1313"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润滑油</w:t>
                  </w:r>
                </w:p>
              </w:tc>
              <w:tc>
                <w:tcPr>
                  <w:tcW w:w="1412"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油品储存间</w:t>
                  </w:r>
                </w:p>
              </w:tc>
              <w:tc>
                <w:tcPr>
                  <w:tcW w:w="15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0.05</w:t>
                  </w:r>
                </w:p>
              </w:tc>
              <w:tc>
                <w:tcPr>
                  <w:tcW w:w="111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2500</w:t>
                  </w:r>
                </w:p>
              </w:tc>
              <w:tc>
                <w:tcPr>
                  <w:tcW w:w="100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0.00002</w:t>
                  </w:r>
                </w:p>
              </w:tc>
              <w:tc>
                <w:tcPr>
                  <w:tcW w:w="2016" w:type="dxa"/>
                  <w:vMerge w:val="restart"/>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泄漏漫流至地面下渗影响土壤及地下水环境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引起火灾产生废气、消防废水等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313"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废润滑油</w:t>
                  </w:r>
                </w:p>
              </w:tc>
              <w:tc>
                <w:tcPr>
                  <w:tcW w:w="1412"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eastAsia="zh-CN"/>
                    </w:rPr>
                    <w:t>危废间</w:t>
                  </w:r>
                </w:p>
              </w:tc>
              <w:tc>
                <w:tcPr>
                  <w:tcW w:w="15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0.3</w:t>
                  </w:r>
                </w:p>
              </w:tc>
              <w:tc>
                <w:tcPr>
                  <w:tcW w:w="111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100</w:t>
                  </w:r>
                </w:p>
              </w:tc>
              <w:tc>
                <w:tcPr>
                  <w:tcW w:w="100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0.003</w:t>
                  </w:r>
                </w:p>
              </w:tc>
              <w:tc>
                <w:tcPr>
                  <w:tcW w:w="2016"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1313"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液压油</w:t>
                  </w:r>
                </w:p>
              </w:tc>
              <w:tc>
                <w:tcPr>
                  <w:tcW w:w="1412"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cs="Times New Roman"/>
                      <w:color w:val="auto"/>
                      <w:kern w:val="2"/>
                      <w:sz w:val="21"/>
                      <w:szCs w:val="21"/>
                      <w:highlight w:val="none"/>
                      <w:shd w:val="clear" w:color="auto" w:fill="auto"/>
                      <w:lang w:val="en-US" w:eastAsia="zh-CN" w:bidi="ar-SA"/>
                    </w:rPr>
                    <w:t>油品储存间</w:t>
                  </w:r>
                </w:p>
              </w:tc>
              <w:tc>
                <w:tcPr>
                  <w:tcW w:w="15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w:t>
                  </w:r>
                </w:p>
              </w:tc>
              <w:tc>
                <w:tcPr>
                  <w:tcW w:w="111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bidi="ar-SA"/>
                    </w:rPr>
                    <w:t>2500</w:t>
                  </w:r>
                </w:p>
              </w:tc>
              <w:tc>
                <w:tcPr>
                  <w:tcW w:w="100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1"/>
                      <w:szCs w:val="21"/>
                      <w:highlight w:val="none"/>
                      <w:shd w:val="clear" w:color="auto" w:fill="auto"/>
                      <w:lang w:val="en-US" w:eastAsia="zh-CN"/>
                    </w:rPr>
                  </w:pPr>
                  <w:r>
                    <w:rPr>
                      <w:rFonts w:hint="eastAsia" w:cs="Times New Roman"/>
                      <w:color w:val="auto"/>
                      <w:kern w:val="2"/>
                      <w:sz w:val="21"/>
                      <w:szCs w:val="21"/>
                      <w:highlight w:val="none"/>
                      <w:shd w:val="clear" w:color="auto" w:fill="auto"/>
                      <w:lang w:val="en-US" w:eastAsia="zh-CN" w:bidi="ar-SA"/>
                    </w:rPr>
                    <w:t>0.00002</w:t>
                  </w:r>
                </w:p>
              </w:tc>
              <w:tc>
                <w:tcPr>
                  <w:tcW w:w="2016"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1313"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废液压油</w:t>
                  </w:r>
                </w:p>
              </w:tc>
              <w:tc>
                <w:tcPr>
                  <w:tcW w:w="1412" w:type="dxa"/>
                  <w:tcBorders>
                    <w:tl2br w:val="nil"/>
                    <w:tr2bl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eastAsia="宋体" w:cs="Times New Roman"/>
                      <w:color w:val="auto"/>
                      <w:sz w:val="21"/>
                      <w:szCs w:val="21"/>
                      <w:highlight w:val="none"/>
                      <w:shd w:val="clear" w:color="auto" w:fill="auto"/>
                      <w:lang w:eastAsia="zh-CN"/>
                    </w:rPr>
                    <w:t>危废间</w:t>
                  </w:r>
                </w:p>
              </w:tc>
              <w:tc>
                <w:tcPr>
                  <w:tcW w:w="1525"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0.2</w:t>
                  </w:r>
                </w:p>
              </w:tc>
              <w:tc>
                <w:tcPr>
                  <w:tcW w:w="1118"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100</w:t>
                  </w:r>
                </w:p>
              </w:tc>
              <w:tc>
                <w:tcPr>
                  <w:tcW w:w="1006" w:type="dxa"/>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0.002</w:t>
                  </w:r>
                </w:p>
              </w:tc>
              <w:tc>
                <w:tcPr>
                  <w:tcW w:w="2016" w:type="dxa"/>
                  <w:vMerge w:val="continue"/>
                  <w:tcBorders>
                    <w:tl2br w:val="nil"/>
                    <w:tr2bl w:val="nil"/>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p>
              </w:tc>
            </w:tr>
          </w:tbl>
          <w:p>
            <w:pPr>
              <w:bidi w:val="0"/>
              <w:rPr>
                <w:rFonts w:hint="default" w:ascii="Times New Roman" w:hAnsi="Times New Roman" w:eastAsia="宋体" w:cs="Times New Roman"/>
                <w:b w:val="0"/>
                <w:bCs w:val="0"/>
                <w:color w:val="auto"/>
                <w:sz w:val="24"/>
                <w:szCs w:val="21"/>
                <w:highlight w:val="none"/>
                <w:shd w:val="clear" w:color="auto" w:fill="auto"/>
                <w:lang w:val="en-US" w:eastAsia="zh-CN"/>
              </w:rPr>
            </w:pPr>
            <w:r>
              <w:rPr>
                <w:rFonts w:hint="eastAsia"/>
                <w:b w:val="0"/>
                <w:bCs w:val="0"/>
                <w:color w:val="auto"/>
                <w:highlight w:val="none"/>
                <w:lang w:val="en-US" w:eastAsia="zh-CN"/>
              </w:rPr>
              <w:t>本项目建成后</w:t>
            </w:r>
            <w:r>
              <w:rPr>
                <w:rFonts w:hint="default" w:ascii="Times New Roman" w:hAnsi="Times New Roman" w:eastAsia="宋体" w:cs="Times New Roman"/>
                <w:color w:val="auto"/>
                <w:szCs w:val="24"/>
                <w:highlight w:val="none"/>
              </w:rPr>
              <w:t>风险物质</w:t>
            </w:r>
            <w:r>
              <w:rPr>
                <w:rFonts w:hint="eastAsia" w:ascii="Times New Roman" w:hAnsi="Times New Roman" w:eastAsia="宋体" w:cs="Times New Roman"/>
                <w:color w:val="auto"/>
                <w:szCs w:val="24"/>
                <w:highlight w:val="none"/>
                <w:lang w:val="en-US" w:eastAsia="zh-CN"/>
              </w:rPr>
              <w:t>最大储存量</w:t>
            </w:r>
            <w:r>
              <w:rPr>
                <w:rFonts w:hint="default" w:ascii="Times New Roman" w:hAnsi="Times New Roman" w:eastAsia="宋体" w:cs="Times New Roman"/>
                <w:color w:val="auto"/>
                <w:szCs w:val="24"/>
                <w:highlight w:val="none"/>
              </w:rPr>
              <w:t>与临界量比值</w:t>
            </w:r>
            <w:r>
              <w:rPr>
                <w:rFonts w:hint="default" w:ascii="Times New Roman" w:hAnsi="Times New Roman" w:eastAsia="宋体" w:cs="Times New Roman"/>
                <w:b w:val="0"/>
                <w:bCs w:val="0"/>
                <w:color w:val="auto"/>
                <w:szCs w:val="24"/>
                <w:highlight w:val="none"/>
              </w:rPr>
              <w:t>Q值</w:t>
            </w:r>
            <w:r>
              <w:rPr>
                <w:rFonts w:hint="eastAsia" w:cs="Times New Roman"/>
                <w:b w:val="0"/>
                <w:bCs w:val="0"/>
                <w:color w:val="auto"/>
                <w:szCs w:val="24"/>
                <w:highlight w:val="none"/>
                <w:lang w:val="en-US" w:eastAsia="zh-CN"/>
              </w:rPr>
              <w:t>小于1</w:t>
            </w:r>
            <w:r>
              <w:rPr>
                <w:rFonts w:hint="eastAsia" w:cs="Times New Roman"/>
                <w:color w:val="auto"/>
                <w:szCs w:val="24"/>
                <w:highlight w:val="none"/>
                <w:lang w:val="en-US" w:eastAsia="zh-CN"/>
              </w:rPr>
              <w:t>。</w:t>
            </w:r>
          </w:p>
          <w:p>
            <w:pPr>
              <w:bidi w:val="0"/>
              <w:rPr>
                <w:rFonts w:hint="default"/>
                <w:color w:val="auto"/>
                <w:highlight w:val="none"/>
                <w:lang w:val="en-US" w:eastAsia="zh-CN"/>
              </w:rPr>
            </w:pPr>
            <w:r>
              <w:rPr>
                <w:rFonts w:hint="eastAsia" w:ascii="Times New Roman" w:hAnsi="Times New Roman" w:eastAsia="宋体" w:cs="Times New Roman"/>
                <w:b w:val="0"/>
                <w:bCs w:val="0"/>
                <w:color w:val="auto"/>
                <w:sz w:val="24"/>
                <w:szCs w:val="21"/>
                <w:highlight w:val="none"/>
                <w:shd w:val="clear" w:color="auto" w:fill="auto"/>
                <w:lang w:val="en-US" w:eastAsia="zh-CN"/>
              </w:rPr>
              <w:t>本项目涉及的风险物质理化性质见下表。</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480" w:lineRule="exact"/>
              <w:ind w:left="0" w:leftChars="0" w:right="0" w:rightChars="0" w:firstLine="0" w:firstLineChars="0"/>
              <w:jc w:val="center"/>
              <w:textAlignment w:val="auto"/>
              <w:rPr>
                <w:rFonts w:hint="default" w:ascii="Times New Roman" w:hAnsi="Times New Roman" w:eastAsia="宋体" w:cs="Times New Roman"/>
                <w:b/>
                <w:bCs w:val="0"/>
                <w:caps w:val="0"/>
                <w:color w:val="auto"/>
                <w:sz w:val="21"/>
                <w:szCs w:val="21"/>
                <w:highlight w:val="none"/>
                <w:lang w:val="en-US" w:eastAsia="zh-CN"/>
              </w:rPr>
            </w:pPr>
            <w:r>
              <w:rPr>
                <w:rFonts w:hint="default" w:ascii="Times New Roman" w:hAnsi="Times New Roman" w:eastAsia="宋体" w:cs="Times New Roman"/>
                <w:b/>
                <w:bCs w:val="0"/>
                <w:caps w:val="0"/>
                <w:color w:val="auto"/>
                <w:sz w:val="21"/>
                <w:szCs w:val="21"/>
                <w:highlight w:val="none"/>
                <w:lang w:val="en-US" w:eastAsia="zh-CN"/>
              </w:rPr>
              <w:t>表</w:t>
            </w:r>
            <w:r>
              <w:rPr>
                <w:rFonts w:hint="eastAsia" w:cs="Times New Roman"/>
                <w:b/>
                <w:bCs w:val="0"/>
                <w:caps w:val="0"/>
                <w:color w:val="auto"/>
                <w:sz w:val="21"/>
                <w:szCs w:val="21"/>
                <w:highlight w:val="none"/>
                <w:lang w:val="en-US" w:eastAsia="zh-CN"/>
              </w:rPr>
              <w:t>38</w:t>
            </w:r>
            <w:r>
              <w:rPr>
                <w:rFonts w:hint="eastAsia" w:ascii="Times New Roman" w:hAnsi="Times New Roman" w:eastAsia="宋体" w:cs="Times New Roman"/>
                <w:b/>
                <w:bCs w:val="0"/>
                <w:caps w:val="0"/>
                <w:color w:val="auto"/>
                <w:sz w:val="21"/>
                <w:szCs w:val="21"/>
                <w:highlight w:val="none"/>
                <w:lang w:val="en-US" w:eastAsia="zh-CN"/>
              </w:rPr>
              <w:t xml:space="preserve">  </w:t>
            </w:r>
            <w:r>
              <w:rPr>
                <w:rFonts w:hint="eastAsia" w:cs="Times New Roman"/>
                <w:b/>
                <w:bCs w:val="0"/>
                <w:caps w:val="0"/>
                <w:color w:val="auto"/>
                <w:sz w:val="21"/>
                <w:szCs w:val="21"/>
                <w:highlight w:val="none"/>
                <w:lang w:val="en-US" w:eastAsia="zh-CN"/>
              </w:rPr>
              <w:t>润滑油</w:t>
            </w:r>
            <w:r>
              <w:rPr>
                <w:rFonts w:hint="default" w:ascii="Times New Roman" w:hAnsi="Times New Roman" w:eastAsia="宋体" w:cs="Times New Roman"/>
                <w:b/>
                <w:bCs w:val="0"/>
                <w:caps w:val="0"/>
                <w:color w:val="auto"/>
                <w:sz w:val="21"/>
                <w:szCs w:val="21"/>
                <w:highlight w:val="none"/>
                <w:lang w:val="en-US" w:eastAsia="zh-CN"/>
              </w:rPr>
              <w:t>的理化性质及危险性识别</w:t>
            </w:r>
            <w:r>
              <w:rPr>
                <w:rFonts w:hint="eastAsia" w:cs="Times New Roman"/>
                <w:b/>
                <w:bCs w:val="0"/>
                <w:caps w:val="0"/>
                <w:color w:val="auto"/>
                <w:sz w:val="21"/>
                <w:szCs w:val="21"/>
                <w:highlight w:val="none"/>
                <w:lang w:val="en-US" w:eastAsia="zh-CN"/>
              </w:rPr>
              <w:t>一览表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879"/>
              <w:gridCol w:w="1336"/>
              <w:gridCol w:w="1887"/>
              <w:gridCol w:w="17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物质名称</w:t>
                  </w:r>
                </w:p>
              </w:tc>
              <w:tc>
                <w:tcPr>
                  <w:tcW w:w="18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分子式</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分子量</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沸点</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自燃点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eastAsia" w:cs="Times New Roman"/>
                      <w:b w:val="0"/>
                      <w:bCs/>
                      <w:caps w:val="0"/>
                      <w:color w:val="auto"/>
                      <w:sz w:val="21"/>
                      <w:szCs w:val="21"/>
                      <w:highlight w:val="none"/>
                      <w:lang w:val="en-US" w:eastAsia="zh-CN"/>
                    </w:rPr>
                    <w:t>润滑油</w:t>
                  </w:r>
                </w:p>
              </w:tc>
              <w:tc>
                <w:tcPr>
                  <w:tcW w:w="18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230-500</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cs="Times New Roman"/>
                      <w:b w:val="0"/>
                      <w:bCs/>
                      <w:caps w:val="0"/>
                      <w:color w:val="auto"/>
                      <w:sz w:val="21"/>
                      <w:szCs w:val="21"/>
                      <w:highlight w:val="none"/>
                      <w:lang w:val="en-US" w:eastAsia="zh-CN"/>
                    </w:rPr>
                    <w:t>250-280</w:t>
                  </w:r>
                  <w:r>
                    <w:rPr>
                      <w:rFonts w:hint="default" w:ascii="Times New Roman" w:hAnsi="Times New Roman" w:eastAsia="宋体" w:cs="Times New Roman"/>
                      <w:b w:val="0"/>
                      <w:bCs/>
                      <w:caps w:val="0"/>
                      <w:color w:val="auto"/>
                      <w:sz w:val="21"/>
                      <w:szCs w:val="21"/>
                      <w:highlight w:val="none"/>
                    </w:rPr>
                    <w:t>℃</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cs="Times New Roman"/>
                      <w:b w:val="0"/>
                      <w:bCs/>
                      <w:caps w:val="0"/>
                      <w:color w:val="auto"/>
                      <w:sz w:val="21"/>
                      <w:szCs w:val="21"/>
                      <w:highlight w:val="none"/>
                      <w:lang w:val="en-US" w:eastAsia="zh-CN"/>
                    </w:rPr>
                    <w:t>300-350</w:t>
                  </w:r>
                  <w:r>
                    <w:rPr>
                      <w:rFonts w:hint="default" w:ascii="Times New Roman" w:hAnsi="Times New Roman" w:eastAsia="宋体" w:cs="Times New Roman"/>
                      <w:b w:val="0"/>
                      <w:bCs/>
                      <w:cap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闪点</w:t>
                  </w:r>
                </w:p>
              </w:tc>
              <w:tc>
                <w:tcPr>
                  <w:tcW w:w="18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eastAsia" w:cs="Times New Roman"/>
                      <w:b w:val="0"/>
                      <w:bCs/>
                      <w:caps w:val="0"/>
                      <w:color w:val="auto"/>
                      <w:sz w:val="21"/>
                      <w:szCs w:val="21"/>
                      <w:highlight w:val="none"/>
                      <w:lang w:val="en-US" w:eastAsia="zh-CN"/>
                    </w:rPr>
                    <w:t>饱和蒸气压（kPa）</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引燃温度</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密度（</w:t>
                  </w:r>
                  <w:r>
                    <w:rPr>
                      <w:rFonts w:hint="default" w:ascii="Times New Roman" w:hAnsi="Times New Roman" w:eastAsia="宋体" w:cs="Times New Roman"/>
                      <w:b w:val="0"/>
                      <w:bCs/>
                      <w:caps w:val="0"/>
                      <w:color w:val="auto"/>
                      <w:sz w:val="21"/>
                      <w:szCs w:val="21"/>
                      <w:highlight w:val="none"/>
                      <w:shd w:val="clear" w:color="auto" w:fill="FFFFFF"/>
                      <w:lang w:eastAsia="zh-CN"/>
                    </w:rPr>
                    <w:t>水</w:t>
                  </w:r>
                  <w:r>
                    <w:rPr>
                      <w:rFonts w:hint="default" w:ascii="Times New Roman" w:hAnsi="Times New Roman" w:eastAsia="宋体" w:cs="Times New Roman"/>
                      <w:b w:val="0"/>
                      <w:bCs/>
                      <w:caps w:val="0"/>
                      <w:color w:val="auto"/>
                      <w:sz w:val="21"/>
                      <w:szCs w:val="21"/>
                      <w:highlight w:val="none"/>
                      <w:shd w:val="clear" w:color="auto" w:fill="FFFFFF"/>
                      <w:lang w:val="en-US" w:eastAsia="zh-CN"/>
                    </w:rPr>
                    <w:t>=1</w:t>
                  </w:r>
                  <w:r>
                    <w:rPr>
                      <w:rFonts w:hint="default" w:ascii="Times New Roman" w:hAnsi="Times New Roman" w:eastAsia="宋体" w:cs="Times New Roman"/>
                      <w:b w:val="0"/>
                      <w:bCs/>
                      <w:caps w:val="0"/>
                      <w:color w:val="auto"/>
                      <w:sz w:val="21"/>
                      <w:szCs w:val="21"/>
                      <w:highlight w:val="none"/>
                      <w:shd w:val="clear" w:color="auto" w:fill="FFFFFF"/>
                    </w:rPr>
                    <w:t>）</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爆炸下限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cs="Times New Roman"/>
                      <w:b w:val="0"/>
                      <w:bCs/>
                      <w:caps w:val="0"/>
                      <w:color w:val="auto"/>
                      <w:sz w:val="21"/>
                      <w:szCs w:val="21"/>
                      <w:highlight w:val="none"/>
                      <w:lang w:val="en-US" w:eastAsia="zh-CN"/>
                    </w:rPr>
                    <w:t>120-340</w:t>
                  </w:r>
                  <w:r>
                    <w:rPr>
                      <w:rFonts w:hint="default" w:ascii="Times New Roman" w:hAnsi="Times New Roman" w:eastAsia="宋体" w:cs="Times New Roman"/>
                      <w:b w:val="0"/>
                      <w:bCs/>
                      <w:caps w:val="0"/>
                      <w:color w:val="auto"/>
                      <w:sz w:val="21"/>
                      <w:szCs w:val="21"/>
                      <w:highlight w:val="none"/>
                    </w:rPr>
                    <w:t>℃</w:t>
                  </w:r>
                </w:p>
              </w:tc>
              <w:tc>
                <w:tcPr>
                  <w:tcW w:w="18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eastAsia" w:cs="Times New Roman"/>
                      <w:b w:val="0"/>
                      <w:bCs/>
                      <w:caps w:val="0"/>
                      <w:color w:val="auto"/>
                      <w:sz w:val="21"/>
                      <w:szCs w:val="21"/>
                      <w:highlight w:val="none"/>
                      <w:lang w:val="en-US" w:eastAsia="zh-CN"/>
                    </w:rPr>
                    <w:t>0.13kPa/145.8℃</w:t>
                  </w:r>
                </w:p>
              </w:tc>
              <w:tc>
                <w:tcPr>
                  <w:tcW w:w="13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248</w:t>
                  </w:r>
                  <w:r>
                    <w:rPr>
                      <w:rFonts w:hint="default" w:ascii="Times New Roman" w:hAnsi="Times New Roman" w:eastAsia="宋体" w:cs="Times New Roman"/>
                      <w:b w:val="0"/>
                      <w:bCs/>
                      <w:caps w:val="0"/>
                      <w:color w:val="auto"/>
                      <w:sz w:val="21"/>
                      <w:szCs w:val="21"/>
                      <w:highlight w:val="none"/>
                    </w:rPr>
                    <w:t>℃</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rPr>
                    <w:t>0.</w:t>
                  </w:r>
                  <w:r>
                    <w:rPr>
                      <w:rFonts w:hint="eastAsia" w:cs="Times New Roman"/>
                      <w:b w:val="0"/>
                      <w:bCs/>
                      <w:caps w:val="0"/>
                      <w:color w:val="auto"/>
                      <w:sz w:val="21"/>
                      <w:szCs w:val="21"/>
                      <w:highlight w:val="none"/>
                      <w:lang w:val="en-US" w:eastAsia="zh-CN"/>
                    </w:rPr>
                    <w:t>935</w:t>
                  </w:r>
                  <w:r>
                    <w:rPr>
                      <w:rFonts w:hint="default" w:ascii="Times New Roman" w:hAnsi="Times New Roman" w:eastAsia="宋体" w:cs="Times New Roman"/>
                      <w:b w:val="0"/>
                      <w:bCs/>
                      <w:caps w:val="0"/>
                      <w:color w:val="auto"/>
                      <w:sz w:val="21"/>
                      <w:szCs w:val="21"/>
                      <w:highlight w:val="none"/>
                      <w:lang w:val="en-US" w:eastAsia="zh-CN"/>
                    </w:rPr>
                    <w:t>kg/m³</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cs="Times New Roman"/>
                      <w:b w:val="0"/>
                      <w:bCs/>
                      <w:caps w:val="0"/>
                      <w:color w:val="auto"/>
                      <w:sz w:val="21"/>
                      <w:szCs w:val="21"/>
                      <w:highlight w:val="none"/>
                      <w:lang w:val="en-US" w:eastAsia="zh-CN"/>
                    </w:rPr>
                    <w:t>性</w:t>
                  </w:r>
                  <w:r>
                    <w:rPr>
                      <w:rFonts w:hint="default" w:ascii="Times New Roman" w:hAnsi="Times New Roman" w:eastAsia="宋体" w:cs="Times New Roman"/>
                      <w:b w:val="0"/>
                      <w:bCs/>
                      <w:caps w:val="0"/>
                      <w:color w:val="auto"/>
                      <w:sz w:val="21"/>
                      <w:szCs w:val="21"/>
                      <w:highlight w:val="none"/>
                    </w:rPr>
                    <w:t>状和溶解性</w:t>
                  </w:r>
                </w:p>
              </w:tc>
              <w:tc>
                <w:tcPr>
                  <w:tcW w:w="682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eastAsia" w:cs="Times New Roman"/>
                      <w:b w:val="0"/>
                      <w:bCs/>
                      <w:caps w:val="0"/>
                      <w:color w:val="auto"/>
                      <w:sz w:val="21"/>
                      <w:szCs w:val="21"/>
                      <w:highlight w:val="none"/>
                      <w:lang w:val="en-US" w:eastAsia="zh-CN"/>
                    </w:rPr>
                    <w:t>淡黄色粘稠液体，溶于苯、乙醇、乙醚、氯仿、丙酮等多数有机溶剂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储存注意</w:t>
                  </w:r>
                </w:p>
              </w:tc>
              <w:tc>
                <w:tcPr>
                  <w:tcW w:w="682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密闭容器，储存于阴凉、通风的库房</w:t>
                  </w:r>
                  <w:r>
                    <w:rPr>
                      <w:rFonts w:hint="eastAsia" w:cs="Times New Roman"/>
                      <w:b w:val="0"/>
                      <w:bCs/>
                      <w:caps w:val="0"/>
                      <w:color w:val="auto"/>
                      <w:sz w:val="21"/>
                      <w:szCs w:val="21"/>
                      <w:highlight w:val="none"/>
                      <w:lang w:val="en-US" w:eastAsia="zh-CN"/>
                    </w:rPr>
                    <w:t>，远离火种、热源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5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健康危害</w:t>
                  </w:r>
                </w:p>
              </w:tc>
              <w:tc>
                <w:tcPr>
                  <w:tcW w:w="6826"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 w:val="0"/>
                      <w:bCs/>
                      <w:caps w:val="0"/>
                      <w:color w:val="auto"/>
                      <w:sz w:val="21"/>
                      <w:szCs w:val="21"/>
                      <w:highlight w:val="none"/>
                      <w:lang w:eastAsia="zh-CN"/>
                    </w:rPr>
                  </w:pPr>
                  <w:r>
                    <w:rPr>
                      <w:rFonts w:hint="default" w:ascii="Times New Roman" w:hAnsi="Times New Roman" w:eastAsia="宋体" w:cs="Times New Roman"/>
                      <w:b w:val="0"/>
                      <w:bCs/>
                      <w:caps w:val="0"/>
                      <w:color w:val="auto"/>
                      <w:sz w:val="21"/>
                      <w:szCs w:val="21"/>
                      <w:highlight w:val="none"/>
                      <w:lang w:eastAsia="zh-CN"/>
                    </w:rPr>
                    <w:t>侵入途径：吸入</w:t>
                  </w:r>
                </w:p>
                <w:p>
                  <w:pPr>
                    <w:pStyle w:val="16"/>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eastAsia="zh-CN"/>
                    </w:rPr>
                    <w:t>健康危害：</w:t>
                  </w:r>
                  <w:r>
                    <w:rPr>
                      <w:rFonts w:hint="eastAsia" w:cs="Times New Roman"/>
                      <w:b w:val="0"/>
                      <w:bCs/>
                      <w:caps w:val="0"/>
                      <w:color w:val="auto"/>
                      <w:sz w:val="21"/>
                      <w:szCs w:val="21"/>
                      <w:highlight w:val="none"/>
                      <w:lang w:val="en-US" w:eastAsia="zh-CN"/>
                    </w:rPr>
                    <w:t>可出现乏力、头晕、头痛、恶心，严重者可引起油脂性肺炎。慢接触者，暴露部位可发生油性痤疮和接触性皮炎。可引发神经衰弱综合症，呼吸道和眼部刺激症状及慢性油脂性肺炎</w:t>
                  </w:r>
                  <w:r>
                    <w:rPr>
                      <w:rFonts w:hint="default" w:ascii="Times New Roman" w:hAnsi="Times New Roman" w:eastAsia="宋体" w:cs="Times New Roman"/>
                      <w:b w:val="0"/>
                      <w:bCs/>
                      <w:caps w:val="0"/>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val="en-US" w:eastAsia="zh-CN"/>
              </w:rPr>
              <w:t>表</w:t>
            </w:r>
            <w:r>
              <w:rPr>
                <w:rFonts w:hint="eastAsia" w:cs="Times New Roman"/>
                <w:b/>
                <w:bCs/>
                <w:color w:val="auto"/>
                <w:sz w:val="21"/>
                <w:szCs w:val="21"/>
                <w:highlight w:val="none"/>
                <w:shd w:val="clear" w:color="auto" w:fill="auto"/>
                <w:lang w:val="en-US" w:eastAsia="zh-CN"/>
              </w:rPr>
              <w:t>39</w:t>
            </w:r>
            <w:r>
              <w:rPr>
                <w:rFonts w:hint="eastAsia" w:ascii="Times New Roman" w:hAnsi="Times New Roman" w:eastAsia="宋体" w:cs="Times New Roman"/>
                <w:b/>
                <w:bCs/>
                <w:color w:val="auto"/>
                <w:sz w:val="21"/>
                <w:szCs w:val="21"/>
                <w:highlight w:val="none"/>
                <w:shd w:val="clear" w:color="auto" w:fill="auto"/>
                <w:lang w:val="en-US" w:eastAsia="zh-CN"/>
              </w:rPr>
              <w:t xml:space="preserve">  液压油的理化性质及危险性识别</w:t>
            </w:r>
            <w:r>
              <w:rPr>
                <w:rFonts w:hint="eastAsia" w:cs="Times New Roman"/>
                <w:b/>
                <w:bCs/>
                <w:color w:val="auto"/>
                <w:sz w:val="21"/>
                <w:szCs w:val="21"/>
                <w:highlight w:val="none"/>
                <w:shd w:val="clear" w:color="auto" w:fill="auto"/>
                <w:lang w:val="en-US" w:eastAsia="zh-CN"/>
              </w:rPr>
              <w:t>一览表</w:t>
            </w:r>
          </w:p>
          <w:tbl>
            <w:tblPr>
              <w:tblStyle w:val="23"/>
              <w:tblW w:w="83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602"/>
              <w:gridCol w:w="1527"/>
              <w:gridCol w:w="1887"/>
              <w:gridCol w:w="17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物质名称</w:t>
                  </w:r>
                </w:p>
              </w:tc>
              <w:tc>
                <w:tcPr>
                  <w:tcW w:w="16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分子式</w:t>
                  </w:r>
                </w:p>
              </w:tc>
              <w:tc>
                <w:tcPr>
                  <w:tcW w:w="15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分子量</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沸点</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自燃点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eastAsia" w:ascii="Times New Roman" w:hAnsi="Times New Roman" w:eastAsia="宋体" w:cs="Times New Roman"/>
                      <w:b w:val="0"/>
                      <w:bCs/>
                      <w:caps w:val="0"/>
                      <w:color w:val="auto"/>
                      <w:sz w:val="21"/>
                      <w:szCs w:val="21"/>
                      <w:highlight w:val="none"/>
                      <w:lang w:val="en-US" w:eastAsia="zh-CN"/>
                    </w:rPr>
                    <w:t>液压油</w:t>
                  </w:r>
                </w:p>
              </w:tc>
              <w:tc>
                <w:tcPr>
                  <w:tcW w:w="16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w:t>
                  </w:r>
                </w:p>
              </w:tc>
              <w:tc>
                <w:tcPr>
                  <w:tcW w:w="15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230-500</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lang w:eastAsia="zh-CN"/>
                    </w:rPr>
                    <w:t>＞</w:t>
                  </w:r>
                  <w:r>
                    <w:rPr>
                      <w:rFonts w:hint="default" w:ascii="Times New Roman" w:hAnsi="Times New Roman" w:eastAsia="宋体" w:cs="Times New Roman"/>
                      <w:b w:val="0"/>
                      <w:bCs/>
                      <w:caps w:val="0"/>
                      <w:color w:val="auto"/>
                      <w:sz w:val="21"/>
                      <w:szCs w:val="21"/>
                      <w:highlight w:val="none"/>
                      <w:lang w:val="en-US" w:eastAsia="zh-CN"/>
                    </w:rPr>
                    <w:t>290</w:t>
                  </w:r>
                  <w:r>
                    <w:rPr>
                      <w:rFonts w:hint="default" w:ascii="Times New Roman" w:hAnsi="Times New Roman" w:eastAsia="宋体" w:cs="Times New Roman"/>
                      <w:b w:val="0"/>
                      <w:bCs/>
                      <w:caps w:val="0"/>
                      <w:color w:val="auto"/>
                      <w:sz w:val="21"/>
                      <w:szCs w:val="21"/>
                      <w:highlight w:val="none"/>
                    </w:rPr>
                    <w:t>℃</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lang w:eastAsia="zh-CN"/>
                    </w:rPr>
                    <w:t>＞</w:t>
                  </w:r>
                  <w:r>
                    <w:rPr>
                      <w:rFonts w:hint="default" w:ascii="Times New Roman" w:hAnsi="Times New Roman" w:eastAsia="宋体" w:cs="Times New Roman"/>
                      <w:b w:val="0"/>
                      <w:bCs/>
                      <w:caps w:val="0"/>
                      <w:color w:val="auto"/>
                      <w:sz w:val="21"/>
                      <w:szCs w:val="21"/>
                      <w:highlight w:val="none"/>
                      <w:lang w:val="en-US" w:eastAsia="zh-CN"/>
                    </w:rPr>
                    <w:t>320</w:t>
                  </w:r>
                  <w:r>
                    <w:rPr>
                      <w:rFonts w:hint="default" w:ascii="Times New Roman" w:hAnsi="Times New Roman" w:eastAsia="宋体" w:cs="Times New Roman"/>
                      <w:b w:val="0"/>
                      <w:bCs/>
                      <w:cap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闪点</w:t>
                  </w:r>
                </w:p>
              </w:tc>
              <w:tc>
                <w:tcPr>
                  <w:tcW w:w="16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蒸汽压（20℃）</w:t>
                  </w:r>
                </w:p>
              </w:tc>
              <w:tc>
                <w:tcPr>
                  <w:tcW w:w="15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引燃温度</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密度（</w:t>
                  </w:r>
                  <w:r>
                    <w:rPr>
                      <w:rFonts w:hint="default" w:ascii="Times New Roman" w:hAnsi="Times New Roman" w:eastAsia="宋体" w:cs="Times New Roman"/>
                      <w:b w:val="0"/>
                      <w:bCs/>
                      <w:caps w:val="0"/>
                      <w:color w:val="auto"/>
                      <w:sz w:val="21"/>
                      <w:szCs w:val="21"/>
                      <w:highlight w:val="none"/>
                      <w:shd w:val="clear" w:color="auto" w:fill="FFFFFF"/>
                      <w:lang w:eastAsia="zh-CN"/>
                    </w:rPr>
                    <w:t>水</w:t>
                  </w:r>
                  <w:r>
                    <w:rPr>
                      <w:rFonts w:hint="default" w:ascii="Times New Roman" w:hAnsi="Times New Roman" w:eastAsia="宋体" w:cs="Times New Roman"/>
                      <w:b w:val="0"/>
                      <w:bCs/>
                      <w:caps w:val="0"/>
                      <w:color w:val="auto"/>
                      <w:sz w:val="21"/>
                      <w:szCs w:val="21"/>
                      <w:highlight w:val="none"/>
                      <w:shd w:val="clear" w:color="auto" w:fill="FFFFFF"/>
                      <w:lang w:val="en-US" w:eastAsia="zh-CN"/>
                    </w:rPr>
                    <w:t>=1</w:t>
                  </w:r>
                  <w:r>
                    <w:rPr>
                      <w:rFonts w:hint="default" w:ascii="Times New Roman" w:hAnsi="Times New Roman" w:eastAsia="宋体" w:cs="Times New Roman"/>
                      <w:b w:val="0"/>
                      <w:bCs/>
                      <w:caps w:val="0"/>
                      <w:color w:val="auto"/>
                      <w:sz w:val="21"/>
                      <w:szCs w:val="21"/>
                      <w:highlight w:val="none"/>
                      <w:shd w:val="clear" w:color="auto" w:fill="FFFFFF"/>
                    </w:rPr>
                    <w:t>）</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爆炸下限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lang w:val="en-US" w:eastAsia="zh-CN"/>
                    </w:rPr>
                    <w:t>222</w:t>
                  </w:r>
                  <w:r>
                    <w:rPr>
                      <w:rFonts w:hint="default" w:ascii="Times New Roman" w:hAnsi="Times New Roman" w:eastAsia="宋体" w:cs="Times New Roman"/>
                      <w:b w:val="0"/>
                      <w:bCs/>
                      <w:caps w:val="0"/>
                      <w:color w:val="auto"/>
                      <w:sz w:val="21"/>
                      <w:szCs w:val="21"/>
                      <w:highlight w:val="none"/>
                    </w:rPr>
                    <w:t>℃</w:t>
                  </w:r>
                </w:p>
              </w:tc>
              <w:tc>
                <w:tcPr>
                  <w:tcW w:w="160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cs="Times New Roman"/>
                      <w:b w:val="0"/>
                      <w:bCs/>
                      <w:caps w:val="0"/>
                      <w:color w:val="auto"/>
                      <w:sz w:val="21"/>
                      <w:szCs w:val="21"/>
                      <w:highlight w:val="none"/>
                      <w:lang w:val="en-US" w:eastAsia="zh-CN"/>
                    </w:rPr>
                    <w:t>&lt;</w:t>
                  </w:r>
                  <w:r>
                    <w:rPr>
                      <w:rFonts w:hint="default" w:ascii="Times New Roman" w:hAnsi="Times New Roman" w:eastAsia="宋体" w:cs="Times New Roman"/>
                      <w:b w:val="0"/>
                      <w:bCs/>
                      <w:caps w:val="0"/>
                      <w:color w:val="auto"/>
                      <w:sz w:val="21"/>
                      <w:szCs w:val="21"/>
                      <w:highlight w:val="none"/>
                    </w:rPr>
                    <w:t>0.</w:t>
                  </w:r>
                  <w:r>
                    <w:rPr>
                      <w:rFonts w:hint="default" w:ascii="Times New Roman" w:hAnsi="Times New Roman" w:eastAsia="宋体" w:cs="Times New Roman"/>
                      <w:b w:val="0"/>
                      <w:bCs/>
                      <w:caps w:val="0"/>
                      <w:color w:val="auto"/>
                      <w:sz w:val="21"/>
                      <w:szCs w:val="21"/>
                      <w:highlight w:val="none"/>
                      <w:lang w:val="en-US" w:eastAsia="zh-CN"/>
                    </w:rPr>
                    <w:t>5</w:t>
                  </w:r>
                  <w:r>
                    <w:rPr>
                      <w:rFonts w:hint="default" w:ascii="Times New Roman" w:hAnsi="Times New Roman" w:eastAsia="宋体" w:cs="Times New Roman"/>
                      <w:b w:val="0"/>
                      <w:bCs/>
                      <w:caps w:val="0"/>
                      <w:color w:val="auto"/>
                      <w:sz w:val="21"/>
                      <w:szCs w:val="21"/>
                      <w:highlight w:val="none"/>
                      <w:shd w:val="clear" w:color="auto" w:fill="FFFFFF"/>
                    </w:rPr>
                    <w:t>Pa</w:t>
                  </w:r>
                </w:p>
              </w:tc>
              <w:tc>
                <w:tcPr>
                  <w:tcW w:w="153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248</w:t>
                  </w:r>
                  <w:r>
                    <w:rPr>
                      <w:rFonts w:hint="default" w:ascii="Times New Roman" w:hAnsi="Times New Roman" w:eastAsia="宋体" w:cs="Times New Roman"/>
                      <w:b w:val="0"/>
                      <w:bCs/>
                      <w:caps w:val="0"/>
                      <w:color w:val="auto"/>
                      <w:sz w:val="21"/>
                      <w:szCs w:val="21"/>
                      <w:highlight w:val="none"/>
                    </w:rPr>
                    <w:t>℃</w:t>
                  </w:r>
                </w:p>
              </w:tc>
              <w:tc>
                <w:tcPr>
                  <w:tcW w:w="18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rPr>
                    <w:t>0.</w:t>
                  </w:r>
                  <w:r>
                    <w:rPr>
                      <w:rFonts w:hint="default" w:ascii="Times New Roman" w:hAnsi="Times New Roman" w:eastAsia="宋体" w:cs="Times New Roman"/>
                      <w:b w:val="0"/>
                      <w:bCs/>
                      <w:caps w:val="0"/>
                      <w:color w:val="auto"/>
                      <w:sz w:val="21"/>
                      <w:szCs w:val="21"/>
                      <w:highlight w:val="none"/>
                      <w:lang w:val="en-US" w:eastAsia="zh-CN"/>
                    </w:rPr>
                    <w:t>896kg/m³</w:t>
                  </w:r>
                </w:p>
              </w:tc>
              <w:tc>
                <w:tcPr>
                  <w:tcW w:w="171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eastAsia" w:ascii="Times New Roman" w:hAnsi="Times New Roman" w:eastAsia="宋体" w:cs="Times New Roman"/>
                      <w:b w:val="0"/>
                      <w:bCs/>
                      <w:caps w:val="0"/>
                      <w:color w:val="auto"/>
                      <w:sz w:val="21"/>
                      <w:szCs w:val="21"/>
                      <w:highlight w:val="none"/>
                      <w:lang w:val="en-US" w:eastAsia="zh-CN"/>
                    </w:rPr>
                    <w:t>性</w:t>
                  </w:r>
                  <w:r>
                    <w:rPr>
                      <w:rFonts w:hint="default" w:ascii="Times New Roman" w:hAnsi="Times New Roman" w:eastAsia="宋体" w:cs="Times New Roman"/>
                      <w:b w:val="0"/>
                      <w:bCs/>
                      <w:caps w:val="0"/>
                      <w:color w:val="auto"/>
                      <w:sz w:val="21"/>
                      <w:szCs w:val="21"/>
                      <w:highlight w:val="none"/>
                    </w:rPr>
                    <w:t>状和溶解性</w:t>
                  </w:r>
                </w:p>
              </w:tc>
              <w:tc>
                <w:tcPr>
                  <w:tcW w:w="6741"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琥珀色</w:t>
                  </w:r>
                  <w:r>
                    <w:rPr>
                      <w:rFonts w:hint="eastAsia" w:cs="Times New Roman"/>
                      <w:b w:val="0"/>
                      <w:bCs/>
                      <w:caps w:val="0"/>
                      <w:color w:val="auto"/>
                      <w:sz w:val="21"/>
                      <w:szCs w:val="21"/>
                      <w:highlight w:val="none"/>
                      <w:lang w:val="en-US" w:eastAsia="zh-CN"/>
                    </w:rPr>
                    <w:t>，</w:t>
                  </w:r>
                  <w:r>
                    <w:rPr>
                      <w:rFonts w:hint="default" w:ascii="Times New Roman" w:hAnsi="Times New Roman" w:eastAsia="宋体" w:cs="Times New Roman"/>
                      <w:b w:val="0"/>
                      <w:bCs/>
                      <w:caps w:val="0"/>
                      <w:color w:val="auto"/>
                      <w:sz w:val="21"/>
                      <w:szCs w:val="21"/>
                      <w:highlight w:val="none"/>
                      <w:lang w:val="en-US" w:eastAsia="zh-CN"/>
                    </w:rPr>
                    <w:t>室温下液体，不溶于水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储存注意</w:t>
                  </w:r>
                </w:p>
              </w:tc>
              <w:tc>
                <w:tcPr>
                  <w:tcW w:w="6741"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val="en-US" w:eastAsia="zh-CN"/>
                    </w:rPr>
                    <w:t>密闭容器，储存于阴凉、通风的库房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6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aps w:val="0"/>
                      <w:color w:val="auto"/>
                      <w:sz w:val="21"/>
                      <w:szCs w:val="21"/>
                      <w:highlight w:val="none"/>
                    </w:rPr>
                  </w:pPr>
                  <w:r>
                    <w:rPr>
                      <w:rFonts w:hint="default" w:ascii="Times New Roman" w:hAnsi="Times New Roman" w:eastAsia="宋体" w:cs="Times New Roman"/>
                      <w:b w:val="0"/>
                      <w:bCs/>
                      <w:caps w:val="0"/>
                      <w:color w:val="auto"/>
                      <w:sz w:val="21"/>
                      <w:szCs w:val="21"/>
                      <w:highlight w:val="none"/>
                    </w:rPr>
                    <w:t>健康危害</w:t>
                  </w:r>
                </w:p>
              </w:tc>
              <w:tc>
                <w:tcPr>
                  <w:tcW w:w="6741"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 w:val="0"/>
                      <w:bCs/>
                      <w:caps w:val="0"/>
                      <w:color w:val="auto"/>
                      <w:sz w:val="21"/>
                      <w:szCs w:val="21"/>
                      <w:highlight w:val="none"/>
                      <w:lang w:eastAsia="zh-CN"/>
                    </w:rPr>
                  </w:pPr>
                  <w:r>
                    <w:rPr>
                      <w:rFonts w:hint="default" w:ascii="Times New Roman" w:hAnsi="Times New Roman" w:eastAsia="宋体" w:cs="Times New Roman"/>
                      <w:b w:val="0"/>
                      <w:bCs/>
                      <w:caps w:val="0"/>
                      <w:color w:val="auto"/>
                      <w:sz w:val="21"/>
                      <w:szCs w:val="21"/>
                      <w:highlight w:val="none"/>
                      <w:lang w:eastAsia="zh-CN"/>
                    </w:rPr>
                    <w:t>侵入途径：吸入</w:t>
                  </w:r>
                </w:p>
                <w:p>
                  <w:pPr>
                    <w:pStyle w:val="16"/>
                    <w:keepNext w:val="0"/>
                    <w:keepLines w:val="0"/>
                    <w:pageBreakBefore w:val="0"/>
                    <w:widowControl/>
                    <w:suppressLineNumbers w:val="0"/>
                    <w:kinsoku/>
                    <w:wordWrap/>
                    <w:overflowPunct/>
                    <w:topLinePunct w:val="0"/>
                    <w:autoSpaceDE/>
                    <w:autoSpaceDN/>
                    <w:bidi w:val="0"/>
                    <w:adjustRightInd/>
                    <w:spacing w:before="0" w:beforeAutospacing="0" w:afterAutospacing="0" w:line="240" w:lineRule="auto"/>
                    <w:ind w:left="0" w:leftChars="0" w:right="0" w:rightChars="0" w:firstLine="0" w:firstLineChars="0"/>
                    <w:textAlignment w:val="auto"/>
                    <w:outlineLvl w:val="9"/>
                    <w:rPr>
                      <w:rFonts w:hint="default" w:ascii="Times New Roman" w:hAnsi="Times New Roman" w:eastAsia="宋体" w:cs="Times New Roman"/>
                      <w:b w:val="0"/>
                      <w:bCs/>
                      <w:caps w:val="0"/>
                      <w:color w:val="auto"/>
                      <w:sz w:val="21"/>
                      <w:szCs w:val="21"/>
                      <w:highlight w:val="none"/>
                      <w:lang w:val="en-US" w:eastAsia="zh-CN"/>
                    </w:rPr>
                  </w:pPr>
                  <w:r>
                    <w:rPr>
                      <w:rFonts w:hint="default" w:ascii="Times New Roman" w:hAnsi="Times New Roman" w:eastAsia="宋体" w:cs="Times New Roman"/>
                      <w:b w:val="0"/>
                      <w:bCs/>
                      <w:caps w:val="0"/>
                      <w:color w:val="auto"/>
                      <w:sz w:val="21"/>
                      <w:szCs w:val="21"/>
                      <w:highlight w:val="none"/>
                      <w:lang w:eastAsia="zh-CN"/>
                    </w:rPr>
                    <w:t>健康危害：在正常条件下使用不应会成为健康危险源。长时间接触可造成眩晕或反胃。</w:t>
                  </w:r>
                </w:p>
              </w:tc>
            </w:tr>
          </w:tbl>
          <w:p>
            <w:pPr>
              <w:numPr>
                <w:ilvl w:val="0"/>
                <w:numId w:val="0"/>
              </w:numPr>
              <w:ind w:leftChars="200"/>
              <w:rPr>
                <w:rFonts w:hint="eastAsia"/>
                <w:color w:val="auto"/>
                <w:highlight w:val="none"/>
                <w:lang w:val="en-US" w:eastAsia="zh-CN"/>
              </w:rPr>
            </w:pPr>
            <w:r>
              <w:rPr>
                <w:rFonts w:hint="eastAsia"/>
                <w:b/>
                <w:bCs/>
                <w:color w:val="auto"/>
                <w:highlight w:val="none"/>
                <w:lang w:val="en-US" w:eastAsia="zh-CN"/>
              </w:rPr>
              <w:t>7.2环境影响途径</w:t>
            </w:r>
          </w:p>
          <w:p>
            <w:pPr>
              <w:spacing w:line="480" w:lineRule="exact"/>
              <w:ind w:firstLine="480" w:firstLineChars="200"/>
              <w:rPr>
                <w:rFonts w:hint="default" w:ascii="Times New Roman" w:hAnsi="Times New Roman" w:eastAsia="宋体" w:cs="Times New Roman"/>
                <w:b w:val="0"/>
                <w:bCs w:val="0"/>
                <w:smallCaps w:val="0"/>
                <w:color w:val="auto"/>
                <w:spacing w:val="0"/>
                <w:position w:val="0"/>
                <w:sz w:val="24"/>
                <w:szCs w:val="24"/>
                <w:highlight w:val="none"/>
              </w:rPr>
            </w:pPr>
            <w:r>
              <w:rPr>
                <w:rFonts w:hint="default" w:ascii="Times New Roman" w:hAnsi="Times New Roman" w:eastAsia="宋体" w:cs="Times New Roman"/>
                <w:b w:val="0"/>
                <w:bCs w:val="0"/>
                <w:smallCaps w:val="0"/>
                <w:color w:val="auto"/>
                <w:spacing w:val="0"/>
                <w:position w:val="0"/>
                <w:sz w:val="24"/>
                <w:szCs w:val="24"/>
                <w:highlight w:val="none"/>
              </w:rPr>
              <w:t>本项目可能影响环境的途径分别为：</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w:t>
            </w:r>
            <w:r>
              <w:rPr>
                <w:rFonts w:hint="eastAsia" w:eastAsia="宋体"/>
                <w:color w:val="auto"/>
                <w:kern w:val="2"/>
                <w:sz w:val="24"/>
                <w:szCs w:val="24"/>
                <w:highlight w:val="none"/>
                <w:lang w:val="en-US" w:eastAsia="zh-CN" w:bidi="ar-SA"/>
              </w:rPr>
              <w:t>润滑油、废润滑油、液压油、废液压油泄漏</w:t>
            </w:r>
            <w:r>
              <w:rPr>
                <w:rFonts w:hint="default" w:ascii="Times New Roman" w:hAnsi="Times New Roman" w:eastAsia="宋体"/>
                <w:color w:val="auto"/>
                <w:kern w:val="2"/>
                <w:sz w:val="24"/>
                <w:szCs w:val="24"/>
                <w:highlight w:val="none"/>
                <w:lang w:val="en-US" w:eastAsia="zh-CN" w:bidi="ar-SA"/>
              </w:rPr>
              <w:t>主要为因碰撞、包装不合格、设备损坏等原因导致泄漏，并且未及时收集处理，导致风险物质在储存区、生产使用区及厂区地面溢流，污染地下水；或于雨天发生泄漏，随雨水散排流出厂界，对外界环境造成影响。</w:t>
            </w:r>
          </w:p>
          <w:p>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事故次生环境风险事故：火灾事故对环境的危害主要为有毒烟雾和灭火过程中产生的消防废水散流造成的次生环境污染问题，同时消防水中携带了一定量的风险物质，若不能及时收集可能排出厂界，对外界水环境造成影响。</w:t>
            </w:r>
          </w:p>
          <w:p>
            <w:pPr>
              <w:numPr>
                <w:ilvl w:val="0"/>
                <w:numId w:val="0"/>
              </w:numPr>
              <w:ind w:leftChars="200"/>
              <w:rPr>
                <w:rFonts w:hint="eastAsia"/>
                <w:color w:val="auto"/>
                <w:sz w:val="24"/>
                <w:szCs w:val="24"/>
                <w:highlight w:val="none"/>
                <w:lang w:val="en-US" w:eastAsia="zh-CN"/>
              </w:rPr>
            </w:pPr>
            <w:r>
              <w:rPr>
                <w:rFonts w:hint="eastAsia"/>
                <w:b/>
                <w:bCs/>
                <w:color w:val="auto"/>
                <w:sz w:val="24"/>
                <w:szCs w:val="24"/>
                <w:highlight w:val="none"/>
                <w:lang w:val="en-US" w:eastAsia="zh-CN"/>
              </w:rPr>
              <w:t>7.3环境风险分析</w:t>
            </w:r>
          </w:p>
          <w:p>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泄漏事故：风险物质在生产使用区及储存区泄漏时，生产使用区及储存区均设置防渗、防流失措施，不会溢流出生产使用区及储存区，不会对外界环境产生影响。风险物质在厂区运输过程泄漏，泄漏量较小，基本能够将泄漏物围堵在厂区范围内，基本不会对外部水环境产生影响。</w:t>
            </w:r>
          </w:p>
          <w:p>
            <w:pPr>
              <w:bidi w:val="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火灾本身是安全事故，但会产生消防废水，最坏情景是消防废水未控制住溢漏出厂外，本项目</w:t>
            </w:r>
            <w:r>
              <w:rPr>
                <w:rFonts w:hint="eastAsia"/>
                <w:color w:val="auto"/>
                <w:kern w:val="2"/>
                <w:sz w:val="24"/>
                <w:szCs w:val="24"/>
                <w:highlight w:val="none"/>
                <w:lang w:val="en-US" w:eastAsia="zh-CN" w:bidi="ar-SA"/>
              </w:rPr>
              <w:t>润滑油、废润滑油、液压油、废液压油</w:t>
            </w:r>
            <w:r>
              <w:rPr>
                <w:rFonts w:hint="default" w:ascii="Times New Roman" w:hAnsi="Times New Roman" w:eastAsia="宋体"/>
                <w:color w:val="auto"/>
                <w:kern w:val="2"/>
                <w:sz w:val="24"/>
                <w:szCs w:val="24"/>
                <w:highlight w:val="none"/>
                <w:lang w:val="en-US" w:eastAsia="zh-CN" w:bidi="ar-SA"/>
              </w:rPr>
              <w:t>泄漏量小，对环境影响不大。</w:t>
            </w:r>
          </w:p>
          <w:p>
            <w:pPr>
              <w:bidi w:val="0"/>
              <w:rPr>
                <w:rFonts w:hint="default" w:eastAsia="宋体"/>
                <w:color w:val="auto"/>
                <w:sz w:val="24"/>
                <w:szCs w:val="24"/>
                <w:highlight w:val="none"/>
                <w:lang w:val="en-US" w:eastAsia="zh-CN"/>
              </w:rPr>
            </w:pPr>
            <w:r>
              <w:rPr>
                <w:rFonts w:hint="eastAsia"/>
                <w:b/>
                <w:bCs/>
                <w:color w:val="auto"/>
                <w:sz w:val="24"/>
                <w:szCs w:val="24"/>
                <w:highlight w:val="none"/>
                <w:lang w:val="en-US" w:eastAsia="zh-CN"/>
              </w:rPr>
              <w:t>7.4环境风险防范措施及应急措施</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（1）风险防范措施</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企业润滑油、液压油密闭桶装储存于油品储存间，废润滑油、废液压油桶装加盖储存于危废间，并</w:t>
            </w:r>
            <w:r>
              <w:rPr>
                <w:rFonts w:hint="default" w:ascii="Times New Roman" w:hAnsi="Times New Roman" w:eastAsia="宋体"/>
                <w:color w:val="auto"/>
                <w:kern w:val="2"/>
                <w:sz w:val="24"/>
                <w:szCs w:val="24"/>
                <w:highlight w:val="none"/>
                <w:lang w:val="en-US" w:eastAsia="zh-CN" w:bidi="ar-SA"/>
              </w:rPr>
              <w:t>配备较好的设备和相应的抢险设施、风险物质储存区有防扬散、防流失、防渗漏等防治措施并参照国家标准</w:t>
            </w:r>
            <w:r>
              <w:rPr>
                <w:rFonts w:hint="eastAsia" w:eastAsia="宋体"/>
                <w:color w:val="auto"/>
                <w:kern w:val="2"/>
                <w:sz w:val="24"/>
                <w:szCs w:val="24"/>
                <w:highlight w:val="none"/>
                <w:lang w:val="en-US" w:eastAsia="zh-CN" w:bidi="ar-SA"/>
              </w:rPr>
              <w:t>《危险废物贮存污染控制标准》（GB18597-2023）</w:t>
            </w:r>
            <w:r>
              <w:rPr>
                <w:rFonts w:hint="default" w:ascii="Times New Roman" w:hAnsi="Times New Roman" w:eastAsia="宋体"/>
                <w:color w:val="auto"/>
                <w:kern w:val="2"/>
                <w:sz w:val="24"/>
                <w:szCs w:val="24"/>
                <w:highlight w:val="none"/>
                <w:lang w:val="en-US" w:eastAsia="zh-CN" w:bidi="ar-SA"/>
              </w:rPr>
              <w:t>和《危险废物收集贮存运输技术规范》</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HJ2025-2012</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的要求进行设计。</w:t>
            </w:r>
            <w:r>
              <w:rPr>
                <w:rFonts w:hint="eastAsia" w:eastAsia="宋体"/>
                <w:color w:val="auto"/>
                <w:kern w:val="2"/>
                <w:sz w:val="24"/>
                <w:szCs w:val="24"/>
                <w:highlight w:val="none"/>
                <w:lang w:val="en-US" w:eastAsia="zh-CN" w:bidi="ar-SA"/>
              </w:rPr>
              <w:t>油品储存间、危废间</w:t>
            </w:r>
            <w:r>
              <w:rPr>
                <w:rFonts w:hint="default" w:ascii="Times New Roman" w:hAnsi="Times New Roman" w:eastAsia="宋体"/>
                <w:color w:val="auto"/>
                <w:kern w:val="2"/>
                <w:sz w:val="24"/>
                <w:szCs w:val="24"/>
                <w:highlight w:val="none"/>
                <w:lang w:val="en-US" w:eastAsia="zh-CN" w:bidi="ar-SA"/>
              </w:rPr>
              <w:t>还应保持地面平滑无开裂、采用刷环氧地坪漆等方式进行进一步的防渗处理，门口设置围挡或斜坡，如果发生泄漏事故，确保风险物质不会溢流出上述区域，避免对水环境、土壤和大气环境造成影响。</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企业应建立健全防范制度，加强监督管理，规范操作，这类事故发生的概率处于可接受范围内。</w:t>
            </w:r>
          </w:p>
          <w:p>
            <w:pPr>
              <w:keepNext w:val="0"/>
              <w:keepLines w:val="0"/>
              <w:widowControl/>
              <w:suppressLineNumbers w:val="0"/>
              <w:spacing w:before="0" w:beforeAutospacing="0" w:after="0" w:afterAutospacing="0" w:line="480" w:lineRule="exact"/>
              <w:ind w:left="0" w:right="0" w:firstLine="480" w:firstLineChars="200"/>
              <w:rPr>
                <w:rFonts w:hint="default" w:ascii="Times New Roman" w:hAnsi="Times New Roman" w:eastAsia="宋体"/>
                <w:color w:val="auto"/>
                <w:kern w:val="2"/>
                <w:sz w:val="24"/>
                <w:szCs w:val="24"/>
                <w:highlight w:val="none"/>
                <w:lang w:val="en-US" w:eastAsia="zh-CN" w:bidi="ar-SA"/>
              </w:rPr>
            </w:pPr>
            <w:r>
              <w:rPr>
                <w:rFonts w:hint="eastAsia" w:ascii="Times New Roman" w:eastAsia="宋体"/>
                <w:color w:val="auto"/>
                <w:kern w:val="2"/>
                <w:sz w:val="24"/>
                <w:szCs w:val="24"/>
                <w:highlight w:val="none"/>
                <w:lang w:val="en-US" w:eastAsia="zh-CN" w:bidi="ar-SA"/>
              </w:rPr>
              <w:t>（2）</w:t>
            </w:r>
            <w:r>
              <w:rPr>
                <w:rFonts w:hint="default" w:ascii="Times New Roman" w:hAnsi="Times New Roman" w:eastAsia="宋体"/>
                <w:color w:val="auto"/>
                <w:kern w:val="2"/>
                <w:sz w:val="24"/>
                <w:szCs w:val="24"/>
                <w:highlight w:val="none"/>
                <w:lang w:val="en-US" w:eastAsia="zh-CN" w:bidi="ar-SA"/>
              </w:rPr>
              <w:t>应急措施</w:t>
            </w:r>
          </w:p>
          <w:p>
            <w:pPr>
              <w:bidi w:val="0"/>
              <w:rPr>
                <w:rFonts w:hint="default"/>
                <w:color w:val="auto"/>
                <w:highlight w:val="none"/>
                <w:lang w:val="en-US" w:eastAsia="zh-CN"/>
              </w:rPr>
            </w:pPr>
            <w:r>
              <w:rPr>
                <w:rFonts w:hint="eastAsia"/>
                <w:color w:val="auto"/>
                <w:highlight w:val="none"/>
                <w:lang w:val="en-US" w:eastAsia="zh-CN"/>
              </w:rPr>
              <w:t>润滑油、废润滑油、液压油、废液压油等</w:t>
            </w:r>
            <w:r>
              <w:rPr>
                <w:rFonts w:hint="default"/>
                <w:color w:val="auto"/>
                <w:highlight w:val="none"/>
                <w:lang w:val="en-US" w:eastAsia="zh-CN"/>
              </w:rPr>
              <w:t>发生</w:t>
            </w:r>
            <w:r>
              <w:rPr>
                <w:rFonts w:hint="eastAsia"/>
                <w:color w:val="auto"/>
                <w:highlight w:val="none"/>
                <w:lang w:val="en-US" w:eastAsia="zh-CN"/>
              </w:rPr>
              <w:t>泄漏</w:t>
            </w:r>
            <w:r>
              <w:rPr>
                <w:rFonts w:hint="default"/>
                <w:color w:val="auto"/>
                <w:highlight w:val="none"/>
                <w:lang w:val="en-US" w:eastAsia="zh-CN"/>
              </w:rPr>
              <w:t>，通过工作人员或视频监控人员预警，根据现场情况将沙土沙袋、吸油毡、储油桶等运至</w:t>
            </w:r>
            <w:r>
              <w:rPr>
                <w:rFonts w:hint="eastAsia"/>
                <w:color w:val="auto"/>
                <w:highlight w:val="none"/>
                <w:lang w:val="en-US" w:eastAsia="zh-CN"/>
              </w:rPr>
              <w:t>事</w:t>
            </w:r>
            <w:r>
              <w:rPr>
                <w:rFonts w:hint="default"/>
                <w:color w:val="auto"/>
                <w:highlight w:val="none"/>
                <w:lang w:val="en-US" w:eastAsia="zh-CN"/>
              </w:rPr>
              <w:t>发现场进行现场环境应急处置，利用</w:t>
            </w:r>
            <w:r>
              <w:rPr>
                <w:rFonts w:hint="eastAsia"/>
                <w:color w:val="auto"/>
                <w:highlight w:val="none"/>
                <w:lang w:val="en-US" w:eastAsia="zh-CN"/>
              </w:rPr>
              <w:t>沙土</w:t>
            </w:r>
            <w:r>
              <w:rPr>
                <w:rFonts w:hint="default"/>
                <w:color w:val="auto"/>
                <w:highlight w:val="none"/>
                <w:lang w:val="en-US" w:eastAsia="zh-CN"/>
              </w:rPr>
              <w:t>沙袋先进行溢流的围堵，避免污染面积扩散，用吸附材料吸收泄漏液体，然后移至安全地区，能够有效防止事故扩大。一旦泄漏</w:t>
            </w:r>
            <w:r>
              <w:rPr>
                <w:rFonts w:hint="eastAsia"/>
                <w:color w:val="auto"/>
                <w:highlight w:val="none"/>
                <w:lang w:val="en-US" w:eastAsia="zh-CN"/>
              </w:rPr>
              <w:t>至</w:t>
            </w:r>
            <w:r>
              <w:rPr>
                <w:rFonts w:hint="default"/>
                <w:color w:val="auto"/>
                <w:highlight w:val="none"/>
                <w:lang w:val="en-US" w:eastAsia="zh-CN"/>
              </w:rPr>
              <w:t>厂区外，企业应告知当地政府、生态环境局、环境保护监测站等</w:t>
            </w:r>
            <w:r>
              <w:rPr>
                <w:rFonts w:hint="eastAsia"/>
                <w:color w:val="auto"/>
                <w:highlight w:val="none"/>
                <w:lang w:val="en-US" w:eastAsia="zh-CN"/>
              </w:rPr>
              <w:t>部门</w:t>
            </w:r>
            <w:r>
              <w:rPr>
                <w:rFonts w:hint="default"/>
                <w:color w:val="auto"/>
                <w:highlight w:val="none"/>
                <w:lang w:val="en-US" w:eastAsia="zh-CN"/>
              </w:rPr>
              <w:t>进行处理。</w:t>
            </w:r>
          </w:p>
          <w:p>
            <w:pPr>
              <w:bidi w:val="0"/>
              <w:rPr>
                <w:rFonts w:hint="default"/>
                <w:color w:val="auto"/>
                <w:highlight w:val="none"/>
                <w:lang w:val="en-US" w:eastAsia="zh-CN"/>
              </w:rPr>
            </w:pPr>
            <w:r>
              <w:rPr>
                <w:rFonts w:hint="eastAsia"/>
                <w:color w:val="auto"/>
                <w:highlight w:val="none"/>
                <w:lang w:val="en-US" w:eastAsia="zh-CN"/>
              </w:rPr>
              <w:t>（3）</w:t>
            </w:r>
            <w:r>
              <w:rPr>
                <w:rFonts w:hint="eastAsia" w:ascii="Times New Roman" w:hAnsi="Times New Roman" w:eastAsia="宋体"/>
                <w:color w:val="auto"/>
                <w:kern w:val="2"/>
                <w:sz w:val="24"/>
                <w:szCs w:val="24"/>
                <w:highlight w:val="none"/>
                <w:lang w:val="en-US" w:eastAsia="zh-CN" w:bidi="ar-SA"/>
              </w:rPr>
              <w:t>编制</w:t>
            </w:r>
            <w:r>
              <w:rPr>
                <w:rFonts w:hint="eastAsia" w:eastAsia="宋体"/>
                <w:color w:val="auto"/>
                <w:kern w:val="2"/>
                <w:sz w:val="24"/>
                <w:szCs w:val="24"/>
                <w:highlight w:val="none"/>
                <w:lang w:val="en-US" w:eastAsia="zh-CN" w:bidi="ar-SA"/>
              </w:rPr>
              <w:t>突发环境</w:t>
            </w:r>
            <w:r>
              <w:rPr>
                <w:rFonts w:hint="eastAsia" w:ascii="Times New Roman" w:hAnsi="Times New Roman" w:eastAsia="宋体"/>
                <w:color w:val="auto"/>
                <w:kern w:val="2"/>
                <w:sz w:val="24"/>
                <w:szCs w:val="24"/>
                <w:highlight w:val="none"/>
                <w:lang w:val="en-US" w:eastAsia="zh-CN" w:bidi="ar-SA"/>
              </w:rPr>
              <w:t>应急预案。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textAlignment w:val="auto"/>
              <w:rPr>
                <w:rFonts w:hint="default"/>
                <w:b/>
                <w:bCs/>
                <w:color w:val="auto"/>
                <w:highlight w:val="none"/>
                <w:lang w:val="en-US" w:eastAsia="zh-CN"/>
              </w:rPr>
            </w:pPr>
            <w:r>
              <w:rPr>
                <w:rFonts w:hint="eastAsia"/>
                <w:b/>
                <w:bCs/>
                <w:color w:val="auto"/>
                <w:highlight w:val="none"/>
                <w:lang w:val="en-US" w:eastAsia="zh-CN"/>
              </w:rPr>
              <w:t>8、电磁辐射</w:t>
            </w:r>
          </w:p>
          <w:p>
            <w:pPr>
              <w:bidi w:val="0"/>
              <w:rPr>
                <w:rFonts w:hint="default"/>
                <w:color w:val="auto"/>
                <w:highlight w:val="none"/>
                <w:lang w:val="en-US" w:eastAsia="zh-CN"/>
              </w:rPr>
            </w:pPr>
            <w:r>
              <w:rPr>
                <w:rFonts w:hint="default"/>
                <w:color w:val="auto"/>
                <w:highlight w:val="none"/>
                <w:lang w:val="en-US" w:eastAsia="zh-CN"/>
              </w:rPr>
              <w:t>本项目不涉及电磁辐射源，即不会对项目所在区环境产生相应的电磁辐射影响。</w:t>
            </w:r>
          </w:p>
          <w:p>
            <w:pPr>
              <w:bidi w:val="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p>
            <w:pPr>
              <w:bidi w:val="0"/>
              <w:ind w:left="0" w:leftChars="0" w:firstLine="0" w:firstLineChars="0"/>
              <w:rPr>
                <w:rFonts w:hint="default"/>
                <w:color w:val="auto"/>
                <w:highlight w:val="none"/>
                <w:lang w:val="en-US" w:eastAsia="zh-CN"/>
              </w:rPr>
            </w:pPr>
          </w:p>
        </w:tc>
      </w:tr>
    </w:tbl>
    <w:p>
      <w:pPr>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bidi w:val="0"/>
        <w:rPr>
          <w:color w:val="auto"/>
          <w:highlight w:val="none"/>
        </w:rPr>
      </w:pPr>
      <w:bookmarkStart w:id="6" w:name="_Toc19298"/>
      <w:r>
        <w:rPr>
          <w:rFonts w:hint="eastAsia"/>
          <w:color w:val="auto"/>
          <w:highlight w:val="none"/>
        </w:rPr>
        <w:t>五、</w:t>
      </w:r>
      <w:bookmarkStart w:id="7" w:name="_Hlk54167917"/>
      <w:r>
        <w:rPr>
          <w:rFonts w:hint="eastAsia"/>
          <w:color w:val="auto"/>
          <w:highlight w:val="none"/>
        </w:rPr>
        <w:t>环境保护措施监督检查清单</w:t>
      </w:r>
      <w:bookmarkEnd w:id="6"/>
      <w:bookmarkEnd w:id="7"/>
    </w:p>
    <w:tbl>
      <w:tblPr>
        <w:tblStyle w:val="23"/>
        <w:tblW w:w="97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381"/>
        <w:gridCol w:w="524"/>
        <w:gridCol w:w="885"/>
        <w:gridCol w:w="3600"/>
        <w:gridCol w:w="24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36" w:type="dxa"/>
            <w:tcBorders>
              <w:tl2br w:val="single" w:color="auto" w:sz="4" w:space="0"/>
            </w:tcBorders>
            <w:noWrap w:val="0"/>
            <w:vAlign w:val="top"/>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内容</w:t>
            </w:r>
          </w:p>
          <w:p>
            <w:pPr>
              <w:pStyle w:val="30"/>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p>
          <w:p>
            <w:pPr>
              <w:pStyle w:val="30"/>
              <w:keepNext w:val="0"/>
              <w:keepLines w:val="0"/>
              <w:pageBreakBefore w:val="0"/>
              <w:kinsoku/>
              <w:wordWrap/>
              <w:overflowPunct/>
              <w:topLinePunct w:val="0"/>
              <w:autoSpaceDE/>
              <w:autoSpaceDN/>
              <w:bidi w:val="0"/>
              <w:spacing w:before="0" w:after="0"/>
              <w:jc w:val="both"/>
              <w:rPr>
                <w:rFonts w:hint="eastAsia"/>
                <w:color w:val="auto"/>
                <w:sz w:val="24"/>
                <w:szCs w:val="24"/>
                <w:highlight w:val="none"/>
              </w:rPr>
            </w:pPr>
            <w:r>
              <w:rPr>
                <w:rFonts w:hint="eastAsia"/>
                <w:color w:val="auto"/>
                <w:sz w:val="24"/>
                <w:szCs w:val="24"/>
                <w:highlight w:val="none"/>
              </w:rPr>
              <w:t>要素</w:t>
            </w:r>
          </w:p>
        </w:tc>
        <w:tc>
          <w:tcPr>
            <w:tcW w:w="1905" w:type="dxa"/>
            <w:gridSpan w:val="2"/>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排放口</w:t>
            </w:r>
            <w:r>
              <w:rPr>
                <w:rFonts w:hint="eastAsia"/>
                <w:color w:val="auto"/>
                <w:sz w:val="24"/>
                <w:szCs w:val="24"/>
                <w:highlight w:val="none"/>
                <w:lang w:eastAsia="zh-CN"/>
              </w:rPr>
              <w:t>（</w:t>
            </w:r>
            <w:r>
              <w:rPr>
                <w:rFonts w:hint="eastAsia"/>
                <w:color w:val="auto"/>
                <w:sz w:val="24"/>
                <w:szCs w:val="24"/>
                <w:highlight w:val="none"/>
              </w:rPr>
              <w:t>编号、名称</w:t>
            </w:r>
            <w:r>
              <w:rPr>
                <w:rFonts w:hint="eastAsia"/>
                <w:color w:val="auto"/>
                <w:sz w:val="24"/>
                <w:szCs w:val="24"/>
                <w:highlight w:val="none"/>
                <w:lang w:eastAsia="zh-CN"/>
              </w:rPr>
              <w:t>）</w:t>
            </w:r>
            <w:r>
              <w:rPr>
                <w:rFonts w:hint="eastAsia"/>
                <w:color w:val="auto"/>
                <w:sz w:val="24"/>
                <w:szCs w:val="24"/>
                <w:highlight w:val="none"/>
              </w:rPr>
              <w:t>/污染源</w:t>
            </w:r>
          </w:p>
        </w:tc>
        <w:tc>
          <w:tcPr>
            <w:tcW w:w="885" w:type="dxa"/>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污染物项目</w:t>
            </w:r>
          </w:p>
        </w:tc>
        <w:tc>
          <w:tcPr>
            <w:tcW w:w="3600" w:type="dxa"/>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环境保护措施</w:t>
            </w:r>
          </w:p>
        </w:tc>
        <w:tc>
          <w:tcPr>
            <w:tcW w:w="2422" w:type="dxa"/>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3" w:hRule="atLeast"/>
          <w:jc w:val="center"/>
        </w:trPr>
        <w:tc>
          <w:tcPr>
            <w:tcW w:w="936" w:type="dxa"/>
            <w:vMerge w:val="restart"/>
            <w:noWrap w:val="0"/>
            <w:vAlign w:val="center"/>
          </w:tcPr>
          <w:p>
            <w:pPr>
              <w:pStyle w:val="30"/>
              <w:keepNext w:val="0"/>
              <w:keepLines w:val="0"/>
              <w:pageBreakBefore w:val="0"/>
              <w:kinsoku/>
              <w:wordWrap/>
              <w:overflowPunct/>
              <w:topLinePunct w:val="0"/>
              <w:autoSpaceDE/>
              <w:autoSpaceDN/>
              <w:bidi w:val="0"/>
              <w:spacing w:before="0" w:after="0"/>
              <w:rPr>
                <w:rFonts w:hint="eastAsia"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ind w:left="-48" w:leftChars="-20" w:right="-48" w:rightChars="-20" w:firstLine="0" w:firstLineChars="0"/>
              <w:textAlignment w:val="auto"/>
              <w:rPr>
                <w:rFonts w:hint="default"/>
                <w:color w:val="auto"/>
                <w:sz w:val="24"/>
                <w:szCs w:val="24"/>
                <w:highlight w:val="none"/>
                <w:lang w:val="en-US" w:eastAsia="zh-CN"/>
              </w:rPr>
            </w:pPr>
            <w:r>
              <w:rPr>
                <w:rFonts w:hint="eastAsia" w:cs="Times New Roman"/>
                <w:bCs/>
                <w:caps w:val="0"/>
                <w:color w:val="auto"/>
                <w:spacing w:val="0"/>
                <w:position w:val="0"/>
                <w:sz w:val="24"/>
                <w:szCs w:val="24"/>
                <w:highlight w:val="none"/>
                <w:lang w:val="en-US" w:eastAsia="zh-CN"/>
              </w:rPr>
              <w:t>建筑垃圾处理生产线</w:t>
            </w:r>
            <w:r>
              <w:rPr>
                <w:rFonts w:hint="eastAsia" w:ascii="Times New Roman" w:hAnsi="Times New Roman" w:cs="Times New Roman"/>
                <w:bCs/>
                <w:caps w:val="0"/>
                <w:color w:val="auto"/>
                <w:spacing w:val="0"/>
                <w:position w:val="0"/>
                <w:sz w:val="24"/>
                <w:szCs w:val="24"/>
                <w:highlight w:val="none"/>
                <w:lang w:val="en-US" w:eastAsia="zh-CN"/>
              </w:rPr>
              <w:t>废气排放口（DA001）</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颗粒物</w:t>
            </w:r>
          </w:p>
        </w:tc>
        <w:tc>
          <w:tcPr>
            <w:tcW w:w="36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eastAsia="宋体"/>
                <w:color w:val="auto"/>
                <w:sz w:val="24"/>
                <w:szCs w:val="24"/>
                <w:highlight w:val="none"/>
                <w:lang w:val="en-US" w:eastAsia="zh-CN"/>
              </w:rPr>
            </w:pPr>
            <w:r>
              <w:rPr>
                <w:rFonts w:hint="default" w:eastAsia="宋体"/>
                <w:color w:val="auto"/>
                <w:sz w:val="24"/>
                <w:szCs w:val="24"/>
                <w:highlight w:val="none"/>
                <w:lang w:val="en-US" w:eastAsia="zh-CN"/>
              </w:rPr>
              <w:t>入料口三面围挡，一面设置软帘，上方设置封闭的集气罩；物料通过封闭的皮带输送机进行转运，其受料点、卸料点设置封闭的集气罩；破碎机、筛分机封闭，其入料点、出料点设置封闭的集气罩；振动给料机封闭。采用风量为55000m</w:t>
            </w:r>
            <w:r>
              <w:rPr>
                <w:rFonts w:hint="default" w:eastAsia="宋体"/>
                <w:color w:val="auto"/>
                <w:sz w:val="24"/>
                <w:szCs w:val="24"/>
                <w:highlight w:val="none"/>
                <w:vertAlign w:val="superscript"/>
                <w:lang w:val="en-US" w:eastAsia="zh-CN"/>
              </w:rPr>
              <w:t>3</w:t>
            </w:r>
            <w:r>
              <w:rPr>
                <w:rFonts w:hint="default" w:eastAsia="宋体"/>
                <w:color w:val="auto"/>
                <w:sz w:val="24"/>
                <w:szCs w:val="24"/>
                <w:highlight w:val="none"/>
                <w:lang w:val="en-US" w:eastAsia="zh-CN"/>
              </w:rPr>
              <w:t>/h的风机将上述环节产生的颗粒物引入1套脉冲布袋除尘器（TA001）进行处理，处理后通过1根15m高排气筒（DA001）排放至大气中。</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rPr>
            </w:pPr>
            <w:r>
              <w:rPr>
                <w:rFonts w:hint="eastAsia"/>
                <w:color w:val="auto"/>
                <w:sz w:val="24"/>
                <w:szCs w:val="24"/>
                <w:highlight w:val="none"/>
                <w:lang w:val="en-US" w:eastAsia="zh-CN"/>
              </w:rPr>
              <w:t>《石灰行业大气污染物排放标准》（DB13/1641-2012）表2中相关限值要求：颗粒物</w:t>
            </w:r>
            <w:r>
              <w:rPr>
                <w:rFonts w:hint="default"/>
                <w:color w:val="auto"/>
                <w:sz w:val="24"/>
                <w:szCs w:val="24"/>
                <w:highlight w:val="none"/>
                <w:lang w:val="en-US" w:eastAsia="zh-CN"/>
              </w:rPr>
              <w:t>≤</w:t>
            </w:r>
            <w:r>
              <w:rPr>
                <w:rFonts w:hint="eastAsia"/>
                <w:color w:val="auto"/>
                <w:sz w:val="24"/>
                <w:szCs w:val="24"/>
                <w:highlight w:val="none"/>
                <w:lang w:val="en-US" w:eastAsia="zh-CN"/>
              </w:rPr>
              <w:t>30mg/m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，排气筒高度不低于15m且高于本体建筑物3m以上，同时满足</w:t>
            </w:r>
            <w:r>
              <w:rPr>
                <w:rFonts w:hint="eastAsia" w:eastAsia="宋体"/>
                <w:snapToGrid w:val="0"/>
                <w:color w:val="auto"/>
                <w:sz w:val="24"/>
                <w:szCs w:val="24"/>
                <w:highlight w:val="none"/>
                <w:vertAlign w:val="baseline"/>
                <w:lang w:val="en-US" w:eastAsia="zh-CN"/>
              </w:rPr>
              <w:t>《唐山市钢铁行业整治提升工作方案》等10项方案（唐气领办[2021]15号）中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eastAsia="宋体" w:cs="Times New Roman"/>
                <w:color w:val="auto"/>
                <w:kern w:val="0"/>
                <w:sz w:val="24"/>
                <w:szCs w:val="24"/>
                <w:highlight w:val="none"/>
                <w:shd w:val="clear" w:color="auto" w:fill="auto"/>
                <w:lang w:val="en-US" w:eastAsia="zh-CN"/>
              </w:rPr>
              <w:t>颗粒物</w:t>
            </w:r>
            <w:r>
              <w:rPr>
                <w:rFonts w:hint="default" w:ascii="Times New Roman" w:hAnsi="Times New Roman" w:eastAsia="宋体" w:cs="Times New Roman"/>
                <w:color w:val="auto"/>
                <w:kern w:val="0"/>
                <w:sz w:val="24"/>
                <w:szCs w:val="24"/>
                <w:highlight w:val="none"/>
                <w:shd w:val="clear" w:color="auto" w:fill="auto"/>
                <w:lang w:val="en-US" w:eastAsia="zh-CN"/>
              </w:rPr>
              <w:t>≤</w:t>
            </w:r>
            <w:r>
              <w:rPr>
                <w:rFonts w:hint="eastAsia" w:cs="Times New Roman"/>
                <w:color w:val="auto"/>
                <w:kern w:val="0"/>
                <w:sz w:val="24"/>
                <w:szCs w:val="24"/>
                <w:highlight w:val="none"/>
                <w:shd w:val="clear" w:color="auto" w:fill="auto"/>
                <w:lang w:val="en-US" w:eastAsia="zh-CN"/>
              </w:rPr>
              <w:t>1</w:t>
            </w:r>
            <w:r>
              <w:rPr>
                <w:rFonts w:hint="eastAsia" w:ascii="Times New Roman" w:hAnsi="Times New Roman" w:eastAsia="宋体" w:cs="Times New Roman"/>
                <w:color w:val="auto"/>
                <w:kern w:val="0"/>
                <w:sz w:val="24"/>
                <w:szCs w:val="24"/>
                <w:highlight w:val="none"/>
                <w:shd w:val="clear" w:color="auto" w:fill="auto"/>
                <w:lang w:val="en-US" w:eastAsia="zh-CN"/>
              </w:rPr>
              <w:t>0mg/m</w:t>
            </w:r>
            <w:r>
              <w:rPr>
                <w:rFonts w:hint="eastAsia" w:ascii="Times New Roman" w:hAnsi="Times New Roman" w:eastAsia="宋体" w:cs="Times New Roman"/>
                <w:color w:val="auto"/>
                <w:kern w:val="0"/>
                <w:sz w:val="24"/>
                <w:szCs w:val="24"/>
                <w:highlight w:val="none"/>
                <w:shd w:val="clear" w:color="auto" w:fill="auto"/>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936" w:type="dxa"/>
            <w:vMerge w:val="continue"/>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lang w:val="en-US" w:eastAsia="zh-CN"/>
              </w:rPr>
            </w:pPr>
          </w:p>
        </w:tc>
        <w:tc>
          <w:tcPr>
            <w:tcW w:w="19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color w:val="auto"/>
                <w:kern w:val="1"/>
                <w:sz w:val="24"/>
                <w:szCs w:val="24"/>
                <w:highlight w:val="none"/>
                <w:lang w:val="en-US" w:eastAsia="zh-CN" w:bidi="ar-SA"/>
              </w:rPr>
            </w:pPr>
            <w:r>
              <w:rPr>
                <w:rFonts w:hint="eastAsia" w:cs="Times New Roman"/>
                <w:bCs/>
                <w:caps w:val="0"/>
                <w:color w:val="auto"/>
                <w:spacing w:val="0"/>
                <w:position w:val="0"/>
                <w:sz w:val="24"/>
                <w:szCs w:val="24"/>
                <w:highlight w:val="none"/>
                <w:lang w:val="en-US" w:eastAsia="zh-CN"/>
              </w:rPr>
              <w:t>建筑垃圾处理生产线生产</w:t>
            </w:r>
            <w:r>
              <w:rPr>
                <w:rFonts w:hint="default" w:ascii="Times New Roman" w:hAnsi="Times New Roman" w:eastAsia="宋体" w:cs="Times New Roman"/>
                <w:bCs/>
                <w:caps w:val="0"/>
                <w:color w:val="auto"/>
                <w:spacing w:val="0"/>
                <w:position w:val="0"/>
                <w:sz w:val="24"/>
                <w:szCs w:val="24"/>
                <w:highlight w:val="none"/>
                <w:lang w:val="en-US" w:eastAsia="zh-CN"/>
              </w:rPr>
              <w:t>过程</w:t>
            </w:r>
            <w:r>
              <w:rPr>
                <w:rFonts w:hint="eastAsia" w:ascii="Times New Roman" w:hAnsi="Times New Roman" w:eastAsia="宋体" w:cs="Times New Roman"/>
                <w:bCs/>
                <w:caps w:val="0"/>
                <w:color w:val="auto"/>
                <w:spacing w:val="0"/>
                <w:position w:val="0"/>
                <w:sz w:val="24"/>
                <w:szCs w:val="24"/>
                <w:highlight w:val="none"/>
                <w:lang w:val="en-US" w:eastAsia="zh-CN"/>
              </w:rPr>
              <w:t>未捕集部分</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颗粒物</w:t>
            </w:r>
          </w:p>
        </w:tc>
        <w:tc>
          <w:tcPr>
            <w:tcW w:w="36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4"/>
                <w:szCs w:val="24"/>
                <w:highlight w:val="none"/>
                <w:lang w:val="en-US" w:eastAsia="zh-CN"/>
              </w:rPr>
            </w:pPr>
            <w:r>
              <w:rPr>
                <w:rFonts w:hint="eastAsia" w:ascii="Times New Roman" w:hAnsi="Times New Roman" w:eastAsia="宋体" w:cs="Times New Roman"/>
                <w:bCs/>
                <w:caps w:val="0"/>
                <w:color w:val="auto"/>
                <w:spacing w:val="0"/>
                <w:position w:val="0"/>
                <w:sz w:val="24"/>
                <w:szCs w:val="24"/>
                <w:highlight w:val="none"/>
                <w:lang w:val="en-US" w:eastAsia="zh-CN"/>
              </w:rPr>
              <w:t>车间封闭，原料区、成品区、上料区顶部设置喷淋抑尘装置，重点部位喷雾抑尘，物料通过封闭的皮带输送机进行转运</w:t>
            </w:r>
          </w:p>
        </w:tc>
        <w:tc>
          <w:tcPr>
            <w:tcW w:w="2422" w:type="dxa"/>
            <w:vMerge w:val="restart"/>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ascii="Times New Roman" w:eastAsia="宋体"/>
                <w:color w:val="auto"/>
                <w:sz w:val="24"/>
                <w:szCs w:val="24"/>
                <w:highlight w:val="none"/>
                <w:vertAlign w:val="baseline"/>
                <w:lang w:val="en-US" w:eastAsia="zh-CN"/>
              </w:rPr>
            </w:pPr>
            <w:r>
              <w:rPr>
                <w:rFonts w:hint="eastAsia"/>
                <w:color w:val="auto"/>
                <w:sz w:val="24"/>
                <w:szCs w:val="24"/>
                <w:highlight w:val="none"/>
                <w:lang w:val="en-US" w:eastAsia="zh-CN"/>
              </w:rPr>
              <w:t>《石灰行业大气污染物排放标准》（DB13/1641-2012）表3中相关限值要求：颗粒物</w:t>
            </w:r>
            <w:r>
              <w:rPr>
                <w:rFonts w:hint="default"/>
                <w:color w:val="auto"/>
                <w:sz w:val="24"/>
                <w:szCs w:val="24"/>
                <w:highlight w:val="none"/>
                <w:lang w:val="en-US" w:eastAsia="zh-CN"/>
              </w:rPr>
              <w:t>≤</w:t>
            </w:r>
            <w:r>
              <w:rPr>
                <w:rFonts w:hint="eastAsia"/>
                <w:color w:val="auto"/>
                <w:sz w:val="24"/>
                <w:szCs w:val="24"/>
                <w:highlight w:val="none"/>
                <w:lang w:val="en-US" w:eastAsia="zh-CN"/>
              </w:rPr>
              <w:t>1.0mg/m</w:t>
            </w:r>
            <w:r>
              <w:rPr>
                <w:rFonts w:hint="eastAsia"/>
                <w:color w:val="auto"/>
                <w:sz w:val="24"/>
                <w:szCs w:val="24"/>
                <w:highlight w:val="none"/>
                <w:vertAlign w:val="superscript"/>
                <w:lang w:val="en-US" w:eastAsia="zh-CN"/>
              </w:rPr>
              <w:t>3</w:t>
            </w:r>
            <w:r>
              <w:rPr>
                <w:rFonts w:hint="eastAsia" w:eastAsia="宋体"/>
                <w:snapToGrid w:val="0"/>
                <w:color w:val="auto"/>
                <w:sz w:val="24"/>
                <w:szCs w:val="24"/>
                <w:highlight w:val="none"/>
                <w:vertAlign w:val="baseline"/>
                <w:lang w:eastAsia="zh-CN"/>
              </w:rPr>
              <w:t>（</w:t>
            </w:r>
            <w:r>
              <w:rPr>
                <w:rFonts w:hint="eastAsia"/>
                <w:snapToGrid w:val="0"/>
                <w:color w:val="auto"/>
                <w:sz w:val="24"/>
                <w:szCs w:val="24"/>
                <w:highlight w:val="none"/>
                <w:vertAlign w:val="baseline"/>
                <w:lang w:val="en-US" w:eastAsia="zh-CN"/>
              </w:rPr>
              <w:t>扣除参考值</w:t>
            </w:r>
            <w:r>
              <w:rPr>
                <w:rFonts w:hint="eastAsia" w:eastAsia="宋体"/>
                <w:snapToGrid w:val="0"/>
                <w:color w:val="auto"/>
                <w:sz w:val="24"/>
                <w:szCs w:val="24"/>
                <w:highlight w:val="none"/>
                <w:vertAlign w:val="baseline"/>
                <w:lang w:eastAsia="zh-CN"/>
              </w:rPr>
              <w:t>），</w:t>
            </w:r>
            <w:r>
              <w:rPr>
                <w:rFonts w:hint="eastAsia" w:eastAsia="宋体"/>
                <w:snapToGrid w:val="0"/>
                <w:color w:val="auto"/>
                <w:sz w:val="24"/>
                <w:szCs w:val="24"/>
                <w:highlight w:val="none"/>
                <w:vertAlign w:val="baseline"/>
                <w:lang w:val="en-US" w:eastAsia="zh-CN"/>
              </w:rPr>
              <w:t>同时满足《唐山市钢铁行业整治提升工作方案》等10项方案（唐气领办[2021]15号）中</w:t>
            </w:r>
            <w:r>
              <w:rPr>
                <w:rFonts w:hint="eastAsia"/>
                <w:snapToGrid w:val="0"/>
                <w:color w:val="auto"/>
                <w:sz w:val="24"/>
                <w:szCs w:val="24"/>
                <w:highlight w:val="none"/>
                <w:vertAlign w:val="baseline"/>
                <w:lang w:val="en-US" w:eastAsia="zh-CN"/>
              </w:rPr>
              <w:t>相关限值要求</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b w:val="0"/>
                <w:color w:val="auto"/>
                <w:sz w:val="24"/>
                <w:szCs w:val="24"/>
                <w:highlight w:val="none"/>
                <w:vertAlign w:val="baseline"/>
                <w:lang w:val="en-US" w:eastAsia="zh-CN"/>
              </w:rPr>
              <w:t>厂界无组织颗粒物浓度达到0.5mg/Nm</w:t>
            </w:r>
            <w:r>
              <w:rPr>
                <w:rFonts w:hint="eastAsia" w:ascii="Times New Roman" w:hAnsi="Times New Roman" w:eastAsia="宋体" w:cs="Times New Roman"/>
                <w:b w:val="0"/>
                <w:color w:val="auto"/>
                <w:sz w:val="24"/>
                <w:szCs w:val="24"/>
                <w:highlight w:val="none"/>
                <w:vertAlign w:val="superscript"/>
                <w:lang w:val="en-US" w:eastAsia="zh-CN"/>
              </w:rPr>
              <w:t>3</w:t>
            </w:r>
            <w:r>
              <w:rPr>
                <w:rFonts w:hint="eastAsia" w:cs="Times New Roman"/>
                <w:b w:val="0"/>
                <w:color w:val="auto"/>
                <w:sz w:val="24"/>
                <w:szCs w:val="24"/>
                <w:highlight w:val="none"/>
                <w:vertAlign w:val="baseline"/>
                <w:lang w:val="en-US" w:eastAsia="zh-CN"/>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36" w:type="dxa"/>
            <w:vMerge w:val="continue"/>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lang w:val="en-US" w:eastAsia="zh-CN"/>
              </w:rPr>
            </w:pPr>
          </w:p>
        </w:tc>
        <w:tc>
          <w:tcPr>
            <w:tcW w:w="19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4"/>
                <w:szCs w:val="24"/>
                <w:highlight w:val="none"/>
                <w:lang w:val="en-US" w:eastAsia="zh-CN"/>
              </w:rPr>
            </w:pPr>
            <w:r>
              <w:rPr>
                <w:rFonts w:hint="eastAsia" w:cs="Times New Roman"/>
                <w:bCs/>
                <w:caps w:val="0"/>
                <w:color w:val="auto"/>
                <w:spacing w:val="0"/>
                <w:position w:val="0"/>
                <w:sz w:val="24"/>
                <w:szCs w:val="24"/>
                <w:highlight w:val="none"/>
                <w:lang w:val="en-US" w:eastAsia="zh-CN"/>
              </w:rPr>
              <w:t>建筑垃圾和石碴装卸、堆存过程</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颗粒物</w:t>
            </w:r>
          </w:p>
        </w:tc>
        <w:tc>
          <w:tcPr>
            <w:tcW w:w="36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aps w:val="0"/>
                <w:color w:val="auto"/>
                <w:spacing w:val="0"/>
                <w:position w:val="0"/>
                <w:sz w:val="24"/>
                <w:szCs w:val="24"/>
                <w:highlight w:val="none"/>
                <w:lang w:val="en-US" w:eastAsia="zh-CN"/>
              </w:rPr>
            </w:pPr>
            <w:r>
              <w:rPr>
                <w:rFonts w:hint="eastAsia" w:ascii="Times New Roman" w:hAnsi="Times New Roman" w:eastAsia="宋体" w:cs="Times New Roman"/>
                <w:bCs/>
                <w:caps w:val="0"/>
                <w:color w:val="auto"/>
                <w:spacing w:val="0"/>
                <w:position w:val="0"/>
                <w:sz w:val="24"/>
                <w:szCs w:val="24"/>
                <w:highlight w:val="none"/>
                <w:lang w:val="en-US" w:eastAsia="zh-CN"/>
              </w:rPr>
              <w:t>车间封闭，顶部设置喷淋抑尘装置</w:t>
            </w:r>
          </w:p>
        </w:tc>
        <w:tc>
          <w:tcPr>
            <w:tcW w:w="2422"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ascii="Times New Roman" w:eastAsia="宋体"/>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936" w:type="dxa"/>
            <w:vMerge w:val="continue"/>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lang w:val="en-US" w:eastAsia="zh-CN"/>
              </w:rPr>
            </w:pPr>
          </w:p>
        </w:tc>
        <w:tc>
          <w:tcPr>
            <w:tcW w:w="190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4"/>
                <w:szCs w:val="24"/>
                <w:highlight w:val="none"/>
                <w:lang w:val="en-US" w:eastAsia="zh-CN"/>
              </w:rPr>
            </w:pPr>
            <w:r>
              <w:rPr>
                <w:rFonts w:hint="eastAsia" w:cs="Times New Roman"/>
                <w:color w:val="auto"/>
                <w:highlight w:val="none"/>
                <w:lang w:val="en-US" w:eastAsia="zh-CN"/>
              </w:rPr>
              <w:t>原料、成品、废料、污泥运输过程</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颗粒物</w:t>
            </w:r>
          </w:p>
        </w:tc>
        <w:tc>
          <w:tcPr>
            <w:tcW w:w="3600" w:type="dxa"/>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cs="Times New Roman"/>
                <w:bCs/>
                <w:caps w:val="0"/>
                <w:color w:val="auto"/>
                <w:spacing w:val="0"/>
                <w:position w:val="0"/>
                <w:sz w:val="24"/>
                <w:szCs w:val="24"/>
                <w:highlight w:val="none"/>
                <w:lang w:val="en-US" w:eastAsia="zh-CN"/>
              </w:rPr>
            </w:pPr>
            <w:r>
              <w:rPr>
                <w:rFonts w:hint="eastAsia"/>
                <w:color w:val="auto"/>
                <w:highlight w:val="none"/>
                <w:lang w:val="en-US" w:eastAsia="zh-CN"/>
              </w:rPr>
              <w:t>运输车辆加盖苫布，厂区道路洒水抑尘，厂区出入口设置车辆清洗平台，配备1台湿扫车，1台洒水车对厂区路面进行洒水、湿扫</w:t>
            </w:r>
          </w:p>
        </w:tc>
        <w:tc>
          <w:tcPr>
            <w:tcW w:w="2422" w:type="dxa"/>
            <w:vMerge w:val="continue"/>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ascii="Times New Roman" w:eastAsia="宋体"/>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36" w:type="dxa"/>
            <w:vMerge w:val="restart"/>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地表水环境</w:t>
            </w: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生产废水</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ascii="Times New Roman" w:hAnsi="Times New Roman" w:eastAsia="宋体" w:cs="Times New Roman"/>
                <w:color w:val="auto"/>
                <w:spacing w:val="0"/>
                <w:position w:val="0"/>
                <w:sz w:val="24"/>
                <w:szCs w:val="24"/>
                <w:highlight w:val="none"/>
                <w:lang w:val="en-US" w:eastAsia="zh-CN"/>
              </w:rPr>
            </w:pPr>
            <w:r>
              <w:rPr>
                <w:rFonts w:hint="eastAsia" w:cs="Times New Roman"/>
                <w:color w:val="auto"/>
                <w:spacing w:val="0"/>
                <w:position w:val="0"/>
                <w:sz w:val="24"/>
                <w:szCs w:val="24"/>
                <w:highlight w:val="none"/>
                <w:lang w:val="en-US" w:eastAsia="zh-CN"/>
              </w:rPr>
              <w:t>SS、COD</w:t>
            </w:r>
          </w:p>
        </w:tc>
        <w:tc>
          <w:tcPr>
            <w:tcW w:w="36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沉淀澄清处理后回用于生产</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36" w:type="dxa"/>
            <w:vMerge w:val="continue"/>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eastAsia"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lang w:val="en-US" w:eastAsia="zh-CN"/>
              </w:rPr>
              <w:t>洗车废水</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ascii="Times New Roman" w:hAnsi="Times New Roman" w:eastAsia="宋体" w:cs="Times New Roman"/>
                <w:color w:val="auto"/>
                <w:kern w:val="1"/>
                <w:sz w:val="24"/>
                <w:szCs w:val="24"/>
                <w:highlight w:val="none"/>
                <w:lang w:val="en-US" w:eastAsia="zh-CN" w:bidi="ar-SA"/>
              </w:rPr>
            </w:pPr>
            <w:r>
              <w:rPr>
                <w:rFonts w:hint="eastAsia" w:cs="Times New Roman"/>
                <w:color w:val="auto"/>
                <w:spacing w:val="0"/>
                <w:position w:val="0"/>
                <w:sz w:val="24"/>
                <w:szCs w:val="24"/>
                <w:highlight w:val="none"/>
                <w:lang w:val="en-US" w:eastAsia="zh-CN"/>
              </w:rPr>
              <w:t>SS、COD</w:t>
            </w:r>
          </w:p>
        </w:tc>
        <w:tc>
          <w:tcPr>
            <w:tcW w:w="36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left="-48" w:leftChars="-20" w:right="-48" w:rightChars="-20" w:firstLine="0" w:firstLineChars="0"/>
              <w:textAlignment w:val="auto"/>
              <w:rPr>
                <w:rFonts w:hint="default" w:ascii="Times New Roman" w:hAnsi="Times New Roman" w:eastAsia="宋体" w:cs="Times New Roman"/>
                <w:color w:val="auto"/>
                <w:kern w:val="1"/>
                <w:sz w:val="24"/>
                <w:szCs w:val="24"/>
                <w:highlight w:val="none"/>
                <w:lang w:val="en-US" w:eastAsia="zh-CN" w:bidi="ar-SA"/>
              </w:rPr>
            </w:pPr>
            <w:r>
              <w:rPr>
                <w:rFonts w:hint="eastAsia"/>
                <w:color w:val="auto"/>
                <w:sz w:val="24"/>
                <w:szCs w:val="24"/>
                <w:highlight w:val="none"/>
                <w:lang w:val="en-US" w:eastAsia="zh-CN"/>
              </w:rPr>
              <w:t>沉淀处理后回用于洗车过程</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936" w:type="dxa"/>
            <w:vMerge w:val="continue"/>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生活污水</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eastAsia="宋体"/>
                <w:color w:val="auto"/>
                <w:sz w:val="24"/>
                <w:szCs w:val="24"/>
                <w:highlight w:val="none"/>
                <w:lang w:val="en-US" w:eastAsia="zh-CN"/>
              </w:rPr>
            </w:pPr>
            <w:r>
              <w:rPr>
                <w:rFonts w:hint="eastAsia" w:cs="Times New Roman"/>
                <w:color w:val="auto"/>
                <w:spacing w:val="0"/>
                <w:position w:val="0"/>
                <w:sz w:val="24"/>
                <w:szCs w:val="24"/>
                <w:highlight w:val="none"/>
                <w:lang w:val="en-US" w:eastAsia="zh-CN"/>
              </w:rPr>
              <w:t>SS、COD、氨氮</w:t>
            </w:r>
          </w:p>
        </w:tc>
        <w:tc>
          <w:tcPr>
            <w:tcW w:w="36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eastAsia="zh-CN"/>
              </w:rPr>
            </w:pPr>
            <w:r>
              <w:rPr>
                <w:rFonts w:hint="eastAsia"/>
                <w:color w:val="auto"/>
                <w:sz w:val="24"/>
                <w:szCs w:val="24"/>
                <w:highlight w:val="none"/>
                <w:lang w:val="en-US" w:eastAsia="zh-CN"/>
              </w:rPr>
              <w:t>泼洒地面抑尘</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ind w:firstLine="0" w:firstLineChars="0"/>
              <w:textAlignment w:val="auto"/>
              <w:rPr>
                <w:rFonts w:hint="default"/>
                <w:color w:val="auto"/>
                <w:sz w:val="24"/>
                <w:szCs w:val="24"/>
                <w:highlight w:val="none"/>
                <w:lang w:val="en-US"/>
              </w:rPr>
            </w:pPr>
            <w:r>
              <w:rPr>
                <w:rFonts w:hint="eastAsia"/>
                <w:color w:val="auto"/>
                <w:sz w:val="24"/>
                <w:szCs w:val="24"/>
                <w:highlight w:val="none"/>
                <w:lang w:val="en-US" w:eastAsia="zh-CN"/>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936" w:type="dxa"/>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声环境</w:t>
            </w: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color w:val="auto"/>
                <w:sz w:val="24"/>
                <w:szCs w:val="24"/>
                <w:highlight w:val="none"/>
                <w:lang w:val="en-US" w:eastAsia="zh-CN"/>
              </w:rPr>
            </w:pPr>
            <w:r>
              <w:rPr>
                <w:rFonts w:hint="eastAsia"/>
                <w:color w:val="auto"/>
                <w:sz w:val="24"/>
                <w:szCs w:val="24"/>
                <w:highlight w:val="none"/>
                <w:lang w:val="en-US" w:eastAsia="zh-CN"/>
              </w:rPr>
              <w:t>生产设备运行</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噪声</w:t>
            </w:r>
          </w:p>
        </w:tc>
        <w:tc>
          <w:tcPr>
            <w:tcW w:w="36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基础减振，厂房隔声等</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default" w:eastAsia="宋体"/>
                <w:color w:val="auto"/>
                <w:sz w:val="24"/>
                <w:szCs w:val="24"/>
                <w:highlight w:val="none"/>
                <w:lang w:val="en-US" w:eastAsia="zh-CN"/>
              </w:rPr>
            </w:pPr>
            <w:r>
              <w:rPr>
                <w:rFonts w:hint="default"/>
                <w:color w:val="auto"/>
                <w:sz w:val="24"/>
                <w:szCs w:val="24"/>
                <w:highlight w:val="none"/>
              </w:rPr>
              <w:t>《工业企业厂界环境噪声排放标准》（GB12348-2008）中</w:t>
            </w:r>
            <w:r>
              <w:rPr>
                <w:rFonts w:hint="eastAsia"/>
                <w:color w:val="auto"/>
                <w:sz w:val="24"/>
                <w:szCs w:val="24"/>
                <w:highlight w:val="none"/>
                <w:lang w:val="en-US" w:eastAsia="zh-CN"/>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936" w:type="dxa"/>
            <w:noWrap w:val="0"/>
            <w:vAlign w:val="center"/>
          </w:tcPr>
          <w:p>
            <w:pPr>
              <w:pStyle w:val="30"/>
              <w:keepNext w:val="0"/>
              <w:keepLines w:val="0"/>
              <w:pageBreakBefore w:val="0"/>
              <w:kinsoku/>
              <w:wordWrap/>
              <w:overflowPunct/>
              <w:topLinePunct w:val="0"/>
              <w:autoSpaceDE/>
              <w:autoSpaceDN/>
              <w:bidi w:val="0"/>
              <w:spacing w:before="0" w:after="0"/>
              <w:rPr>
                <w:rFonts w:hint="eastAsia"/>
                <w:color w:val="auto"/>
                <w:sz w:val="24"/>
                <w:szCs w:val="24"/>
                <w:highlight w:val="none"/>
              </w:rPr>
            </w:pPr>
            <w:r>
              <w:rPr>
                <w:rFonts w:hint="eastAsia"/>
                <w:color w:val="auto"/>
                <w:sz w:val="24"/>
                <w:szCs w:val="24"/>
                <w:highlight w:val="none"/>
              </w:rPr>
              <w:t>电磁辐射</w:t>
            </w:r>
          </w:p>
        </w:tc>
        <w:tc>
          <w:tcPr>
            <w:tcW w:w="1905" w:type="dxa"/>
            <w:gridSpan w:val="2"/>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885"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3600"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c>
          <w:tcPr>
            <w:tcW w:w="2422"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264" w:lineRule="auto"/>
              <w:textAlignment w:val="auto"/>
              <w:rPr>
                <w:rFonts w:hint="eastAsia"/>
                <w:color w:val="auto"/>
                <w:sz w:val="24"/>
                <w:szCs w:val="24"/>
                <w:highlight w:val="none"/>
                <w:lang w:val="en-US" w:eastAsia="zh-CN"/>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936" w:type="dxa"/>
            <w:vMerge w:val="restart"/>
            <w:noWrap w:val="0"/>
            <w:vAlign w:val="center"/>
          </w:tcPr>
          <w:p>
            <w:pPr>
              <w:pStyle w:val="30"/>
              <w:keepNext w:val="0"/>
              <w:keepLines w:val="0"/>
              <w:pageBreakBefore w:val="0"/>
              <w:kinsoku/>
              <w:wordWrap/>
              <w:overflowPunct/>
              <w:topLinePunct w:val="0"/>
              <w:autoSpaceDE/>
              <w:autoSpaceDN/>
              <w:bidi w:val="0"/>
              <w:spacing w:before="0" w:after="0"/>
              <w:ind w:firstLine="0" w:firstLineChars="0"/>
              <w:rPr>
                <w:rFonts w:hint="eastAsia"/>
                <w:color w:val="auto"/>
                <w:sz w:val="24"/>
                <w:szCs w:val="24"/>
                <w:highlight w:val="none"/>
              </w:rPr>
            </w:pPr>
            <w:r>
              <w:rPr>
                <w:rFonts w:hint="eastAsia"/>
                <w:color w:val="auto"/>
                <w:sz w:val="24"/>
                <w:szCs w:val="24"/>
                <w:highlight w:val="none"/>
              </w:rPr>
              <w:t>固体废物</w:t>
            </w:r>
          </w:p>
        </w:tc>
        <w:tc>
          <w:tcPr>
            <w:tcW w:w="1381"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sz w:val="24"/>
                <w:szCs w:val="24"/>
                <w:highlight w:val="none"/>
                <w:lang w:val="en-US" w:eastAsia="zh-CN"/>
              </w:rPr>
            </w:pPr>
            <w:r>
              <w:rPr>
                <w:rFonts w:hint="eastAsia" w:ascii="Times New Roman" w:eastAsia="宋体"/>
                <w:color w:val="auto"/>
                <w:sz w:val="24"/>
                <w:szCs w:val="24"/>
                <w:highlight w:val="none"/>
                <w:lang w:val="en-US" w:eastAsia="zh-CN"/>
              </w:rPr>
              <w:t>一般工业固体废物</w:t>
            </w:r>
          </w:p>
        </w:tc>
        <w:tc>
          <w:tcPr>
            <w:tcW w:w="7431" w:type="dxa"/>
            <w:gridSpan w:val="4"/>
            <w:noWrap w:val="0"/>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eastAsia="宋体"/>
                <w:color w:val="auto"/>
                <w:sz w:val="24"/>
                <w:szCs w:val="24"/>
                <w:highlight w:val="none"/>
                <w:lang w:val="en-US" w:eastAsia="zh-CN"/>
              </w:rPr>
            </w:pPr>
            <w:r>
              <w:rPr>
                <w:rFonts w:hint="eastAsia"/>
                <w:color w:val="auto"/>
                <w:highlight w:val="none"/>
                <w:lang w:val="en-US" w:eastAsia="zh-CN"/>
              </w:rPr>
              <w:t>除尘灰外售砖厂制砖</w:t>
            </w:r>
            <w:r>
              <w:rPr>
                <w:rFonts w:hint="eastAsia"/>
                <w:color w:val="auto"/>
                <w:highlight w:val="none"/>
                <w:lang w:eastAsia="zh-CN"/>
              </w:rPr>
              <w:t>；</w:t>
            </w:r>
            <w:r>
              <w:rPr>
                <w:rFonts w:hint="eastAsia"/>
                <w:color w:val="auto"/>
                <w:highlight w:val="none"/>
                <w:lang w:val="en-US" w:eastAsia="zh-CN"/>
              </w:rPr>
              <w:t>废布袋由厂家回收；污泥定期清理，外运填坑铺路；废料暂存于废料暂存区，外售废品回收站；废钢筋暂存于一般固废暂存区，外售废品回收站</w:t>
            </w:r>
            <w:r>
              <w:rPr>
                <w:rFonts w:hint="eastAsia"/>
                <w:color w:val="auto"/>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color w:val="auto"/>
                <w:highlight w:val="none"/>
              </w:rPr>
            </w:pPr>
          </w:p>
        </w:tc>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生活垃圾</w:t>
            </w:r>
          </w:p>
        </w:tc>
        <w:tc>
          <w:tcPr>
            <w:tcW w:w="74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Times New Roman" w:eastAsia="宋体"/>
                <w:color w:val="auto"/>
                <w:sz w:val="24"/>
                <w:szCs w:val="24"/>
                <w:highlight w:val="none"/>
                <w:lang w:val="en-US" w:eastAsia="zh-CN"/>
              </w:rPr>
            </w:pPr>
            <w:r>
              <w:rPr>
                <w:rFonts w:hint="eastAsia" w:cs="Times New Roman"/>
                <w:color w:val="auto"/>
                <w:sz w:val="24"/>
                <w:szCs w:val="21"/>
                <w:highlight w:val="none"/>
                <w:shd w:val="clear" w:color="auto" w:fill="auto"/>
                <w:lang w:val="en-US" w:eastAsia="zh-CN"/>
              </w:rPr>
              <w:t>职工生活垃圾</w:t>
            </w:r>
            <w:r>
              <w:rPr>
                <w:rFonts w:hint="eastAsia" w:ascii="Times New Roman" w:hAnsi="Times New Roman" w:eastAsia="宋体" w:cs="Times New Roman"/>
                <w:color w:val="auto"/>
                <w:sz w:val="24"/>
                <w:szCs w:val="21"/>
                <w:highlight w:val="none"/>
                <w:shd w:val="clear" w:color="auto" w:fill="auto"/>
                <w:lang w:val="en-US" w:eastAsia="zh-CN"/>
              </w:rPr>
              <w:t>袋装化，</w:t>
            </w:r>
            <w:r>
              <w:rPr>
                <w:rFonts w:hint="default" w:ascii="Times New Roman" w:hAnsi="Times New Roman" w:eastAsia="宋体" w:cs="Times New Roman"/>
                <w:color w:val="auto"/>
                <w:sz w:val="24"/>
                <w:szCs w:val="21"/>
                <w:highlight w:val="none"/>
                <w:shd w:val="clear" w:color="auto" w:fill="auto"/>
                <w:lang w:eastAsia="zh-CN"/>
              </w:rPr>
              <w:t>集中收集，送当地环卫部门指定地点</w:t>
            </w:r>
            <w:r>
              <w:rPr>
                <w:rFonts w:hint="eastAsia" w:cs="Times New Roman"/>
                <w:color w:val="auto"/>
                <w:sz w:val="24"/>
                <w:szCs w:val="21"/>
                <w:highlight w:val="none"/>
                <w:shd w:val="clear" w:color="auto" w:fill="auto"/>
                <w:lang w:val="en-US" w:eastAsia="zh-CN"/>
              </w:rPr>
              <w:t>统</w:t>
            </w:r>
            <w:r>
              <w:rPr>
                <w:rFonts w:hint="default" w:ascii="Times New Roman" w:hAnsi="Times New Roman" w:eastAsia="宋体" w:cs="Times New Roman"/>
                <w:color w:val="auto"/>
                <w:sz w:val="24"/>
                <w:szCs w:val="21"/>
                <w:highlight w:val="none"/>
                <w:shd w:val="clear" w:color="auto" w:fill="auto"/>
                <w:lang w:eastAsia="zh-CN"/>
              </w:rPr>
              <w:t>一处理</w:t>
            </w:r>
            <w:r>
              <w:rPr>
                <w:rFonts w:hint="eastAsia" w:ascii="Times New Roman" w:hAnsi="Times New Roman" w:cs="Times New Roman"/>
                <w:color w:val="auto"/>
                <w:sz w:val="24"/>
                <w:szCs w:val="21"/>
                <w:highlight w:val="none"/>
                <w:shd w:val="clear" w:color="auto" w:fil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93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eastAsia="宋体"/>
                <w:color w:val="auto"/>
                <w:sz w:val="24"/>
                <w:szCs w:val="24"/>
                <w:highlight w:val="none"/>
                <w:lang w:val="en-US" w:eastAsia="zh-CN"/>
              </w:rPr>
            </w:pPr>
          </w:p>
        </w:tc>
        <w:tc>
          <w:tcPr>
            <w:tcW w:w="1381" w:type="dxa"/>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eastAsia="宋体"/>
                <w:color w:val="auto"/>
                <w:sz w:val="24"/>
                <w:szCs w:val="24"/>
                <w:highlight w:val="none"/>
                <w:lang w:val="en-US" w:eastAsia="zh-CN"/>
              </w:rPr>
            </w:pPr>
            <w:r>
              <w:rPr>
                <w:rFonts w:hint="eastAsia"/>
                <w:color w:val="auto"/>
                <w:sz w:val="24"/>
                <w:szCs w:val="24"/>
                <w:highlight w:val="none"/>
                <w:lang w:val="en-US" w:eastAsia="zh-CN"/>
              </w:rPr>
              <w:t>危险废物</w:t>
            </w:r>
          </w:p>
        </w:tc>
        <w:tc>
          <w:tcPr>
            <w:tcW w:w="743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eastAsia="宋体"/>
                <w:color w:val="auto"/>
                <w:sz w:val="24"/>
                <w:szCs w:val="24"/>
                <w:highlight w:val="none"/>
                <w:lang w:val="en-US" w:eastAsia="zh-CN"/>
              </w:rPr>
            </w:pPr>
            <w:r>
              <w:rPr>
                <w:rFonts w:hint="eastAsia" w:ascii="Times New Roman" w:eastAsia="宋体"/>
                <w:color w:val="auto"/>
                <w:sz w:val="24"/>
                <w:szCs w:val="24"/>
                <w:highlight w:val="none"/>
                <w:lang w:val="en-US" w:eastAsia="zh-CN"/>
              </w:rPr>
              <w:t>设备维护保养过程产生的含油废抹布、废润滑油、</w:t>
            </w:r>
            <w:r>
              <w:rPr>
                <w:rFonts w:hint="eastAsia"/>
                <w:color w:val="auto"/>
                <w:sz w:val="24"/>
                <w:szCs w:val="24"/>
                <w:highlight w:val="none"/>
                <w:lang w:val="en-US" w:eastAsia="zh-CN"/>
              </w:rPr>
              <w:t>废液压油、废油桶</w:t>
            </w:r>
            <w:r>
              <w:rPr>
                <w:rFonts w:hint="eastAsia" w:ascii="Times New Roman" w:eastAsia="宋体"/>
                <w:color w:val="auto"/>
                <w:sz w:val="24"/>
                <w:szCs w:val="24"/>
                <w:highlight w:val="none"/>
                <w:lang w:val="en-US" w:eastAsia="zh-CN"/>
              </w:rPr>
              <w:t>暂存于危废间，定期委托有资质单位运走处置。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36" w:type="dxa"/>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土壤及地下水污染防治措施</w:t>
            </w:r>
          </w:p>
        </w:tc>
        <w:tc>
          <w:tcPr>
            <w:tcW w:w="8812" w:type="dxa"/>
            <w:gridSpan w:val="5"/>
            <w:noWrap w:val="0"/>
            <w:vAlign w:val="center"/>
          </w:tcPr>
          <w:p>
            <w:pPr>
              <w:bidi w:val="0"/>
              <w:rPr>
                <w:rFonts w:hint="eastAsia"/>
                <w:color w:val="auto"/>
                <w:highlight w:val="none"/>
              </w:rPr>
            </w:pPr>
            <w:r>
              <w:rPr>
                <w:rFonts w:hint="eastAsia"/>
                <w:color w:val="auto"/>
                <w:highlight w:val="none"/>
                <w:lang w:eastAsia="zh-CN"/>
              </w:rPr>
              <w:t>本项目</w:t>
            </w:r>
            <w:r>
              <w:rPr>
                <w:rFonts w:hint="eastAsia"/>
                <w:color w:val="auto"/>
                <w:highlight w:val="none"/>
                <w:lang w:val="en-US" w:eastAsia="zh-CN"/>
              </w:rPr>
              <w:t>建成后对地下水、土壤的污染源</w:t>
            </w:r>
            <w:r>
              <w:rPr>
                <w:rFonts w:hint="eastAsia"/>
                <w:color w:val="auto"/>
                <w:highlight w:val="none"/>
                <w:lang w:eastAsia="zh-CN"/>
              </w:rPr>
              <w:t>主要</w:t>
            </w:r>
            <w:r>
              <w:rPr>
                <w:rFonts w:hint="eastAsia"/>
                <w:color w:val="auto"/>
                <w:highlight w:val="none"/>
                <w:lang w:val="en-US" w:eastAsia="zh-CN"/>
              </w:rPr>
              <w:t>为</w:t>
            </w:r>
            <w:r>
              <w:rPr>
                <w:rFonts w:hint="eastAsia"/>
                <w:color w:val="auto"/>
                <w:highlight w:val="none"/>
                <w:lang w:eastAsia="zh-CN"/>
              </w:rPr>
              <w:t>危废间</w:t>
            </w:r>
            <w:r>
              <w:rPr>
                <w:rFonts w:hint="eastAsia"/>
                <w:color w:val="auto"/>
                <w:highlight w:val="none"/>
                <w:lang w:val="en-US" w:eastAsia="zh-CN"/>
              </w:rPr>
              <w:t>储存的危险废物，油品储存间储存的润滑油、液压油；废水管道或集水沟收集的废水，一级沉淀池、沉淀澄清池储存的废水、湿式生产区生产过程、再生细骨料储存区储存的再生细骨料、原料储存区储存的建筑渣土、废料暂存区储存的废料、使用油类设备区的润滑油、液压油，</w:t>
            </w:r>
            <w:r>
              <w:rPr>
                <w:rFonts w:hint="eastAsia"/>
                <w:color w:val="auto"/>
                <w:highlight w:val="none"/>
                <w:lang w:eastAsia="zh-CN"/>
              </w:rPr>
              <w:t>可能因泄漏导致垂直入渗污染地下水、土壤，本项目</w:t>
            </w:r>
            <w:r>
              <w:rPr>
                <w:rFonts w:hint="eastAsia"/>
                <w:color w:val="auto"/>
                <w:highlight w:val="none"/>
              </w:rPr>
              <w:t>按照“源头控制、分区防治、污染监控、应急响应”相结合的原则，采用源头控制措施、分区防治措施。尽可能从源头上减少污染物的产生，防止环境污染，严格按照国家相关规范要求，对工艺、管道、设备、构建物采取相应措施，以防止和降低污染物的跑、冒、滴、漏</w:t>
            </w:r>
            <w:r>
              <w:rPr>
                <w:rFonts w:hint="eastAsia"/>
                <w:color w:val="auto"/>
                <w:highlight w:val="none"/>
                <w:lang w:eastAsia="zh-CN"/>
              </w:rPr>
              <w:t>，做好防渗措施</w:t>
            </w:r>
            <w:r>
              <w:rPr>
                <w:rFonts w:hint="eastAsia"/>
                <w:color w:val="auto"/>
                <w:highlight w:val="none"/>
              </w:rPr>
              <w:t>，避免由于泄漏造成物料下渗污染地下水。</w:t>
            </w:r>
          </w:p>
          <w:p>
            <w:pPr>
              <w:bidi w:val="0"/>
              <w:rPr>
                <w:rFonts w:hint="eastAsia"/>
                <w:color w:val="auto"/>
                <w:highlight w:val="none"/>
              </w:rPr>
            </w:pPr>
            <w:r>
              <w:rPr>
                <w:rFonts w:hint="eastAsia"/>
                <w:color w:val="auto"/>
                <w:highlight w:val="none"/>
                <w:lang w:val="en-US" w:eastAsia="zh-CN"/>
              </w:rPr>
              <w:t>使用油类设备区、危废间、油品储存间为重点防渗区，湿式生产区、再生细骨料储存区、原料储存区、收集废水的管道或集水沟、一级沉淀池、沉淀澄清池及其他生产区域为</w:t>
            </w:r>
            <w:r>
              <w:rPr>
                <w:rFonts w:hint="eastAsia"/>
                <w:color w:val="auto"/>
                <w:highlight w:val="none"/>
              </w:rPr>
              <w:t>一般防渗区</w:t>
            </w:r>
            <w:r>
              <w:rPr>
                <w:rFonts w:hint="eastAsia"/>
                <w:color w:val="auto"/>
                <w:highlight w:val="none"/>
                <w:lang w:eastAsia="zh-CN"/>
              </w:rPr>
              <w:t>，</w:t>
            </w:r>
            <w:r>
              <w:rPr>
                <w:rFonts w:hint="eastAsia"/>
                <w:color w:val="auto"/>
                <w:highlight w:val="none"/>
                <w:lang w:val="en-US" w:eastAsia="zh-CN"/>
              </w:rPr>
              <w:t>办公区及厂区道路为简单防渗区</w:t>
            </w:r>
            <w:r>
              <w:rPr>
                <w:rFonts w:hint="eastAsia"/>
                <w:color w:val="auto"/>
                <w:highlight w:val="none"/>
              </w:rPr>
              <w:t>。</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default"/>
                <w:color w:val="auto"/>
                <w:sz w:val="24"/>
                <w:szCs w:val="24"/>
                <w:highlight w:val="none"/>
                <w:lang w:val="en-US" w:eastAsia="zh-CN"/>
              </w:rPr>
            </w:pPr>
            <w:r>
              <w:rPr>
                <w:rFonts w:hint="eastAsia" w:ascii="Times New Roman" w:hAnsi="Times New Roman" w:eastAsia="宋体"/>
                <w:color w:val="auto"/>
                <w:sz w:val="24"/>
                <w:szCs w:val="24"/>
                <w:highlight w:val="none"/>
              </w:rPr>
              <w:t>①</w:t>
            </w:r>
            <w:r>
              <w:rPr>
                <w:rFonts w:ascii="Times New Roman" w:hAnsi="Times New Roman" w:eastAsia="宋体"/>
                <w:color w:val="auto"/>
                <w:sz w:val="24"/>
                <w:szCs w:val="24"/>
                <w:highlight w:val="none"/>
              </w:rPr>
              <w:t>重点防渗区：该分区需要做</w:t>
            </w:r>
            <w:r>
              <w:rPr>
                <w:rFonts w:hint="eastAsia" w:ascii="Times New Roman" w:hAnsi="Times New Roman" w:eastAsia="宋体"/>
                <w:color w:val="auto"/>
                <w:sz w:val="24"/>
                <w:szCs w:val="24"/>
                <w:highlight w:val="none"/>
                <w:lang w:val="en-US" w:eastAsia="zh-CN"/>
              </w:rPr>
              <w:t>防</w:t>
            </w:r>
            <w:r>
              <w:rPr>
                <w:rFonts w:ascii="Times New Roman" w:hAnsi="Times New Roman" w:eastAsia="宋体"/>
                <w:color w:val="auto"/>
                <w:sz w:val="24"/>
                <w:szCs w:val="24"/>
                <w:highlight w:val="none"/>
              </w:rPr>
              <w:t>渗处理，</w:t>
            </w:r>
            <w:r>
              <w:rPr>
                <w:rFonts w:hint="eastAsia"/>
                <w:color w:val="auto"/>
                <w:sz w:val="24"/>
                <w:szCs w:val="24"/>
                <w:highlight w:val="none"/>
                <w:lang w:val="en-US" w:eastAsia="zh-CN"/>
              </w:rPr>
              <w:t>危废间地面与裙脚应采取表面防渗措施；表面防渗材料应与所接触的物料或污染物相容，可采用抗渗混凝土、高密度聚乙烯膜、钠基膨润土防水毯或其他防渗性能等效的材料。贮存的危险废物直接接触地面的，需进行基础防渗，防渗层为至少1m厚黏土层（渗透系数不大于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cm/s），或至少2mm厚高密度聚乙烯膜等人工防渗材料（渗透系数不大于10</w:t>
            </w:r>
            <w:r>
              <w:rPr>
                <w:rFonts w:hint="eastAsia"/>
                <w:color w:val="auto"/>
                <w:sz w:val="24"/>
                <w:szCs w:val="24"/>
                <w:highlight w:val="none"/>
                <w:vertAlign w:val="superscript"/>
                <w:lang w:val="en-US" w:eastAsia="zh-CN"/>
              </w:rPr>
              <w:t>-10</w:t>
            </w:r>
            <w:r>
              <w:rPr>
                <w:rFonts w:hint="eastAsia"/>
                <w:color w:val="auto"/>
                <w:sz w:val="24"/>
                <w:szCs w:val="24"/>
                <w:highlight w:val="none"/>
                <w:lang w:val="en-US" w:eastAsia="zh-CN"/>
              </w:rPr>
              <w:t>cm/s），或其他防渗性能等效的材料；油品储存间</w:t>
            </w:r>
            <w:r>
              <w:rPr>
                <w:rFonts w:hint="eastAsia" w:eastAsia="宋体"/>
                <w:color w:val="auto"/>
                <w:sz w:val="24"/>
                <w:szCs w:val="24"/>
                <w:highlight w:val="none"/>
              </w:rPr>
              <w:t>地面</w:t>
            </w:r>
            <w:r>
              <w:rPr>
                <w:rFonts w:eastAsia="宋体"/>
                <w:color w:val="auto"/>
                <w:sz w:val="24"/>
                <w:szCs w:val="24"/>
                <w:highlight w:val="none"/>
              </w:rPr>
              <w:t>采取抗渗水泥</w:t>
            </w:r>
            <w:r>
              <w:rPr>
                <w:rFonts w:hint="eastAsia" w:eastAsia="宋体"/>
                <w:color w:val="auto"/>
                <w:sz w:val="24"/>
                <w:szCs w:val="24"/>
                <w:highlight w:val="none"/>
              </w:rPr>
              <w:t>（</w:t>
            </w:r>
            <w:r>
              <w:rPr>
                <w:rFonts w:eastAsia="宋体"/>
                <w:color w:val="auto"/>
                <w:sz w:val="24"/>
                <w:szCs w:val="24"/>
                <w:highlight w:val="none"/>
              </w:rPr>
              <w:t>20cm</w:t>
            </w:r>
            <w:r>
              <w:rPr>
                <w:rFonts w:hint="eastAsia" w:eastAsia="宋体"/>
                <w:color w:val="auto"/>
                <w:sz w:val="24"/>
                <w:szCs w:val="24"/>
                <w:highlight w:val="none"/>
              </w:rPr>
              <w:t>）+</w:t>
            </w:r>
            <w:r>
              <w:rPr>
                <w:rFonts w:eastAsia="宋体"/>
                <w:color w:val="auto"/>
                <w:sz w:val="24"/>
                <w:szCs w:val="24"/>
                <w:highlight w:val="none"/>
              </w:rPr>
              <w:t>土工膜（2mm）防渗</w:t>
            </w:r>
            <w:r>
              <w:rPr>
                <w:rFonts w:hint="eastAsia" w:eastAsia="宋体"/>
                <w:color w:val="auto"/>
                <w:sz w:val="24"/>
                <w:szCs w:val="24"/>
                <w:highlight w:val="none"/>
              </w:rPr>
              <w:t>，</w:t>
            </w:r>
            <w:r>
              <w:rPr>
                <w:rFonts w:eastAsia="宋体"/>
                <w:color w:val="auto"/>
                <w:sz w:val="24"/>
                <w:szCs w:val="24"/>
                <w:highlight w:val="none"/>
              </w:rPr>
              <w:t>防渗层渗透系数</w:t>
            </w:r>
            <w:r>
              <w:rPr>
                <w:rFonts w:ascii="Times New Roman" w:hAnsi="Times New Roman" w:eastAsia="宋体"/>
                <w:color w:val="auto"/>
                <w:sz w:val="24"/>
                <w:szCs w:val="24"/>
                <w:highlight w:val="none"/>
              </w:rPr>
              <w:t>≤</w:t>
            </w:r>
            <w:r>
              <w:rPr>
                <w:rFonts w:eastAsia="宋体"/>
                <w:color w:val="auto"/>
                <w:sz w:val="24"/>
                <w:szCs w:val="24"/>
                <w:highlight w:val="none"/>
              </w:rPr>
              <w:t>10</w:t>
            </w:r>
            <w:r>
              <w:rPr>
                <w:rFonts w:eastAsia="宋体"/>
                <w:color w:val="auto"/>
                <w:sz w:val="24"/>
                <w:szCs w:val="24"/>
                <w:highlight w:val="none"/>
                <w:vertAlign w:val="superscript"/>
              </w:rPr>
              <w:t>-10</w:t>
            </w:r>
            <w:r>
              <w:rPr>
                <w:rFonts w:eastAsia="宋体"/>
                <w:color w:val="auto"/>
                <w:sz w:val="24"/>
                <w:szCs w:val="24"/>
                <w:highlight w:val="none"/>
              </w:rPr>
              <w:t>cm/s</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车间内使用润滑油</w:t>
            </w:r>
            <w:r>
              <w:rPr>
                <w:rFonts w:hint="eastAsia"/>
                <w:color w:val="auto"/>
                <w:sz w:val="24"/>
                <w:szCs w:val="24"/>
                <w:highlight w:val="none"/>
                <w:lang w:val="en-US" w:eastAsia="zh-CN"/>
              </w:rPr>
              <w:t>、液压油</w:t>
            </w:r>
            <w:r>
              <w:rPr>
                <w:rFonts w:hint="eastAsia" w:eastAsia="宋体"/>
                <w:color w:val="auto"/>
                <w:sz w:val="24"/>
                <w:szCs w:val="24"/>
                <w:highlight w:val="none"/>
                <w:lang w:val="en-US" w:eastAsia="zh-CN"/>
              </w:rPr>
              <w:t>设备下方设置</w:t>
            </w:r>
            <w:r>
              <w:rPr>
                <w:rFonts w:hint="eastAsia"/>
                <w:color w:val="auto"/>
                <w:sz w:val="24"/>
                <w:szCs w:val="24"/>
                <w:highlight w:val="none"/>
                <w:lang w:val="en-US" w:eastAsia="zh-CN"/>
              </w:rPr>
              <w:t>铁质焊接托盘，无缝隙，不渗漏，确保废润滑油、废液压油不落地。</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②</w:t>
            </w:r>
            <w:r>
              <w:rPr>
                <w:rFonts w:ascii="Times New Roman" w:hAnsi="Times New Roman" w:eastAsia="宋体"/>
                <w:color w:val="auto"/>
                <w:sz w:val="24"/>
                <w:szCs w:val="24"/>
                <w:highlight w:val="none"/>
              </w:rPr>
              <w:t>一般防渗区：</w:t>
            </w:r>
            <w:r>
              <w:rPr>
                <w:rFonts w:hint="eastAsia"/>
                <w:color w:val="auto"/>
                <w:sz w:val="24"/>
                <w:szCs w:val="24"/>
                <w:highlight w:val="none"/>
                <w:lang w:val="en-US" w:eastAsia="zh-CN"/>
              </w:rPr>
              <w:t>湿式生产区和原料储存区、再生细骨料储存区、废料暂存区</w:t>
            </w:r>
            <w:r>
              <w:rPr>
                <w:rFonts w:hint="eastAsia" w:eastAsia="宋体"/>
                <w:color w:val="auto"/>
                <w:sz w:val="24"/>
                <w:szCs w:val="24"/>
                <w:highlight w:val="none"/>
                <w:lang w:val="en-US" w:eastAsia="zh-CN"/>
              </w:rPr>
              <w:t>地面</w:t>
            </w:r>
            <w:r>
              <w:rPr>
                <w:rFonts w:hint="eastAsia"/>
                <w:color w:val="auto"/>
                <w:sz w:val="24"/>
                <w:szCs w:val="24"/>
                <w:highlight w:val="none"/>
                <w:lang w:val="en-US" w:eastAsia="zh-CN"/>
              </w:rPr>
              <w:t>防渗层为至少1m厚粘土层（渗透系数</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w:t>
            </w:r>
            <w:r>
              <w:rPr>
                <w:rFonts w:hint="eastAsia" w:ascii="Times New Roman" w:hAnsi="Times New Roman" w:eastAsia="Times New Roman" w:cs="Times New Roman"/>
                <w:color w:val="auto"/>
                <w:kern w:val="0"/>
                <w:sz w:val="24"/>
                <w:szCs w:val="24"/>
                <w:highlight w:val="none"/>
                <w:lang w:val="en-US" w:eastAsia="zh-CN" w:bidi="ar"/>
              </w:rPr>
              <w:t>；</w:t>
            </w:r>
            <w:r>
              <w:rPr>
                <w:rFonts w:hint="eastAsia" w:eastAsia="宋体"/>
                <w:color w:val="auto"/>
                <w:sz w:val="24"/>
                <w:szCs w:val="24"/>
                <w:highlight w:val="none"/>
                <w:lang w:val="en-US" w:eastAsia="zh-CN"/>
              </w:rPr>
              <w:t>收集废水的管道或集水沟均为抗渗混凝土结构，地上或明沟设置，</w:t>
            </w:r>
            <w:r>
              <w:rPr>
                <w:rFonts w:hint="eastAsia"/>
                <w:color w:val="auto"/>
                <w:sz w:val="24"/>
                <w:szCs w:val="24"/>
                <w:highlight w:val="none"/>
                <w:lang w:val="en-US" w:eastAsia="zh-CN"/>
              </w:rPr>
              <w:t>渗透系数</w:t>
            </w:r>
            <w:r>
              <w:rPr>
                <w:rFonts w:ascii="Times New Roman" w:hAnsi="Times New Roman" w:eastAsia="宋体"/>
                <w:color w:val="auto"/>
                <w:sz w:val="24"/>
                <w:szCs w:val="24"/>
                <w:highlight w:val="none"/>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cm/s；一级沉淀池、沉淀澄清池</w:t>
            </w:r>
            <w:r>
              <w:rPr>
                <w:rFonts w:hint="eastAsia" w:ascii="Times New Roman" w:hAnsi="Times New Roman" w:eastAsia="Times New Roman" w:cs="Times New Roman"/>
                <w:color w:val="auto"/>
                <w:kern w:val="0"/>
                <w:sz w:val="24"/>
                <w:szCs w:val="24"/>
                <w:highlight w:val="none"/>
                <w:lang w:val="en-US" w:eastAsia="zh-CN" w:bidi="ar"/>
              </w:rPr>
              <w:t>底部及四周均</w:t>
            </w:r>
            <w:r>
              <w:rPr>
                <w:rFonts w:hint="eastAsia"/>
                <w:color w:val="auto"/>
                <w:sz w:val="24"/>
                <w:szCs w:val="24"/>
                <w:highlight w:val="none"/>
                <w:lang w:val="en-US" w:eastAsia="zh-CN"/>
              </w:rPr>
              <w:t>为抗渗混凝土结构，渗透系数</w:t>
            </w:r>
            <w:r>
              <w:rPr>
                <w:rFonts w:hint="default" w:ascii="Times New Roman" w:hAnsi="Times New Roman" w:cs="Times New Roman"/>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cm/s；洗车平台沉淀池、清水池为抗渗混凝土结构，渗透系数</w:t>
            </w:r>
            <w:r>
              <w:rPr>
                <w:rFonts w:hint="default" w:ascii="Times New Roman" w:hAnsi="Times New Roman" w:cs="Times New Roman"/>
                <w:color w:val="auto"/>
                <w:sz w:val="24"/>
                <w:szCs w:val="24"/>
                <w:highlight w:val="none"/>
                <w:lang w:val="en-US" w:eastAsia="zh-CN"/>
              </w:rPr>
              <w:t>≤</w:t>
            </w:r>
            <w:r>
              <w:rPr>
                <w:rFonts w:hint="eastAsia"/>
                <w:color w:val="auto"/>
                <w:sz w:val="24"/>
                <w:szCs w:val="24"/>
                <w:highlight w:val="none"/>
                <w:lang w:val="en-US" w:eastAsia="zh-CN"/>
              </w:rPr>
              <w:t>10</w:t>
            </w:r>
            <w:r>
              <w:rPr>
                <w:rFonts w:hint="eastAsia"/>
                <w:color w:val="auto"/>
                <w:sz w:val="24"/>
                <w:szCs w:val="24"/>
                <w:highlight w:val="none"/>
                <w:vertAlign w:val="superscript"/>
                <w:lang w:val="en-US" w:eastAsia="zh-CN"/>
              </w:rPr>
              <w:t>-7</w:t>
            </w:r>
            <w:r>
              <w:rPr>
                <w:rFonts w:hint="eastAsia"/>
                <w:color w:val="auto"/>
                <w:sz w:val="24"/>
                <w:szCs w:val="24"/>
                <w:highlight w:val="none"/>
                <w:lang w:val="en-US" w:eastAsia="zh-CN"/>
              </w:rPr>
              <w:t>cm/s，</w:t>
            </w:r>
            <w:r>
              <w:rPr>
                <w:rFonts w:hint="eastAsia" w:ascii="Times New Roman" w:hAnsi="Times New Roman" w:eastAsia="宋体"/>
                <w:color w:val="auto"/>
                <w:sz w:val="24"/>
                <w:szCs w:val="24"/>
                <w:highlight w:val="none"/>
              </w:rPr>
              <w:t>生产车间</w:t>
            </w:r>
            <w:r>
              <w:rPr>
                <w:rFonts w:ascii="Times New Roman" w:hAnsi="Times New Roman" w:eastAsia="宋体"/>
                <w:color w:val="auto"/>
                <w:sz w:val="24"/>
                <w:szCs w:val="24"/>
                <w:highlight w:val="none"/>
              </w:rPr>
              <w:t>其他区域的建设进行基础防渗处理，需满足等效黏土防渗层Mb≥6.0m，K≤1×10</w:t>
            </w:r>
            <w:r>
              <w:rPr>
                <w:rFonts w:ascii="Times New Roman" w:hAnsi="Times New Roman" w:eastAsia="宋体"/>
                <w:color w:val="auto"/>
                <w:sz w:val="24"/>
                <w:szCs w:val="24"/>
                <w:highlight w:val="none"/>
                <w:vertAlign w:val="superscript"/>
              </w:rPr>
              <w:t>-7</w:t>
            </w:r>
            <w:r>
              <w:rPr>
                <w:rFonts w:ascii="Times New Roman" w:hAnsi="Times New Roman" w:eastAsia="宋体"/>
                <w:color w:val="auto"/>
                <w:sz w:val="24"/>
                <w:szCs w:val="24"/>
                <w:highlight w:val="none"/>
              </w:rPr>
              <w:t>cm/s。</w:t>
            </w:r>
          </w:p>
          <w:p>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left"/>
              <w:textAlignment w:val="auto"/>
              <w:rPr>
                <w:rFonts w:hint="eastAsia" w:ascii="Times New Roman" w:hAnsi="Times New Roman" w:eastAsia="宋体" w:cs="Times New Roman"/>
                <w:color w:val="auto"/>
                <w:sz w:val="24"/>
                <w:szCs w:val="21"/>
                <w:highlight w:val="none"/>
                <w:shd w:val="clear" w:color="auto" w:fill="auto"/>
                <w:lang w:val="en-US" w:eastAsia="zh-CN"/>
              </w:rPr>
            </w:pPr>
            <w:r>
              <w:rPr>
                <w:rFonts w:hint="eastAsia" w:ascii="Times New Roman" w:hAnsi="Times New Roman" w:eastAsia="宋体"/>
                <w:color w:val="auto"/>
                <w:sz w:val="24"/>
                <w:szCs w:val="24"/>
                <w:highlight w:val="none"/>
              </w:rPr>
              <w:t>③</w:t>
            </w:r>
            <w:r>
              <w:rPr>
                <w:rFonts w:hint="eastAsia" w:ascii="Times New Roman" w:hAnsi="Times New Roman" w:eastAsia="宋体"/>
                <w:color w:val="auto"/>
                <w:sz w:val="24"/>
                <w:szCs w:val="24"/>
                <w:highlight w:val="none"/>
                <w:lang w:val="en-US" w:eastAsia="zh-CN"/>
              </w:rPr>
              <w:t>简单防渗区：办公区及厂区道路地面做好硬化处理。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936" w:type="dxa"/>
            <w:noWrap w:val="0"/>
            <w:vAlign w:val="center"/>
          </w:tcPr>
          <w:p>
            <w:pPr>
              <w:pStyle w:val="30"/>
              <w:keepNext w:val="0"/>
              <w:keepLines w:val="0"/>
              <w:pageBreakBefore w:val="0"/>
              <w:kinsoku/>
              <w:wordWrap/>
              <w:overflowPunct/>
              <w:topLinePunct w:val="0"/>
              <w:autoSpaceDE/>
              <w:autoSpaceDN/>
              <w:bidi w:val="0"/>
              <w:spacing w:before="0" w:after="0"/>
              <w:ind w:firstLine="0" w:firstLineChars="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生态保护措施</w:t>
            </w:r>
          </w:p>
        </w:tc>
        <w:tc>
          <w:tcPr>
            <w:tcW w:w="8812" w:type="dxa"/>
            <w:gridSpan w:val="5"/>
            <w:noWrap w:val="0"/>
            <w:vAlign w:val="center"/>
          </w:tcPr>
          <w:p>
            <w:pPr>
              <w:bidi w:val="0"/>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lang w:eastAsia="zh-CN"/>
              </w:rPr>
              <w:t>本项目用地范围内无生态环境保护目标，</w:t>
            </w:r>
            <w:r>
              <w:rPr>
                <w:rFonts w:hint="eastAsia"/>
                <w:color w:val="auto"/>
                <w:highlight w:val="none"/>
                <w:lang w:val="en-US" w:eastAsia="zh-CN"/>
              </w:rPr>
              <w:t>对生态的影响主要为</w:t>
            </w:r>
            <w:r>
              <w:rPr>
                <w:color w:val="auto"/>
                <w:highlight w:val="none"/>
              </w:rPr>
              <w:t>建设施工</w:t>
            </w:r>
            <w:r>
              <w:rPr>
                <w:rFonts w:hint="eastAsia"/>
                <w:color w:val="auto"/>
                <w:highlight w:val="none"/>
                <w:lang w:val="en-US" w:eastAsia="zh-CN"/>
              </w:rPr>
              <w:t>过程</w:t>
            </w:r>
            <w:r>
              <w:rPr>
                <w:color w:val="auto"/>
                <w:highlight w:val="none"/>
              </w:rPr>
              <w:t>引</w:t>
            </w:r>
            <w:r>
              <w:rPr>
                <w:rFonts w:hint="eastAsia"/>
                <w:color w:val="auto"/>
                <w:highlight w:val="none"/>
                <w:lang w:val="en-US" w:eastAsia="zh-CN"/>
              </w:rPr>
              <w:t>起占地范围内的</w:t>
            </w:r>
            <w:r>
              <w:rPr>
                <w:color w:val="auto"/>
                <w:highlight w:val="none"/>
              </w:rPr>
              <w:t>土壤松动和水土流失</w:t>
            </w:r>
            <w:r>
              <w:rPr>
                <w:rFonts w:hint="eastAsia"/>
                <w:color w:val="auto"/>
                <w:highlight w:val="none"/>
                <w:lang w:eastAsia="zh-CN"/>
              </w:rPr>
              <w:t>，</w:t>
            </w:r>
            <w:r>
              <w:rPr>
                <w:rFonts w:hint="eastAsia"/>
                <w:color w:val="auto"/>
                <w:highlight w:val="none"/>
                <w:lang w:val="en-US" w:eastAsia="zh-CN"/>
              </w:rPr>
              <w:t>项目建成后采取地面硬化、绿化等措施，可有效减少水土流失，对生态环境具有一定的改善作用，</w:t>
            </w:r>
            <w:r>
              <w:rPr>
                <w:rFonts w:hint="eastAsia"/>
                <w:color w:val="auto"/>
                <w:highlight w:val="none"/>
                <w:lang w:eastAsia="zh-CN"/>
              </w:rPr>
              <w:t>对区域生态环境影响较小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36" w:type="dxa"/>
            <w:noWrap w:val="0"/>
            <w:vAlign w:val="center"/>
          </w:tcPr>
          <w:p>
            <w:pPr>
              <w:pStyle w:val="30"/>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环境风险防范措施</w:t>
            </w:r>
          </w:p>
        </w:tc>
        <w:tc>
          <w:tcPr>
            <w:tcW w:w="8812" w:type="dxa"/>
            <w:gridSpan w:val="5"/>
            <w:noWrap w:val="0"/>
            <w:vAlign w:val="center"/>
          </w:tcPr>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（1）风险防范措施</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eastAsia" w:eastAsia="宋体"/>
                <w:color w:val="auto"/>
                <w:kern w:val="2"/>
                <w:sz w:val="24"/>
                <w:szCs w:val="24"/>
                <w:highlight w:val="none"/>
                <w:lang w:val="en-US" w:eastAsia="zh-CN" w:bidi="ar-SA"/>
              </w:rPr>
              <w:t>企业润滑油、液压油密闭桶装储存于油品储存间，废润滑油、废液压油桶装加盖储存于危废间，并</w:t>
            </w:r>
            <w:r>
              <w:rPr>
                <w:rFonts w:hint="default" w:ascii="Times New Roman" w:hAnsi="Times New Roman" w:eastAsia="宋体"/>
                <w:color w:val="auto"/>
                <w:kern w:val="2"/>
                <w:sz w:val="24"/>
                <w:szCs w:val="24"/>
                <w:highlight w:val="none"/>
                <w:lang w:val="en-US" w:eastAsia="zh-CN" w:bidi="ar-SA"/>
              </w:rPr>
              <w:t>配备较好的设备和相应的抢险设施、风险物质储存区有防扬散、防流失、防渗漏等防治措施并参照国家标准</w:t>
            </w:r>
            <w:r>
              <w:rPr>
                <w:rFonts w:hint="eastAsia" w:eastAsia="宋体"/>
                <w:color w:val="auto"/>
                <w:kern w:val="2"/>
                <w:sz w:val="24"/>
                <w:szCs w:val="24"/>
                <w:highlight w:val="none"/>
                <w:lang w:val="en-US" w:eastAsia="zh-CN" w:bidi="ar-SA"/>
              </w:rPr>
              <w:t>《危险废物贮存污染控制标准》（GB18597-2023）</w:t>
            </w:r>
            <w:r>
              <w:rPr>
                <w:rFonts w:hint="default" w:ascii="Times New Roman" w:hAnsi="Times New Roman" w:eastAsia="宋体"/>
                <w:color w:val="auto"/>
                <w:kern w:val="2"/>
                <w:sz w:val="24"/>
                <w:szCs w:val="24"/>
                <w:highlight w:val="none"/>
                <w:lang w:val="en-US" w:eastAsia="zh-CN" w:bidi="ar-SA"/>
              </w:rPr>
              <w:t>和《危险废物收集贮存运输技术规范》</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HJ2025-2012</w:t>
            </w:r>
            <w:r>
              <w:rPr>
                <w:rFonts w:hint="eastAsia" w:ascii="Times New Roman" w:hAnsi="Times New Roman" w:eastAsia="宋体"/>
                <w:color w:val="auto"/>
                <w:kern w:val="2"/>
                <w:sz w:val="24"/>
                <w:szCs w:val="24"/>
                <w:highlight w:val="none"/>
                <w:lang w:val="en-US" w:eastAsia="zh-CN" w:bidi="ar-SA"/>
              </w:rPr>
              <w:t>）</w:t>
            </w:r>
            <w:r>
              <w:rPr>
                <w:rFonts w:hint="default" w:ascii="Times New Roman" w:hAnsi="Times New Roman" w:eastAsia="宋体"/>
                <w:color w:val="auto"/>
                <w:kern w:val="2"/>
                <w:sz w:val="24"/>
                <w:szCs w:val="24"/>
                <w:highlight w:val="none"/>
                <w:lang w:val="en-US" w:eastAsia="zh-CN" w:bidi="ar-SA"/>
              </w:rPr>
              <w:t>的要求进行设计。</w:t>
            </w:r>
            <w:r>
              <w:rPr>
                <w:rFonts w:hint="eastAsia" w:eastAsia="宋体"/>
                <w:color w:val="auto"/>
                <w:kern w:val="2"/>
                <w:sz w:val="24"/>
                <w:szCs w:val="24"/>
                <w:highlight w:val="none"/>
                <w:lang w:val="en-US" w:eastAsia="zh-CN" w:bidi="ar-SA"/>
              </w:rPr>
              <w:t>油品储存间、危废间</w:t>
            </w:r>
            <w:r>
              <w:rPr>
                <w:rFonts w:hint="default" w:ascii="Times New Roman" w:hAnsi="Times New Roman" w:eastAsia="宋体"/>
                <w:color w:val="auto"/>
                <w:kern w:val="2"/>
                <w:sz w:val="24"/>
                <w:szCs w:val="24"/>
                <w:highlight w:val="none"/>
                <w:lang w:val="en-US" w:eastAsia="zh-CN" w:bidi="ar-SA"/>
              </w:rPr>
              <w:t>还应保持地面平滑无开裂、采用刷环氧地坪漆等方式进行进一步的防渗处理，门口设置围挡或斜坡，如果发生泄漏事故，确保风险物质不会溢流出上述区域，避免对水环境、土壤和大气环境造成影响。</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当发生事故时，为不使事故扩大，防止二次灾害的发生，要求及时抢险抢修，必须对各种险情进行事故前预测，保证抢险队伍的素质，遇险时应及时与当地消防部门取得联系，以获得有力支持。</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项目在运营中应确保正确操作和正常运行，在操作运行方面要求工作人员必须进行岗前专业培训，严格执行安全生产操作规程，进行安全性专业维护和保养，对安全设备进行定期校验，确保安全生产。同时建立夜间值班巡查制度、安全奖惩制度等。</w:t>
            </w:r>
          </w:p>
          <w:p>
            <w:pPr>
              <w:pStyle w:val="34"/>
              <w:keepNext w:val="0"/>
              <w:keepLines w:val="0"/>
              <w:suppressLineNumbers w:val="0"/>
              <w:spacing w:before="0" w:beforeAutospacing="0" w:after="0" w:afterAutospacing="0"/>
              <w:ind w:left="0" w:right="0" w:firstLine="480"/>
              <w:rPr>
                <w:rFonts w:hint="default" w:ascii="Times New Roman" w:hAnsi="Times New Roman" w:eastAsia="宋体"/>
                <w:color w:val="auto"/>
                <w:kern w:val="2"/>
                <w:sz w:val="24"/>
                <w:szCs w:val="24"/>
                <w:highlight w:val="none"/>
                <w:lang w:val="en-US" w:eastAsia="zh-CN" w:bidi="ar-SA"/>
              </w:rPr>
            </w:pPr>
            <w:r>
              <w:rPr>
                <w:rFonts w:hint="default" w:ascii="Times New Roman" w:hAnsi="Times New Roman" w:eastAsia="宋体"/>
                <w:color w:val="auto"/>
                <w:kern w:val="2"/>
                <w:sz w:val="24"/>
                <w:szCs w:val="24"/>
                <w:highlight w:val="none"/>
                <w:lang w:val="en-US" w:eastAsia="zh-CN" w:bidi="ar-SA"/>
              </w:rPr>
              <w:t>企业应建立健全防范制度，加强监督管理，规范操作，这类事故发生的概率处于可接受范围内。</w:t>
            </w:r>
          </w:p>
          <w:p>
            <w:pPr>
              <w:keepNext w:val="0"/>
              <w:keepLines w:val="0"/>
              <w:widowControl/>
              <w:suppressLineNumbers w:val="0"/>
              <w:spacing w:before="0" w:beforeAutospacing="0" w:after="0" w:afterAutospacing="0" w:line="480" w:lineRule="exact"/>
              <w:ind w:left="0" w:right="0" w:firstLine="480" w:firstLineChars="200"/>
              <w:rPr>
                <w:rFonts w:hint="default" w:ascii="Times New Roman" w:hAnsi="Times New Roman" w:eastAsia="宋体"/>
                <w:color w:val="auto"/>
                <w:kern w:val="2"/>
                <w:sz w:val="24"/>
                <w:szCs w:val="24"/>
                <w:highlight w:val="none"/>
                <w:lang w:val="en-US" w:eastAsia="zh-CN" w:bidi="ar-SA"/>
              </w:rPr>
            </w:pPr>
            <w:r>
              <w:rPr>
                <w:rFonts w:hint="eastAsia" w:ascii="Times New Roman" w:eastAsia="宋体"/>
                <w:color w:val="auto"/>
                <w:kern w:val="2"/>
                <w:sz w:val="24"/>
                <w:szCs w:val="24"/>
                <w:highlight w:val="none"/>
                <w:lang w:val="en-US" w:eastAsia="zh-CN" w:bidi="ar-SA"/>
              </w:rPr>
              <w:t>（2）</w:t>
            </w:r>
            <w:r>
              <w:rPr>
                <w:rFonts w:hint="default" w:ascii="Times New Roman" w:hAnsi="Times New Roman" w:eastAsia="宋体"/>
                <w:color w:val="auto"/>
                <w:kern w:val="2"/>
                <w:sz w:val="24"/>
                <w:szCs w:val="24"/>
                <w:highlight w:val="none"/>
                <w:lang w:val="en-US" w:eastAsia="zh-CN" w:bidi="ar-SA"/>
              </w:rPr>
              <w:t>应急措施</w:t>
            </w:r>
          </w:p>
          <w:p>
            <w:pPr>
              <w:bidi w:val="0"/>
              <w:rPr>
                <w:rFonts w:hint="default"/>
                <w:color w:val="auto"/>
                <w:highlight w:val="none"/>
                <w:lang w:val="en-US" w:eastAsia="zh-CN"/>
              </w:rPr>
            </w:pPr>
            <w:r>
              <w:rPr>
                <w:rFonts w:hint="eastAsia"/>
                <w:color w:val="auto"/>
                <w:highlight w:val="none"/>
                <w:lang w:val="en-US" w:eastAsia="zh-CN"/>
              </w:rPr>
              <w:t>润滑油、废润滑油、液压油、废液压油等</w:t>
            </w:r>
            <w:r>
              <w:rPr>
                <w:rFonts w:hint="default"/>
                <w:color w:val="auto"/>
                <w:highlight w:val="none"/>
                <w:lang w:val="en-US" w:eastAsia="zh-CN"/>
              </w:rPr>
              <w:t>发生</w:t>
            </w:r>
            <w:r>
              <w:rPr>
                <w:rFonts w:hint="eastAsia"/>
                <w:color w:val="auto"/>
                <w:highlight w:val="none"/>
                <w:lang w:val="en-US" w:eastAsia="zh-CN"/>
              </w:rPr>
              <w:t>泄漏</w:t>
            </w:r>
            <w:r>
              <w:rPr>
                <w:rFonts w:hint="default"/>
                <w:color w:val="auto"/>
                <w:highlight w:val="none"/>
                <w:lang w:val="en-US" w:eastAsia="zh-CN"/>
              </w:rPr>
              <w:t>，通过工作人员或视频监控人员预警，根据现场情况将沙土沙袋、吸油毡、储油桶等运至</w:t>
            </w:r>
            <w:r>
              <w:rPr>
                <w:rFonts w:hint="eastAsia"/>
                <w:color w:val="auto"/>
                <w:highlight w:val="none"/>
                <w:lang w:val="en-US" w:eastAsia="zh-CN"/>
              </w:rPr>
              <w:t>事</w:t>
            </w:r>
            <w:r>
              <w:rPr>
                <w:rFonts w:hint="default"/>
                <w:color w:val="auto"/>
                <w:highlight w:val="none"/>
                <w:lang w:val="en-US" w:eastAsia="zh-CN"/>
              </w:rPr>
              <w:t>发现场进行现场环境应急处置，利用</w:t>
            </w:r>
            <w:r>
              <w:rPr>
                <w:rFonts w:hint="eastAsia"/>
                <w:color w:val="auto"/>
                <w:highlight w:val="none"/>
                <w:lang w:val="en-US" w:eastAsia="zh-CN"/>
              </w:rPr>
              <w:t>沙土</w:t>
            </w:r>
            <w:r>
              <w:rPr>
                <w:rFonts w:hint="default"/>
                <w:color w:val="auto"/>
                <w:highlight w:val="none"/>
                <w:lang w:val="en-US" w:eastAsia="zh-CN"/>
              </w:rPr>
              <w:t>沙袋先进行溢流的围堵，避免污染面积扩散，用吸附材料吸收泄漏液体，然后移至安全地区，能够有效防止事故扩大。一旦泄漏</w:t>
            </w:r>
            <w:r>
              <w:rPr>
                <w:rFonts w:hint="eastAsia"/>
                <w:color w:val="auto"/>
                <w:highlight w:val="none"/>
                <w:lang w:val="en-US" w:eastAsia="zh-CN"/>
              </w:rPr>
              <w:t>至</w:t>
            </w:r>
            <w:r>
              <w:rPr>
                <w:rFonts w:hint="default"/>
                <w:color w:val="auto"/>
                <w:highlight w:val="none"/>
                <w:lang w:val="en-US" w:eastAsia="zh-CN"/>
              </w:rPr>
              <w:t>厂区外，企业应告知当地政府、生态环境局、环境保护监测站等</w:t>
            </w:r>
            <w:r>
              <w:rPr>
                <w:rFonts w:hint="eastAsia"/>
                <w:color w:val="auto"/>
                <w:highlight w:val="none"/>
                <w:lang w:val="en-US" w:eastAsia="zh-CN"/>
              </w:rPr>
              <w:t>部门</w:t>
            </w:r>
            <w:r>
              <w:rPr>
                <w:rFonts w:hint="default"/>
                <w:color w:val="auto"/>
                <w:highlight w:val="none"/>
                <w:lang w:val="en-US" w:eastAsia="zh-CN"/>
              </w:rPr>
              <w:t>进行处理。</w:t>
            </w:r>
          </w:p>
          <w:p>
            <w:pPr>
              <w:bidi w:val="0"/>
              <w:rPr>
                <w:rFonts w:hint="eastAsia" w:ascii="Times New Roman" w:hAnsi="Times New Roman" w:eastAsia="宋体"/>
                <w:color w:val="auto"/>
                <w:kern w:val="2"/>
                <w:sz w:val="24"/>
                <w:szCs w:val="24"/>
                <w:highlight w:val="none"/>
                <w:lang w:val="en-US" w:eastAsia="zh-CN" w:bidi="ar-SA"/>
              </w:rPr>
            </w:pPr>
            <w:r>
              <w:rPr>
                <w:rFonts w:hint="eastAsia"/>
                <w:color w:val="auto"/>
                <w:highlight w:val="none"/>
                <w:lang w:val="en-US" w:eastAsia="zh-CN"/>
              </w:rPr>
              <w:t>（3）</w:t>
            </w:r>
            <w:r>
              <w:rPr>
                <w:rFonts w:hint="eastAsia" w:ascii="Times New Roman" w:hAnsi="Times New Roman" w:eastAsia="宋体"/>
                <w:color w:val="auto"/>
                <w:kern w:val="2"/>
                <w:sz w:val="24"/>
                <w:szCs w:val="24"/>
                <w:highlight w:val="none"/>
                <w:lang w:val="en-US" w:eastAsia="zh-CN" w:bidi="ar-SA"/>
              </w:rPr>
              <w:t>编制</w:t>
            </w:r>
            <w:r>
              <w:rPr>
                <w:rFonts w:hint="eastAsia" w:eastAsia="宋体"/>
                <w:color w:val="auto"/>
                <w:kern w:val="2"/>
                <w:sz w:val="24"/>
                <w:szCs w:val="24"/>
                <w:highlight w:val="none"/>
                <w:lang w:val="en-US" w:eastAsia="zh-CN" w:bidi="ar-SA"/>
              </w:rPr>
              <w:t>突发环境</w:t>
            </w:r>
            <w:r>
              <w:rPr>
                <w:rFonts w:hint="eastAsia" w:ascii="Times New Roman" w:hAnsi="Times New Roman" w:eastAsia="宋体"/>
                <w:color w:val="auto"/>
                <w:kern w:val="2"/>
                <w:sz w:val="24"/>
                <w:szCs w:val="24"/>
                <w:highlight w:val="none"/>
                <w:lang w:val="en-US" w:eastAsia="zh-CN" w:bidi="ar-SA"/>
              </w:rPr>
              <w:t>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36" w:type="dxa"/>
            <w:noWrap w:val="0"/>
            <w:vAlign w:val="center"/>
          </w:tcPr>
          <w:p>
            <w:pPr>
              <w:pStyle w:val="30"/>
              <w:keepNext w:val="0"/>
              <w:keepLines w:val="0"/>
              <w:pageBreakBefore w:val="0"/>
              <w:kinsoku/>
              <w:wordWrap/>
              <w:overflowPunct/>
              <w:topLinePunct w:val="0"/>
              <w:autoSpaceDE/>
              <w:autoSpaceDN/>
              <w:bidi w:val="0"/>
              <w:spacing w:before="0" w:after="0"/>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rPr>
              <w:t>其他环境管理要求</w:t>
            </w:r>
          </w:p>
        </w:tc>
        <w:tc>
          <w:tcPr>
            <w:tcW w:w="8812" w:type="dxa"/>
            <w:gridSpan w:val="5"/>
            <w:noWrap w:val="0"/>
            <w:vAlign w:val="center"/>
          </w:tcPr>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1、环境管理及监测计划</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（1）</w:t>
            </w:r>
            <w:r>
              <w:rPr>
                <w:rFonts w:hint="default"/>
                <w:color w:val="auto"/>
                <w:sz w:val="24"/>
                <w:szCs w:val="24"/>
                <w:highlight w:val="none"/>
              </w:rPr>
              <w:t>环境管理措施</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本项目实行厂长主管环保工作的领导体制，全面负责环保和安全工作。</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①机构组成</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该厂实行厂长负责主管环保工作的领导体制。</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②机构职责</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a.</w:t>
            </w:r>
            <w:r>
              <w:rPr>
                <w:rFonts w:hint="default"/>
                <w:color w:val="auto"/>
                <w:sz w:val="24"/>
                <w:szCs w:val="24"/>
                <w:highlight w:val="none"/>
              </w:rPr>
              <w:t>贯彻执行环境保护法规及环境保护标准；</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b.</w:t>
            </w:r>
            <w:r>
              <w:rPr>
                <w:rFonts w:hint="default"/>
                <w:color w:val="auto"/>
                <w:sz w:val="24"/>
                <w:szCs w:val="24"/>
                <w:highlight w:val="none"/>
              </w:rPr>
              <w:t>建立完善的本企业环境保护管理制度，经常监督检查车间执行环保法规情况；</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c.</w:t>
            </w:r>
            <w:r>
              <w:rPr>
                <w:rFonts w:hint="default"/>
                <w:color w:val="auto"/>
                <w:sz w:val="24"/>
                <w:szCs w:val="24"/>
                <w:highlight w:val="none"/>
              </w:rPr>
              <w:t>搞好环境保护教育和宣传，提高职工的环境保护意识；</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d.</w:t>
            </w:r>
            <w:r>
              <w:rPr>
                <w:rFonts w:hint="default"/>
                <w:color w:val="auto"/>
                <w:sz w:val="24"/>
                <w:szCs w:val="24"/>
                <w:highlight w:val="none"/>
              </w:rPr>
              <w:t>组织对基层环保员的培训，提高工作素质；</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e.</w:t>
            </w:r>
            <w:r>
              <w:rPr>
                <w:rFonts w:hint="default"/>
                <w:color w:val="auto"/>
                <w:sz w:val="24"/>
                <w:szCs w:val="24"/>
                <w:highlight w:val="none"/>
              </w:rPr>
              <w:t>定时考核和统计，以保证各项环保设施常年处于良好运行状态，确保全厂污染物排放达到国家排放标准或总量控制指标。</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default"/>
                <w:color w:val="auto"/>
                <w:sz w:val="24"/>
                <w:szCs w:val="24"/>
                <w:highlight w:val="none"/>
              </w:rPr>
              <w:t>监测制度</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环境监测是环境保护的基础，是进行污染源治理及环保设施运行管理的依据，因而企业应定期对废气、废水、噪声等环保设施运行情况进行监测。</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通过对项目运行中环保设施进行监控，掌握废气、</w:t>
            </w:r>
            <w:r>
              <w:rPr>
                <w:rFonts w:hint="eastAsia"/>
                <w:color w:val="auto"/>
                <w:sz w:val="24"/>
                <w:szCs w:val="24"/>
                <w:highlight w:val="none"/>
                <w:lang w:val="en-US" w:eastAsia="zh-CN"/>
              </w:rPr>
              <w:t>废水、</w:t>
            </w:r>
            <w:r>
              <w:rPr>
                <w:rFonts w:hint="default"/>
                <w:color w:val="auto"/>
                <w:sz w:val="24"/>
                <w:szCs w:val="24"/>
                <w:highlight w:val="none"/>
              </w:rPr>
              <w:t>噪声等污染源排放是否符合国家或地方排放标准的要求，做到达标排放，同时对废气、</w:t>
            </w:r>
            <w:r>
              <w:rPr>
                <w:rFonts w:hint="eastAsia"/>
                <w:color w:val="auto"/>
                <w:sz w:val="24"/>
                <w:szCs w:val="24"/>
                <w:highlight w:val="none"/>
                <w:lang w:val="en-US" w:eastAsia="zh-CN"/>
              </w:rPr>
              <w:t>废水、</w:t>
            </w:r>
            <w:r>
              <w:rPr>
                <w:rFonts w:hint="default"/>
                <w:color w:val="auto"/>
                <w:sz w:val="24"/>
                <w:szCs w:val="24"/>
                <w:highlight w:val="none"/>
              </w:rPr>
              <w:t>固体废物及噪声防治设施进行监督检查，保证正常运行。</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eastAsia"/>
                <w:color w:val="auto"/>
                <w:sz w:val="24"/>
                <w:szCs w:val="24"/>
                <w:highlight w:val="none"/>
                <w:lang w:val="en-US" w:eastAsia="zh-CN"/>
              </w:rPr>
              <w:t>（3）</w:t>
            </w:r>
            <w:r>
              <w:rPr>
                <w:rFonts w:hint="default"/>
                <w:color w:val="auto"/>
                <w:sz w:val="24"/>
                <w:szCs w:val="24"/>
                <w:highlight w:val="none"/>
              </w:rPr>
              <w:t>环境监测机构及设备配置</w:t>
            </w:r>
          </w:p>
          <w:p>
            <w:pPr>
              <w:pStyle w:val="30"/>
              <w:keepNext w:val="0"/>
              <w:keepLines w:val="0"/>
              <w:pageBreakBefore w:val="0"/>
              <w:widowControl w:val="0"/>
              <w:kinsoku/>
              <w:wordWrap/>
              <w:overflowPunct/>
              <w:topLinePunct w:val="0"/>
              <w:autoSpaceDE/>
              <w:autoSpaceDN/>
              <w:bidi w:val="0"/>
              <w:adjustRightInd/>
              <w:snapToGrid/>
              <w:spacing w:before="0" w:after="0" w:line="480" w:lineRule="exact"/>
              <w:ind w:firstLine="480" w:firstLineChars="200"/>
              <w:jc w:val="left"/>
              <w:textAlignment w:val="auto"/>
              <w:rPr>
                <w:rFonts w:hint="default"/>
                <w:color w:val="auto"/>
                <w:sz w:val="24"/>
                <w:szCs w:val="24"/>
                <w:highlight w:val="none"/>
              </w:rPr>
            </w:pPr>
            <w:r>
              <w:rPr>
                <w:rFonts w:hint="default"/>
                <w:color w:val="auto"/>
                <w:sz w:val="24"/>
                <w:szCs w:val="24"/>
                <w:highlight w:val="none"/>
              </w:rPr>
              <w:t>环境监测是环境保护的基础，是进行污染治理和监督管理的依据。根据《排污单位自行监测技术指南 总则》（HJ 819-2017）</w:t>
            </w:r>
            <w:r>
              <w:rPr>
                <w:rFonts w:hint="eastAsia"/>
                <w:color w:val="auto"/>
                <w:sz w:val="24"/>
                <w:szCs w:val="24"/>
                <w:highlight w:val="none"/>
                <w:lang w:val="en-US" w:eastAsia="zh-CN"/>
              </w:rPr>
              <w:t>和《排污许可证申请与核发技术规范 工业固体废物和危险废物治理》（HJ 1033-2019）</w:t>
            </w:r>
            <w:r>
              <w:rPr>
                <w:rFonts w:hint="default"/>
                <w:color w:val="auto"/>
                <w:sz w:val="24"/>
                <w:szCs w:val="24"/>
                <w:highlight w:val="none"/>
              </w:rPr>
              <w:t>要求，本评价建议企业环境监测工作委托当地有资质的环境监测机构承担。</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eastAsia" w:ascii="Times New Roman" w:eastAsia="宋体"/>
                <w:color w:val="auto"/>
                <w:sz w:val="24"/>
                <w:szCs w:val="24"/>
                <w:highlight w:val="none"/>
                <w:lang w:val="en-US" w:eastAsia="zh-CN"/>
              </w:rPr>
              <w:t>（4）</w:t>
            </w:r>
            <w:r>
              <w:rPr>
                <w:rFonts w:hint="default"/>
                <w:color w:val="auto"/>
                <w:sz w:val="24"/>
                <w:szCs w:val="24"/>
                <w:highlight w:val="none"/>
              </w:rPr>
              <w:t>监测计划</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rPr>
            </w:pPr>
            <w:r>
              <w:rPr>
                <w:rFonts w:hint="default"/>
                <w:color w:val="auto"/>
                <w:sz w:val="24"/>
                <w:szCs w:val="24"/>
                <w:highlight w:val="none"/>
              </w:rPr>
              <w:t>根据污染物排放特征，依据国家颁布的环境质量标准、污染物排放标准及地方环保部门的要求，制定项目的监测计划和工作方案，监测工作可委托有资质的环境监测部门承担。企业投入运行后，各污染源</w:t>
            </w:r>
            <w:r>
              <w:rPr>
                <w:rFonts w:hint="eastAsia" w:ascii="Times New Roman" w:eastAsia="宋体"/>
                <w:color w:val="auto"/>
                <w:sz w:val="24"/>
                <w:szCs w:val="24"/>
                <w:highlight w:val="none"/>
                <w:lang w:val="en-US" w:eastAsia="zh-CN"/>
              </w:rPr>
              <w:t>按</w:t>
            </w:r>
            <w:r>
              <w:rPr>
                <w:rFonts w:hint="default"/>
                <w:color w:val="auto"/>
                <w:sz w:val="24"/>
                <w:szCs w:val="24"/>
                <w:highlight w:val="none"/>
              </w:rPr>
              <w:t>监测计划</w:t>
            </w:r>
            <w:r>
              <w:rPr>
                <w:rFonts w:hint="eastAsia" w:ascii="Times New Roman" w:eastAsia="宋体"/>
                <w:color w:val="auto"/>
                <w:sz w:val="24"/>
                <w:szCs w:val="24"/>
                <w:highlight w:val="none"/>
                <w:lang w:val="en-US" w:eastAsia="zh-CN"/>
              </w:rPr>
              <w:t>进行检测</w:t>
            </w:r>
            <w:r>
              <w:rPr>
                <w:rFonts w:hint="default"/>
                <w:color w:val="auto"/>
                <w:sz w:val="24"/>
                <w:szCs w:val="24"/>
                <w:highlight w:val="none"/>
              </w:rPr>
              <w:t>。</w:t>
            </w:r>
          </w:p>
          <w:p>
            <w:pPr>
              <w:pStyle w:val="22"/>
              <w:keepNext w:val="0"/>
              <w:keepLines w:val="0"/>
              <w:pageBreakBefore w:val="0"/>
              <w:widowControl w:val="0"/>
              <w:kinsoku/>
              <w:wordWrap/>
              <w:overflowPunct/>
              <w:topLinePunct w:val="0"/>
              <w:autoSpaceDE/>
              <w:autoSpaceDN/>
              <w:bidi w:val="0"/>
              <w:adjustRightInd/>
              <w:snapToGrid/>
              <w:spacing w:before="0" w:after="0" w:line="480" w:lineRule="exact"/>
              <w:ind w:left="0"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2、企业环境信息公开要求</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（1）企业环境信息公开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根据</w:t>
            </w:r>
            <w:r>
              <w:rPr>
                <w:rFonts w:hint="eastAsia"/>
                <w:color w:val="auto"/>
                <w:sz w:val="24"/>
                <w:szCs w:val="24"/>
                <w:highlight w:val="none"/>
                <w:lang w:val="en-US" w:eastAsia="zh-CN"/>
              </w:rPr>
              <w:t>《企业环境信息依法披露管理办法》（部令第24号）</w:t>
            </w:r>
            <w:r>
              <w:rPr>
                <w:rFonts w:hint="eastAsia" w:ascii="Times New Roman" w:eastAsia="宋体"/>
                <w:color w:val="auto"/>
                <w:sz w:val="24"/>
                <w:szCs w:val="24"/>
                <w:highlight w:val="none"/>
                <w:lang w:val="en-US" w:eastAsia="zh-CN"/>
              </w:rPr>
              <w:t>的规定，企业事业单位应当按照强制公开和自愿公开相结合的原则，及时、如实地公开其环境信息。如环境信息涉及国家秘密、商业秘密或者个人隐私的，依法可以不公开；法律、法规另有规定的，从其规定。</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该企业应当建立健全本单位环境信息公开制度，指定机构负责本单位环境信息公开日常工作。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（2）建设单位应当公开下列信息内容</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该企业应当公开信息内容如下：</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①基础信息：包括单位名称、组织机构代码、法定代表人、生产地址、联系方式，以及生产经营和管理服务的主要内容、产品及规模；</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②排污信息：包括主要污染物及特征污染物的名称、排放方式、排放口数量和分布情况、排放浓度和总量、超标情况，以及执行的污染物排放标准、核定的排放总量；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③防治污染设施的建设和运行情况；</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④建设项目环境影响评价及其他环境保护行政许可情况；</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⑤其他应当公开的环境信息。</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（3）信息公开方式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该企业采取信息公开栏方式公开相关信息；</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3、排污许可规范化管理要求</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国家实行排污许可制度，环境保护部门通过对企事业单位发放排污许可证并依证监管实施排污许可制。实行排污许可管理的企业事业单位和其他生产经营者应当按照排污许可证的要求排放污染物；未取得排污许可证的，不得排放污染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根据《国务院办公厅关于印发控制污染物排放许可制实施方案的通知》（国办发[2016]81号）、《关于做好环境影响评价制度与排污许可制衔接相关工作的通知》（环办环评[2017]84号）和《固定污染源排污许可分类管理名录（2019 年版）》等相关文件要求，企业事业单位和其他生产经营者应该按照名录的规定，在实施时限内申请排污许可证。</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本项目主要处理建筑</w:t>
            </w:r>
            <w:r>
              <w:rPr>
                <w:rFonts w:hint="eastAsia"/>
                <w:color w:val="auto"/>
                <w:sz w:val="24"/>
                <w:szCs w:val="24"/>
                <w:highlight w:val="none"/>
                <w:lang w:val="en-US" w:eastAsia="zh-CN"/>
              </w:rPr>
              <w:t>垃圾</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生产再生细骨料，</w:t>
            </w:r>
            <w:r>
              <w:rPr>
                <w:rFonts w:hint="eastAsia" w:ascii="Times New Roman" w:eastAsia="宋体"/>
                <w:color w:val="auto"/>
                <w:sz w:val="24"/>
                <w:szCs w:val="24"/>
                <w:highlight w:val="none"/>
                <w:lang w:val="en-US" w:eastAsia="zh-CN"/>
              </w:rPr>
              <w:t>对照《固定污染源排污许可分类管理名录（2019 年版）》已纳入名录管理的行业，应及时办理排污许可申请。</w:t>
            </w:r>
            <w:r>
              <w:rPr>
                <w:rFonts w:hint="eastAsia"/>
                <w:color w:val="auto"/>
                <w:sz w:val="24"/>
                <w:szCs w:val="24"/>
                <w:highlight w:val="none"/>
                <w:lang w:val="en-US" w:eastAsia="zh-CN"/>
              </w:rPr>
              <w:t>本项目建筑垃圾处理属于</w:t>
            </w:r>
            <w:r>
              <w:rPr>
                <w:rFonts w:hint="eastAsia" w:cs="Times New Roman"/>
                <w:color w:val="auto"/>
                <w:highlight w:val="none"/>
                <w:lang w:val="en-US" w:eastAsia="zh-CN"/>
              </w:rPr>
              <w:t>生态保护和环境治理业，</w:t>
            </w:r>
            <w:r>
              <w:rPr>
                <w:rFonts w:hint="eastAsia"/>
                <w:color w:val="auto"/>
                <w:sz w:val="24"/>
                <w:szCs w:val="24"/>
                <w:highlight w:val="none"/>
                <w:lang w:val="en-US" w:eastAsia="zh-CN"/>
              </w:rPr>
              <w:t>根据</w:t>
            </w:r>
            <w:r>
              <w:rPr>
                <w:rFonts w:hint="eastAsia" w:ascii="Times New Roman" w:eastAsia="宋体"/>
                <w:color w:val="auto"/>
                <w:sz w:val="24"/>
                <w:szCs w:val="24"/>
                <w:highlight w:val="none"/>
                <w:lang w:val="en-US" w:eastAsia="zh-CN"/>
              </w:rPr>
              <w:t>《固定污染源排污许可分类管理名录（2019 年版）》</w:t>
            </w:r>
            <w:r>
              <w:rPr>
                <w:rFonts w:hint="eastAsia"/>
                <w:color w:val="auto"/>
                <w:sz w:val="24"/>
                <w:szCs w:val="24"/>
                <w:highlight w:val="none"/>
                <w:lang w:val="en-US" w:eastAsia="zh-CN"/>
              </w:rPr>
              <w:t>：</w:t>
            </w:r>
            <w:r>
              <w:rPr>
                <w:rFonts w:hint="eastAsia" w:ascii="Times New Roman" w:eastAsia="宋体"/>
                <w:color w:val="auto"/>
                <w:sz w:val="24"/>
                <w:szCs w:val="24"/>
                <w:highlight w:val="none"/>
                <w:lang w:val="en-US" w:eastAsia="zh-CN"/>
              </w:rPr>
              <w:t>“</w:t>
            </w:r>
            <w:r>
              <w:rPr>
                <w:rFonts w:hint="eastAsia"/>
                <w:color w:val="auto"/>
                <w:sz w:val="24"/>
                <w:szCs w:val="24"/>
                <w:highlight w:val="none"/>
                <w:lang w:val="en-US" w:eastAsia="zh-CN"/>
              </w:rPr>
              <w:t>四十五、生态保护和环境治理业77—103.环境治理业772，属于专业从事危险废物贮存、利用、处理、处置（含焚烧发电）的，专业从事一般工业固体废物贮存、处置（含焚烧发电）的”为重点管理，其余不纳入排污管理，</w:t>
            </w:r>
            <w:r>
              <w:rPr>
                <w:rFonts w:hint="eastAsia" w:ascii="Times New Roman" w:eastAsia="宋体"/>
                <w:color w:val="auto"/>
                <w:sz w:val="24"/>
                <w:szCs w:val="24"/>
                <w:highlight w:val="none"/>
                <w:lang w:val="en-US" w:eastAsia="zh-CN"/>
              </w:rPr>
              <w:t>本项目</w:t>
            </w:r>
            <w:r>
              <w:rPr>
                <w:rFonts w:hint="eastAsia"/>
                <w:color w:val="auto"/>
                <w:sz w:val="24"/>
                <w:szCs w:val="24"/>
                <w:highlight w:val="none"/>
                <w:lang w:val="en-US" w:eastAsia="zh-CN"/>
              </w:rPr>
              <w:t>主要对建筑垃圾进行处理，生产再生细骨料用于建筑行业，属于建筑垃圾处理及综合利用，不属于一般工业固体废物贮存、处置（含焚烧发电）的项目，同时，本项目产品为再生细骨料，属于</w:t>
            </w:r>
            <w:r>
              <w:rPr>
                <w:rFonts w:hint="eastAsia" w:cs="Times New Roman"/>
                <w:color w:val="auto"/>
                <w:highlight w:val="none"/>
                <w:lang w:val="en-US" w:eastAsia="zh-CN"/>
              </w:rPr>
              <w:t>非金属矿物制品业，</w:t>
            </w:r>
            <w:r>
              <w:rPr>
                <w:rFonts w:hint="eastAsia"/>
                <w:color w:val="auto"/>
                <w:sz w:val="24"/>
                <w:szCs w:val="24"/>
                <w:highlight w:val="none"/>
                <w:lang w:val="en-US" w:eastAsia="zh-CN"/>
              </w:rPr>
              <w:t>根据</w:t>
            </w:r>
            <w:r>
              <w:rPr>
                <w:rFonts w:hint="eastAsia" w:ascii="Times New Roman" w:eastAsia="宋体"/>
                <w:color w:val="auto"/>
                <w:sz w:val="24"/>
                <w:szCs w:val="24"/>
                <w:highlight w:val="none"/>
                <w:lang w:val="en-US" w:eastAsia="zh-CN"/>
              </w:rPr>
              <w:t>《固定污染源排污许可分类管理名录（2019 年版）》</w:t>
            </w:r>
            <w:r>
              <w:rPr>
                <w:rFonts w:hint="eastAsia"/>
                <w:color w:val="auto"/>
                <w:sz w:val="24"/>
                <w:szCs w:val="24"/>
                <w:highlight w:val="none"/>
                <w:lang w:val="en-US" w:eastAsia="zh-CN"/>
              </w:rPr>
              <w:t>：“二十五、非金属矿物制品业30—64.砖瓦、石材等建筑材料制造303—其他建筑材料制造3039”，为简化管理</w:t>
            </w:r>
            <w:r>
              <w:rPr>
                <w:rFonts w:hint="eastAsia" w:ascii="Times New Roman" w:eastAsia="宋体"/>
                <w:color w:val="auto"/>
                <w:sz w:val="24"/>
                <w:szCs w:val="24"/>
                <w:highlight w:val="none"/>
                <w:lang w:val="en-US" w:eastAsia="zh-CN"/>
              </w:rPr>
              <w:t>。</w:t>
            </w:r>
            <w:r>
              <w:rPr>
                <w:rFonts w:hint="eastAsia" w:ascii="Times New Roman" w:eastAsia="宋体"/>
                <w:color w:val="auto"/>
                <w:highlight w:val="none"/>
                <w:lang w:val="en-US" w:eastAsia="zh-CN"/>
              </w:rPr>
              <w:t>应当在启动生产设施或者发生实际排污之前</w:t>
            </w:r>
            <w:r>
              <w:rPr>
                <w:rFonts w:hint="eastAsia"/>
                <w:color w:val="auto"/>
                <w:highlight w:val="none"/>
                <w:lang w:val="en-US" w:eastAsia="zh-CN"/>
              </w:rPr>
              <w:t>取得排污许可证</w:t>
            </w:r>
            <w:r>
              <w:rPr>
                <w:rFonts w:hint="eastAsia" w:ascii="Times New Roman" w:eastAsia="宋体"/>
                <w:color w:val="auto"/>
                <w:highlight w:val="none"/>
                <w:lang w:val="en-US" w:eastAsia="zh-CN"/>
              </w:rPr>
              <w:t>。并且在国家及地方环保监管部门有要求的情况下实施监测</w:t>
            </w:r>
            <w:r>
              <w:rPr>
                <w:rFonts w:hint="eastAsia" w:ascii="Times New Roman" w:eastAsia="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4、环保竣工验收管理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sz w:val="24"/>
                <w:szCs w:val="24"/>
                <w:highlight w:val="none"/>
                <w:lang w:val="en-US" w:eastAsia="zh-CN"/>
              </w:rPr>
            </w:pPr>
            <w:r>
              <w:rPr>
                <w:rFonts w:hint="eastAsia" w:ascii="Times New Roman" w:eastAsia="宋体"/>
                <w:color w:val="auto"/>
                <w:sz w:val="24"/>
                <w:szCs w:val="24"/>
                <w:highlight w:val="none"/>
                <w:lang w:val="en-US" w:eastAsia="zh-CN"/>
              </w:rPr>
              <w:t>建设单位是建设项目竣工环境保护验收的责任主体，应当按照《建设项目竣工环境保护验收暂行办法》（国环规环评[2017]4号）、《建设项目竣工环境保护验收技术指南污染影响类》（生态环境部办公厅2018 年5月16日印发）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中弄虚作假。</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ascii="Times New Roman" w:eastAsia="宋体"/>
                <w:color w:val="auto"/>
                <w:sz w:val="24"/>
                <w:szCs w:val="24"/>
                <w:highlight w:val="none"/>
                <w:lang w:val="en-US" w:eastAsia="zh-CN"/>
              </w:rPr>
              <w:t>5、</w:t>
            </w:r>
            <w:r>
              <w:rPr>
                <w:rFonts w:hint="default"/>
                <w:color w:val="auto"/>
                <w:sz w:val="24"/>
                <w:szCs w:val="24"/>
                <w:highlight w:val="none"/>
                <w:lang w:val="en-US"/>
              </w:rPr>
              <w:t>排污口规范化</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排污口是企业污染物进入受纳环境的通道，做好排污口管理是实施污染物总量控制和达标排放的基础工作之—，必须实行规范化管理。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ascii="Times New Roman" w:eastAsia="宋体"/>
                <w:color w:val="auto"/>
                <w:sz w:val="24"/>
                <w:szCs w:val="24"/>
                <w:highlight w:val="none"/>
                <w:lang w:val="en-US" w:eastAsia="zh-CN"/>
              </w:rPr>
              <w:t>（1）</w:t>
            </w:r>
            <w:r>
              <w:rPr>
                <w:rFonts w:hint="default"/>
                <w:color w:val="auto"/>
                <w:sz w:val="24"/>
                <w:szCs w:val="24"/>
                <w:highlight w:val="none"/>
                <w:lang w:val="en-US"/>
              </w:rPr>
              <w:t>废气排污口规范化：排气筒应设置便于采样、监测的采样口和采样平台。当采样平台设置在离地面高度≥5m的位置时，应有通往平台的Z字梯/旋梯/升降梯。在各排气筒近地面处，应设立醒目的环境保护图形标志牌。本项目</w:t>
            </w:r>
            <w:r>
              <w:rPr>
                <w:rFonts w:hint="eastAsia" w:ascii="Times New Roman" w:eastAsia="宋体"/>
                <w:color w:val="auto"/>
                <w:sz w:val="24"/>
                <w:szCs w:val="24"/>
                <w:highlight w:val="none"/>
                <w:lang w:val="en-US" w:eastAsia="zh-CN"/>
              </w:rPr>
              <w:t>设有</w:t>
            </w:r>
            <w:r>
              <w:rPr>
                <w:rFonts w:hint="eastAsia"/>
                <w:color w:val="auto"/>
                <w:sz w:val="24"/>
                <w:szCs w:val="24"/>
                <w:highlight w:val="none"/>
                <w:lang w:val="en-US" w:eastAsia="zh-CN"/>
              </w:rPr>
              <w:t>1</w:t>
            </w:r>
            <w:r>
              <w:rPr>
                <w:rFonts w:hint="default"/>
                <w:color w:val="auto"/>
                <w:sz w:val="24"/>
                <w:szCs w:val="24"/>
                <w:highlight w:val="none"/>
                <w:lang w:val="en-US"/>
              </w:rPr>
              <w:t>根排气筒，主要排放污染物为</w:t>
            </w:r>
            <w:r>
              <w:rPr>
                <w:rFonts w:hint="eastAsia"/>
                <w:color w:val="auto"/>
                <w:sz w:val="24"/>
                <w:szCs w:val="24"/>
                <w:highlight w:val="none"/>
                <w:lang w:val="en-US" w:eastAsia="zh-CN"/>
              </w:rPr>
              <w:t>颗粒物</w:t>
            </w:r>
            <w:r>
              <w:rPr>
                <w:rFonts w:hint="default"/>
                <w:color w:val="auto"/>
                <w:sz w:val="24"/>
                <w:szCs w:val="24"/>
                <w:highlight w:val="none"/>
                <w:lang w:val="en-US"/>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ascii="Times New Roman" w:eastAsia="宋体"/>
                <w:color w:val="auto"/>
                <w:sz w:val="24"/>
                <w:szCs w:val="24"/>
                <w:highlight w:val="none"/>
                <w:lang w:val="en-US" w:eastAsia="zh-CN"/>
              </w:rPr>
              <w:t>（2）</w:t>
            </w:r>
            <w:r>
              <w:rPr>
                <w:rFonts w:hint="default"/>
                <w:color w:val="auto"/>
                <w:sz w:val="24"/>
                <w:szCs w:val="24"/>
                <w:highlight w:val="none"/>
                <w:lang w:val="en-US"/>
              </w:rPr>
              <w:t>噪声排污口规范化：须按《工业企业厂界环境噪声排放标准》（GB12348-2008）的规定，设置环境噪声监测点，并在该处附近醒目处设置环境保护图形标志牌。</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eastAsia" w:ascii="Times New Roman" w:eastAsia="宋体"/>
                <w:color w:val="auto"/>
                <w:sz w:val="24"/>
                <w:szCs w:val="24"/>
                <w:highlight w:val="none"/>
                <w:lang w:val="en-US" w:eastAsia="zh-CN"/>
              </w:rPr>
              <w:t>（3）</w:t>
            </w:r>
            <w:r>
              <w:rPr>
                <w:rFonts w:hint="default"/>
                <w:color w:val="auto"/>
                <w:sz w:val="24"/>
                <w:szCs w:val="24"/>
                <w:highlight w:val="none"/>
                <w:lang w:val="en-US"/>
              </w:rPr>
              <w:t>固体废物：本项目固体废物堆放场所必须有防火、防扬散、防渗漏等防止污染环境的措施，标志牌达到《环境保护图形标志-固体废物贮存（处置）场》（GB15562.2-1995）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管理要求：排放口规范化的相关设施（如：计量、监控装置、标志牌等）属</w:t>
            </w:r>
            <w:r>
              <w:rPr>
                <w:rFonts w:hint="eastAsia"/>
                <w:color w:val="auto"/>
                <w:sz w:val="24"/>
                <w:szCs w:val="24"/>
                <w:highlight w:val="none"/>
                <w:lang w:val="en-US" w:eastAsia="zh-CN"/>
              </w:rPr>
              <w:t>于</w:t>
            </w:r>
            <w:r>
              <w:rPr>
                <w:rFonts w:hint="default"/>
                <w:color w:val="auto"/>
                <w:sz w:val="24"/>
                <w:szCs w:val="24"/>
                <w:highlight w:val="none"/>
                <w:lang w:val="en-US"/>
              </w:rPr>
              <w:t>污染治理设施的组成部分，环境保护部门应按照有关污染治理设施的监督管理规定，加强日常监督管理，排污单位应将规范化排放的相关设施纳入本单位设备管理范围。</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color w:val="auto"/>
                <w:sz w:val="24"/>
                <w:szCs w:val="24"/>
                <w:highlight w:val="none"/>
                <w:lang w:val="en-US"/>
              </w:rPr>
            </w:pPr>
            <w:r>
              <w:rPr>
                <w:rFonts w:hint="default"/>
                <w:color w:val="auto"/>
                <w:sz w:val="24"/>
                <w:szCs w:val="24"/>
                <w:highlight w:val="none"/>
                <w:lang w:val="en-US"/>
              </w:rPr>
              <w:t>排放口立标要求：设立排污口标志牌，标志牌由国家环境保护总局统一定点监制，达到《环境保护图形标志》（GB15562.1～2-1995）</w:t>
            </w:r>
            <w:r>
              <w:rPr>
                <w:rFonts w:hint="eastAsia"/>
                <w:color w:val="auto"/>
                <w:sz w:val="24"/>
                <w:szCs w:val="24"/>
                <w:highlight w:val="none"/>
                <w:lang w:val="en-US" w:eastAsia="zh-CN"/>
              </w:rPr>
              <w:t>及修改单</w:t>
            </w:r>
            <w:r>
              <w:rPr>
                <w:rFonts w:hint="default"/>
                <w:color w:val="auto"/>
                <w:sz w:val="24"/>
                <w:szCs w:val="24"/>
                <w:highlight w:val="none"/>
                <w:lang w:val="en-US"/>
              </w:rPr>
              <w:t>的规定。</w:t>
            </w:r>
          </w:p>
          <w:p>
            <w:pPr>
              <w:bidi w:val="0"/>
              <w:rPr>
                <w:rFonts w:hint="eastAsia"/>
                <w:color w:val="auto"/>
                <w:highlight w:val="none"/>
                <w:lang w:val="en-US" w:eastAsia="zh-CN"/>
              </w:rPr>
            </w:pPr>
            <w:r>
              <w:rPr>
                <w:rFonts w:hint="eastAsia"/>
                <w:color w:val="auto"/>
                <w:highlight w:val="none"/>
                <w:lang w:val="en-US" w:eastAsia="zh-CN"/>
              </w:rPr>
              <w:t>6、其他环境管理要求</w:t>
            </w:r>
          </w:p>
          <w:p>
            <w:pPr>
              <w:numPr>
                <w:ilvl w:val="0"/>
                <w:numId w:val="29"/>
              </w:numPr>
              <w:bidi w:val="0"/>
              <w:rPr>
                <w:rFonts w:hint="eastAsia"/>
                <w:color w:val="auto"/>
                <w:highlight w:val="none"/>
                <w:lang w:val="en-US" w:eastAsia="zh-CN"/>
              </w:rPr>
            </w:pPr>
            <w:r>
              <w:rPr>
                <w:rFonts w:hint="eastAsia"/>
                <w:color w:val="auto"/>
                <w:highlight w:val="none"/>
                <w:lang w:val="en-US" w:eastAsia="zh-CN"/>
              </w:rPr>
              <w:t>车间出入口安装自动感应门，确保作业时车间处于全封闭状态；</w:t>
            </w:r>
          </w:p>
          <w:p>
            <w:pPr>
              <w:numPr>
                <w:ilvl w:val="0"/>
                <w:numId w:val="29"/>
              </w:numPr>
              <w:bidi w:val="0"/>
              <w:rPr>
                <w:rFonts w:hint="default"/>
                <w:color w:val="auto"/>
                <w:sz w:val="24"/>
                <w:szCs w:val="24"/>
                <w:highlight w:val="none"/>
                <w:lang w:val="en-US" w:eastAsia="zh-CN"/>
              </w:rPr>
            </w:pPr>
            <w:r>
              <w:rPr>
                <w:rFonts w:hint="eastAsia" w:ascii="Times New Roman" w:hAnsi="Times New Roman" w:eastAsia="宋体" w:cs="Times New Roman"/>
                <w:b w:val="0"/>
                <w:color w:val="auto"/>
                <w:sz w:val="24"/>
                <w:szCs w:val="24"/>
                <w:highlight w:val="none"/>
                <w:vertAlign w:val="baseline"/>
                <w:lang w:val="en-US" w:eastAsia="zh-CN"/>
              </w:rPr>
              <w:t>厂界及车间口安装TSP、PM</w:t>
            </w:r>
            <w:r>
              <w:rPr>
                <w:rFonts w:hint="eastAsia" w:ascii="Times New Roman" w:hAnsi="Times New Roman" w:eastAsia="宋体" w:cs="Times New Roman"/>
                <w:b w:val="0"/>
                <w:color w:val="auto"/>
                <w:sz w:val="24"/>
                <w:szCs w:val="24"/>
                <w:highlight w:val="none"/>
                <w:vertAlign w:val="subscript"/>
                <w:lang w:val="en-US" w:eastAsia="zh-CN"/>
              </w:rPr>
              <w:t>10</w:t>
            </w:r>
            <w:r>
              <w:rPr>
                <w:rFonts w:hint="eastAsia" w:ascii="Times New Roman" w:hAnsi="Times New Roman" w:eastAsia="宋体" w:cs="Times New Roman"/>
                <w:b w:val="0"/>
                <w:color w:val="auto"/>
                <w:sz w:val="24"/>
                <w:szCs w:val="24"/>
                <w:highlight w:val="none"/>
                <w:vertAlign w:val="baseline"/>
                <w:lang w:val="en-US" w:eastAsia="zh-CN"/>
              </w:rPr>
              <w:t>、PM</w:t>
            </w:r>
            <w:r>
              <w:rPr>
                <w:rFonts w:hint="eastAsia" w:ascii="Times New Roman" w:hAnsi="Times New Roman" w:eastAsia="宋体" w:cs="Times New Roman"/>
                <w:b w:val="0"/>
                <w:color w:val="auto"/>
                <w:sz w:val="24"/>
                <w:szCs w:val="24"/>
                <w:highlight w:val="none"/>
                <w:vertAlign w:val="subscript"/>
                <w:lang w:val="en-US" w:eastAsia="zh-CN"/>
              </w:rPr>
              <w:t>2.5</w:t>
            </w:r>
            <w:r>
              <w:rPr>
                <w:rFonts w:hint="eastAsia" w:ascii="Times New Roman" w:hAnsi="Times New Roman" w:eastAsia="宋体" w:cs="Times New Roman"/>
                <w:b w:val="0"/>
                <w:color w:val="auto"/>
                <w:sz w:val="24"/>
                <w:szCs w:val="24"/>
                <w:highlight w:val="none"/>
                <w:vertAlign w:val="baseline"/>
                <w:lang w:val="en-US" w:eastAsia="zh-CN"/>
              </w:rPr>
              <w:t>在线监测设备，并与生态环境部门联网</w:t>
            </w:r>
            <w:r>
              <w:rPr>
                <w:rFonts w:hint="eastAsia" w:ascii="Times New Roman" w:hAnsi="Times New Roman" w:cs="Times New Roman"/>
                <w:b w:val="0"/>
                <w:color w:val="auto"/>
                <w:sz w:val="24"/>
                <w:szCs w:val="24"/>
                <w:highlight w:val="none"/>
                <w:vertAlign w:val="baseline"/>
                <w:lang w:val="en-US" w:eastAsia="zh-CN"/>
              </w:rPr>
              <w:t>；</w:t>
            </w:r>
          </w:p>
          <w:p>
            <w:pPr>
              <w:numPr>
                <w:ilvl w:val="0"/>
                <w:numId w:val="29"/>
              </w:numPr>
              <w:bidi w:val="0"/>
              <w:rPr>
                <w:rFonts w:hint="default"/>
                <w:color w:val="auto"/>
                <w:sz w:val="24"/>
                <w:szCs w:val="24"/>
                <w:highlight w:val="none"/>
                <w:lang w:val="en-US" w:eastAsia="zh-CN"/>
              </w:rPr>
            </w:pPr>
            <w:r>
              <w:rPr>
                <w:rFonts w:hint="eastAsia" w:ascii="Times New Roman" w:hAnsi="Times New Roman" w:eastAsia="宋体" w:cs="Times New Roman"/>
                <w:b w:val="0"/>
                <w:color w:val="auto"/>
                <w:sz w:val="24"/>
                <w:szCs w:val="24"/>
                <w:highlight w:val="none"/>
                <w:vertAlign w:val="baseline"/>
                <w:lang w:val="en-US" w:eastAsia="zh-CN"/>
              </w:rPr>
              <w:t>厂区出入口设置洗车</w:t>
            </w:r>
            <w:r>
              <w:rPr>
                <w:rFonts w:hint="eastAsia" w:cs="Times New Roman"/>
                <w:b w:val="0"/>
                <w:color w:val="auto"/>
                <w:sz w:val="24"/>
                <w:szCs w:val="24"/>
                <w:highlight w:val="none"/>
                <w:vertAlign w:val="baseline"/>
                <w:lang w:val="en-US" w:eastAsia="zh-CN"/>
              </w:rPr>
              <w:t>平台</w:t>
            </w:r>
            <w:r>
              <w:rPr>
                <w:rFonts w:hint="eastAsia" w:ascii="Times New Roman" w:hAnsi="Times New Roman" w:eastAsia="宋体" w:cs="Times New Roman"/>
                <w:b w:val="0"/>
                <w:color w:val="auto"/>
                <w:sz w:val="24"/>
                <w:szCs w:val="24"/>
                <w:highlight w:val="none"/>
                <w:vertAlign w:val="baseline"/>
                <w:lang w:val="en-US" w:eastAsia="zh-CN"/>
              </w:rPr>
              <w:t>（</w:t>
            </w:r>
            <w:r>
              <w:rPr>
                <w:rFonts w:hint="eastAsia" w:cs="Times New Roman"/>
                <w:b w:val="0"/>
                <w:color w:val="auto"/>
                <w:sz w:val="24"/>
                <w:szCs w:val="24"/>
                <w:highlight w:val="none"/>
                <w:vertAlign w:val="baseline"/>
                <w:lang w:val="en-US" w:eastAsia="zh-CN"/>
              </w:rPr>
              <w:t>长6m，高2.5m），</w:t>
            </w:r>
            <w:r>
              <w:rPr>
                <w:rFonts w:hint="eastAsia" w:ascii="Times New Roman" w:hAnsi="Times New Roman" w:eastAsia="宋体" w:cs="Times New Roman"/>
                <w:b w:val="0"/>
                <w:color w:val="auto"/>
                <w:sz w:val="24"/>
                <w:szCs w:val="24"/>
                <w:highlight w:val="none"/>
                <w:vertAlign w:val="baseline"/>
                <w:lang w:val="en-US" w:eastAsia="zh-CN"/>
              </w:rPr>
              <w:t>用于清洗车辆，洗车平台地面至少设置一排花式喷射喷头；清洗完成后车辆在洗车槽内短暂停留，冷冻期采取添加防冻物质或辅助电加热等防冻措施</w:t>
            </w:r>
            <w:r>
              <w:rPr>
                <w:rFonts w:hint="eastAsia" w:ascii="Times New Roman" w:hAnsi="Times New Roman" w:cs="Times New Roman"/>
                <w:b w:val="0"/>
                <w:color w:val="auto"/>
                <w:sz w:val="24"/>
                <w:szCs w:val="24"/>
                <w:highlight w:val="none"/>
                <w:vertAlign w:val="baseline"/>
                <w:lang w:val="en-US" w:eastAsia="zh-CN"/>
              </w:rPr>
              <w:t>；</w:t>
            </w:r>
          </w:p>
          <w:p>
            <w:pPr>
              <w:numPr>
                <w:ilvl w:val="0"/>
                <w:numId w:val="29"/>
              </w:numPr>
              <w:bidi w:val="0"/>
              <w:rPr>
                <w:rFonts w:hint="default"/>
                <w:color w:val="auto"/>
                <w:sz w:val="24"/>
                <w:szCs w:val="24"/>
                <w:highlight w:val="none"/>
                <w:lang w:val="en-US" w:eastAsia="zh-CN"/>
              </w:rPr>
            </w:pPr>
            <w:r>
              <w:rPr>
                <w:rFonts w:hint="default"/>
                <w:color w:val="auto"/>
                <w:sz w:val="24"/>
                <w:szCs w:val="24"/>
                <w:highlight w:val="none"/>
                <w:lang w:val="en-US" w:eastAsia="zh-CN"/>
              </w:rPr>
              <w:t>车间出入口等易产尘点，安装高清视频监控设施，视频监控数据保存三个月以上</w:t>
            </w:r>
            <w:r>
              <w:rPr>
                <w:rFonts w:hint="eastAsia"/>
                <w:color w:val="auto"/>
                <w:sz w:val="24"/>
                <w:szCs w:val="24"/>
                <w:highlight w:val="none"/>
                <w:lang w:val="en-US" w:eastAsia="zh-CN"/>
              </w:rPr>
              <w:t>。</w:t>
            </w:r>
          </w:p>
          <w:p>
            <w:pPr>
              <w:numPr>
                <w:ilvl w:val="0"/>
                <w:numId w:val="29"/>
              </w:numPr>
              <w:bidi w:val="0"/>
              <w:rPr>
                <w:rFonts w:hint="default"/>
                <w:color w:val="auto"/>
                <w:sz w:val="24"/>
                <w:szCs w:val="24"/>
                <w:highlight w:val="none"/>
                <w:lang w:val="en-US" w:eastAsia="zh-CN"/>
              </w:rPr>
            </w:pPr>
            <w:r>
              <w:rPr>
                <w:rFonts w:hint="default"/>
                <w:color w:val="auto"/>
                <w:sz w:val="24"/>
                <w:szCs w:val="24"/>
                <w:highlight w:val="none"/>
                <w:lang w:val="en-US" w:eastAsia="zh-CN"/>
              </w:rPr>
              <w:t>项目建成后设置环保部门，配备专职环保人员，并具备相应的环境管理能力，按照要求保存环保档案、台账记录</w:t>
            </w:r>
            <w:r>
              <w:rPr>
                <w:rFonts w:hint="eastAsia"/>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p>
        </w:tc>
      </w:tr>
    </w:tbl>
    <w:p>
      <w:pPr>
        <w:rPr>
          <w:color w:val="auto"/>
          <w:highlight w:val="none"/>
        </w:rPr>
      </w:pPr>
      <w:r>
        <w:rPr>
          <w:color w:val="auto"/>
          <w:highlight w:val="none"/>
        </w:rPr>
        <w:br w:type="page"/>
      </w:r>
    </w:p>
    <w:p>
      <w:pPr>
        <w:pStyle w:val="2"/>
        <w:bidi w:val="0"/>
        <w:rPr>
          <w:rFonts w:hint="eastAsia"/>
          <w:color w:val="auto"/>
          <w:highlight w:val="none"/>
          <w:lang w:val="en-US" w:eastAsia="zh-CN"/>
        </w:rPr>
      </w:pPr>
      <w:bookmarkStart w:id="8" w:name="_Toc11672"/>
      <w:r>
        <w:rPr>
          <w:rFonts w:hint="eastAsia"/>
          <w:color w:val="auto"/>
          <w:highlight w:val="none"/>
          <w:lang w:val="en-US" w:eastAsia="zh-CN"/>
        </w:rPr>
        <w:t>六、结论</w:t>
      </w:r>
      <w:bookmarkEnd w:id="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400"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default"/>
                <w:color w:val="auto"/>
                <w:highlight w:val="none"/>
                <w:lang w:val="en-US"/>
              </w:rPr>
            </w:pPr>
            <w:r>
              <w:rPr>
                <w:rFonts w:hint="eastAsia"/>
                <w:color w:val="auto"/>
                <w:sz w:val="24"/>
                <w:szCs w:val="24"/>
                <w:highlight w:val="none"/>
                <w:lang w:val="en-US" w:eastAsia="zh-CN"/>
              </w:rPr>
              <w:t>唐山锦鸿环保科技有限公司</w:t>
            </w:r>
            <w:r>
              <w:rPr>
                <w:rFonts w:hint="eastAsia" w:ascii="Times New Roman" w:eastAsia="宋体"/>
                <w:color w:val="auto"/>
                <w:sz w:val="24"/>
                <w:szCs w:val="24"/>
                <w:highlight w:val="none"/>
                <w:lang w:val="en-US" w:eastAsia="zh-CN"/>
              </w:rPr>
              <w:t>在</w:t>
            </w:r>
            <w:r>
              <w:rPr>
                <w:rFonts w:hint="eastAsia"/>
                <w:color w:val="auto"/>
                <w:sz w:val="24"/>
                <w:szCs w:val="24"/>
                <w:highlight w:val="none"/>
                <w:lang w:val="en-US" w:eastAsia="zh-CN"/>
              </w:rPr>
              <w:t>唐山市高新区空港新城东南约353米</w:t>
            </w:r>
            <w:r>
              <w:rPr>
                <w:rFonts w:hint="eastAsia" w:ascii="Times New Roman" w:eastAsia="宋体"/>
                <w:color w:val="auto"/>
                <w:sz w:val="24"/>
                <w:szCs w:val="24"/>
                <w:highlight w:val="none"/>
                <w:lang w:val="en-US" w:eastAsia="zh-CN"/>
              </w:rPr>
              <w:t>，投资</w:t>
            </w:r>
            <w:r>
              <w:rPr>
                <w:rFonts w:hint="eastAsia"/>
                <w:color w:val="auto"/>
                <w:sz w:val="24"/>
                <w:szCs w:val="24"/>
                <w:highlight w:val="none"/>
                <w:lang w:val="en-US" w:eastAsia="zh-CN"/>
              </w:rPr>
              <w:t>500</w:t>
            </w:r>
            <w:r>
              <w:rPr>
                <w:rFonts w:hint="eastAsia" w:ascii="Times New Roman" w:eastAsia="宋体"/>
                <w:color w:val="auto"/>
                <w:sz w:val="24"/>
                <w:szCs w:val="24"/>
                <w:highlight w:val="none"/>
                <w:lang w:val="en-US" w:eastAsia="zh-CN"/>
              </w:rPr>
              <w:t>万元，</w:t>
            </w:r>
            <w:r>
              <w:rPr>
                <w:rFonts w:hint="eastAsia"/>
                <w:color w:val="auto"/>
                <w:sz w:val="24"/>
                <w:szCs w:val="24"/>
                <w:highlight w:val="none"/>
                <w:lang w:val="en-US" w:eastAsia="zh-CN"/>
              </w:rPr>
              <w:t>建设</w:t>
            </w:r>
            <w:r>
              <w:rPr>
                <w:rFonts w:hint="eastAsia"/>
                <w:color w:val="auto"/>
                <w:highlight w:val="none"/>
                <w:lang w:val="en-US" w:eastAsia="zh-CN"/>
              </w:rPr>
              <w:t>唐山锦鸿环保科技有限公司建筑垃圾处理及综合利用项目</w:t>
            </w:r>
            <w:r>
              <w:rPr>
                <w:rFonts w:hint="eastAsia" w:ascii="Times New Roman" w:eastAsia="宋体"/>
                <w:color w:val="auto"/>
                <w:highlight w:val="none"/>
                <w:lang w:val="en-US" w:eastAsia="zh-CN"/>
              </w:rPr>
              <w:t>，符合国家产业政策，选址合理，采取环评提出的污染防治措施后，污染物可达标排放，不会对周围环境质量造成明显的不利影响，从环保角度而言，该项目建设可行。</w:t>
            </w:r>
          </w:p>
          <w:p>
            <w:pPr>
              <w:spacing w:line="360" w:lineRule="auto"/>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rPr>
                <w:color w:val="auto"/>
                <w:highlight w:val="none"/>
              </w:rPr>
            </w:pPr>
          </w:p>
          <w:p>
            <w:pPr>
              <w:pStyle w:val="4"/>
              <w:outlineLvl w:val="9"/>
              <w:rPr>
                <w:color w:val="auto"/>
                <w:highlight w:val="none"/>
              </w:rPr>
            </w:pPr>
          </w:p>
          <w:p>
            <w:pPr>
              <w:rPr>
                <w:color w:val="auto"/>
                <w:highlight w:val="none"/>
              </w:rPr>
            </w:pPr>
          </w:p>
          <w:p>
            <w:pPr>
              <w:pStyle w:val="6"/>
              <w:ind w:left="0" w:leftChars="0" w:firstLine="0" w:firstLineChars="0"/>
              <w:rPr>
                <w:color w:val="auto"/>
                <w:highlight w:val="none"/>
              </w:rPr>
            </w:pPr>
          </w:p>
        </w:tc>
      </w:tr>
    </w:tbl>
    <w:p>
      <w:pPr>
        <w:pStyle w:val="22"/>
        <w:rPr>
          <w:color w:val="auto"/>
          <w:highlight w:val="none"/>
        </w:rPr>
        <w:sectPr>
          <w:pgSz w:w="11906" w:h="16838"/>
          <w:pgMar w:top="1440" w:right="124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val="0"/>
        <w:snapToGrid w:val="0"/>
        <w:spacing w:beforeAutospacing="0" w:afterAutospacing="0"/>
        <w:jc w:val="left"/>
        <w:textAlignment w:val="auto"/>
        <w:rPr>
          <w:color w:val="auto"/>
          <w:highlight w:val="none"/>
        </w:rPr>
      </w:pPr>
      <w:bookmarkStart w:id="9" w:name="_Toc16884"/>
      <w:r>
        <w:rPr>
          <w:rFonts w:hint="eastAsia"/>
          <w:color w:val="auto"/>
          <w:highlight w:val="none"/>
        </w:rPr>
        <w:t>附表</w:t>
      </w:r>
      <w:bookmarkEnd w:id="9"/>
    </w:p>
    <w:p>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outlineLvl w:val="0"/>
        <w:rPr>
          <w:rFonts w:hint="eastAsia" w:ascii="方正小标宋_GBK" w:hAnsi="黑体" w:eastAsia="方正小标宋_GBK"/>
          <w:snapToGrid w:val="0"/>
          <w:color w:val="auto"/>
          <w:sz w:val="38"/>
          <w:szCs w:val="38"/>
          <w:highlight w:val="none"/>
        </w:rPr>
      </w:pPr>
      <w:bookmarkStart w:id="10" w:name="_Toc4697"/>
      <w:r>
        <w:rPr>
          <w:rFonts w:hint="eastAsia" w:ascii="方正小标宋_GBK" w:hAnsi="黑体" w:eastAsia="方正小标宋_GBK"/>
          <w:snapToGrid w:val="0"/>
          <w:color w:val="auto"/>
          <w:sz w:val="38"/>
          <w:szCs w:val="38"/>
          <w:highlight w:val="none"/>
        </w:rPr>
        <w:t>建设项目污染物排放量汇总表</w:t>
      </w:r>
      <w:bookmarkEnd w:id="10"/>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925"/>
        <w:gridCol w:w="1680"/>
        <w:gridCol w:w="1350"/>
        <w:gridCol w:w="1695"/>
        <w:gridCol w:w="1515"/>
        <w:gridCol w:w="1530"/>
        <w:gridCol w:w="1590"/>
        <w:gridCol w:w="11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340" w:type="dxa"/>
            <w:tcBorders>
              <w:tl2br w:val="single" w:color="auto" w:sz="4" w:space="0"/>
            </w:tcBorders>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right"/>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项目</w:t>
            </w:r>
          </w:p>
          <w:p>
            <w:pPr>
              <w:pStyle w:val="30"/>
              <w:keepNext w:val="0"/>
              <w:keepLines w:val="0"/>
              <w:pageBreakBefore w:val="0"/>
              <w:kinsoku/>
              <w:wordWrap/>
              <w:overflowPunct/>
              <w:topLinePunct w:val="0"/>
              <w:autoSpaceDE/>
              <w:autoSpaceDN/>
              <w:bidi w:val="0"/>
              <w:adjustRightInd/>
              <w:snapToGrid/>
              <w:spacing w:before="0" w:after="0" w:line="240" w:lineRule="auto"/>
              <w:jc w:val="left"/>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分类</w:t>
            </w:r>
          </w:p>
        </w:tc>
        <w:tc>
          <w:tcPr>
            <w:tcW w:w="1925"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污染物名称</w:t>
            </w:r>
          </w:p>
        </w:tc>
        <w:tc>
          <w:tcPr>
            <w:tcW w:w="1680"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现有工程</w:t>
            </w:r>
          </w:p>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排放量（固体废物产生量）</w:t>
            </w:r>
            <w:r>
              <w:rPr>
                <w:rFonts w:hint="eastAsia" w:asciiTheme="minorEastAsia" w:hAnsiTheme="minorEastAsia" w:eastAsiaTheme="minorEastAsia" w:cstheme="minorEastAsia"/>
                <w:b/>
                <w:bCs/>
                <w:snapToGrid w:val="0"/>
                <w:color w:val="auto"/>
                <w:spacing w:val="-6"/>
                <w:kern w:val="21"/>
                <w:sz w:val="24"/>
                <w:szCs w:val="24"/>
                <w:highlight w:val="none"/>
              </w:rPr>
              <w:fldChar w:fldCharType="begin"/>
            </w:r>
            <w:r>
              <w:rPr>
                <w:rFonts w:hint="eastAsia" w:asciiTheme="minorEastAsia" w:hAnsiTheme="minorEastAsia" w:eastAsiaTheme="minorEastAsia" w:cstheme="minorEastAsia"/>
                <w:b/>
                <w:bCs/>
                <w:snapToGrid w:val="0"/>
                <w:color w:val="auto"/>
                <w:spacing w:val="-6"/>
                <w:kern w:val="21"/>
                <w:sz w:val="24"/>
                <w:szCs w:val="24"/>
                <w:highlight w:val="none"/>
              </w:rPr>
              <w:instrText xml:space="preserve"> = 1 \* GB3 \* MERGEFORMAT </w:instrText>
            </w:r>
            <w:r>
              <w:rPr>
                <w:rFonts w:hint="eastAsia" w:asciiTheme="minorEastAsia" w:hAnsiTheme="minorEastAsia" w:eastAsiaTheme="minorEastAsia" w:cstheme="minorEastAsia"/>
                <w:b/>
                <w:bCs/>
                <w:snapToGrid w:val="0"/>
                <w:color w:val="auto"/>
                <w:spacing w:val="-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①</w:t>
            </w:r>
            <w:r>
              <w:rPr>
                <w:rFonts w:hint="eastAsia" w:asciiTheme="minorEastAsia" w:hAnsiTheme="minorEastAsia" w:eastAsiaTheme="minorEastAsia" w:cstheme="minorEastAsia"/>
                <w:b/>
                <w:bCs/>
                <w:snapToGrid w:val="0"/>
                <w:color w:val="auto"/>
                <w:spacing w:val="-6"/>
                <w:kern w:val="21"/>
                <w:sz w:val="24"/>
                <w:szCs w:val="24"/>
                <w:highlight w:val="none"/>
              </w:rPr>
              <w:fldChar w:fldCharType="end"/>
            </w:r>
          </w:p>
        </w:tc>
        <w:tc>
          <w:tcPr>
            <w:tcW w:w="1350"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现有工程许可排放量</w:t>
            </w:r>
            <w:r>
              <w:rPr>
                <w:rFonts w:hint="eastAsia" w:asciiTheme="minorEastAsia" w:hAnsiTheme="minorEastAsia" w:eastAsiaTheme="minorEastAsia" w:cstheme="minorEastAsia"/>
                <w:b/>
                <w:bCs/>
                <w:snapToGrid w:val="0"/>
                <w:color w:val="auto"/>
                <w:spacing w:val="-6"/>
                <w:kern w:val="21"/>
                <w:sz w:val="24"/>
                <w:szCs w:val="24"/>
                <w:highlight w:val="none"/>
              </w:rPr>
              <w:fldChar w:fldCharType="begin"/>
            </w:r>
            <w:r>
              <w:rPr>
                <w:rFonts w:hint="eastAsia" w:asciiTheme="minorEastAsia" w:hAnsiTheme="minorEastAsia" w:eastAsiaTheme="minorEastAsia" w:cstheme="minorEastAsia"/>
                <w:b/>
                <w:bCs/>
                <w:snapToGrid w:val="0"/>
                <w:color w:val="auto"/>
                <w:spacing w:val="-6"/>
                <w:kern w:val="21"/>
                <w:sz w:val="24"/>
                <w:szCs w:val="24"/>
                <w:highlight w:val="none"/>
              </w:rPr>
              <w:instrText xml:space="preserve"> = 2 \* GB3 \* MERGEFORMAT </w:instrText>
            </w:r>
            <w:r>
              <w:rPr>
                <w:rFonts w:hint="eastAsia" w:asciiTheme="minorEastAsia" w:hAnsiTheme="minorEastAsia" w:eastAsiaTheme="minorEastAsia" w:cstheme="minorEastAsia"/>
                <w:b/>
                <w:bCs/>
                <w:snapToGrid w:val="0"/>
                <w:color w:val="auto"/>
                <w:spacing w:val="-6"/>
                <w:kern w:val="21"/>
                <w:sz w:val="24"/>
                <w:szCs w:val="24"/>
                <w:highlight w:val="none"/>
              </w:rPr>
              <w:fldChar w:fldCharType="separate"/>
            </w:r>
            <w:r>
              <w:rPr>
                <w:rFonts w:hint="eastAsia" w:asciiTheme="minorEastAsia" w:hAnsiTheme="minorEastAsia" w:eastAsiaTheme="minorEastAsia" w:cstheme="minorEastAsia"/>
                <w:b/>
                <w:bCs/>
                <w:snapToGrid w:val="0"/>
                <w:color w:val="auto"/>
                <w:spacing w:val="-6"/>
                <w:kern w:val="21"/>
                <w:sz w:val="24"/>
                <w:szCs w:val="24"/>
                <w:highlight w:val="none"/>
              </w:rPr>
              <w:t>②</w:t>
            </w:r>
            <w:r>
              <w:rPr>
                <w:rFonts w:hint="eastAsia" w:asciiTheme="minorEastAsia" w:hAnsiTheme="minorEastAsia" w:eastAsiaTheme="minorEastAsia" w:cstheme="minorEastAsia"/>
                <w:b/>
                <w:bCs/>
                <w:snapToGrid w:val="0"/>
                <w:color w:val="auto"/>
                <w:spacing w:val="-6"/>
                <w:kern w:val="21"/>
                <w:sz w:val="24"/>
                <w:szCs w:val="24"/>
                <w:highlight w:val="none"/>
              </w:rPr>
              <w:fldChar w:fldCharType="end"/>
            </w:r>
          </w:p>
        </w:tc>
        <w:tc>
          <w:tcPr>
            <w:tcW w:w="1695"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在建工程排放量（固体废物产生量）</w:t>
            </w:r>
            <w:r>
              <w:rPr>
                <w:rFonts w:hint="eastAsia" w:asciiTheme="minorEastAsia" w:hAnsiTheme="minorEastAsia" w:eastAsiaTheme="minorEastAsia" w:cstheme="minorEastAsia"/>
                <w:b/>
                <w:bCs/>
                <w:snapToGrid w:val="0"/>
                <w:color w:val="auto"/>
                <w:spacing w:val="-6"/>
                <w:kern w:val="21"/>
                <w:sz w:val="24"/>
                <w:szCs w:val="24"/>
                <w:highlight w:val="none"/>
              </w:rPr>
              <w:fldChar w:fldCharType="begin"/>
            </w:r>
            <w:r>
              <w:rPr>
                <w:rFonts w:hint="eastAsia" w:asciiTheme="minorEastAsia" w:hAnsiTheme="minorEastAsia" w:eastAsiaTheme="minorEastAsia" w:cstheme="minorEastAsia"/>
                <w:b/>
                <w:bCs/>
                <w:snapToGrid w:val="0"/>
                <w:color w:val="auto"/>
                <w:spacing w:val="-6"/>
                <w:kern w:val="21"/>
                <w:sz w:val="24"/>
                <w:szCs w:val="24"/>
                <w:highlight w:val="none"/>
              </w:rPr>
              <w:instrText xml:space="preserve"> = 3 \* GB3 \* MERGEFORMAT </w:instrText>
            </w:r>
            <w:r>
              <w:rPr>
                <w:rFonts w:hint="eastAsia" w:asciiTheme="minorEastAsia" w:hAnsiTheme="minorEastAsia" w:eastAsiaTheme="minorEastAsia" w:cstheme="minorEastAsia"/>
                <w:b/>
                <w:bCs/>
                <w:snapToGrid w:val="0"/>
                <w:color w:val="auto"/>
                <w:spacing w:val="-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③</w:t>
            </w:r>
            <w:r>
              <w:rPr>
                <w:rFonts w:hint="eastAsia" w:asciiTheme="minorEastAsia" w:hAnsiTheme="minorEastAsia" w:eastAsiaTheme="minorEastAsia" w:cstheme="minorEastAsia"/>
                <w:b/>
                <w:bCs/>
                <w:snapToGrid w:val="0"/>
                <w:color w:val="auto"/>
                <w:spacing w:val="-6"/>
                <w:kern w:val="21"/>
                <w:sz w:val="24"/>
                <w:szCs w:val="24"/>
                <w:highlight w:val="none"/>
              </w:rPr>
              <w:fldChar w:fldCharType="end"/>
            </w:r>
          </w:p>
        </w:tc>
        <w:tc>
          <w:tcPr>
            <w:tcW w:w="1515"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本项目排放量（固体废物产生量）</w:t>
            </w:r>
            <w:r>
              <w:rPr>
                <w:rFonts w:hint="eastAsia" w:asciiTheme="minorEastAsia" w:hAnsiTheme="minorEastAsia" w:eastAsiaTheme="minorEastAsia" w:cstheme="minorEastAsia"/>
                <w:b/>
                <w:bCs/>
                <w:snapToGrid w:val="0"/>
                <w:color w:val="auto"/>
                <w:spacing w:val="-6"/>
                <w:kern w:val="21"/>
                <w:sz w:val="24"/>
                <w:szCs w:val="24"/>
                <w:highlight w:val="none"/>
              </w:rPr>
              <w:fldChar w:fldCharType="begin"/>
            </w:r>
            <w:r>
              <w:rPr>
                <w:rFonts w:hint="eastAsia" w:asciiTheme="minorEastAsia" w:hAnsiTheme="minorEastAsia" w:eastAsiaTheme="minorEastAsia" w:cstheme="minorEastAsia"/>
                <w:b/>
                <w:bCs/>
                <w:snapToGrid w:val="0"/>
                <w:color w:val="auto"/>
                <w:spacing w:val="-6"/>
                <w:kern w:val="21"/>
                <w:sz w:val="24"/>
                <w:szCs w:val="24"/>
                <w:highlight w:val="none"/>
              </w:rPr>
              <w:instrText xml:space="preserve"> = 4 \* GB3 \* MERGEFORMAT </w:instrText>
            </w:r>
            <w:r>
              <w:rPr>
                <w:rFonts w:hint="eastAsia" w:asciiTheme="minorEastAsia" w:hAnsiTheme="minorEastAsia" w:eastAsiaTheme="minorEastAsia" w:cstheme="minorEastAsia"/>
                <w:b/>
                <w:bCs/>
                <w:snapToGrid w:val="0"/>
                <w:color w:val="auto"/>
                <w:spacing w:val="-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④</w:t>
            </w:r>
            <w:r>
              <w:rPr>
                <w:rFonts w:hint="eastAsia" w:asciiTheme="minorEastAsia" w:hAnsiTheme="minorEastAsia" w:eastAsiaTheme="minorEastAsia" w:cstheme="minorEastAsia"/>
                <w:b/>
                <w:bCs/>
                <w:snapToGrid w:val="0"/>
                <w:color w:val="auto"/>
                <w:spacing w:val="-6"/>
                <w:kern w:val="21"/>
                <w:sz w:val="24"/>
                <w:szCs w:val="24"/>
                <w:highlight w:val="none"/>
              </w:rPr>
              <w:fldChar w:fldCharType="end"/>
            </w:r>
          </w:p>
        </w:tc>
        <w:tc>
          <w:tcPr>
            <w:tcW w:w="1530"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16"/>
                <w:kern w:val="21"/>
                <w:sz w:val="24"/>
                <w:szCs w:val="24"/>
                <w:highlight w:val="none"/>
              </w:rPr>
            </w:pPr>
            <w:r>
              <w:rPr>
                <w:rFonts w:hint="eastAsia" w:asciiTheme="minorEastAsia" w:hAnsiTheme="minorEastAsia" w:eastAsiaTheme="minorEastAsia" w:cstheme="minorEastAsia"/>
                <w:b/>
                <w:bCs/>
                <w:snapToGrid w:val="0"/>
                <w:color w:val="auto"/>
                <w:spacing w:val="-16"/>
                <w:kern w:val="21"/>
                <w:sz w:val="24"/>
                <w:szCs w:val="24"/>
                <w:highlight w:val="none"/>
              </w:rPr>
              <w:t>以新带老削减量</w:t>
            </w:r>
          </w:p>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16"/>
                <w:kern w:val="21"/>
                <w:sz w:val="24"/>
                <w:szCs w:val="24"/>
                <w:highlight w:val="none"/>
              </w:rPr>
            </w:pPr>
            <w:r>
              <w:rPr>
                <w:rFonts w:hint="eastAsia" w:asciiTheme="minorEastAsia" w:hAnsiTheme="minorEastAsia" w:eastAsiaTheme="minorEastAsia" w:cstheme="minorEastAsia"/>
                <w:b/>
                <w:bCs/>
                <w:snapToGrid w:val="0"/>
                <w:color w:val="auto"/>
                <w:spacing w:val="-16"/>
                <w:kern w:val="21"/>
                <w:sz w:val="24"/>
                <w:szCs w:val="24"/>
                <w:highlight w:val="none"/>
              </w:rPr>
              <w:t>（新建项目不填）</w:t>
            </w:r>
            <w:r>
              <w:rPr>
                <w:rFonts w:hint="eastAsia" w:asciiTheme="minorEastAsia" w:hAnsiTheme="minorEastAsia" w:eastAsiaTheme="minorEastAsia" w:cstheme="minorEastAsia"/>
                <w:b/>
                <w:bCs/>
                <w:snapToGrid w:val="0"/>
                <w:color w:val="auto"/>
                <w:spacing w:val="-16"/>
                <w:kern w:val="21"/>
                <w:sz w:val="24"/>
                <w:szCs w:val="24"/>
                <w:highlight w:val="none"/>
              </w:rPr>
              <w:fldChar w:fldCharType="begin"/>
            </w:r>
            <w:r>
              <w:rPr>
                <w:rFonts w:hint="eastAsia" w:asciiTheme="minorEastAsia" w:hAnsiTheme="minorEastAsia" w:eastAsiaTheme="minorEastAsia" w:cstheme="minorEastAsia"/>
                <w:b/>
                <w:bCs/>
                <w:snapToGrid w:val="0"/>
                <w:color w:val="auto"/>
                <w:spacing w:val="-16"/>
                <w:kern w:val="21"/>
                <w:sz w:val="24"/>
                <w:szCs w:val="24"/>
                <w:highlight w:val="none"/>
              </w:rPr>
              <w:instrText xml:space="preserve"> = 5 \* GB3 \* MERGEFORMAT </w:instrText>
            </w:r>
            <w:r>
              <w:rPr>
                <w:rFonts w:hint="eastAsia" w:asciiTheme="minorEastAsia" w:hAnsiTheme="minorEastAsia" w:eastAsiaTheme="minorEastAsia" w:cstheme="minorEastAsia"/>
                <w:b/>
                <w:bCs/>
                <w:snapToGrid w:val="0"/>
                <w:color w:val="auto"/>
                <w:spacing w:val="-1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⑤</w:t>
            </w:r>
            <w:r>
              <w:rPr>
                <w:rFonts w:hint="eastAsia" w:asciiTheme="minorEastAsia" w:hAnsiTheme="minorEastAsia" w:eastAsiaTheme="minorEastAsia" w:cstheme="minorEastAsia"/>
                <w:b/>
                <w:bCs/>
                <w:snapToGrid w:val="0"/>
                <w:color w:val="auto"/>
                <w:spacing w:val="-16"/>
                <w:kern w:val="21"/>
                <w:sz w:val="24"/>
                <w:szCs w:val="24"/>
                <w:highlight w:val="none"/>
              </w:rPr>
              <w:fldChar w:fldCharType="end"/>
            </w:r>
          </w:p>
        </w:tc>
        <w:tc>
          <w:tcPr>
            <w:tcW w:w="1590"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16"/>
                <w:kern w:val="21"/>
                <w:sz w:val="24"/>
                <w:szCs w:val="24"/>
                <w:highlight w:val="none"/>
              </w:rPr>
            </w:pPr>
            <w:r>
              <w:rPr>
                <w:rFonts w:hint="eastAsia" w:asciiTheme="minorEastAsia" w:hAnsiTheme="minorEastAsia" w:eastAsiaTheme="minorEastAsia" w:cstheme="minorEastAsia"/>
                <w:b/>
                <w:bCs/>
                <w:snapToGrid w:val="0"/>
                <w:color w:val="auto"/>
                <w:spacing w:val="-16"/>
                <w:kern w:val="21"/>
                <w:sz w:val="24"/>
                <w:szCs w:val="24"/>
                <w:highlight w:val="none"/>
              </w:rPr>
              <w:t>本项目建成后全厂排放量（固体废物产生量）</w:t>
            </w:r>
            <w:r>
              <w:rPr>
                <w:rFonts w:hint="eastAsia" w:asciiTheme="minorEastAsia" w:hAnsiTheme="minorEastAsia" w:eastAsiaTheme="minorEastAsia" w:cstheme="minorEastAsia"/>
                <w:b/>
                <w:bCs/>
                <w:snapToGrid w:val="0"/>
                <w:color w:val="auto"/>
                <w:spacing w:val="-16"/>
                <w:kern w:val="21"/>
                <w:sz w:val="24"/>
                <w:szCs w:val="24"/>
                <w:highlight w:val="none"/>
              </w:rPr>
              <w:fldChar w:fldCharType="begin"/>
            </w:r>
            <w:r>
              <w:rPr>
                <w:rFonts w:hint="eastAsia" w:asciiTheme="minorEastAsia" w:hAnsiTheme="minorEastAsia" w:eastAsiaTheme="minorEastAsia" w:cstheme="minorEastAsia"/>
                <w:b/>
                <w:bCs/>
                <w:snapToGrid w:val="0"/>
                <w:color w:val="auto"/>
                <w:spacing w:val="-16"/>
                <w:kern w:val="21"/>
                <w:sz w:val="24"/>
                <w:szCs w:val="24"/>
                <w:highlight w:val="none"/>
              </w:rPr>
              <w:instrText xml:space="preserve"> = 6 \* GB3 \* MERGEFORMAT </w:instrText>
            </w:r>
            <w:r>
              <w:rPr>
                <w:rFonts w:hint="eastAsia" w:asciiTheme="minorEastAsia" w:hAnsiTheme="minorEastAsia" w:eastAsiaTheme="minorEastAsia" w:cstheme="minorEastAsia"/>
                <w:b/>
                <w:bCs/>
                <w:snapToGrid w:val="0"/>
                <w:color w:val="auto"/>
                <w:spacing w:val="-1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⑥</w:t>
            </w:r>
            <w:r>
              <w:rPr>
                <w:rFonts w:hint="eastAsia" w:asciiTheme="minorEastAsia" w:hAnsiTheme="minorEastAsia" w:eastAsiaTheme="minorEastAsia" w:cstheme="minorEastAsia"/>
                <w:b/>
                <w:bCs/>
                <w:snapToGrid w:val="0"/>
                <w:color w:val="auto"/>
                <w:spacing w:val="-16"/>
                <w:kern w:val="21"/>
                <w:sz w:val="24"/>
                <w:szCs w:val="24"/>
                <w:highlight w:val="none"/>
              </w:rPr>
              <w:fldChar w:fldCharType="end"/>
            </w:r>
          </w:p>
        </w:tc>
        <w:tc>
          <w:tcPr>
            <w:tcW w:w="1163" w:type="dxa"/>
            <w:noWrap w:val="0"/>
            <w:tcMar>
              <w:left w:w="28" w:type="dxa"/>
              <w:right w:w="28" w:type="dxa"/>
            </w:tcMar>
            <w:vAlign w:val="center"/>
          </w:tcPr>
          <w:p>
            <w:pPr>
              <w:pStyle w:val="30"/>
              <w:keepNext w:val="0"/>
              <w:keepLines w:val="0"/>
              <w:pageBreakBefore w:val="0"/>
              <w:kinsoku/>
              <w:wordWrap/>
              <w:overflowPunct/>
              <w:topLinePunct w:val="0"/>
              <w:autoSpaceDE/>
              <w:autoSpaceDN/>
              <w:bidi w:val="0"/>
              <w:adjustRightInd/>
              <w:snapToGrid/>
              <w:spacing w:before="0" w:after="0" w:line="240" w:lineRule="auto"/>
              <w:rPr>
                <w:rFonts w:hint="eastAsia" w:asciiTheme="minorEastAsia" w:hAnsiTheme="minorEastAsia" w:eastAsiaTheme="minorEastAsia" w:cstheme="minorEastAsia"/>
                <w:b/>
                <w:bCs/>
                <w:snapToGrid w:val="0"/>
                <w:color w:val="auto"/>
                <w:spacing w:val="-6"/>
                <w:kern w:val="21"/>
                <w:sz w:val="24"/>
                <w:szCs w:val="24"/>
                <w:highlight w:val="none"/>
              </w:rPr>
            </w:pPr>
            <w:r>
              <w:rPr>
                <w:rFonts w:hint="eastAsia" w:asciiTheme="minorEastAsia" w:hAnsiTheme="minorEastAsia" w:eastAsiaTheme="minorEastAsia" w:cstheme="minorEastAsia"/>
                <w:b/>
                <w:bCs/>
                <w:snapToGrid w:val="0"/>
                <w:color w:val="auto"/>
                <w:spacing w:val="-6"/>
                <w:kern w:val="21"/>
                <w:sz w:val="24"/>
                <w:szCs w:val="24"/>
                <w:highlight w:val="none"/>
              </w:rPr>
              <w:t>变化量</w:t>
            </w:r>
            <w:r>
              <w:rPr>
                <w:rFonts w:hint="eastAsia" w:asciiTheme="minorEastAsia" w:hAnsiTheme="minorEastAsia" w:eastAsiaTheme="minorEastAsia" w:cstheme="minorEastAsia"/>
                <w:b/>
                <w:bCs/>
                <w:snapToGrid w:val="0"/>
                <w:color w:val="auto"/>
                <w:spacing w:val="-6"/>
                <w:kern w:val="21"/>
                <w:sz w:val="24"/>
                <w:szCs w:val="24"/>
                <w:highlight w:val="none"/>
              </w:rPr>
              <w:fldChar w:fldCharType="begin"/>
            </w:r>
            <w:r>
              <w:rPr>
                <w:rFonts w:hint="eastAsia" w:asciiTheme="minorEastAsia" w:hAnsiTheme="minorEastAsia" w:eastAsiaTheme="minorEastAsia" w:cstheme="minorEastAsia"/>
                <w:b/>
                <w:bCs/>
                <w:snapToGrid w:val="0"/>
                <w:color w:val="auto"/>
                <w:spacing w:val="-6"/>
                <w:kern w:val="21"/>
                <w:sz w:val="24"/>
                <w:szCs w:val="24"/>
                <w:highlight w:val="none"/>
              </w:rPr>
              <w:instrText xml:space="preserve"> = 7 \* GB3 \* MERGEFORMAT </w:instrText>
            </w:r>
            <w:r>
              <w:rPr>
                <w:rFonts w:hint="eastAsia" w:asciiTheme="minorEastAsia" w:hAnsiTheme="minorEastAsia" w:eastAsiaTheme="minorEastAsia" w:cstheme="minorEastAsia"/>
                <w:b/>
                <w:bCs/>
                <w:snapToGrid w:val="0"/>
                <w:color w:val="auto"/>
                <w:spacing w:val="-6"/>
                <w:kern w:val="21"/>
                <w:sz w:val="24"/>
                <w:szCs w:val="24"/>
                <w:highlight w:val="none"/>
              </w:rPr>
              <w:fldChar w:fldCharType="separate"/>
            </w:r>
            <w:r>
              <w:rPr>
                <w:rFonts w:hint="eastAsia" w:asciiTheme="minorEastAsia" w:hAnsiTheme="minorEastAsia" w:eastAsiaTheme="minorEastAsia" w:cstheme="minorEastAsia"/>
                <w:b/>
                <w:bCs/>
                <w:color w:val="auto"/>
                <w:kern w:val="2"/>
                <w:sz w:val="24"/>
                <w:szCs w:val="24"/>
                <w:highlight w:val="none"/>
              </w:rPr>
              <w:t>⑦</w:t>
            </w:r>
            <w:r>
              <w:rPr>
                <w:rFonts w:hint="eastAsia" w:asciiTheme="minorEastAsia" w:hAnsiTheme="minorEastAsia" w:eastAsiaTheme="minorEastAsia" w:cstheme="minorEastAsia"/>
                <w:b/>
                <w:bCs/>
                <w:snapToGrid w:val="0"/>
                <w:color w:val="auto"/>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34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废气</w:t>
            </w: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颗粒物</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rPr>
              <w:t>3.344</w:t>
            </w:r>
            <w:r>
              <w:rPr>
                <w:rFonts w:hint="eastAsia" w:ascii="Times New Roman" w:hAnsi="Times New Roman" w:cs="Times New Roman"/>
                <w:snapToGrid w:val="0"/>
                <w:color w:val="auto"/>
                <w:kern w:val="21"/>
                <w:sz w:val="24"/>
                <w:szCs w:val="24"/>
                <w:highlight w:val="none"/>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cs="Times New Roman"/>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cs="Times New Roman"/>
                <w:snapToGrid w:val="0"/>
                <w:color w:val="auto"/>
                <w:kern w:val="21"/>
                <w:sz w:val="24"/>
                <w:szCs w:val="24"/>
                <w:highlight w:val="none"/>
                <w:lang w:val="en-US" w:eastAsia="zh-CN"/>
              </w:rPr>
              <w:t>3.344</w:t>
            </w:r>
            <w:r>
              <w:rPr>
                <w:rFonts w:hint="eastAsia" w:ascii="Times New Roman" w:hAnsi="Times New Roman" w:cs="Times New Roman"/>
                <w:snapToGrid w:val="0"/>
                <w:color w:val="auto"/>
                <w:kern w:val="21"/>
                <w:sz w:val="24"/>
                <w:szCs w:val="24"/>
                <w:highlight w:val="none"/>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40" w:type="dxa"/>
            <w:vMerge w:val="restart"/>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废水</w:t>
            </w: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COD</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hAnsi="宋体" w:cs="宋体"/>
                <w:snapToGrid w:val="0"/>
                <w:color w:val="auto"/>
                <w:kern w:val="21"/>
                <w:sz w:val="24"/>
                <w:szCs w:val="24"/>
                <w:highlight w:val="none"/>
                <w:lang w:val="en-US" w:eastAsia="zh-CN"/>
              </w:rPr>
              <w:t>氨氮</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0</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40" w:type="dxa"/>
            <w:vMerge w:val="restart"/>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Ansi="宋体" w:cs="宋体"/>
                <w:snapToGrid w:val="0"/>
                <w:color w:val="auto"/>
                <w:kern w:val="21"/>
                <w:sz w:val="24"/>
                <w:szCs w:val="24"/>
                <w:highlight w:val="none"/>
              </w:rPr>
            </w:pPr>
            <w:r>
              <w:rPr>
                <w:rFonts w:hint="eastAsia" w:hAnsi="宋体" w:cs="宋体"/>
                <w:snapToGrid w:val="0"/>
                <w:color w:val="auto"/>
                <w:kern w:val="21"/>
                <w:sz w:val="24"/>
                <w:szCs w:val="24"/>
                <w:highlight w:val="none"/>
              </w:rPr>
              <w:t>一般工业</w:t>
            </w:r>
          </w:p>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r>
              <w:rPr>
                <w:rFonts w:hint="eastAsia" w:hAnsi="宋体" w:cs="宋体"/>
                <w:snapToGrid w:val="0"/>
                <w:color w:val="auto"/>
                <w:kern w:val="21"/>
                <w:sz w:val="24"/>
                <w:szCs w:val="24"/>
                <w:highlight w:val="none"/>
              </w:rPr>
              <w:t>固体废物</w:t>
            </w: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废料</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b w:val="0"/>
                <w:bCs w:val="0"/>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5t/a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cs="Times New Roman"/>
                <w:color w:val="auto"/>
                <w:sz w:val="24"/>
                <w:szCs w:val="24"/>
                <w:highlight w:val="none"/>
                <w:shd w:val="clear" w:color="auto" w:fill="auto"/>
                <w:lang w:val="en-US" w:eastAsia="zh-CN"/>
              </w:rPr>
              <w:t>5t/a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hAnsi="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废钢筋</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40t/a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40t/a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除尘灰</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381.98t/a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381.98t/a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废布袋</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0.5t/a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0.5t/a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污泥</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503t/a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hAnsi="宋体" w:cs="宋体"/>
                <w:b w:val="0"/>
                <w:bCs w:val="0"/>
                <w:snapToGrid w:val="0"/>
                <w:color w:val="auto"/>
                <w:kern w:val="21"/>
                <w:sz w:val="24"/>
                <w:szCs w:val="24"/>
                <w:highlight w:val="none"/>
                <w:lang w:val="en-US" w:eastAsia="zh-CN"/>
              </w:rPr>
            </w:pPr>
            <w:r>
              <w:rPr>
                <w:rFonts w:hint="eastAsia" w:cs="Times New Roman"/>
                <w:color w:val="auto"/>
                <w:sz w:val="24"/>
                <w:szCs w:val="24"/>
                <w:highlight w:val="none"/>
                <w:shd w:val="clear" w:color="auto" w:fill="auto"/>
                <w:lang w:val="en-US" w:eastAsia="zh-CN"/>
              </w:rPr>
              <w:t>503t/a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34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eastAsia="宋体" w:cs="宋体"/>
                <w:snapToGrid w:val="0"/>
                <w:color w:val="auto"/>
                <w:kern w:val="21"/>
                <w:sz w:val="24"/>
                <w:szCs w:val="24"/>
                <w:highlight w:val="none"/>
                <w:lang w:val="en-US" w:eastAsia="zh-CN"/>
              </w:rPr>
            </w:pPr>
            <w:r>
              <w:rPr>
                <w:rFonts w:hint="eastAsia" w:hAnsi="宋体" w:cs="宋体"/>
                <w:snapToGrid w:val="0"/>
                <w:color w:val="auto"/>
                <w:kern w:val="21"/>
                <w:sz w:val="24"/>
                <w:szCs w:val="24"/>
                <w:highlight w:val="none"/>
                <w:lang w:val="en-US" w:eastAsia="zh-CN"/>
              </w:rPr>
              <w:t>职工生活</w:t>
            </w:r>
          </w:p>
        </w:tc>
        <w:tc>
          <w:tcPr>
            <w:tcW w:w="1925"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eastAsia="zh-CN"/>
              </w:rPr>
              <w:t>生活垃圾</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hAnsi="宋体" w:cs="宋体"/>
                <w:snapToGrid w:val="0"/>
                <w:color w:val="auto"/>
                <w:kern w:val="21"/>
                <w:sz w:val="24"/>
                <w:szCs w:val="24"/>
                <w:highlight w:val="none"/>
                <w:lang w:val="en-US" w:eastAsia="zh-CN"/>
              </w:rPr>
              <w:t>2.5</w:t>
            </w:r>
            <w:r>
              <w:rPr>
                <w:rFonts w:hint="eastAsia" w:ascii="Times New Roman" w:hAnsi="Times New Roman" w:cs="Times New Roman"/>
                <w:b w:val="0"/>
                <w:bCs w:val="0"/>
                <w:snapToGrid w:val="0"/>
                <w:color w:val="auto"/>
                <w:kern w:val="21"/>
                <w:sz w:val="24"/>
                <w:szCs w:val="24"/>
                <w:highlight w:val="none"/>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hAnsi="宋体" w:cs="宋体"/>
                <w:snapToGrid w:val="0"/>
                <w:color w:val="auto"/>
                <w:kern w:val="21"/>
                <w:sz w:val="24"/>
                <w:szCs w:val="24"/>
                <w:highlight w:val="none"/>
                <w:lang w:val="en-US" w:eastAsia="zh-CN"/>
              </w:rPr>
              <w:t>2.5</w:t>
            </w:r>
            <w:r>
              <w:rPr>
                <w:rFonts w:hint="eastAsia" w:ascii="Times New Roman" w:hAnsi="Times New Roman" w:cs="Times New Roman"/>
                <w:b w:val="0"/>
                <w:bCs w:val="0"/>
                <w:snapToGrid w:val="0"/>
                <w:color w:val="auto"/>
                <w:kern w:val="21"/>
                <w:sz w:val="24"/>
                <w:szCs w:val="24"/>
                <w:highlight w:val="none"/>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40" w:type="dxa"/>
            <w:vMerge w:val="restart"/>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r>
              <w:rPr>
                <w:rFonts w:hint="eastAsia" w:hAnsi="宋体" w:cs="宋体"/>
                <w:snapToGrid w:val="0"/>
                <w:color w:val="auto"/>
                <w:kern w:val="21"/>
                <w:sz w:val="24"/>
                <w:szCs w:val="24"/>
                <w:highlight w:val="none"/>
              </w:rPr>
              <w:t>危险废物</w:t>
            </w:r>
          </w:p>
        </w:tc>
        <w:tc>
          <w:tcPr>
            <w:tcW w:w="19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含油</w:t>
            </w:r>
            <w:r>
              <w:rPr>
                <w:rFonts w:hint="eastAsia" w:cs="Times New Roman"/>
                <w:color w:val="auto"/>
                <w:sz w:val="24"/>
                <w:szCs w:val="24"/>
                <w:highlight w:val="none"/>
                <w:shd w:val="clear" w:color="auto" w:fill="auto"/>
                <w:lang w:val="en-US" w:eastAsia="zh-CN"/>
              </w:rPr>
              <w:t>废</w:t>
            </w:r>
            <w:r>
              <w:rPr>
                <w:rFonts w:hint="eastAsia" w:ascii="Times New Roman" w:hAnsi="Times New Roman" w:eastAsia="宋体" w:cs="Times New Roman"/>
                <w:color w:val="auto"/>
                <w:sz w:val="24"/>
                <w:szCs w:val="24"/>
                <w:highlight w:val="none"/>
                <w:shd w:val="clear" w:color="auto" w:fill="auto"/>
                <w:lang w:val="en-US" w:eastAsia="zh-CN"/>
              </w:rPr>
              <w:t>抹布</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w:t>
            </w:r>
            <w:r>
              <w:rPr>
                <w:rFonts w:hint="eastAsia" w:cs="Times New Roman"/>
                <w:color w:val="auto"/>
                <w:sz w:val="24"/>
                <w:szCs w:val="24"/>
                <w:highlight w:val="none"/>
                <w:shd w:val="clear" w:color="auto" w:fill="auto"/>
                <w:lang w:val="en-US" w:eastAsia="zh-CN"/>
              </w:rPr>
              <w:t>25</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0.0</w:t>
            </w:r>
            <w:r>
              <w:rPr>
                <w:rFonts w:hint="eastAsia" w:cs="Times New Roman"/>
                <w:color w:val="auto"/>
                <w:sz w:val="24"/>
                <w:szCs w:val="24"/>
                <w:highlight w:val="none"/>
                <w:shd w:val="clear" w:color="auto" w:fill="auto"/>
                <w:lang w:val="en-US" w:eastAsia="zh-CN"/>
              </w:rPr>
              <w:t>25</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废润滑油</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int="eastAsia" w:hAnsi="宋体" w:cs="宋体"/>
                <w:snapToGrid w:val="0"/>
                <w:color w:val="auto"/>
                <w:kern w:val="21"/>
                <w:sz w:val="24"/>
                <w:szCs w:val="24"/>
                <w:highlight w:val="none"/>
              </w:rPr>
            </w:pPr>
          </w:p>
        </w:tc>
        <w:tc>
          <w:tcPr>
            <w:tcW w:w="19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sz w:val="24"/>
                <w:szCs w:val="24"/>
                <w:highlight w:val="none"/>
                <w:shd w:val="clear" w:color="auto" w:fill="auto"/>
                <w:lang w:val="en-US" w:eastAsia="zh-CN"/>
              </w:rPr>
            </w:pPr>
            <w:r>
              <w:rPr>
                <w:rFonts w:hint="eastAsia" w:cs="Times New Roman"/>
                <w:color w:val="auto"/>
                <w:sz w:val="24"/>
                <w:szCs w:val="24"/>
                <w:highlight w:val="none"/>
                <w:shd w:val="clear" w:color="auto" w:fill="auto"/>
                <w:lang w:val="en-US" w:eastAsia="zh-CN"/>
              </w:rPr>
              <w:t>废液压油</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2</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2</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340" w:type="dxa"/>
            <w:vMerge w:val="continue"/>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jc w:val="center"/>
              <w:textAlignment w:val="auto"/>
              <w:rPr>
                <w:rFonts w:hAnsi="宋体" w:cs="宋体"/>
                <w:snapToGrid w:val="0"/>
                <w:color w:val="auto"/>
                <w:kern w:val="21"/>
                <w:sz w:val="24"/>
                <w:szCs w:val="24"/>
                <w:highlight w:val="none"/>
              </w:rPr>
            </w:pPr>
          </w:p>
        </w:tc>
        <w:tc>
          <w:tcPr>
            <w:tcW w:w="19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shd w:val="clear" w:color="auto" w:fill="auto"/>
                <w:lang w:val="en-US" w:eastAsia="zh-CN" w:bidi="ar-SA"/>
              </w:rPr>
            </w:pPr>
            <w:r>
              <w:rPr>
                <w:rFonts w:hint="eastAsia" w:cs="Times New Roman"/>
                <w:color w:val="auto"/>
                <w:sz w:val="24"/>
                <w:szCs w:val="24"/>
                <w:highlight w:val="none"/>
                <w:shd w:val="clear" w:color="auto" w:fill="auto"/>
                <w:lang w:val="en-US" w:eastAsia="zh-CN"/>
              </w:rPr>
              <w:t>废油桶</w:t>
            </w:r>
          </w:p>
        </w:tc>
        <w:tc>
          <w:tcPr>
            <w:tcW w:w="168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Times New Roman" w:eastAsia="宋体" w:cs="Times New Roman"/>
                <w:i w:val="0"/>
                <w:color w:val="auto"/>
                <w:kern w:val="0"/>
                <w:sz w:val="24"/>
                <w:szCs w:val="24"/>
                <w:highlight w:val="none"/>
                <w:u w:val="none"/>
                <w:shd w:val="clear" w:color="auto" w:fill="auto"/>
                <w:lang w:val="en-US" w:eastAsia="zh-CN" w:bidi="ar"/>
              </w:rPr>
            </w:pPr>
            <w:r>
              <w:rPr>
                <w:rFonts w:hint="eastAsia" w:ascii="宋体" w:hAnsi="宋体" w:eastAsia="宋体" w:cs="宋体"/>
                <w:snapToGrid w:val="0"/>
                <w:color w:val="auto"/>
                <w:kern w:val="21"/>
                <w:sz w:val="24"/>
                <w:szCs w:val="24"/>
                <w:highlight w:val="none"/>
                <w:lang w:val="en-US" w:eastAsia="zh-CN"/>
              </w:rPr>
              <w:t>－</w:t>
            </w:r>
          </w:p>
        </w:tc>
        <w:tc>
          <w:tcPr>
            <w:tcW w:w="135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ascii="Times New Roman" w:hAnsi="宋体" w:eastAsia="宋体" w:cs="宋体"/>
                <w:snapToGrid w:val="0"/>
                <w:color w:val="auto"/>
                <w:kern w:val="21"/>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695"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c>
          <w:tcPr>
            <w:tcW w:w="151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08</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530"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eastAsia" w:hAnsi="宋体" w:eastAsia="宋体" w:cs="宋体"/>
                <w:snapToGrid w:val="0"/>
                <w:color w:val="auto"/>
                <w:kern w:val="21"/>
                <w:sz w:val="24"/>
                <w:szCs w:val="24"/>
                <w:highlight w:val="none"/>
                <w:lang w:val="en-US" w:eastAsia="zh-CN"/>
              </w:rPr>
            </w:pPr>
            <w:r>
              <w:rPr>
                <w:rFonts w:hint="eastAsia" w:ascii="宋体" w:hAnsi="宋体" w:eastAsia="宋体" w:cs="宋体"/>
                <w:snapToGrid w:val="0"/>
                <w:color w:val="auto"/>
                <w:kern w:val="21"/>
                <w:sz w:val="24"/>
                <w:szCs w:val="24"/>
                <w:highlight w:val="no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cs="Times New Roman"/>
                <w:color w:val="auto"/>
                <w:sz w:val="24"/>
                <w:szCs w:val="24"/>
                <w:highlight w:val="none"/>
                <w:shd w:val="clear" w:color="auto" w:fill="auto"/>
                <w:lang w:val="en-US" w:eastAsia="zh-CN"/>
              </w:rPr>
              <w:t>08</w:t>
            </w:r>
            <w:r>
              <w:rPr>
                <w:rFonts w:hint="eastAsia" w:ascii="Times New Roman" w:hAnsi="Times New Roman" w:eastAsia="宋体" w:cs="Times New Roman"/>
                <w:color w:val="auto"/>
                <w:sz w:val="24"/>
                <w:szCs w:val="24"/>
                <w:highlight w:val="none"/>
                <w:shd w:val="clear" w:color="auto" w:fill="auto"/>
                <w:lang w:val="en-US" w:eastAsia="zh-CN"/>
              </w:rPr>
              <w:t>t/a</w:t>
            </w:r>
          </w:p>
        </w:tc>
        <w:tc>
          <w:tcPr>
            <w:tcW w:w="1163" w:type="dxa"/>
            <w:noWrap w:val="0"/>
            <w:vAlign w:val="center"/>
          </w:tcPr>
          <w:p>
            <w:pPr>
              <w:pStyle w:val="30"/>
              <w:keepNext w:val="0"/>
              <w:keepLines w:val="0"/>
              <w:pageBreakBefore w:val="0"/>
              <w:kinsoku/>
              <w:wordWrap/>
              <w:overflowPunct/>
              <w:topLinePunct w:val="0"/>
              <w:autoSpaceDE/>
              <w:autoSpaceDN/>
              <w:bidi w:val="0"/>
              <w:adjustRightInd/>
              <w:snapToGrid/>
              <w:spacing w:before="0" w:after="0" w:line="240" w:lineRule="auto"/>
              <w:ind w:left="-48" w:leftChars="-20" w:right="-48" w:rightChars="-2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napToGrid w:val="0"/>
                <w:color w:val="auto"/>
                <w:kern w:val="21"/>
                <w:sz w:val="24"/>
                <w:szCs w:val="24"/>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color w:val="auto"/>
          <w:highlight w:val="none"/>
        </w:rPr>
      </w:pPr>
      <w:bookmarkStart w:id="11" w:name="_GoBack"/>
      <w:r>
        <w:rPr>
          <w:rFonts w:hAnsi="宋体"/>
          <w:snapToGrid w:val="0"/>
          <w:color w:val="auto"/>
          <w:kern w:val="21"/>
          <w:sz w:val="24"/>
          <w:szCs w:val="24"/>
          <w:highlight w:val="none"/>
        </w:rPr>
        <w:t>注：</w:t>
      </w:r>
      <w:r>
        <w:rPr>
          <w:rFonts w:hAnsi="宋体"/>
          <w:snapToGrid w:val="0"/>
          <w:color w:val="auto"/>
          <w:spacing w:val="-16"/>
          <w:kern w:val="21"/>
          <w:sz w:val="24"/>
          <w:szCs w:val="24"/>
          <w:highlight w:val="none"/>
        </w:rPr>
        <w:fldChar w:fldCharType="begin"/>
      </w:r>
      <w:r>
        <w:rPr>
          <w:rFonts w:hAnsi="宋体"/>
          <w:snapToGrid w:val="0"/>
          <w:color w:val="auto"/>
          <w:spacing w:val="-16"/>
          <w:kern w:val="21"/>
          <w:sz w:val="24"/>
          <w:szCs w:val="24"/>
          <w:highlight w:val="none"/>
        </w:rPr>
        <w:instrText xml:space="preserve"> = 6 \* GB3 \* MERGEFORMAT </w:instrText>
      </w:r>
      <w:r>
        <w:rPr>
          <w:rFonts w:hAnsi="宋体"/>
          <w:snapToGrid w:val="0"/>
          <w:color w:val="auto"/>
          <w:spacing w:val="-16"/>
          <w:kern w:val="21"/>
          <w:sz w:val="24"/>
          <w:szCs w:val="24"/>
          <w:highlight w:val="none"/>
        </w:rPr>
        <w:fldChar w:fldCharType="separate"/>
      </w:r>
      <w:r>
        <w:rPr>
          <w:rFonts w:hint="eastAsia" w:hAnsi="宋体"/>
          <w:color w:val="auto"/>
          <w:sz w:val="24"/>
          <w:szCs w:val="24"/>
          <w:highlight w:val="none"/>
        </w:rPr>
        <w:t>⑥</w:t>
      </w:r>
      <w:r>
        <w:rPr>
          <w:rFonts w:hAnsi="宋体"/>
          <w:snapToGrid w:val="0"/>
          <w:color w:val="auto"/>
          <w:spacing w:val="-16"/>
          <w:kern w:val="21"/>
          <w:sz w:val="24"/>
          <w:szCs w:val="24"/>
          <w:highlight w:val="none"/>
        </w:rPr>
        <w:fldChar w:fldCharType="end"/>
      </w:r>
      <w:r>
        <w:rPr>
          <w:rFonts w:hAnsi="宋体"/>
          <w:snapToGrid w:val="0"/>
          <w:color w:val="auto"/>
          <w:spacing w:val="-16"/>
          <w:kern w:val="21"/>
          <w:sz w:val="24"/>
          <w:szCs w:val="24"/>
          <w:highlight w:val="none"/>
        </w:rPr>
        <w:t>=</w:t>
      </w:r>
      <w:r>
        <w:rPr>
          <w:rFonts w:hAnsi="宋体"/>
          <w:snapToGrid w:val="0"/>
          <w:color w:val="auto"/>
          <w:spacing w:val="-6"/>
          <w:kern w:val="21"/>
          <w:sz w:val="24"/>
          <w:szCs w:val="24"/>
          <w:highlight w:val="none"/>
        </w:rPr>
        <w:fldChar w:fldCharType="begin"/>
      </w:r>
      <w:r>
        <w:rPr>
          <w:rFonts w:hAnsi="宋体"/>
          <w:snapToGrid w:val="0"/>
          <w:color w:val="auto"/>
          <w:spacing w:val="-6"/>
          <w:kern w:val="21"/>
          <w:sz w:val="24"/>
          <w:szCs w:val="24"/>
          <w:highlight w:val="none"/>
        </w:rPr>
        <w:instrText xml:space="preserve"> = 1 \* GB3 \* MERGEFORMAT </w:instrText>
      </w:r>
      <w:r>
        <w:rPr>
          <w:rFonts w:hAnsi="宋体"/>
          <w:snapToGrid w:val="0"/>
          <w:color w:val="auto"/>
          <w:spacing w:val="-6"/>
          <w:kern w:val="21"/>
          <w:sz w:val="24"/>
          <w:szCs w:val="24"/>
          <w:highlight w:val="none"/>
        </w:rPr>
        <w:fldChar w:fldCharType="separate"/>
      </w:r>
      <w:r>
        <w:rPr>
          <w:rFonts w:hint="eastAsia" w:hAnsi="宋体"/>
          <w:color w:val="auto"/>
          <w:sz w:val="24"/>
          <w:szCs w:val="24"/>
          <w:highlight w:val="none"/>
        </w:rPr>
        <w:t>①</w:t>
      </w:r>
      <w:r>
        <w:rPr>
          <w:rFonts w:hAnsi="宋体"/>
          <w:snapToGrid w:val="0"/>
          <w:color w:val="auto"/>
          <w:spacing w:val="-6"/>
          <w:kern w:val="21"/>
          <w:sz w:val="24"/>
          <w:szCs w:val="24"/>
          <w:highlight w:val="none"/>
        </w:rPr>
        <w:fldChar w:fldCharType="end"/>
      </w:r>
      <w:r>
        <w:rPr>
          <w:rFonts w:hAnsi="宋体"/>
          <w:snapToGrid w:val="0"/>
          <w:color w:val="auto"/>
          <w:spacing w:val="-6"/>
          <w:kern w:val="21"/>
          <w:sz w:val="24"/>
          <w:szCs w:val="24"/>
          <w:highlight w:val="none"/>
        </w:rPr>
        <w:t>+</w:t>
      </w:r>
      <w:r>
        <w:rPr>
          <w:rFonts w:hAnsi="宋体"/>
          <w:snapToGrid w:val="0"/>
          <w:color w:val="auto"/>
          <w:spacing w:val="-6"/>
          <w:kern w:val="21"/>
          <w:sz w:val="24"/>
          <w:szCs w:val="24"/>
          <w:highlight w:val="none"/>
        </w:rPr>
        <w:fldChar w:fldCharType="begin"/>
      </w:r>
      <w:r>
        <w:rPr>
          <w:rFonts w:hAnsi="宋体"/>
          <w:snapToGrid w:val="0"/>
          <w:color w:val="auto"/>
          <w:spacing w:val="-6"/>
          <w:kern w:val="21"/>
          <w:sz w:val="24"/>
          <w:szCs w:val="24"/>
          <w:highlight w:val="none"/>
        </w:rPr>
        <w:instrText xml:space="preserve"> = 3 \* GB3 \* MERGEFORMAT </w:instrText>
      </w:r>
      <w:r>
        <w:rPr>
          <w:rFonts w:hAnsi="宋体"/>
          <w:snapToGrid w:val="0"/>
          <w:color w:val="auto"/>
          <w:spacing w:val="-6"/>
          <w:kern w:val="21"/>
          <w:sz w:val="24"/>
          <w:szCs w:val="24"/>
          <w:highlight w:val="none"/>
        </w:rPr>
        <w:fldChar w:fldCharType="separate"/>
      </w:r>
      <w:r>
        <w:rPr>
          <w:rFonts w:hint="eastAsia" w:hAnsi="宋体"/>
          <w:color w:val="auto"/>
          <w:sz w:val="24"/>
          <w:szCs w:val="24"/>
          <w:highlight w:val="none"/>
        </w:rPr>
        <w:t>③</w:t>
      </w:r>
      <w:r>
        <w:rPr>
          <w:rFonts w:hAnsi="宋体"/>
          <w:snapToGrid w:val="0"/>
          <w:color w:val="auto"/>
          <w:spacing w:val="-6"/>
          <w:kern w:val="21"/>
          <w:sz w:val="24"/>
          <w:szCs w:val="24"/>
          <w:highlight w:val="none"/>
        </w:rPr>
        <w:fldChar w:fldCharType="end"/>
      </w:r>
      <w:r>
        <w:rPr>
          <w:rFonts w:hAnsi="宋体"/>
          <w:snapToGrid w:val="0"/>
          <w:color w:val="auto"/>
          <w:spacing w:val="-6"/>
          <w:kern w:val="21"/>
          <w:sz w:val="24"/>
          <w:szCs w:val="24"/>
          <w:highlight w:val="none"/>
        </w:rPr>
        <w:t>+</w:t>
      </w:r>
      <w:r>
        <w:rPr>
          <w:rFonts w:hAnsi="宋体"/>
          <w:snapToGrid w:val="0"/>
          <w:color w:val="auto"/>
          <w:spacing w:val="-6"/>
          <w:kern w:val="21"/>
          <w:sz w:val="24"/>
          <w:szCs w:val="24"/>
          <w:highlight w:val="none"/>
        </w:rPr>
        <w:fldChar w:fldCharType="begin"/>
      </w:r>
      <w:r>
        <w:rPr>
          <w:rFonts w:hAnsi="宋体"/>
          <w:snapToGrid w:val="0"/>
          <w:color w:val="auto"/>
          <w:spacing w:val="-6"/>
          <w:kern w:val="21"/>
          <w:sz w:val="24"/>
          <w:szCs w:val="24"/>
          <w:highlight w:val="none"/>
        </w:rPr>
        <w:instrText xml:space="preserve"> = 4 \* GB3 \* MERGEFORMAT </w:instrText>
      </w:r>
      <w:r>
        <w:rPr>
          <w:rFonts w:hAnsi="宋体"/>
          <w:snapToGrid w:val="0"/>
          <w:color w:val="auto"/>
          <w:spacing w:val="-6"/>
          <w:kern w:val="21"/>
          <w:sz w:val="24"/>
          <w:szCs w:val="24"/>
          <w:highlight w:val="none"/>
        </w:rPr>
        <w:fldChar w:fldCharType="separate"/>
      </w:r>
      <w:r>
        <w:rPr>
          <w:rFonts w:hint="eastAsia" w:hAnsi="宋体"/>
          <w:color w:val="auto"/>
          <w:sz w:val="24"/>
          <w:szCs w:val="24"/>
          <w:highlight w:val="none"/>
        </w:rPr>
        <w:t>④</w:t>
      </w:r>
      <w:r>
        <w:rPr>
          <w:rFonts w:hAnsi="宋体"/>
          <w:snapToGrid w:val="0"/>
          <w:color w:val="auto"/>
          <w:spacing w:val="-6"/>
          <w:kern w:val="21"/>
          <w:sz w:val="24"/>
          <w:szCs w:val="24"/>
          <w:highlight w:val="none"/>
        </w:rPr>
        <w:fldChar w:fldCharType="end"/>
      </w:r>
      <w:r>
        <w:rPr>
          <w:rFonts w:hAnsi="宋体"/>
          <w:snapToGrid w:val="0"/>
          <w:color w:val="auto"/>
          <w:spacing w:val="-6"/>
          <w:kern w:val="21"/>
          <w:sz w:val="24"/>
          <w:szCs w:val="24"/>
          <w:highlight w:val="none"/>
        </w:rPr>
        <w:t>-</w:t>
      </w:r>
      <w:r>
        <w:rPr>
          <w:rFonts w:hAnsi="宋体"/>
          <w:snapToGrid w:val="0"/>
          <w:color w:val="auto"/>
          <w:spacing w:val="-16"/>
          <w:kern w:val="21"/>
          <w:sz w:val="24"/>
          <w:szCs w:val="24"/>
          <w:highlight w:val="none"/>
        </w:rPr>
        <w:fldChar w:fldCharType="begin"/>
      </w:r>
      <w:r>
        <w:rPr>
          <w:rFonts w:hAnsi="宋体"/>
          <w:snapToGrid w:val="0"/>
          <w:color w:val="auto"/>
          <w:spacing w:val="-16"/>
          <w:kern w:val="21"/>
          <w:sz w:val="24"/>
          <w:szCs w:val="24"/>
          <w:highlight w:val="none"/>
        </w:rPr>
        <w:instrText xml:space="preserve"> = 5 \* GB3 \* MERGEFORMAT </w:instrText>
      </w:r>
      <w:r>
        <w:rPr>
          <w:rFonts w:hAnsi="宋体"/>
          <w:snapToGrid w:val="0"/>
          <w:color w:val="auto"/>
          <w:spacing w:val="-16"/>
          <w:kern w:val="21"/>
          <w:sz w:val="24"/>
          <w:szCs w:val="24"/>
          <w:highlight w:val="none"/>
        </w:rPr>
        <w:fldChar w:fldCharType="separate"/>
      </w:r>
      <w:r>
        <w:rPr>
          <w:rFonts w:hint="eastAsia" w:hAnsi="宋体"/>
          <w:color w:val="auto"/>
          <w:sz w:val="24"/>
          <w:szCs w:val="24"/>
          <w:highlight w:val="none"/>
        </w:rPr>
        <w:t>⑤</w:t>
      </w:r>
      <w:r>
        <w:rPr>
          <w:rFonts w:hAnsi="宋体"/>
          <w:snapToGrid w:val="0"/>
          <w:color w:val="auto"/>
          <w:spacing w:val="-16"/>
          <w:kern w:val="21"/>
          <w:sz w:val="24"/>
          <w:szCs w:val="24"/>
          <w:highlight w:val="none"/>
        </w:rPr>
        <w:fldChar w:fldCharType="end"/>
      </w:r>
      <w:r>
        <w:rPr>
          <w:rFonts w:hAnsi="宋体"/>
          <w:snapToGrid w:val="0"/>
          <w:color w:val="auto"/>
          <w:spacing w:val="-16"/>
          <w:kern w:val="21"/>
          <w:sz w:val="24"/>
          <w:szCs w:val="24"/>
          <w:highlight w:val="none"/>
        </w:rPr>
        <w:t>；</w:t>
      </w:r>
      <w:r>
        <w:rPr>
          <w:rFonts w:hAnsi="宋体"/>
          <w:snapToGrid w:val="0"/>
          <w:color w:val="auto"/>
          <w:spacing w:val="-6"/>
          <w:kern w:val="21"/>
          <w:sz w:val="24"/>
          <w:szCs w:val="24"/>
          <w:highlight w:val="none"/>
        </w:rPr>
        <w:fldChar w:fldCharType="begin"/>
      </w:r>
      <w:r>
        <w:rPr>
          <w:rFonts w:hAnsi="宋体"/>
          <w:snapToGrid w:val="0"/>
          <w:color w:val="auto"/>
          <w:spacing w:val="-6"/>
          <w:kern w:val="21"/>
          <w:sz w:val="24"/>
          <w:szCs w:val="24"/>
          <w:highlight w:val="none"/>
        </w:rPr>
        <w:instrText xml:space="preserve"> = 7 \* GB3 \* MERGEFORMAT </w:instrText>
      </w:r>
      <w:r>
        <w:rPr>
          <w:rFonts w:hAnsi="宋体"/>
          <w:snapToGrid w:val="0"/>
          <w:color w:val="auto"/>
          <w:spacing w:val="-6"/>
          <w:kern w:val="21"/>
          <w:sz w:val="24"/>
          <w:szCs w:val="24"/>
          <w:highlight w:val="none"/>
        </w:rPr>
        <w:fldChar w:fldCharType="separate"/>
      </w:r>
      <w:r>
        <w:rPr>
          <w:rFonts w:hint="eastAsia" w:hAnsi="宋体"/>
          <w:color w:val="auto"/>
          <w:sz w:val="24"/>
          <w:szCs w:val="24"/>
          <w:highlight w:val="none"/>
        </w:rPr>
        <w:t>⑦</w:t>
      </w:r>
      <w:r>
        <w:rPr>
          <w:rFonts w:hAnsi="宋体"/>
          <w:snapToGrid w:val="0"/>
          <w:color w:val="auto"/>
          <w:spacing w:val="-6"/>
          <w:kern w:val="21"/>
          <w:sz w:val="24"/>
          <w:szCs w:val="24"/>
          <w:highlight w:val="none"/>
        </w:rPr>
        <w:fldChar w:fldCharType="end"/>
      </w:r>
      <w:r>
        <w:rPr>
          <w:rFonts w:hAnsi="宋体"/>
          <w:snapToGrid w:val="0"/>
          <w:color w:val="auto"/>
          <w:spacing w:val="-6"/>
          <w:kern w:val="21"/>
          <w:sz w:val="24"/>
          <w:szCs w:val="24"/>
          <w:highlight w:val="none"/>
        </w:rPr>
        <w:t>=</w:t>
      </w:r>
      <w:r>
        <w:rPr>
          <w:rFonts w:hAnsi="宋体"/>
          <w:snapToGrid w:val="0"/>
          <w:color w:val="auto"/>
          <w:spacing w:val="-16"/>
          <w:kern w:val="21"/>
          <w:sz w:val="24"/>
          <w:szCs w:val="24"/>
          <w:highlight w:val="none"/>
        </w:rPr>
        <w:fldChar w:fldCharType="begin"/>
      </w:r>
      <w:r>
        <w:rPr>
          <w:rFonts w:hAnsi="宋体"/>
          <w:snapToGrid w:val="0"/>
          <w:color w:val="auto"/>
          <w:spacing w:val="-16"/>
          <w:kern w:val="21"/>
          <w:sz w:val="24"/>
          <w:szCs w:val="24"/>
          <w:highlight w:val="none"/>
        </w:rPr>
        <w:instrText xml:space="preserve"> = 6 \* GB3 \* MERGEFORMAT </w:instrText>
      </w:r>
      <w:r>
        <w:rPr>
          <w:rFonts w:hAnsi="宋体"/>
          <w:snapToGrid w:val="0"/>
          <w:color w:val="auto"/>
          <w:spacing w:val="-16"/>
          <w:kern w:val="21"/>
          <w:sz w:val="24"/>
          <w:szCs w:val="24"/>
          <w:highlight w:val="none"/>
        </w:rPr>
        <w:fldChar w:fldCharType="separate"/>
      </w:r>
      <w:r>
        <w:rPr>
          <w:rFonts w:hint="eastAsia" w:hAnsi="宋体"/>
          <w:color w:val="auto"/>
          <w:sz w:val="24"/>
          <w:szCs w:val="24"/>
          <w:highlight w:val="none"/>
        </w:rPr>
        <w:t>⑥</w:t>
      </w:r>
      <w:r>
        <w:rPr>
          <w:rFonts w:hAnsi="宋体"/>
          <w:snapToGrid w:val="0"/>
          <w:color w:val="auto"/>
          <w:spacing w:val="-16"/>
          <w:kern w:val="21"/>
          <w:sz w:val="24"/>
          <w:szCs w:val="24"/>
          <w:highlight w:val="none"/>
        </w:rPr>
        <w:fldChar w:fldCharType="end"/>
      </w:r>
      <w:r>
        <w:rPr>
          <w:rFonts w:hAnsi="宋体"/>
          <w:snapToGrid w:val="0"/>
          <w:color w:val="auto"/>
          <w:spacing w:val="-16"/>
          <w:kern w:val="21"/>
          <w:sz w:val="24"/>
          <w:szCs w:val="24"/>
          <w:highlight w:val="none"/>
        </w:rPr>
        <w:t>-</w:t>
      </w:r>
      <w:r>
        <w:rPr>
          <w:rFonts w:hAnsi="宋体"/>
          <w:snapToGrid w:val="0"/>
          <w:color w:val="auto"/>
          <w:spacing w:val="-6"/>
          <w:kern w:val="21"/>
          <w:sz w:val="24"/>
          <w:szCs w:val="24"/>
          <w:highlight w:val="none"/>
        </w:rPr>
        <w:fldChar w:fldCharType="begin"/>
      </w:r>
      <w:r>
        <w:rPr>
          <w:rFonts w:hAnsi="宋体"/>
          <w:snapToGrid w:val="0"/>
          <w:color w:val="auto"/>
          <w:spacing w:val="-6"/>
          <w:kern w:val="21"/>
          <w:sz w:val="24"/>
          <w:szCs w:val="24"/>
          <w:highlight w:val="none"/>
        </w:rPr>
        <w:instrText xml:space="preserve"> = 1 \* GB3 \* MERGEFORMAT </w:instrText>
      </w:r>
      <w:r>
        <w:rPr>
          <w:rFonts w:hAnsi="宋体"/>
          <w:snapToGrid w:val="0"/>
          <w:color w:val="auto"/>
          <w:spacing w:val="-6"/>
          <w:kern w:val="21"/>
          <w:sz w:val="24"/>
          <w:szCs w:val="24"/>
          <w:highlight w:val="none"/>
        </w:rPr>
        <w:fldChar w:fldCharType="separate"/>
      </w:r>
      <w:r>
        <w:rPr>
          <w:rFonts w:hint="eastAsia" w:hAnsi="宋体"/>
          <w:color w:val="auto"/>
          <w:sz w:val="24"/>
          <w:szCs w:val="24"/>
          <w:highlight w:val="none"/>
        </w:rPr>
        <w:t>①</w:t>
      </w:r>
      <w:r>
        <w:rPr>
          <w:rFonts w:hAnsi="宋体"/>
          <w:snapToGrid w:val="0"/>
          <w:color w:val="auto"/>
          <w:spacing w:val="-6"/>
          <w:kern w:val="21"/>
          <w:sz w:val="24"/>
          <w:szCs w:val="24"/>
          <w:highlight w:val="none"/>
        </w:rPr>
        <w:fldChar w:fldCharType="end"/>
      </w:r>
    </w:p>
    <w:bookmarkEnd w:id="11"/>
    <w:sectPr>
      <w:footerReference r:id="rId10"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32" w:charSpace="0"/>
    </w:sectPr>
  </w:body>
</w:document>
</file>

<file path=word/customizations.xml><?xml version="1.0" encoding="utf-8"?>
<wne:tcg xmlns:r="http://schemas.openxmlformats.org/officeDocument/2006/relationships" xmlns:wne="http://schemas.microsoft.com/office/word/2006/wordml">
  <wne:keymaps>
    <wne:keymap wne:kcmPrimary="0234">
      <wne:acd wne:acdName="acd0"/>
    </wne:keymap>
  </wne:keymaps>
  <wne:acds>
    <wne:acd wne:argValue="AQAAAAE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D42A77-D72E-4B2D-A49B-47639FBEC3D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C762B9FD-F860-4ED5-80ED-2FE4539F22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仿宋_GB2312">
    <w:altName w:val="仿宋"/>
    <w:panose1 w:val="02000000000000000000"/>
    <w:charset w:val="86"/>
    <w:family w:val="auto"/>
    <w:pitch w:val="default"/>
    <w:sig w:usb0="00000000" w:usb1="00000000" w:usb2="00000012" w:usb3="00000000" w:csb0="00040001" w:csb1="00000000"/>
    <w:embedRegular r:id="rId3" w:fontKey="{CACB1859-B00A-40DA-8D79-BF0EDCE02574}"/>
  </w:font>
  <w:font w:name="MingLiU-ExtB">
    <w:panose1 w:val="02020500000000000000"/>
    <w:charset w:val="88"/>
    <w:family w:val="auto"/>
    <w:pitch w:val="default"/>
    <w:sig w:usb0="8000002F" w:usb1="02000008" w:usb2="00000000" w:usb3="00000000" w:csb0="00100001" w:csb1="00000000"/>
  </w:font>
  <w:font w:name="Mongolian Baiti">
    <w:panose1 w:val="03000500000000000000"/>
    <w:charset w:val="00"/>
    <w:family w:val="auto"/>
    <w:pitch w:val="default"/>
    <w:sig w:usb0="80000023" w:usb1="00000000" w:usb2="00020000" w:usb3="00000000" w:csb0="00000001" w:csb1="00000000"/>
  </w:font>
  <w:font w:name="方正小标宋_GBK">
    <w:altName w:val="微软雅黑"/>
    <w:panose1 w:val="02000000000000000000"/>
    <w:charset w:val="86"/>
    <w:family w:val="script"/>
    <w:pitch w:val="default"/>
    <w:sig w:usb0="00000000" w:usb1="00000000" w:usb2="00082016" w:usb3="00000000" w:csb0="00040001" w:csb1="00000000"/>
    <w:embedRegular r:id="rId4" w:fontKey="{9F0FE081-F20C-40DA-A3CA-0E28FA01AE2B}"/>
  </w:font>
  <w:font w:name="方正楷体_GB2312">
    <w:altName w:val="宋体"/>
    <w:panose1 w:val="02000000000000000000"/>
    <w:charset w:val="86"/>
    <w:family w:val="auto"/>
    <w:pitch w:val="default"/>
    <w:sig w:usb0="00000000" w:usb1="00000000" w:usb2="00000012" w:usb3="00000000" w:csb0="00040001" w:csb1="00000000"/>
    <w:embedRegular r:id="rId5" w:fontKey="{94D487AC-320B-4B25-907D-350310F068BB}"/>
  </w:font>
  <w:font w:name="华文仿宋">
    <w:panose1 w:val="02010600040101010101"/>
    <w:charset w:val="86"/>
    <w:family w:val="auto"/>
    <w:pitch w:val="default"/>
    <w:sig w:usb0="00000287" w:usb1="080F0000" w:usb2="00000000" w:usb3="00000000" w:csb0="0004009F" w:csb1="DFD70000"/>
    <w:embedRegular r:id="rId6" w:fontKey="{33C56B64-99F4-4F1A-9562-AF55C1AE52C1}"/>
  </w:font>
  <w:font w:name="仿宋">
    <w:panose1 w:val="02010609060101010101"/>
    <w:charset w:val="86"/>
    <w:family w:val="auto"/>
    <w:pitch w:val="default"/>
    <w:sig w:usb0="800002BF" w:usb1="38CF7CFA" w:usb2="00000016" w:usb3="00000000" w:csb0="00040001" w:csb1="00000000"/>
    <w:embedRegular r:id="rId7" w:fontKey="{F262AC7B-9525-42B2-BCB6-F766F6B131E8}"/>
  </w:font>
  <w:font w:name="Helvetica">
    <w:altName w:val="Arial"/>
    <w:panose1 w:val="00000000000000000000"/>
    <w:charset w:val="00"/>
    <w:family w:val="auto"/>
    <w:pitch w:val="default"/>
    <w:sig w:usb0="00000000" w:usb1="00000000" w:usb2="00000000" w:usb3="00000000" w:csb0="00000000" w:csb1="00000000"/>
    <w:embedRegular r:id="rId8" w:fontKey="{BA61CBF1-D483-49B9-8A45-6E9CA7DA6EE1}"/>
  </w:font>
  <w:font w:name="Tahoma">
    <w:panose1 w:val="020B0604030504040204"/>
    <w:charset w:val="00"/>
    <w:family w:val="swiss"/>
    <w:pitch w:val="default"/>
    <w:sig w:usb0="E1002EFF" w:usb1="C000605B" w:usb2="00000029" w:usb3="00000000" w:csb0="200101FF" w:csb1="20280000"/>
    <w:embedRegular r:id="rId9" w:fontKey="{30F95F64-DFE9-4909-8A5B-49B0D68C17DC}"/>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end"/>
    </w:r>
  </w:p>
  <w:p>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54FC9"/>
    <w:multiLevelType w:val="singleLevel"/>
    <w:tmpl w:val="A9354FC9"/>
    <w:lvl w:ilvl="0" w:tentative="0">
      <w:start w:val="1"/>
      <w:numFmt w:val="chineseCounting"/>
      <w:suff w:val="nothing"/>
      <w:lvlText w:val="%1、"/>
      <w:lvlJc w:val="left"/>
      <w:rPr>
        <w:rFonts w:hint="eastAsia"/>
      </w:rPr>
    </w:lvl>
  </w:abstractNum>
  <w:abstractNum w:abstractNumId="1">
    <w:nsid w:val="A9FC3EC4"/>
    <w:multiLevelType w:val="singleLevel"/>
    <w:tmpl w:val="A9FC3EC4"/>
    <w:lvl w:ilvl="0" w:tentative="0">
      <w:start w:val="1"/>
      <w:numFmt w:val="decimal"/>
      <w:suff w:val="nothing"/>
      <w:lvlText w:val="%1"/>
      <w:lvlJc w:val="left"/>
      <w:pPr>
        <w:ind w:left="0" w:firstLine="0"/>
      </w:pPr>
      <w:rPr>
        <w:rFonts w:hint="default"/>
      </w:rPr>
    </w:lvl>
  </w:abstractNum>
  <w:abstractNum w:abstractNumId="2">
    <w:nsid w:val="AB102A1F"/>
    <w:multiLevelType w:val="singleLevel"/>
    <w:tmpl w:val="AB102A1F"/>
    <w:lvl w:ilvl="0" w:tentative="0">
      <w:start w:val="1"/>
      <w:numFmt w:val="decimal"/>
      <w:suff w:val="space"/>
      <w:lvlText w:val="（%1）"/>
      <w:lvlJc w:val="left"/>
    </w:lvl>
  </w:abstractNum>
  <w:abstractNum w:abstractNumId="3">
    <w:nsid w:val="ACEA947B"/>
    <w:multiLevelType w:val="singleLevel"/>
    <w:tmpl w:val="ACEA947B"/>
    <w:lvl w:ilvl="0" w:tentative="0">
      <w:start w:val="1"/>
      <w:numFmt w:val="decimal"/>
      <w:suff w:val="nothing"/>
      <w:lvlText w:val="%1"/>
      <w:lvlJc w:val="center"/>
      <w:pPr>
        <w:ind w:left="0" w:firstLine="0"/>
      </w:pPr>
      <w:rPr>
        <w:rFonts w:hint="default"/>
      </w:rPr>
    </w:lvl>
  </w:abstractNum>
  <w:abstractNum w:abstractNumId="4">
    <w:nsid w:val="AD77945B"/>
    <w:multiLevelType w:val="singleLevel"/>
    <w:tmpl w:val="AD77945B"/>
    <w:lvl w:ilvl="0" w:tentative="0">
      <w:start w:val="1"/>
      <w:numFmt w:val="decimal"/>
      <w:suff w:val="nothing"/>
      <w:lvlText w:val="%1、"/>
      <w:lvlJc w:val="left"/>
    </w:lvl>
  </w:abstractNum>
  <w:abstractNum w:abstractNumId="5">
    <w:nsid w:val="B9F2AD32"/>
    <w:multiLevelType w:val="singleLevel"/>
    <w:tmpl w:val="B9F2AD32"/>
    <w:lvl w:ilvl="0" w:tentative="0">
      <w:start w:val="1"/>
      <w:numFmt w:val="decimal"/>
      <w:suff w:val="nothing"/>
      <w:lvlText w:val="%1、"/>
      <w:lvlJc w:val="left"/>
    </w:lvl>
  </w:abstractNum>
  <w:abstractNum w:abstractNumId="6">
    <w:nsid w:val="BEEA04BF"/>
    <w:multiLevelType w:val="singleLevel"/>
    <w:tmpl w:val="BEEA04BF"/>
    <w:lvl w:ilvl="0" w:tentative="0">
      <w:start w:val="1"/>
      <w:numFmt w:val="decimal"/>
      <w:suff w:val="nothing"/>
      <w:lvlText w:val="%1"/>
      <w:lvlJc w:val="left"/>
      <w:pPr>
        <w:ind w:left="0" w:firstLine="0"/>
      </w:pPr>
      <w:rPr>
        <w:rFonts w:hint="default"/>
      </w:rPr>
    </w:lvl>
  </w:abstractNum>
  <w:abstractNum w:abstractNumId="7">
    <w:nsid w:val="C0FC5786"/>
    <w:multiLevelType w:val="singleLevel"/>
    <w:tmpl w:val="C0FC5786"/>
    <w:lvl w:ilvl="0" w:tentative="0">
      <w:start w:val="1"/>
      <w:numFmt w:val="decimal"/>
      <w:suff w:val="nothing"/>
      <w:lvlText w:val="%1"/>
      <w:lvlJc w:val="center"/>
      <w:pPr>
        <w:tabs>
          <w:tab w:val="left" w:pos="0"/>
        </w:tabs>
        <w:ind w:left="0" w:firstLine="0"/>
      </w:pPr>
      <w:rPr>
        <w:rFonts w:hint="default"/>
      </w:rPr>
    </w:lvl>
  </w:abstractNum>
  <w:abstractNum w:abstractNumId="8">
    <w:nsid w:val="D6DD27D4"/>
    <w:multiLevelType w:val="singleLevel"/>
    <w:tmpl w:val="D6DD27D4"/>
    <w:lvl w:ilvl="0" w:tentative="0">
      <w:start w:val="1"/>
      <w:numFmt w:val="decimal"/>
      <w:suff w:val="nothing"/>
      <w:lvlText w:val="（%1）"/>
      <w:lvlJc w:val="left"/>
    </w:lvl>
  </w:abstractNum>
  <w:abstractNum w:abstractNumId="9">
    <w:nsid w:val="D8B6F00B"/>
    <w:multiLevelType w:val="singleLevel"/>
    <w:tmpl w:val="D8B6F00B"/>
    <w:lvl w:ilvl="0" w:tentative="0">
      <w:start w:val="1"/>
      <w:numFmt w:val="decimal"/>
      <w:suff w:val="nothing"/>
      <w:lvlText w:val="%1"/>
      <w:lvlJc w:val="center"/>
      <w:pPr>
        <w:ind w:left="0" w:firstLine="0"/>
      </w:pPr>
      <w:rPr>
        <w:rFonts w:hint="default"/>
      </w:rPr>
    </w:lvl>
  </w:abstractNum>
  <w:abstractNum w:abstractNumId="10">
    <w:nsid w:val="E24E017C"/>
    <w:multiLevelType w:val="singleLevel"/>
    <w:tmpl w:val="E24E017C"/>
    <w:lvl w:ilvl="0" w:tentative="0">
      <w:start w:val="1"/>
      <w:numFmt w:val="decimal"/>
      <w:suff w:val="nothing"/>
      <w:lvlText w:val="（%1）"/>
      <w:lvlJc w:val="left"/>
    </w:lvl>
  </w:abstractNum>
  <w:abstractNum w:abstractNumId="11">
    <w:nsid w:val="E89D6FB4"/>
    <w:multiLevelType w:val="singleLevel"/>
    <w:tmpl w:val="E89D6FB4"/>
    <w:lvl w:ilvl="0" w:tentative="0">
      <w:start w:val="1"/>
      <w:numFmt w:val="decimal"/>
      <w:suff w:val="nothing"/>
      <w:lvlText w:val="（%1）"/>
      <w:lvlJc w:val="left"/>
    </w:lvl>
  </w:abstractNum>
  <w:abstractNum w:abstractNumId="12">
    <w:nsid w:val="ED2CB751"/>
    <w:multiLevelType w:val="singleLevel"/>
    <w:tmpl w:val="ED2CB751"/>
    <w:lvl w:ilvl="0" w:tentative="0">
      <w:start w:val="1"/>
      <w:numFmt w:val="decimal"/>
      <w:suff w:val="nothing"/>
      <w:lvlText w:val="（%1）"/>
      <w:lvlJc w:val="left"/>
    </w:lvl>
  </w:abstractNum>
  <w:abstractNum w:abstractNumId="13">
    <w:nsid w:val="F0994D42"/>
    <w:multiLevelType w:val="singleLevel"/>
    <w:tmpl w:val="F0994D42"/>
    <w:lvl w:ilvl="0" w:tentative="0">
      <w:start w:val="1"/>
      <w:numFmt w:val="decimal"/>
      <w:suff w:val="nothing"/>
      <w:lvlText w:val="%1"/>
      <w:lvlJc w:val="center"/>
      <w:pPr>
        <w:ind w:left="0" w:firstLine="0"/>
      </w:pPr>
      <w:rPr>
        <w:rFonts w:hint="default"/>
      </w:rPr>
    </w:lvl>
  </w:abstractNum>
  <w:abstractNum w:abstractNumId="14">
    <w:nsid w:val="FAEB9C82"/>
    <w:multiLevelType w:val="singleLevel"/>
    <w:tmpl w:val="FAEB9C82"/>
    <w:lvl w:ilvl="0" w:tentative="0">
      <w:start w:val="1"/>
      <w:numFmt w:val="decimal"/>
      <w:suff w:val="nothing"/>
      <w:lvlText w:val="%1、"/>
      <w:lvlJc w:val="left"/>
    </w:lvl>
  </w:abstractNum>
  <w:abstractNum w:abstractNumId="15">
    <w:nsid w:val="00D09C48"/>
    <w:multiLevelType w:val="singleLevel"/>
    <w:tmpl w:val="00D09C48"/>
    <w:lvl w:ilvl="0" w:tentative="0">
      <w:start w:val="1"/>
      <w:numFmt w:val="decimal"/>
      <w:suff w:val="nothing"/>
      <w:lvlText w:val="%1"/>
      <w:lvlJc w:val="center"/>
      <w:pPr>
        <w:ind w:left="0" w:firstLine="0"/>
      </w:pPr>
      <w:rPr>
        <w:rFonts w:hint="default"/>
      </w:rPr>
    </w:lvl>
  </w:abstractNum>
  <w:abstractNum w:abstractNumId="16">
    <w:nsid w:val="02A023EC"/>
    <w:multiLevelType w:val="singleLevel"/>
    <w:tmpl w:val="02A023EC"/>
    <w:lvl w:ilvl="0" w:tentative="0">
      <w:start w:val="1"/>
      <w:numFmt w:val="decimal"/>
      <w:suff w:val="nothing"/>
      <w:lvlText w:val="（%1）"/>
      <w:lvlJc w:val="left"/>
    </w:lvl>
  </w:abstractNum>
  <w:abstractNum w:abstractNumId="17">
    <w:nsid w:val="1C347AF3"/>
    <w:multiLevelType w:val="singleLevel"/>
    <w:tmpl w:val="1C347AF3"/>
    <w:lvl w:ilvl="0" w:tentative="0">
      <w:start w:val="1"/>
      <w:numFmt w:val="decimal"/>
      <w:suff w:val="nothing"/>
      <w:lvlText w:val="%1"/>
      <w:lvlJc w:val="center"/>
      <w:pPr>
        <w:tabs>
          <w:tab w:val="left" w:pos="0"/>
        </w:tabs>
        <w:ind w:left="0" w:firstLine="0"/>
      </w:pPr>
      <w:rPr>
        <w:rFonts w:hint="default"/>
      </w:rPr>
    </w:lvl>
  </w:abstractNum>
  <w:abstractNum w:abstractNumId="18">
    <w:nsid w:val="37BD50A3"/>
    <w:multiLevelType w:val="singleLevel"/>
    <w:tmpl w:val="37BD50A3"/>
    <w:lvl w:ilvl="0" w:tentative="0">
      <w:start w:val="1"/>
      <w:numFmt w:val="decimal"/>
      <w:suff w:val="nothing"/>
      <w:lvlText w:val="%1"/>
      <w:lvlJc w:val="center"/>
      <w:pPr>
        <w:ind w:left="0" w:firstLine="0"/>
      </w:pPr>
      <w:rPr>
        <w:rFonts w:hint="default"/>
      </w:rPr>
    </w:lvl>
  </w:abstractNum>
  <w:abstractNum w:abstractNumId="19">
    <w:nsid w:val="3B83250E"/>
    <w:multiLevelType w:val="singleLevel"/>
    <w:tmpl w:val="3B83250E"/>
    <w:lvl w:ilvl="0" w:tentative="0">
      <w:start w:val="9"/>
      <w:numFmt w:val="decimal"/>
      <w:suff w:val="nothing"/>
      <w:lvlText w:val="%1、"/>
      <w:lvlJc w:val="left"/>
    </w:lvl>
  </w:abstractNum>
  <w:abstractNum w:abstractNumId="20">
    <w:nsid w:val="489CBCAE"/>
    <w:multiLevelType w:val="singleLevel"/>
    <w:tmpl w:val="489CBCAE"/>
    <w:lvl w:ilvl="0" w:tentative="0">
      <w:start w:val="1"/>
      <w:numFmt w:val="decimal"/>
      <w:suff w:val="nothing"/>
      <w:lvlText w:val="%1"/>
      <w:lvlJc w:val="left"/>
      <w:pPr>
        <w:ind w:left="0" w:firstLine="0"/>
      </w:pPr>
      <w:rPr>
        <w:rFonts w:hint="default"/>
      </w:rPr>
    </w:lvl>
  </w:abstractNum>
  <w:abstractNum w:abstractNumId="21">
    <w:nsid w:val="498B4433"/>
    <w:multiLevelType w:val="singleLevel"/>
    <w:tmpl w:val="498B4433"/>
    <w:lvl w:ilvl="0" w:tentative="0">
      <w:start w:val="1"/>
      <w:numFmt w:val="decimal"/>
      <w:suff w:val="nothing"/>
      <w:lvlText w:val="（%1）"/>
      <w:lvlJc w:val="left"/>
    </w:lvl>
  </w:abstractNum>
  <w:abstractNum w:abstractNumId="22">
    <w:nsid w:val="4C669BF8"/>
    <w:multiLevelType w:val="singleLevel"/>
    <w:tmpl w:val="4C669BF8"/>
    <w:lvl w:ilvl="0" w:tentative="0">
      <w:start w:val="1"/>
      <w:numFmt w:val="decimal"/>
      <w:suff w:val="nothing"/>
      <w:lvlText w:val="%1、"/>
      <w:lvlJc w:val="left"/>
    </w:lvl>
  </w:abstractNum>
  <w:abstractNum w:abstractNumId="23">
    <w:nsid w:val="63377093"/>
    <w:multiLevelType w:val="singleLevel"/>
    <w:tmpl w:val="63377093"/>
    <w:lvl w:ilvl="0" w:tentative="0">
      <w:start w:val="1"/>
      <w:numFmt w:val="decimal"/>
      <w:suff w:val="nothing"/>
      <w:lvlText w:val="%1"/>
      <w:lvlJc w:val="center"/>
      <w:pPr>
        <w:ind w:left="0" w:firstLine="0"/>
      </w:pPr>
      <w:rPr>
        <w:rFonts w:hint="default"/>
      </w:rPr>
    </w:lvl>
  </w:abstractNum>
  <w:abstractNum w:abstractNumId="24">
    <w:nsid w:val="6E7D5672"/>
    <w:multiLevelType w:val="singleLevel"/>
    <w:tmpl w:val="6E7D5672"/>
    <w:lvl w:ilvl="0" w:tentative="0">
      <w:start w:val="1"/>
      <w:numFmt w:val="decimal"/>
      <w:suff w:val="nothing"/>
      <w:lvlText w:val="%1"/>
      <w:lvlJc w:val="center"/>
      <w:pPr>
        <w:ind w:left="0" w:firstLine="0"/>
      </w:pPr>
      <w:rPr>
        <w:rFonts w:hint="default"/>
      </w:rPr>
    </w:lvl>
  </w:abstractNum>
  <w:abstractNum w:abstractNumId="25">
    <w:nsid w:val="720DF586"/>
    <w:multiLevelType w:val="singleLevel"/>
    <w:tmpl w:val="720DF586"/>
    <w:lvl w:ilvl="0" w:tentative="0">
      <w:start w:val="1"/>
      <w:numFmt w:val="decimal"/>
      <w:suff w:val="nothing"/>
      <w:lvlText w:val="%1"/>
      <w:lvlJc w:val="center"/>
      <w:pPr>
        <w:ind w:left="0" w:firstLine="0"/>
      </w:pPr>
      <w:rPr>
        <w:rFonts w:hint="default"/>
      </w:rPr>
    </w:lvl>
  </w:abstractNum>
  <w:abstractNum w:abstractNumId="26">
    <w:nsid w:val="783E6DD8"/>
    <w:multiLevelType w:val="singleLevel"/>
    <w:tmpl w:val="783E6DD8"/>
    <w:lvl w:ilvl="0" w:tentative="0">
      <w:start w:val="2"/>
      <w:numFmt w:val="decimal"/>
      <w:suff w:val="nothing"/>
      <w:lvlText w:val="%1、"/>
      <w:lvlJc w:val="left"/>
    </w:lvl>
  </w:abstractNum>
  <w:abstractNum w:abstractNumId="27">
    <w:nsid w:val="797982E5"/>
    <w:multiLevelType w:val="singleLevel"/>
    <w:tmpl w:val="797982E5"/>
    <w:lvl w:ilvl="0" w:tentative="0">
      <w:start w:val="1"/>
      <w:numFmt w:val="decimal"/>
      <w:suff w:val="nothing"/>
      <w:lvlText w:val="%1"/>
      <w:lvlJc w:val="center"/>
      <w:pPr>
        <w:tabs>
          <w:tab w:val="left" w:pos="0"/>
        </w:tabs>
        <w:ind w:left="0" w:firstLine="0"/>
      </w:pPr>
      <w:rPr>
        <w:rFonts w:hint="default"/>
      </w:rPr>
    </w:lvl>
  </w:abstractNum>
  <w:abstractNum w:abstractNumId="28">
    <w:nsid w:val="7BFE5583"/>
    <w:multiLevelType w:val="singleLevel"/>
    <w:tmpl w:val="7BFE5583"/>
    <w:lvl w:ilvl="0" w:tentative="0">
      <w:start w:val="1"/>
      <w:numFmt w:val="decimal"/>
      <w:suff w:val="nothing"/>
      <w:lvlText w:val="（%1）"/>
      <w:lvlJc w:val="left"/>
    </w:lvl>
  </w:abstractNum>
  <w:num w:numId="1">
    <w:abstractNumId w:val="13"/>
  </w:num>
  <w:num w:numId="2">
    <w:abstractNumId w:val="9"/>
  </w:num>
  <w:num w:numId="3">
    <w:abstractNumId w:val="3"/>
  </w:num>
  <w:num w:numId="4">
    <w:abstractNumId w:val="0"/>
  </w:num>
  <w:num w:numId="5">
    <w:abstractNumId w:val="18"/>
  </w:num>
  <w:num w:numId="6">
    <w:abstractNumId w:val="21"/>
  </w:num>
  <w:num w:numId="7">
    <w:abstractNumId w:val="7"/>
  </w:num>
  <w:num w:numId="8">
    <w:abstractNumId w:val="1"/>
  </w:num>
  <w:num w:numId="9">
    <w:abstractNumId w:val="19"/>
  </w:num>
  <w:num w:numId="10">
    <w:abstractNumId w:val="27"/>
  </w:num>
  <w:num w:numId="11">
    <w:abstractNumId w:val="6"/>
  </w:num>
  <w:num w:numId="12">
    <w:abstractNumId w:val="12"/>
  </w:num>
  <w:num w:numId="13">
    <w:abstractNumId w:val="24"/>
  </w:num>
  <w:num w:numId="14">
    <w:abstractNumId w:val="14"/>
  </w:num>
  <w:num w:numId="15">
    <w:abstractNumId w:val="11"/>
  </w:num>
  <w:num w:numId="16">
    <w:abstractNumId w:val="17"/>
  </w:num>
  <w:num w:numId="17">
    <w:abstractNumId w:val="10"/>
  </w:num>
  <w:num w:numId="18">
    <w:abstractNumId w:val="20"/>
  </w:num>
  <w:num w:numId="19">
    <w:abstractNumId w:val="26"/>
  </w:num>
  <w:num w:numId="20">
    <w:abstractNumId w:val="16"/>
  </w:num>
  <w:num w:numId="21">
    <w:abstractNumId w:val="23"/>
  </w:num>
  <w:num w:numId="22">
    <w:abstractNumId w:val="2"/>
  </w:num>
  <w:num w:numId="23">
    <w:abstractNumId w:val="25"/>
  </w:num>
  <w:num w:numId="24">
    <w:abstractNumId w:val="8"/>
  </w:num>
  <w:num w:numId="25">
    <w:abstractNumId w:val="15"/>
  </w:num>
  <w:num w:numId="26">
    <w:abstractNumId w:val="4"/>
  </w:num>
  <w:num w:numId="27">
    <w:abstractNumId w:val="5"/>
  </w:num>
  <w:num w:numId="28">
    <w:abstractNumId w:val="22"/>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2ZWRmNjk0ODg1ZWNjODdiZDc1Nzk3YWZjMjJjYjQifQ=="/>
  </w:docVars>
  <w:rsids>
    <w:rsidRoot w:val="00172A27"/>
    <w:rsid w:val="00030949"/>
    <w:rsid w:val="009B355F"/>
    <w:rsid w:val="00B8054C"/>
    <w:rsid w:val="01132487"/>
    <w:rsid w:val="01434D86"/>
    <w:rsid w:val="0185585A"/>
    <w:rsid w:val="025748EB"/>
    <w:rsid w:val="02A62EC4"/>
    <w:rsid w:val="033B4771"/>
    <w:rsid w:val="04252CCB"/>
    <w:rsid w:val="04A638B6"/>
    <w:rsid w:val="056573ED"/>
    <w:rsid w:val="05684900"/>
    <w:rsid w:val="05D03CDA"/>
    <w:rsid w:val="06527E3F"/>
    <w:rsid w:val="07047BAA"/>
    <w:rsid w:val="072C0AE2"/>
    <w:rsid w:val="079A2E68"/>
    <w:rsid w:val="07D9675F"/>
    <w:rsid w:val="086F3736"/>
    <w:rsid w:val="091869FC"/>
    <w:rsid w:val="0AA277E2"/>
    <w:rsid w:val="0AAC3655"/>
    <w:rsid w:val="0AED6546"/>
    <w:rsid w:val="0B651D82"/>
    <w:rsid w:val="0B665C11"/>
    <w:rsid w:val="0BBE689D"/>
    <w:rsid w:val="0C8673E2"/>
    <w:rsid w:val="0D223D2F"/>
    <w:rsid w:val="0DD647C1"/>
    <w:rsid w:val="0E08358A"/>
    <w:rsid w:val="0E771499"/>
    <w:rsid w:val="0EFB1F28"/>
    <w:rsid w:val="0F44306D"/>
    <w:rsid w:val="0F8B657D"/>
    <w:rsid w:val="10DE6565"/>
    <w:rsid w:val="136431B9"/>
    <w:rsid w:val="142A6266"/>
    <w:rsid w:val="146E242D"/>
    <w:rsid w:val="155A49F4"/>
    <w:rsid w:val="156C7AB7"/>
    <w:rsid w:val="15742549"/>
    <w:rsid w:val="1649051E"/>
    <w:rsid w:val="16CE2667"/>
    <w:rsid w:val="19550115"/>
    <w:rsid w:val="197770A2"/>
    <w:rsid w:val="19FC7EF9"/>
    <w:rsid w:val="1A710DAC"/>
    <w:rsid w:val="1B082593"/>
    <w:rsid w:val="1B323CF2"/>
    <w:rsid w:val="1B3D4C27"/>
    <w:rsid w:val="1CF33F38"/>
    <w:rsid w:val="1D337892"/>
    <w:rsid w:val="1E207B14"/>
    <w:rsid w:val="1E3C1A9B"/>
    <w:rsid w:val="1EB346EC"/>
    <w:rsid w:val="1F8E5386"/>
    <w:rsid w:val="1FCD6C57"/>
    <w:rsid w:val="21057313"/>
    <w:rsid w:val="211D17A3"/>
    <w:rsid w:val="22951B03"/>
    <w:rsid w:val="22B64E26"/>
    <w:rsid w:val="22CE01C8"/>
    <w:rsid w:val="23040886"/>
    <w:rsid w:val="234869D6"/>
    <w:rsid w:val="239A6F0C"/>
    <w:rsid w:val="23AA0FC1"/>
    <w:rsid w:val="246317C4"/>
    <w:rsid w:val="24DE4D82"/>
    <w:rsid w:val="25B46E19"/>
    <w:rsid w:val="2626575D"/>
    <w:rsid w:val="2773355F"/>
    <w:rsid w:val="27B4507C"/>
    <w:rsid w:val="27D05336"/>
    <w:rsid w:val="28536270"/>
    <w:rsid w:val="289301D4"/>
    <w:rsid w:val="28C54AA9"/>
    <w:rsid w:val="29036AA8"/>
    <w:rsid w:val="29E6481D"/>
    <w:rsid w:val="2A087B86"/>
    <w:rsid w:val="2A2F10F1"/>
    <w:rsid w:val="2A4E7920"/>
    <w:rsid w:val="2A7D0251"/>
    <w:rsid w:val="2AA52623"/>
    <w:rsid w:val="2CB92C37"/>
    <w:rsid w:val="2D4B32EB"/>
    <w:rsid w:val="2DA67FD9"/>
    <w:rsid w:val="2F0864DE"/>
    <w:rsid w:val="30011ADE"/>
    <w:rsid w:val="302E44B1"/>
    <w:rsid w:val="303F598D"/>
    <w:rsid w:val="30B654E5"/>
    <w:rsid w:val="30E103D8"/>
    <w:rsid w:val="319C756B"/>
    <w:rsid w:val="31CF63D5"/>
    <w:rsid w:val="31D73965"/>
    <w:rsid w:val="327A0409"/>
    <w:rsid w:val="33DC5A1E"/>
    <w:rsid w:val="33F355A7"/>
    <w:rsid w:val="36530A1D"/>
    <w:rsid w:val="3741474B"/>
    <w:rsid w:val="381103EC"/>
    <w:rsid w:val="38C64053"/>
    <w:rsid w:val="39503CA7"/>
    <w:rsid w:val="3A506C0B"/>
    <w:rsid w:val="3A5F2BFC"/>
    <w:rsid w:val="3A922B1F"/>
    <w:rsid w:val="3B701F79"/>
    <w:rsid w:val="3B7C351E"/>
    <w:rsid w:val="3C4D7B37"/>
    <w:rsid w:val="3D703B9C"/>
    <w:rsid w:val="3E6E6B3A"/>
    <w:rsid w:val="3FA330D9"/>
    <w:rsid w:val="3FE57016"/>
    <w:rsid w:val="40271F5C"/>
    <w:rsid w:val="41C9423C"/>
    <w:rsid w:val="42122497"/>
    <w:rsid w:val="42E91F47"/>
    <w:rsid w:val="43973655"/>
    <w:rsid w:val="43CF4292"/>
    <w:rsid w:val="43D97317"/>
    <w:rsid w:val="43E155C1"/>
    <w:rsid w:val="4454646F"/>
    <w:rsid w:val="44B22FFE"/>
    <w:rsid w:val="452A5A41"/>
    <w:rsid w:val="455240A4"/>
    <w:rsid w:val="45A2059F"/>
    <w:rsid w:val="466E48FD"/>
    <w:rsid w:val="46FF1632"/>
    <w:rsid w:val="4707066E"/>
    <w:rsid w:val="4835100A"/>
    <w:rsid w:val="483677A3"/>
    <w:rsid w:val="48AC1EA8"/>
    <w:rsid w:val="496B2759"/>
    <w:rsid w:val="4B2C74CD"/>
    <w:rsid w:val="4B3E5D43"/>
    <w:rsid w:val="4DEE7539"/>
    <w:rsid w:val="4DF947DC"/>
    <w:rsid w:val="4E5B57DC"/>
    <w:rsid w:val="4E834801"/>
    <w:rsid w:val="4F876AE8"/>
    <w:rsid w:val="4F960564"/>
    <w:rsid w:val="51285911"/>
    <w:rsid w:val="517B6D7D"/>
    <w:rsid w:val="51A210EC"/>
    <w:rsid w:val="51EC0059"/>
    <w:rsid w:val="51EC2961"/>
    <w:rsid w:val="51F23455"/>
    <w:rsid w:val="51FB60DD"/>
    <w:rsid w:val="52CB3B04"/>
    <w:rsid w:val="540A762E"/>
    <w:rsid w:val="54D27205"/>
    <w:rsid w:val="54DA0A47"/>
    <w:rsid w:val="54E77107"/>
    <w:rsid w:val="563D1EF0"/>
    <w:rsid w:val="56F65728"/>
    <w:rsid w:val="572E240C"/>
    <w:rsid w:val="5836528E"/>
    <w:rsid w:val="589545FC"/>
    <w:rsid w:val="58CD6C76"/>
    <w:rsid w:val="59FE5BB4"/>
    <w:rsid w:val="5A9903E0"/>
    <w:rsid w:val="5A9A581B"/>
    <w:rsid w:val="5AF30001"/>
    <w:rsid w:val="5B9A5BB0"/>
    <w:rsid w:val="5C1D0259"/>
    <w:rsid w:val="5C7A1768"/>
    <w:rsid w:val="5CED68A4"/>
    <w:rsid w:val="5D21162B"/>
    <w:rsid w:val="5DA96B27"/>
    <w:rsid w:val="5E036BBE"/>
    <w:rsid w:val="5EAC1C1D"/>
    <w:rsid w:val="5F252A61"/>
    <w:rsid w:val="6148654C"/>
    <w:rsid w:val="61881C66"/>
    <w:rsid w:val="61BC738A"/>
    <w:rsid w:val="627127F7"/>
    <w:rsid w:val="62A35638"/>
    <w:rsid w:val="630006BE"/>
    <w:rsid w:val="632F30CD"/>
    <w:rsid w:val="66097C7D"/>
    <w:rsid w:val="66D234DE"/>
    <w:rsid w:val="68150593"/>
    <w:rsid w:val="690600B1"/>
    <w:rsid w:val="6ADE7048"/>
    <w:rsid w:val="6B105BD0"/>
    <w:rsid w:val="6D7915E1"/>
    <w:rsid w:val="70046504"/>
    <w:rsid w:val="70D8386D"/>
    <w:rsid w:val="72335600"/>
    <w:rsid w:val="74397A00"/>
    <w:rsid w:val="7477436F"/>
    <w:rsid w:val="756D0C75"/>
    <w:rsid w:val="75940859"/>
    <w:rsid w:val="77262EE7"/>
    <w:rsid w:val="772A3EB7"/>
    <w:rsid w:val="778B39A8"/>
    <w:rsid w:val="79676C9F"/>
    <w:rsid w:val="79BA0862"/>
    <w:rsid w:val="7A7B767D"/>
    <w:rsid w:val="7C59267A"/>
    <w:rsid w:val="7CF143EF"/>
    <w:rsid w:val="7D112B19"/>
    <w:rsid w:val="7DD26AD6"/>
    <w:rsid w:val="7DEB799B"/>
    <w:rsid w:val="7DEC5016"/>
    <w:rsid w:val="7E525FBB"/>
    <w:rsid w:val="7E997ECF"/>
    <w:rsid w:val="7EEF372E"/>
    <w:rsid w:val="7FD23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6"/>
    <w:qFormat/>
    <w:uiPriority w:val="0"/>
    <w:pPr>
      <w:keepNext/>
      <w:keepLines/>
      <w:adjustRightInd w:val="0"/>
      <w:snapToGrid w:val="0"/>
      <w:spacing w:beforeAutospacing="1" w:afterAutospacing="1" w:line="480" w:lineRule="exact"/>
      <w:ind w:firstLine="0" w:firstLineChars="0"/>
      <w:jc w:val="center"/>
      <w:outlineLvl w:val="0"/>
    </w:pPr>
    <w:rPr>
      <w:rFonts w:eastAsia="黑体"/>
      <w:bCs/>
      <w:kern w:val="44"/>
      <w:sz w:val="30"/>
      <w:szCs w:val="30"/>
    </w:rPr>
  </w:style>
  <w:style w:type="paragraph" w:styleId="3">
    <w:name w:val="heading 3"/>
    <w:basedOn w:val="1"/>
    <w:next w:val="1"/>
    <w:unhideWhenUsed/>
    <w:qFormat/>
    <w:uiPriority w:val="0"/>
    <w:pPr>
      <w:keepNext/>
      <w:keepLines/>
      <w:spacing w:before="260" w:after="260" w:line="416" w:lineRule="auto"/>
      <w:outlineLvl w:val="2"/>
    </w:pPr>
    <w:rPr>
      <w:b/>
      <w:bCs/>
      <w:sz w:val="32"/>
      <w:szCs w:val="32"/>
    </w:rPr>
  </w:style>
  <w:style w:type="paragraph" w:styleId="4">
    <w:name w:val="heading 4"/>
    <w:basedOn w:val="5"/>
    <w:next w:val="6"/>
    <w:qFormat/>
    <w:uiPriority w:val="0"/>
    <w:pPr>
      <w:tabs>
        <w:tab w:val="left" w:pos="360"/>
        <w:tab w:val="left" w:pos="2207"/>
      </w:tabs>
      <w:spacing w:line="480" w:lineRule="exact"/>
      <w:ind w:firstLine="0" w:firstLineChars="0"/>
      <w:outlineLvl w:val="3"/>
    </w:pPr>
    <w:rPr>
      <w:rFonts w:ascii="宋体" w:hAnsi="宋体"/>
      <w:b/>
      <w:snapToGrid/>
      <w:color w:val="000000"/>
      <w:sz w:val="24"/>
    </w:rPr>
  </w:style>
  <w:style w:type="paragraph" w:styleId="8">
    <w:name w:val="heading 5"/>
    <w:basedOn w:val="1"/>
    <w:next w:val="1"/>
    <w:unhideWhenUsed/>
    <w:qFormat/>
    <w:uiPriority w:val="0"/>
    <w:pPr>
      <w:keepNext w:val="0"/>
      <w:keepLines w:val="0"/>
      <w:adjustRightInd w:val="0"/>
      <w:snapToGrid w:val="0"/>
      <w:spacing w:beforeLines="0" w:beforeAutospacing="0" w:afterLines="0" w:afterAutospacing="0" w:line="240" w:lineRule="auto"/>
      <w:ind w:firstLine="0" w:firstLineChars="0"/>
      <w:jc w:val="center"/>
      <w:outlineLvl w:val="4"/>
    </w:pPr>
    <w:rPr>
      <w:rFonts w:ascii="Times New Roman" w:hAnsi="Times New Roman"/>
      <w:b/>
      <w:sz w:val="21"/>
      <w:szCs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toc 4"/>
    <w:basedOn w:val="1"/>
    <w:next w:val="1"/>
    <w:qFormat/>
    <w:uiPriority w:val="39"/>
    <w:pPr>
      <w:ind w:left="1260" w:leftChars="600"/>
    </w:pPr>
    <w:rPr>
      <w:szCs w:val="20"/>
    </w:rPr>
  </w:style>
  <w:style w:type="paragraph" w:styleId="6">
    <w:name w:val="Normal Indent"/>
    <w:basedOn w:val="1"/>
    <w:next w:val="7"/>
    <w:qFormat/>
    <w:uiPriority w:val="0"/>
    <w:pPr>
      <w:ind w:firstLine="420" w:firstLineChars="200"/>
    </w:pPr>
    <w:rPr>
      <w:rFonts w:ascii="Times New Roman" w:hAnsi="Times New Roman"/>
      <w:szCs w:val="24"/>
    </w:rPr>
  </w:style>
  <w:style w:type="paragraph" w:styleId="7">
    <w:name w:val="toc 1"/>
    <w:basedOn w:val="1"/>
    <w:next w:val="1"/>
    <w:qFormat/>
    <w:uiPriority w:val="39"/>
    <w:pPr>
      <w:spacing w:line="440" w:lineRule="exact"/>
      <w:ind w:firstLine="0" w:firstLineChars="0"/>
      <w:jc w:val="left"/>
    </w:pPr>
    <w:rPr>
      <w:bCs/>
      <w:caps/>
    </w:rPr>
  </w:style>
  <w:style w:type="paragraph" w:styleId="9">
    <w:name w:val="caption"/>
    <w:basedOn w:val="1"/>
    <w:next w:val="1"/>
    <w:qFormat/>
    <w:uiPriority w:val="35"/>
    <w:pPr>
      <w:spacing w:before="120" w:after="120" w:line="480" w:lineRule="exact"/>
      <w:ind w:firstLine="688" w:firstLineChars="200"/>
      <w:jc w:val="center"/>
    </w:pPr>
    <w:rPr>
      <w:rFonts w:eastAsia="Arial" w:cs="黑体"/>
      <w:sz w:val="24"/>
    </w:rPr>
  </w:style>
  <w:style w:type="paragraph" w:styleId="10">
    <w:name w:val="index 5"/>
    <w:basedOn w:val="1"/>
    <w:next w:val="1"/>
    <w:qFormat/>
    <w:uiPriority w:val="0"/>
    <w:pPr>
      <w:ind w:left="800" w:leftChars="800"/>
    </w:pPr>
  </w:style>
  <w:style w:type="paragraph" w:styleId="11">
    <w:name w:val="annotation text"/>
    <w:basedOn w:val="1"/>
    <w:qFormat/>
    <w:uiPriority w:val="0"/>
    <w:pPr>
      <w:jc w:val="left"/>
    </w:pPr>
  </w:style>
  <w:style w:type="paragraph" w:styleId="12">
    <w:name w:val="Body Text"/>
    <w:basedOn w:val="1"/>
    <w:next w:val="1"/>
    <w:qFormat/>
    <w:uiPriority w:val="0"/>
    <w:pPr>
      <w:widowControl/>
      <w:snapToGrid w:val="0"/>
      <w:spacing w:before="60" w:after="160" w:line="259" w:lineRule="auto"/>
      <w:ind w:right="113"/>
    </w:pPr>
    <w:rPr>
      <w:kern w:val="0"/>
      <w:sz w:val="18"/>
      <w:szCs w:val="20"/>
    </w:rPr>
  </w:style>
  <w:style w:type="paragraph" w:styleId="13">
    <w:name w:val="Body Text Indent"/>
    <w:basedOn w:val="1"/>
    <w:next w:val="9"/>
    <w:qFormat/>
    <w:uiPriority w:val="0"/>
    <w:pPr>
      <w:spacing w:after="120"/>
      <w:ind w:left="420" w:leftChars="200"/>
    </w:pPr>
    <w:rPr>
      <w:kern w:val="0"/>
      <w:sz w:val="24"/>
      <w:szCs w:val="20"/>
    </w:rPr>
  </w:style>
  <w:style w:type="paragraph" w:styleId="14">
    <w:name w:val="Block Text"/>
    <w:basedOn w:val="1"/>
    <w:next w:val="1"/>
    <w:unhideWhenUsed/>
    <w:qFormat/>
    <w:uiPriority w:val="0"/>
    <w:pPr>
      <w:spacing w:after="120"/>
      <w:ind w:left="1440" w:leftChars="700" w:right="1440" w:rightChars="700"/>
    </w:pPr>
  </w:style>
  <w:style w:type="paragraph" w:styleId="15">
    <w:name w:val="Body Text Indent 2"/>
    <w:basedOn w:val="1"/>
    <w:qFormat/>
    <w:uiPriority w:val="0"/>
    <w:pPr>
      <w:spacing w:before="120" w:beforeLines="0"/>
      <w:ind w:right="113" w:firstLine="570"/>
    </w:pPr>
    <w:rPr>
      <w:kern w:val="24"/>
      <w:sz w:val="28"/>
      <w:szCs w:val="20"/>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Subtitle"/>
    <w:basedOn w:val="1"/>
    <w:next w:val="1"/>
    <w:qFormat/>
    <w:uiPriority w:val="0"/>
    <w:pPr>
      <w:ind w:firstLine="0" w:firstLineChars="0"/>
      <w:jc w:val="center"/>
    </w:pPr>
    <w:rPr>
      <w:b/>
      <w:sz w:val="21"/>
    </w:rPr>
  </w:style>
  <w:style w:type="paragraph" w:styleId="19">
    <w:name w:val="HTML Preformatted"/>
    <w:basedOn w:val="1"/>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微软雅黑" w:hAnsi="微软雅黑" w:eastAsia="微软雅黑" w:cs="微软雅黑"/>
      <w:kern w:val="0"/>
      <w:sz w:val="24"/>
      <w:szCs w:val="24"/>
      <w:lang w:val="en-US" w:eastAsia="zh-CN" w:bidi="ar"/>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1">
    <w:name w:val="Body Text First Indent"/>
    <w:basedOn w:val="12"/>
    <w:next w:val="1"/>
    <w:qFormat/>
    <w:uiPriority w:val="0"/>
    <w:pPr>
      <w:ind w:firstLine="420" w:firstLineChars="100"/>
    </w:pPr>
    <w:rPr>
      <w:szCs w:val="24"/>
    </w:rPr>
  </w:style>
  <w:style w:type="paragraph" w:styleId="22">
    <w:name w:val="Body Text First Indent 2"/>
    <w:basedOn w:val="13"/>
    <w:next w:val="2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4"/>
      <w:lang w:val="en-US" w:eastAsia="zh-CN" w:bidi="ar"/>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Emphasis"/>
    <w:basedOn w:val="25"/>
    <w:qFormat/>
    <w:uiPriority w:val="0"/>
    <w:rPr>
      <w:i/>
    </w:rPr>
  </w:style>
  <w:style w:type="character" w:styleId="28">
    <w:name w:val="Hyperlink"/>
    <w:basedOn w:val="25"/>
    <w:qFormat/>
    <w:uiPriority w:val="0"/>
    <w:rPr>
      <w:color w:val="0000FF"/>
      <w:u w:val="single"/>
    </w:rPr>
  </w:style>
  <w:style w:type="paragraph" w:customStyle="1" w:styleId="29">
    <w:name w:val="表头"/>
    <w:basedOn w:val="1"/>
    <w:next w:val="1"/>
    <w:link w:val="48"/>
    <w:qFormat/>
    <w:uiPriority w:val="0"/>
    <w:pPr>
      <w:ind w:firstLine="0" w:firstLineChars="0"/>
      <w:jc w:val="center"/>
    </w:pPr>
    <w:rPr>
      <w:rFonts w:ascii="Times New Roman" w:hAnsi="Times New Roman" w:eastAsia="宋体"/>
      <w:b/>
      <w:sz w:val="21"/>
      <w:szCs w:val="21"/>
    </w:rPr>
  </w:style>
  <w:style w:type="paragraph" w:customStyle="1" w:styleId="30">
    <w:name w:val="表格"/>
    <w:basedOn w:val="31"/>
    <w:next w:val="1"/>
    <w:link w:val="55"/>
    <w:qFormat/>
    <w:uiPriority w:val="0"/>
    <w:pPr>
      <w:spacing w:line="240" w:lineRule="auto"/>
      <w:ind w:left="-48" w:leftChars="-20" w:right="-48" w:rightChars="-20" w:firstLine="0" w:firstLineChars="0"/>
      <w:jc w:val="center"/>
    </w:pPr>
    <w:rPr>
      <w:rFonts w:ascii="Times New Roman" w:hAnsi="Times New Roman" w:eastAsia="宋体"/>
      <w:sz w:val="21"/>
      <w:szCs w:val="21"/>
    </w:rPr>
  </w:style>
  <w:style w:type="paragraph" w:customStyle="1" w:styleId="31">
    <w:name w:val="正文1"/>
    <w:basedOn w:val="1"/>
    <w:next w:val="1"/>
    <w:qFormat/>
    <w:uiPriority w:val="0"/>
    <w:pPr>
      <w:spacing w:before="78" w:after="78" w:line="360" w:lineRule="auto"/>
      <w:ind w:firstLine="480"/>
    </w:pPr>
    <w:rPr>
      <w:kern w:val="1"/>
      <w:sz w:val="24"/>
    </w:rPr>
  </w:style>
  <w:style w:type="paragraph" w:customStyle="1" w:styleId="32">
    <w:name w:val="Default"/>
    <w:basedOn w:val="33"/>
    <w:next w:val="10"/>
    <w:qFormat/>
    <w:uiPriority w:val="0"/>
    <w:pPr>
      <w:widowControl w:val="0"/>
      <w:autoSpaceDE w:val="0"/>
      <w:autoSpaceDN w:val="0"/>
      <w:adjustRightInd w:val="0"/>
    </w:pPr>
    <w:rPr>
      <w:rFonts w:ascii="黑体" w:hAnsi="Times New Roman" w:eastAsia="黑体" w:cs="Times New Roman"/>
      <w:color w:val="000000"/>
      <w:sz w:val="24"/>
      <w:lang w:val="en-US" w:eastAsia="zh-CN" w:bidi="ar-SA"/>
    </w:rPr>
  </w:style>
  <w:style w:type="paragraph" w:customStyle="1" w:styleId="33">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4">
    <w:name w:val="正常格式"/>
    <w:basedOn w:val="35"/>
    <w:qFormat/>
    <w:uiPriority w:val="0"/>
    <w:pPr>
      <w:snapToGrid w:val="0"/>
      <w:spacing w:line="480" w:lineRule="exact"/>
      <w:ind w:firstLine="602"/>
    </w:pPr>
    <w:rPr>
      <w:rFonts w:ascii="Times New Roman" w:hAnsi="Times New Roman" w:eastAsia="方正仿宋_GB2312"/>
      <w:kern w:val="0"/>
      <w:szCs w:val="20"/>
    </w:rPr>
  </w:style>
  <w:style w:type="paragraph" w:customStyle="1" w:styleId="35">
    <w:name w:val="正文2"/>
    <w:basedOn w:val="36"/>
    <w:qFormat/>
    <w:uiPriority w:val="0"/>
    <w:pPr>
      <w:spacing w:line="360" w:lineRule="auto"/>
      <w:ind w:firstLine="480" w:firstLineChars="200"/>
    </w:pPr>
    <w:rPr>
      <w:rFonts w:ascii="宋体" w:hAnsi="宋体"/>
      <w:sz w:val="24"/>
    </w:rPr>
  </w:style>
  <w:style w:type="paragraph" w:customStyle="1" w:styleId="36">
    <w:name w:val="Body Text 22"/>
    <w:qFormat/>
    <w:uiPriority w:val="0"/>
    <w:pPr>
      <w:widowControl w:val="0"/>
      <w:adjustRightInd w:val="0"/>
      <w:spacing w:line="440" w:lineRule="atLeast"/>
      <w:ind w:firstLine="480"/>
      <w:jc w:val="both"/>
      <w:textAlignment w:val="baseline"/>
    </w:pPr>
    <w:rPr>
      <w:rFonts w:ascii="Times New Roman" w:hAnsi="Times New Roman" w:eastAsia="方正仿宋_GB2312" w:cs="Times New Roman"/>
      <w:kern w:val="2"/>
      <w:sz w:val="24"/>
      <w:szCs w:val="22"/>
      <w:lang w:val="en-US" w:eastAsia="zh-CN" w:bidi="ar-SA"/>
    </w:rPr>
  </w:style>
  <w:style w:type="paragraph" w:customStyle="1" w:styleId="37">
    <w:name w:val="封皮"/>
    <w:basedOn w:val="1"/>
    <w:qFormat/>
    <w:uiPriority w:val="0"/>
    <w:pPr>
      <w:spacing w:line="240" w:lineRule="auto"/>
      <w:ind w:firstLine="0" w:firstLineChars="0"/>
      <w:jc w:val="center"/>
    </w:pPr>
    <w:rPr>
      <w:b/>
      <w:sz w:val="72"/>
    </w:rPr>
  </w:style>
  <w:style w:type="paragraph" w:customStyle="1" w:styleId="38">
    <w:name w:val="Table Paragraph"/>
    <w:basedOn w:val="1"/>
    <w:qFormat/>
    <w:uiPriority w:val="1"/>
    <w:pPr>
      <w:autoSpaceDE w:val="0"/>
      <w:autoSpaceDN w:val="0"/>
      <w:adjustRightInd w:val="0"/>
      <w:jc w:val="left"/>
    </w:pPr>
    <w:rPr>
      <w:kern w:val="0"/>
      <w:sz w:val="24"/>
    </w:rPr>
  </w:style>
  <w:style w:type="paragraph" w:styleId="39">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character" w:customStyle="1" w:styleId="40">
    <w:name w:val="正文文本 (2) + 9.5 pt"/>
    <w:qFormat/>
    <w:uiPriority w:val="0"/>
    <w:rPr>
      <w:rFonts w:ascii="MingLiU-ExtB" w:hAnsi="MingLiU-ExtB" w:eastAsia="MingLiU-ExtB" w:cs="MingLiU-ExtB"/>
      <w:color w:val="000000"/>
      <w:spacing w:val="0"/>
      <w:w w:val="100"/>
      <w:position w:val="0"/>
      <w:sz w:val="19"/>
      <w:szCs w:val="19"/>
      <w:u w:val="none"/>
      <w:shd w:val="clear" w:color="auto" w:fill="FFFFFF"/>
      <w:lang w:val="zh-TW" w:eastAsia="zh-TW" w:bidi="zh-TW"/>
    </w:rPr>
  </w:style>
  <w:style w:type="character" w:customStyle="1" w:styleId="41">
    <w:name w:val="正文文本 (2) + AngsanaUPC"/>
    <w:qFormat/>
    <w:uiPriority w:val="0"/>
    <w:rPr>
      <w:rFonts w:ascii="Mongolian Baiti" w:hAnsi="Mongolian Baiti" w:eastAsia="Mongolian Baiti" w:cs="Mongolian Baiti"/>
      <w:color w:val="000000"/>
      <w:spacing w:val="0"/>
      <w:w w:val="100"/>
      <w:position w:val="0"/>
      <w:sz w:val="32"/>
      <w:szCs w:val="32"/>
      <w:u w:val="none"/>
      <w:shd w:val="clear" w:color="auto" w:fill="FFFFFF"/>
      <w:lang w:val="en-US" w:eastAsia="en-US" w:bidi="en-US"/>
    </w:rPr>
  </w:style>
  <w:style w:type="character" w:customStyle="1" w:styleId="42">
    <w:name w:val="font31"/>
    <w:basedOn w:val="25"/>
    <w:qFormat/>
    <w:uiPriority w:val="0"/>
    <w:rPr>
      <w:rFonts w:hint="eastAsia" w:ascii="宋体" w:hAnsi="宋体" w:eastAsia="宋体" w:cs="宋体"/>
      <w:color w:val="000000"/>
      <w:sz w:val="24"/>
      <w:szCs w:val="24"/>
      <w:u w:val="none"/>
    </w:rPr>
  </w:style>
  <w:style w:type="paragraph" w:customStyle="1" w:styleId="43">
    <w:name w:val="列出段落1"/>
    <w:basedOn w:val="1"/>
    <w:qFormat/>
    <w:uiPriority w:val="0"/>
    <w:pPr>
      <w:ind w:firstLine="420" w:firstLineChars="200"/>
    </w:pPr>
    <w:rPr>
      <w:rFonts w:ascii="Calibri" w:hAnsi="Calibri" w:eastAsia="宋体"/>
    </w:rPr>
  </w:style>
  <w:style w:type="paragraph" w:customStyle="1" w:styleId="44">
    <w:name w:val="(.a表格内容"/>
    <w:basedOn w:val="45"/>
    <w:qFormat/>
    <w:uiPriority w:val="0"/>
    <w:pPr>
      <w:spacing w:line="0" w:lineRule="atLeast"/>
      <w:jc w:val="center"/>
    </w:pPr>
    <w:rPr>
      <w:sz w:val="21"/>
    </w:rPr>
  </w:style>
  <w:style w:type="paragraph" w:customStyle="1" w:styleId="45">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46">
    <w:name w:val="我的表格"/>
    <w:basedOn w:val="1"/>
    <w:qFormat/>
    <w:uiPriority w:val="0"/>
    <w:pPr>
      <w:spacing w:line="240" w:lineRule="auto"/>
      <w:ind w:firstLine="0" w:firstLineChars="0"/>
      <w:jc w:val="center"/>
    </w:pPr>
    <w:rPr>
      <w:rFonts w:ascii="Times New Roman" w:hAnsi="Times New Roman"/>
      <w:sz w:val="21"/>
      <w:szCs w:val="21"/>
    </w:rPr>
  </w:style>
  <w:style w:type="paragraph" w:customStyle="1" w:styleId="47">
    <w:name w:val="正文文本 (2)"/>
    <w:qFormat/>
    <w:uiPriority w:val="0"/>
    <w:pPr>
      <w:widowControl w:val="0"/>
      <w:shd w:val="clear" w:color="auto" w:fill="FFFFFF"/>
      <w:spacing w:before="420" w:after="360" w:line="0" w:lineRule="atLeast"/>
      <w:jc w:val="distribute"/>
    </w:pPr>
    <w:rPr>
      <w:rFonts w:ascii="MingLiU-ExtB" w:hAnsi="MingLiU-ExtB" w:eastAsia="MingLiU-ExtB" w:cs="MingLiU-ExtB"/>
      <w:sz w:val="26"/>
      <w:szCs w:val="26"/>
      <w:lang w:val="en-US" w:eastAsia="en-US" w:bidi="en-US"/>
    </w:rPr>
  </w:style>
  <w:style w:type="character" w:customStyle="1" w:styleId="48">
    <w:name w:val="表头 Char"/>
    <w:link w:val="29"/>
    <w:qFormat/>
    <w:uiPriority w:val="0"/>
    <w:rPr>
      <w:rFonts w:ascii="Times New Roman" w:hAnsi="Times New Roman" w:eastAsia="宋体"/>
      <w:b/>
      <w:sz w:val="21"/>
      <w:szCs w:val="21"/>
    </w:rPr>
  </w:style>
  <w:style w:type="paragraph" w:customStyle="1" w:styleId="49">
    <w:name w:val="样式10"/>
    <w:basedOn w:val="35"/>
    <w:qFormat/>
    <w:uiPriority w:val="0"/>
    <w:pPr>
      <w:spacing w:line="480" w:lineRule="exact"/>
      <w:ind w:firstLine="600"/>
    </w:pPr>
  </w:style>
  <w:style w:type="paragraph" w:customStyle="1" w:styleId="50">
    <w:name w:val="样式 正文文字 + 首行缩进:  2 字符 行距: 最小值 24 磅"/>
    <w:basedOn w:val="1"/>
    <w:qFormat/>
    <w:uiPriority w:val="0"/>
    <w:pPr>
      <w:adjustRightInd w:val="0"/>
      <w:snapToGrid w:val="0"/>
      <w:spacing w:line="480" w:lineRule="atLeast"/>
      <w:ind w:firstLine="480" w:firstLineChars="200"/>
    </w:pPr>
    <w:rPr>
      <w:rFonts w:ascii="Times New Roman" w:hAnsi="Times New Roman" w:eastAsia="宋体" w:cs="宋体"/>
      <w:sz w:val="24"/>
      <w:szCs w:val="20"/>
    </w:rPr>
  </w:style>
  <w:style w:type="paragraph" w:customStyle="1" w:styleId="51">
    <w:name w:val="正"/>
    <w:basedOn w:val="1"/>
    <w:qFormat/>
    <w:uiPriority w:val="0"/>
    <w:pPr>
      <w:ind w:firstLine="200"/>
    </w:pPr>
    <w:rPr>
      <w:rFonts w:ascii="Times New Roman" w:hAnsi="Times New Roman" w:eastAsia="宋体" w:cs="Times New Roman"/>
      <w:sz w:val="24"/>
    </w:rPr>
  </w:style>
  <w:style w:type="table" w:customStyle="1" w:styleId="52">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53">
    <w:name w:val="河南表内"/>
    <w:basedOn w:val="1"/>
    <w:qFormat/>
    <w:uiPriority w:val="0"/>
    <w:pPr>
      <w:spacing w:line="360" w:lineRule="exact"/>
      <w:jc w:val="center"/>
    </w:pPr>
    <w:rPr>
      <w:color w:val="000000"/>
      <w:szCs w:val="21"/>
    </w:rPr>
  </w:style>
  <w:style w:type="paragraph" w:customStyle="1" w:styleId="54">
    <w:name w:val="WPSOffice手动目录 1"/>
    <w:qFormat/>
    <w:uiPriority w:val="0"/>
    <w:pPr>
      <w:ind w:leftChars="0"/>
    </w:pPr>
    <w:rPr>
      <w:rFonts w:ascii="Times New Roman" w:hAnsi="Times New Roman" w:eastAsia="宋体" w:cs="Times New Roman"/>
      <w:sz w:val="20"/>
      <w:szCs w:val="20"/>
    </w:rPr>
  </w:style>
  <w:style w:type="character" w:customStyle="1" w:styleId="55">
    <w:name w:val="表格 Char"/>
    <w:link w:val="30"/>
    <w:qFormat/>
    <w:uiPriority w:val="0"/>
    <w:rPr>
      <w:rFonts w:ascii="Times New Roman" w:hAnsi="Times New Roman" w:eastAsia="宋体"/>
      <w:sz w:val="21"/>
      <w:szCs w:val="21"/>
    </w:rPr>
  </w:style>
  <w:style w:type="character" w:customStyle="1" w:styleId="56">
    <w:name w:val="标题 1 Char"/>
    <w:link w:val="2"/>
    <w:qFormat/>
    <w:uiPriority w:val="0"/>
    <w:rPr>
      <w:rFonts w:eastAsia="黑体"/>
      <w:bCs/>
      <w:kern w:val="44"/>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microsoft.com/office/2006/relationships/keyMapCustomizations" Target="customizations.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7.bin"/><Relationship Id="rId27" Type="http://schemas.openxmlformats.org/officeDocument/2006/relationships/image" Target="media/image10.wmf"/><Relationship Id="rId26" Type="http://schemas.openxmlformats.org/officeDocument/2006/relationships/oleObject" Target="embeddings/oleObject6.bin"/><Relationship Id="rId25" Type="http://schemas.openxmlformats.org/officeDocument/2006/relationships/image" Target="media/image9.wmf"/><Relationship Id="rId24" Type="http://schemas.openxmlformats.org/officeDocument/2006/relationships/oleObject" Target="embeddings/oleObject5.bin"/><Relationship Id="rId23" Type="http://schemas.openxmlformats.org/officeDocument/2006/relationships/image" Target="media/image8.wmf"/><Relationship Id="rId22" Type="http://schemas.openxmlformats.org/officeDocument/2006/relationships/oleObject" Target="embeddings/oleObject4.bin"/><Relationship Id="rId21" Type="http://schemas.openxmlformats.org/officeDocument/2006/relationships/image" Target="media/image7.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2.bin"/><Relationship Id="rId17" Type="http://schemas.openxmlformats.org/officeDocument/2006/relationships/image" Target="media/image5.wmf"/><Relationship Id="rId16" Type="http://schemas.openxmlformats.org/officeDocument/2006/relationships/oleObject" Target="embeddings/oleObject1.bin"/><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55890</Words>
  <Characters>62770</Characters>
  <Lines>0</Lines>
  <Paragraphs>0</Paragraphs>
  <TotalTime>0</TotalTime>
  <ScaleCrop>false</ScaleCrop>
  <LinksUpToDate>false</LinksUpToDate>
  <CharactersWithSpaces>63317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2021-09-02T07:13:00Z</dcterms:created>
  <dc:creator>Administrator</dc:creator>
  <cp:lastModifiedBy>Administrator</cp:lastModifiedBy>
  <cp:lastPrinted>2023-03-16T00:31:00Z</cp:lastPrinted>
  <dcterms:modified xsi:type="dcterms:W3CDTF">2023-07-04T11:04:12Z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40DF6AF10D804F6690BFC4E69B84AC54_13</vt:lpwstr>
  </property>
  <property fmtid="{D5CDD505-2E9C-101B-9397-08002B2CF9AE}" pid="4" name="commondata">
    <vt:lpwstr>eyJoZGlkIjoiMzA2ZWRmNjk0ODg1ZWNjODdiZDc1Nzk3YWZjMjJjYjQifQ==</vt:lpwstr>
  </property>
</Properties>
</file>