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tLeast"/>
        <w:ind w:firstLine="4740" w:firstLineChars="15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唐高行审环表</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13</w:t>
      </w:r>
      <w:bookmarkStart w:id="0" w:name="_GoBack"/>
      <w:bookmarkEnd w:id="0"/>
      <w:r>
        <w:rPr>
          <w:rFonts w:hint="default" w:ascii="Times New Roman" w:hAnsi="Times New Roman" w:eastAsia="仿宋" w:cs="Times New Roman"/>
          <w:color w:val="auto"/>
          <w:sz w:val="32"/>
          <w:szCs w:val="32"/>
          <w:lang w:val="en-US" w:eastAsia="zh-CN"/>
        </w:rPr>
        <w:t>号</w:t>
      </w:r>
    </w:p>
    <w:p>
      <w:pPr>
        <w:pStyle w:val="8"/>
        <w:spacing w:line="240" w:lineRule="atLeast"/>
        <w:ind w:firstLine="5372" w:firstLineChars="1700"/>
        <w:jc w:val="both"/>
        <w:rPr>
          <w:rFonts w:hint="default" w:ascii="Times New Roman" w:hAnsi="Times New Roman" w:eastAsia="Times New Roman" w:cs="Times New Roman"/>
          <w:color w:val="FF0000"/>
          <w:sz w:val="32"/>
          <w:szCs w:val="32"/>
        </w:rPr>
      </w:pPr>
    </w:p>
    <w:p>
      <w:pPr>
        <w:pStyle w:val="18"/>
        <w:spacing w:line="560" w:lineRule="exact"/>
        <w:jc w:val="center"/>
        <w:rPr>
          <w:rFonts w:hint="default" w:ascii="Times New Roman" w:hAnsi="Times New Roman" w:eastAsia="黑体" w:cs="Times New Roman"/>
          <w:w w:val="97"/>
          <w:sz w:val="44"/>
          <w:szCs w:val="44"/>
        </w:rPr>
      </w:pPr>
      <w:r>
        <w:rPr>
          <w:rFonts w:hint="default" w:ascii="Times New Roman" w:hAnsi="Times New Roman" w:eastAsia="黑体" w:cs="Times New Roman"/>
          <w:w w:val="97"/>
          <w:sz w:val="44"/>
          <w:szCs w:val="44"/>
          <w:highlight w:val="none"/>
        </w:rPr>
        <w:t>唐山高新技术产业开发区行政审批局</w:t>
      </w:r>
    </w:p>
    <w:p>
      <w:pPr>
        <w:pStyle w:val="8"/>
        <w:spacing w:line="600" w:lineRule="exact"/>
        <w:jc w:val="center"/>
        <w:rPr>
          <w:rFonts w:hint="default" w:ascii="Times New Roman" w:hAnsi="Times New Roman" w:eastAsia="黑体" w:cs="Times New Roman"/>
          <w:w w:val="97"/>
          <w:sz w:val="44"/>
          <w:szCs w:val="44"/>
        </w:rPr>
      </w:pPr>
      <w:r>
        <w:rPr>
          <w:rFonts w:hint="default" w:ascii="Times New Roman" w:hAnsi="Times New Roman" w:eastAsia="黑体" w:cs="Times New Roman"/>
          <w:w w:val="97"/>
          <w:sz w:val="44"/>
          <w:szCs w:val="44"/>
        </w:rPr>
        <w:t>关</w:t>
      </w:r>
      <w:r>
        <w:rPr>
          <w:rFonts w:hint="default" w:ascii="Times New Roman" w:hAnsi="Times New Roman" w:eastAsia="黑体" w:cs="Times New Roman"/>
          <w:w w:val="97"/>
          <w:kern w:val="0"/>
          <w:sz w:val="44"/>
          <w:szCs w:val="44"/>
          <w:highlight w:val="none"/>
          <w:lang w:val="en-US" w:eastAsia="zh-CN" w:bidi="ar-SA"/>
        </w:rPr>
        <w:t>于光纤感知智能消防预警系列产品研发生产项目</w:t>
      </w:r>
      <w:r>
        <w:rPr>
          <w:rFonts w:hint="default" w:ascii="Times New Roman" w:hAnsi="Times New Roman" w:eastAsia="黑体" w:cs="Times New Roman"/>
          <w:w w:val="97"/>
          <w:sz w:val="44"/>
          <w:szCs w:val="44"/>
        </w:rPr>
        <w:t>环境影响报告</w:t>
      </w:r>
      <w:r>
        <w:rPr>
          <w:rFonts w:hint="default" w:ascii="Times New Roman" w:hAnsi="Times New Roman" w:eastAsia="黑体" w:cs="Times New Roman"/>
          <w:w w:val="97"/>
          <w:sz w:val="44"/>
          <w:szCs w:val="44"/>
          <w:lang w:val="en-US" w:eastAsia="zh-CN"/>
        </w:rPr>
        <w:t>表</w:t>
      </w:r>
      <w:r>
        <w:rPr>
          <w:rFonts w:hint="default" w:ascii="Times New Roman" w:hAnsi="Times New Roman" w:eastAsia="黑体" w:cs="Times New Roman"/>
          <w:w w:val="97"/>
          <w:sz w:val="44"/>
          <w:szCs w:val="44"/>
        </w:rPr>
        <w:t>的批复</w:t>
      </w:r>
    </w:p>
    <w:p>
      <w:pPr>
        <w:jc w:val="center"/>
        <w:rPr>
          <w:rFonts w:hint="default" w:ascii="Times New Roman" w:hAnsi="Times New Roman" w:cs="Times New Roman"/>
          <w:sz w:val="44"/>
          <w:szCs w:val="44"/>
        </w:rPr>
      </w:pPr>
    </w:p>
    <w:p>
      <w:pPr>
        <w:numPr>
          <w:ilvl w:val="0"/>
          <w:numId w:val="0"/>
        </w:numPr>
        <w:spacing w:line="520" w:lineRule="exact"/>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河北微探科技有限公司：</w:t>
      </w:r>
    </w:p>
    <w:p>
      <w:pPr>
        <w:numPr>
          <w:ilvl w:val="0"/>
          <w:numId w:val="0"/>
        </w:numPr>
        <w:spacing w:line="520" w:lineRule="exact"/>
        <w:ind w:firstLine="632" w:firstLineChars="200"/>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lang w:val="en-US" w:eastAsia="zh-CN"/>
        </w:rPr>
        <w:t>你公司所报《光纤感知智能消防预警系列产品研发生产项目环境影响报告表》（</w:t>
      </w:r>
      <w:r>
        <w:rPr>
          <w:rFonts w:hint="default" w:ascii="Times New Roman" w:hAnsi="Times New Roman" w:eastAsia="仿宋" w:cs="Times New Roman"/>
          <w:b w:val="0"/>
          <w:bCs/>
          <w:sz w:val="32"/>
          <w:szCs w:val="32"/>
          <w:lang w:eastAsia="zh-CN"/>
        </w:rPr>
        <w:t>以下简称《报告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lang w:val="en-US" w:eastAsia="zh-CN"/>
        </w:rPr>
        <w:t>及</w:t>
      </w:r>
      <w:r>
        <w:rPr>
          <w:rFonts w:hint="default" w:ascii="Times New Roman" w:hAnsi="Times New Roman" w:eastAsia="仿宋" w:cs="Times New Roman"/>
          <w:b w:val="0"/>
          <w:bCs/>
          <w:sz w:val="32"/>
          <w:szCs w:val="32"/>
          <w:lang w:eastAsia="zh-CN"/>
        </w:rPr>
        <w:t>审批申请</w:t>
      </w:r>
      <w:r>
        <w:rPr>
          <w:rFonts w:hint="default" w:ascii="Times New Roman" w:hAnsi="Times New Roman" w:eastAsia="仿宋" w:cs="Times New Roman"/>
          <w:b w:val="0"/>
          <w:bCs/>
          <w:sz w:val="32"/>
          <w:szCs w:val="32"/>
          <w:lang w:val="en-US" w:eastAsia="zh-CN"/>
        </w:rPr>
        <w:t>等</w:t>
      </w:r>
      <w:r>
        <w:rPr>
          <w:rFonts w:hint="default" w:ascii="Times New Roman" w:hAnsi="Times New Roman" w:eastAsia="仿宋" w:cs="Times New Roman"/>
          <w:b w:val="0"/>
          <w:bCs/>
          <w:sz w:val="32"/>
          <w:szCs w:val="32"/>
          <w:lang w:eastAsia="zh-CN"/>
        </w:rPr>
        <w:t>相关材料</w:t>
      </w:r>
      <w:r>
        <w:rPr>
          <w:rFonts w:hint="default" w:ascii="Times New Roman" w:hAnsi="Times New Roman" w:eastAsia="仿宋" w:cs="Times New Roman"/>
          <w:b w:val="0"/>
          <w:bCs/>
          <w:sz w:val="32"/>
          <w:szCs w:val="32"/>
          <w:lang w:val="en-US" w:eastAsia="zh-CN"/>
        </w:rPr>
        <w:t>我局已</w:t>
      </w:r>
      <w:r>
        <w:rPr>
          <w:rFonts w:hint="default" w:ascii="Times New Roman" w:hAnsi="Times New Roman" w:eastAsia="仿宋" w:cs="Times New Roman"/>
          <w:b w:val="0"/>
          <w:bCs/>
          <w:sz w:val="32"/>
          <w:szCs w:val="32"/>
          <w:lang w:eastAsia="zh-CN"/>
        </w:rPr>
        <w:t>收悉。根据《报告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lang w:eastAsia="zh-CN"/>
        </w:rPr>
        <w:t>结论、专家评审意见，结合工程环境影响特点，经研究，现批复如下：</w:t>
      </w:r>
    </w:p>
    <w:p>
      <w:pPr>
        <w:numPr>
          <w:ilvl w:val="0"/>
          <w:numId w:val="0"/>
        </w:numPr>
        <w:spacing w:line="520" w:lineRule="exact"/>
        <w:ind w:firstLine="632"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项目位于唐山高新技术开发区经十五路东侧、通州道南侧，项目总投资11000万元，其中环保投资220万元。项目建成后，年产50000台/套光纤感知智能消防预警系列产品。</w:t>
      </w:r>
    </w:p>
    <w:p>
      <w:pPr>
        <w:numPr>
          <w:ilvl w:val="0"/>
          <w:numId w:val="0"/>
        </w:numPr>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根据你公司所报《报告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》以及报告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Cs/>
          <w:sz w:val="32"/>
          <w:szCs w:val="32"/>
          <w:lang w:val="en-US" w:eastAsia="zh-CN"/>
        </w:rPr>
        <w:t>技术评估</w:t>
      </w:r>
      <w:r>
        <w:rPr>
          <w:rFonts w:hint="default" w:ascii="Times New Roman" w:hAnsi="Times New Roman" w:eastAsia="仿宋" w:cs="Times New Roman"/>
          <w:bCs/>
          <w:sz w:val="32"/>
          <w:szCs w:val="32"/>
        </w:rPr>
        <w:t>意见</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从环境保护角度分析，我局原则</w:t>
      </w:r>
      <w:r>
        <w:rPr>
          <w:rFonts w:hint="default" w:ascii="Times New Roman" w:hAnsi="Times New Roman" w:eastAsia="仿宋" w:cs="Times New Roman"/>
          <w:b w:val="0"/>
          <w:bCs/>
          <w:sz w:val="32"/>
          <w:szCs w:val="32"/>
          <w:lang w:val="en-US" w:eastAsia="zh-CN"/>
        </w:rPr>
        <w:t>上</w:t>
      </w:r>
      <w:r>
        <w:rPr>
          <w:rFonts w:hint="default" w:ascii="Times New Roman" w:hAnsi="Times New Roman" w:eastAsia="仿宋" w:cs="Times New Roman"/>
          <w:b w:val="0"/>
          <w:bCs/>
          <w:sz w:val="32"/>
          <w:szCs w:val="32"/>
        </w:rPr>
        <w:t>同意《报告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》结论。</w:t>
      </w:r>
    </w:p>
    <w:p>
      <w:pPr>
        <w:numPr>
          <w:ilvl w:val="0"/>
          <w:numId w:val="0"/>
        </w:numPr>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eastAsia="zh-CN"/>
        </w:rPr>
        <w:t>一、</w:t>
      </w:r>
      <w:r>
        <w:rPr>
          <w:rFonts w:hint="default" w:ascii="Times New Roman" w:hAnsi="Times New Roman" w:eastAsia="仿宋" w:cs="Times New Roman"/>
          <w:b w:val="0"/>
          <w:bCs/>
          <w:sz w:val="32"/>
          <w:szCs w:val="32"/>
        </w:rPr>
        <w:t>你公司须严格按照《报告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》所列建设项目的性质、规模、地点、生产工艺、环保措施及要求实施项目建设。</w:t>
      </w:r>
    </w:p>
    <w:p>
      <w:pPr>
        <w:numPr>
          <w:ilvl w:val="0"/>
          <w:numId w:val="0"/>
        </w:numPr>
        <w:shd w:val="clear" w:color="auto" w:fill="FFFFFF"/>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eastAsia="zh-CN"/>
        </w:rPr>
        <w:t>二、</w:t>
      </w:r>
      <w:r>
        <w:rPr>
          <w:rFonts w:hint="default" w:ascii="Times New Roman" w:hAnsi="Times New Roman" w:eastAsia="仿宋" w:cs="Times New Roman"/>
          <w:b w:val="0"/>
          <w:bCs/>
          <w:sz w:val="32"/>
          <w:szCs w:val="32"/>
        </w:rPr>
        <w:t>项目建设和运行过程中要认真落实《报告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》及相关</w:t>
      </w:r>
    </w:p>
    <w:p>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的各项污染防治措施，</w:t>
      </w:r>
      <w:r>
        <w:rPr>
          <w:rFonts w:hint="default" w:ascii="Times New Roman" w:hAnsi="Times New Roman" w:eastAsia="仿宋" w:cs="Times New Roman"/>
          <w:b w:val="0"/>
          <w:bCs/>
          <w:sz w:val="32"/>
          <w:szCs w:val="32"/>
          <w:lang w:val="en-US" w:eastAsia="zh-CN"/>
        </w:rPr>
        <w:t>并</w:t>
      </w:r>
      <w:r>
        <w:rPr>
          <w:rFonts w:hint="default" w:ascii="Times New Roman" w:hAnsi="Times New Roman" w:eastAsia="仿宋" w:cs="Times New Roman"/>
          <w:b w:val="0"/>
          <w:bCs/>
          <w:sz w:val="32"/>
          <w:szCs w:val="32"/>
        </w:rPr>
        <w:t>重点做好以下工作：</w:t>
      </w:r>
    </w:p>
    <w:p>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（一）加强施工期管理，严格按照《报告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》要求认真落实施工期各项污染防治措施，确保达到环保要求。</w:t>
      </w:r>
    </w:p>
    <w:p>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val="en-US" w:eastAsia="zh-CN"/>
        </w:rPr>
        <w:t>二</w:t>
      </w:r>
      <w:r>
        <w:rPr>
          <w:rFonts w:hint="default" w:ascii="Times New Roman" w:hAnsi="Times New Roman" w:eastAsia="仿宋" w:cs="Times New Roman"/>
          <w:b w:val="0"/>
          <w:bCs/>
          <w:sz w:val="32"/>
          <w:szCs w:val="32"/>
        </w:rPr>
        <w:t>）严格落实水环境保护措施。</w:t>
      </w:r>
    </w:p>
    <w:p>
      <w:pPr>
        <w:keepNext w:val="0"/>
        <w:keepLines w:val="0"/>
        <w:widowControl/>
        <w:suppressLineNumbers w:val="0"/>
        <w:ind w:firstLine="632" w:firstLineChars="200"/>
        <w:jc w:val="left"/>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冷却废水循环使用不外排；生活污水经园区污水管网排入京唐智慧港污水处理厂处理，废水排放满足京唐智慧港污水处理厂进水水质要求和《污水综合排放标准》（GB8978-1996）表4中的三级标准，NH</w:t>
      </w:r>
      <w:r>
        <w:rPr>
          <w:rFonts w:hint="default" w:ascii="Times New Roman" w:hAnsi="Times New Roman" w:eastAsia="仿宋" w:cs="Times New Roman"/>
          <w:b w:val="0"/>
          <w:bCs/>
          <w:sz w:val="32"/>
          <w:szCs w:val="32"/>
          <w:vertAlign w:val="subscript"/>
          <w:lang w:val="en-US" w:eastAsia="zh-CN"/>
        </w:rPr>
        <w:t>3</w:t>
      </w:r>
      <w:r>
        <w:rPr>
          <w:rFonts w:hint="default" w:ascii="Times New Roman" w:hAnsi="Times New Roman" w:eastAsia="仿宋" w:cs="Times New Roman"/>
          <w:b w:val="0"/>
          <w:bCs/>
          <w:sz w:val="32"/>
          <w:szCs w:val="32"/>
          <w:lang w:val="en-US" w:eastAsia="zh-CN"/>
        </w:rPr>
        <w:t>-N排放满足《污水排放城镇下水道水质标准》（GB/T31962-2015）限值要求。</w:t>
      </w:r>
    </w:p>
    <w:p>
      <w:pPr>
        <w:keepNext w:val="0"/>
        <w:keepLines w:val="0"/>
        <w:widowControl/>
        <w:suppressLineNumbers w:val="0"/>
        <w:ind w:firstLine="632" w:firstLineChars="200"/>
        <w:jc w:val="left"/>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eastAsia="zh-CN"/>
        </w:rPr>
        <w:t>三</w:t>
      </w:r>
      <w:r>
        <w:rPr>
          <w:rFonts w:hint="default" w:ascii="Times New Roman" w:hAnsi="Times New Roman" w:eastAsia="仿宋" w:cs="Times New Roman"/>
          <w:b w:val="0"/>
          <w:bCs/>
          <w:sz w:val="32"/>
          <w:szCs w:val="32"/>
        </w:rPr>
        <w:t>）严格落实</w:t>
      </w:r>
      <w:r>
        <w:rPr>
          <w:rFonts w:hint="default" w:ascii="Times New Roman" w:hAnsi="Times New Roman" w:eastAsia="仿宋" w:cs="Times New Roman"/>
          <w:b w:val="0"/>
          <w:bCs/>
          <w:sz w:val="32"/>
          <w:szCs w:val="32"/>
          <w:lang w:val="en-US" w:eastAsia="zh-CN"/>
        </w:rPr>
        <w:t>大气</w:t>
      </w:r>
      <w:r>
        <w:rPr>
          <w:rFonts w:hint="default" w:ascii="Times New Roman" w:hAnsi="Times New Roman" w:eastAsia="仿宋" w:cs="Times New Roman"/>
          <w:b w:val="0"/>
          <w:bCs/>
          <w:sz w:val="32"/>
          <w:szCs w:val="32"/>
        </w:rPr>
        <w:t>环境保护措施。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挤出工序产生的废气经集气罩收集后引入双级活性炭吸附装置处理后通过排气筒排放，非甲烷总烃有组织排放浓度满足《工业企业挥发性有机物排放控制标准》（DB13/2322-2016）表1有机化工业排放限值要求。</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非甲烷总烃无组织排放满足《工业企业挥发性有机物排放控制标准》（DB13/2322-2016）表2排放限值要求，同时满足《挥发性有机物无组织排放控制标准》（GB37822-2019）表A.1厂区内VOCs无组织排放限值要求。</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eastAsia="zh-CN"/>
        </w:rPr>
        <w:t>四</w:t>
      </w:r>
      <w:r>
        <w:rPr>
          <w:rFonts w:hint="default" w:ascii="Times New Roman" w:hAnsi="Times New Roman" w:eastAsia="仿宋" w:cs="Times New Roman"/>
          <w:b w:val="0"/>
          <w:bCs/>
          <w:sz w:val="32"/>
          <w:szCs w:val="32"/>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项目设备置于封闭生产车间内，设备基础加装减振垫，项目厂界外1m处噪声值满足《工业企业厂界环境噪声排放标准》(GB12348-2008)3类标准限值要求。</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val="en-US" w:eastAsia="zh-CN"/>
        </w:rPr>
        <w:t>（五）严格落</w:t>
      </w:r>
      <w:r>
        <w:rPr>
          <w:rFonts w:hint="default" w:ascii="Times New Roman" w:hAnsi="Times New Roman" w:eastAsia="仿宋" w:cs="Times New Roman"/>
          <w:b w:val="0"/>
          <w:bCs/>
          <w:sz w:val="32"/>
          <w:szCs w:val="32"/>
        </w:rPr>
        <w:t>实固体废物污染防治措施。</w:t>
      </w:r>
    </w:p>
    <w:p>
      <w:pPr>
        <w:adjustRightInd w:val="0"/>
        <w:snapToGrid w:val="0"/>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严格按照有关规定，对固体废物实施分类收集和处理、处置，做到资源化、减量化、无害化。一般固废妥善处理，最大限度回收利用，危险</w:t>
      </w:r>
      <w:r>
        <w:rPr>
          <w:rFonts w:hint="default" w:ascii="Times New Roman" w:hAnsi="Times New Roman" w:eastAsia="仿宋" w:cs="Times New Roman"/>
          <w:b w:val="0"/>
          <w:bCs/>
          <w:color w:val="000000"/>
          <w:sz w:val="32"/>
          <w:szCs w:val="32"/>
          <w:shd w:val="clear" w:color="auto" w:fill="FFFFFF"/>
        </w:rPr>
        <w:t>废物</w:t>
      </w:r>
      <w:r>
        <w:rPr>
          <w:rFonts w:hint="default" w:ascii="Times New Roman" w:hAnsi="Times New Roman" w:eastAsia="仿宋" w:cs="Times New Roman"/>
          <w:b w:val="0"/>
          <w:bCs/>
          <w:sz w:val="32"/>
          <w:szCs w:val="32"/>
        </w:rPr>
        <w:t>按规定暂存，定期交有相应资质的危废处理单位处理。危险废物暂存间应满足《危险废物贮存污染控制标准》（GB18597-20</w:t>
      </w:r>
      <w:r>
        <w:rPr>
          <w:rFonts w:hint="default" w:ascii="Times New Roman" w:hAnsi="Times New Roman" w:eastAsia="仿宋" w:cs="Times New Roman"/>
          <w:b w:val="0"/>
          <w:bCs/>
          <w:sz w:val="32"/>
          <w:szCs w:val="32"/>
          <w:lang w:val="en-US" w:eastAsia="zh-CN"/>
        </w:rPr>
        <w:t>23</w:t>
      </w:r>
      <w:r>
        <w:rPr>
          <w:rFonts w:hint="default" w:ascii="Times New Roman" w:hAnsi="Times New Roman" w:eastAsia="仿宋" w:cs="Times New Roman"/>
          <w:b w:val="0"/>
          <w:bCs/>
          <w:sz w:val="32"/>
          <w:szCs w:val="32"/>
        </w:rPr>
        <w:t>）要求。</w:t>
      </w:r>
    </w:p>
    <w:p>
      <w:pPr>
        <w:adjustRightInd w:val="0"/>
        <w:snapToGrid w:val="0"/>
        <w:spacing w:line="520" w:lineRule="exact"/>
        <w:ind w:firstLine="632" w:firstLineChars="200"/>
        <w:rPr>
          <w:rFonts w:hint="default" w:ascii="Times New Roman" w:hAnsi="Times New Roman" w:eastAsia="仿宋" w:cs="Times New Roman"/>
          <w:b w:val="0"/>
          <w:bCs/>
          <w:kern w:val="2"/>
          <w:sz w:val="32"/>
          <w:szCs w:val="32"/>
          <w:lang w:val="en-US" w:eastAsia="zh-CN" w:bidi="ar-SA"/>
        </w:rPr>
      </w:pPr>
      <w:r>
        <w:rPr>
          <w:rFonts w:hint="default" w:ascii="Times New Roman" w:hAnsi="Times New Roman" w:eastAsia="仿宋" w:cs="Times New Roman"/>
          <w:b w:val="0"/>
          <w:bCs/>
          <w:kern w:val="2"/>
          <w:sz w:val="32"/>
          <w:szCs w:val="32"/>
          <w:lang w:val="en-US" w:eastAsia="zh-CN" w:bidi="ar-SA"/>
        </w:rPr>
        <w:t>（六）加强环境风险防范，落实环境风险应急措施。</w:t>
      </w:r>
    </w:p>
    <w:p>
      <w:pPr>
        <w:autoSpaceDE w:val="0"/>
        <w:autoSpaceDN w:val="0"/>
        <w:adjustRightInd w:val="0"/>
        <w:snapToGrid w:val="0"/>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632" w:firstLineChars="200"/>
        <w:jc w:val="left"/>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lang w:eastAsia="zh-CN"/>
        </w:rPr>
        <w:t>三</w:t>
      </w:r>
      <w:r>
        <w:rPr>
          <w:rFonts w:hint="default" w:ascii="Times New Roman" w:hAnsi="Times New Roman" w:eastAsia="仿宋" w:cs="Times New Roman"/>
          <w:b w:val="0"/>
          <w:bCs/>
          <w:sz w:val="32"/>
          <w:szCs w:val="32"/>
        </w:rPr>
        <w:t>、结合该报告</w:t>
      </w:r>
      <w:r>
        <w:rPr>
          <w:rFonts w:hint="default" w:ascii="Times New Roman" w:hAnsi="Times New Roman" w:eastAsia="仿宋" w:cs="Times New Roman"/>
          <w:b w:val="0"/>
          <w:bCs/>
          <w:sz w:val="32"/>
          <w:szCs w:val="32"/>
          <w:lang w:val="en-US" w:eastAsia="zh-CN"/>
        </w:rPr>
        <w:t>表</w:t>
      </w:r>
      <w:r>
        <w:rPr>
          <w:rFonts w:hint="default" w:ascii="Times New Roman" w:hAnsi="Times New Roman" w:eastAsia="仿宋" w:cs="Times New Roman"/>
          <w:b w:val="0"/>
          <w:bCs/>
          <w:sz w:val="32"/>
          <w:szCs w:val="32"/>
        </w:rPr>
        <w:t>的计算，</w:t>
      </w:r>
      <w:r>
        <w:rPr>
          <w:rFonts w:hint="default" w:ascii="Times New Roman" w:hAnsi="Times New Roman" w:eastAsia="仿宋" w:cs="Times New Roman"/>
          <w:b w:val="0"/>
          <w:bCs/>
          <w:sz w:val="32"/>
          <w:szCs w:val="32"/>
          <w:lang w:eastAsia="zh-CN"/>
        </w:rPr>
        <w:t>该项目</w:t>
      </w:r>
      <w:r>
        <w:rPr>
          <w:rFonts w:hint="default" w:ascii="Times New Roman" w:hAnsi="Times New Roman" w:eastAsia="仿宋" w:cs="Times New Roman"/>
          <w:b w:val="0"/>
          <w:bCs/>
          <w:sz w:val="32"/>
          <w:szCs w:val="32"/>
        </w:rPr>
        <w:t>污染物排放总量指标为：</w:t>
      </w:r>
      <w:r>
        <w:rPr>
          <w:rFonts w:hint="default" w:ascii="Times New Roman" w:hAnsi="Times New Roman" w:eastAsia="仿宋" w:cs="Times New Roman"/>
          <w:bCs/>
          <w:kern w:val="2"/>
          <w:sz w:val="32"/>
          <w:szCs w:val="32"/>
          <w:lang w:val="en-US" w:eastAsia="zh-CN" w:bidi="ar-SA"/>
        </w:rPr>
        <w:t>COD：0t/a、氨氮：0t/a、SO</w:t>
      </w:r>
      <w:r>
        <w:rPr>
          <w:rFonts w:hint="default" w:ascii="Times New Roman" w:hAnsi="Times New Roman" w:eastAsia="仿宋" w:cs="Times New Roman"/>
          <w:bCs/>
          <w:kern w:val="2"/>
          <w:sz w:val="32"/>
          <w:szCs w:val="32"/>
          <w:vertAlign w:val="subscript"/>
          <w:lang w:val="en-US" w:eastAsia="zh-CN" w:bidi="ar-SA"/>
        </w:rPr>
        <w:t>2</w:t>
      </w:r>
      <w:r>
        <w:rPr>
          <w:rFonts w:hint="default" w:ascii="Times New Roman" w:hAnsi="Times New Roman" w:eastAsia="仿宋" w:cs="Times New Roman"/>
          <w:bCs/>
          <w:kern w:val="2"/>
          <w:sz w:val="32"/>
          <w:szCs w:val="32"/>
          <w:lang w:val="en-US" w:eastAsia="zh-CN" w:bidi="ar-SA"/>
        </w:rPr>
        <w:t>：0t/a、NO</w:t>
      </w:r>
      <w:r>
        <w:rPr>
          <w:rFonts w:hint="default" w:ascii="Times New Roman" w:hAnsi="Times New Roman" w:eastAsia="仿宋" w:cs="Times New Roman"/>
          <w:bCs/>
          <w:kern w:val="2"/>
          <w:sz w:val="32"/>
          <w:szCs w:val="32"/>
          <w:vertAlign w:val="subscript"/>
          <w:lang w:val="en-US" w:eastAsia="zh-CN" w:bidi="ar-SA"/>
        </w:rPr>
        <w:t>x</w:t>
      </w:r>
      <w:r>
        <w:rPr>
          <w:rFonts w:hint="default" w:ascii="Times New Roman" w:hAnsi="Times New Roman" w:eastAsia="仿宋" w:cs="Times New Roman"/>
          <w:bCs/>
          <w:kern w:val="2"/>
          <w:sz w:val="32"/>
          <w:szCs w:val="32"/>
          <w:lang w:val="en-US" w:eastAsia="zh-CN" w:bidi="ar-SA"/>
        </w:rPr>
        <w:t>：0t/a。</w:t>
      </w:r>
    </w:p>
    <w:p>
      <w:pPr>
        <w:autoSpaceDE w:val="0"/>
        <w:autoSpaceDN w:val="0"/>
        <w:adjustRightInd w:val="0"/>
        <w:snapToGrid w:val="0"/>
        <w:spacing w:line="520" w:lineRule="exact"/>
        <w:ind w:firstLine="632"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lang w:eastAsia="zh-CN"/>
        </w:rPr>
        <w:t>四</w:t>
      </w:r>
      <w:r>
        <w:rPr>
          <w:rFonts w:hint="default" w:ascii="Times New Roman" w:hAnsi="Times New Roman" w:eastAsia="仿宋" w:cs="Times New Roman"/>
          <w:b w:val="0"/>
          <w:bCs/>
          <w:sz w:val="32"/>
          <w:szCs w:val="32"/>
        </w:rPr>
        <w:t>、严格落实各项建设项目环境管理要求</w:t>
      </w:r>
    </w:p>
    <w:p>
      <w:pPr>
        <w:autoSpaceDE w:val="0"/>
        <w:autoSpaceDN w:val="0"/>
        <w:adjustRightInd w:val="0"/>
        <w:snapToGrid w:val="0"/>
        <w:spacing w:line="520" w:lineRule="exact"/>
        <w:ind w:firstLine="626" w:firstLineChars="198"/>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（一）建立内部生态环境管理机构和制度，明确人员和生态环境保护职责。</w:t>
      </w:r>
    </w:p>
    <w:p>
      <w:pPr>
        <w:autoSpaceDE w:val="0"/>
        <w:autoSpaceDN w:val="0"/>
        <w:adjustRightInd w:val="0"/>
        <w:snapToGrid w:val="0"/>
        <w:spacing w:line="520" w:lineRule="exact"/>
        <w:ind w:firstLine="626" w:firstLineChars="198"/>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default" w:ascii="Times New Roman" w:hAnsi="Times New Roman" w:eastAsia="仿宋" w:cs="Times New Roman"/>
          <w:b w:val="0"/>
          <w:bCs/>
          <w:sz w:val="32"/>
          <w:szCs w:val="32"/>
          <w:lang w:val="en-US" w:eastAsia="zh-CN"/>
        </w:rPr>
        <w:t>向</w:t>
      </w:r>
      <w:r>
        <w:rPr>
          <w:rFonts w:hint="default" w:ascii="Times New Roman" w:hAnsi="Times New Roman" w:eastAsia="仿宋" w:cs="Times New Roman"/>
          <w:b w:val="0"/>
          <w:bCs/>
          <w:sz w:val="32"/>
          <w:szCs w:val="32"/>
        </w:rPr>
        <w:t>我局重新报批或</w:t>
      </w:r>
      <w:r>
        <w:rPr>
          <w:rFonts w:hint="default" w:ascii="Times New Roman" w:hAnsi="Times New Roman" w:eastAsia="仿宋" w:cs="Times New Roman"/>
          <w:b w:val="0"/>
          <w:bCs/>
          <w:sz w:val="32"/>
          <w:szCs w:val="32"/>
          <w:lang w:val="en-US" w:eastAsia="zh-CN"/>
        </w:rPr>
        <w:t>申请</w:t>
      </w:r>
      <w:r>
        <w:rPr>
          <w:rFonts w:hint="default" w:ascii="Times New Roman" w:hAnsi="Times New Roman" w:eastAsia="仿宋" w:cs="Times New Roman"/>
          <w:b w:val="0"/>
          <w:bCs/>
          <w:sz w:val="32"/>
          <w:szCs w:val="32"/>
        </w:rPr>
        <w:t>重新审核该项目的环境影响报告表。</w:t>
      </w:r>
    </w:p>
    <w:p>
      <w:pPr>
        <w:pStyle w:val="5"/>
        <w:ind w:left="0" w:leftChars="0" w:firstLine="632" w:firstLineChars="200"/>
        <w:rPr>
          <w:rFonts w:hint="default" w:ascii="Times New Roman" w:hAnsi="Times New Roman" w:eastAsia="仿宋" w:cs="Times New Roman"/>
          <w:bCs/>
          <w:color w:val="auto"/>
          <w:sz w:val="32"/>
          <w:szCs w:val="32"/>
          <w:u w:val="none"/>
          <w:lang w:eastAsia="zh-CN"/>
        </w:rPr>
      </w:pP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sz w:val="32"/>
          <w:szCs w:val="32"/>
          <w:lang w:val="en-US" w:eastAsia="zh-CN"/>
        </w:rPr>
        <w:t>三</w:t>
      </w:r>
      <w:r>
        <w:rPr>
          <w:rFonts w:hint="default" w:ascii="Times New Roman" w:hAnsi="Times New Roman" w:eastAsia="仿宋" w:cs="Times New Roman"/>
          <w:b w:val="0"/>
          <w:bCs/>
          <w:sz w:val="32"/>
          <w:szCs w:val="32"/>
        </w:rPr>
        <w:t>）</w:t>
      </w:r>
      <w:r>
        <w:rPr>
          <w:rFonts w:hint="default" w:ascii="Times New Roman" w:hAnsi="Times New Roman" w:eastAsia="仿宋" w:cs="Times New Roman"/>
          <w:b w:val="0"/>
          <w:bCs/>
          <w:color w:val="auto"/>
          <w:sz w:val="32"/>
          <w:szCs w:val="32"/>
          <w:u w:val="none"/>
        </w:rPr>
        <w:t>建</w:t>
      </w:r>
      <w:r>
        <w:rPr>
          <w:rFonts w:hint="default" w:ascii="Times New Roman" w:hAnsi="Times New Roman" w:eastAsia="仿宋" w:cs="Times New Roman"/>
          <w:bCs/>
          <w:color w:val="auto"/>
          <w:sz w:val="32"/>
          <w:szCs w:val="32"/>
          <w:u w:val="none"/>
        </w:rPr>
        <w:t>设项目竣工后，建设单位按照</w:t>
      </w:r>
      <w:r>
        <w:rPr>
          <w:rFonts w:hint="default" w:ascii="Times New Roman" w:hAnsi="Times New Roman" w:eastAsia="仿宋" w:cs="Times New Roman"/>
          <w:bCs/>
          <w:color w:val="auto"/>
          <w:sz w:val="32"/>
          <w:szCs w:val="32"/>
          <w:u w:val="none"/>
          <w:lang w:eastAsia="zh-CN"/>
        </w:rPr>
        <w:t>有关规定要求</w:t>
      </w:r>
      <w:r>
        <w:rPr>
          <w:rFonts w:hint="default" w:ascii="Times New Roman" w:hAnsi="Times New Roman" w:eastAsia="仿宋" w:cs="Times New Roman"/>
          <w:bCs/>
          <w:color w:val="auto"/>
          <w:sz w:val="32"/>
          <w:szCs w:val="32"/>
          <w:u w:val="none"/>
        </w:rPr>
        <w:t>开展自主验收或委托第三方机构编写建设项目竣工环境保护验收报告，依法向社会公开</w:t>
      </w:r>
      <w:r>
        <w:rPr>
          <w:rFonts w:hint="default" w:ascii="Times New Roman" w:hAnsi="Times New Roman" w:eastAsia="仿宋" w:cs="Times New Roman"/>
          <w:bCs/>
          <w:color w:val="auto"/>
          <w:sz w:val="32"/>
          <w:szCs w:val="32"/>
          <w:u w:val="none"/>
          <w:lang w:eastAsia="zh-CN"/>
        </w:rPr>
        <w:t>。</w:t>
      </w:r>
    </w:p>
    <w:p>
      <w:pPr>
        <w:pStyle w:val="11"/>
        <w:rPr>
          <w:rFonts w:hint="default" w:ascii="Times New Roman" w:hAnsi="Times New Roman" w:cs="Times New Roman"/>
          <w:lang w:val="en-US" w:eastAsia="zh-CN"/>
        </w:rPr>
      </w:pPr>
    </w:p>
    <w:p>
      <w:pPr>
        <w:spacing w:line="540" w:lineRule="exact"/>
        <w:ind w:firstLine="5056" w:firstLineChars="16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唐山</w:t>
      </w:r>
      <w:r>
        <w:rPr>
          <w:rFonts w:hint="default" w:ascii="Times New Roman" w:hAnsi="Times New Roman" w:eastAsia="仿宋" w:cs="Times New Roman"/>
          <w:color w:val="auto"/>
          <w:sz w:val="32"/>
          <w:szCs w:val="32"/>
          <w:lang w:eastAsia="zh-CN"/>
        </w:rPr>
        <w:t>高新区</w:t>
      </w:r>
      <w:r>
        <w:rPr>
          <w:rFonts w:hint="default" w:ascii="Times New Roman" w:hAnsi="Times New Roman" w:eastAsia="仿宋" w:cs="Times New Roman"/>
          <w:color w:val="auto"/>
          <w:sz w:val="32"/>
          <w:szCs w:val="32"/>
        </w:rPr>
        <w:t>行政审批局</w:t>
      </w:r>
    </w:p>
    <w:p>
      <w:pPr>
        <w:spacing w:line="540" w:lineRule="exact"/>
        <w:ind w:firstLine="5372" w:firstLineChars="1700"/>
        <w:jc w:val="left"/>
        <w:rPr>
          <w:rFonts w:hint="default" w:ascii="Times New Roman" w:hAnsi="Times New Roman" w:cs="Times New Roman"/>
          <w:color w:val="0000FF"/>
        </w:rPr>
      </w:pP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12</w:t>
      </w:r>
      <w:r>
        <w:rPr>
          <w:rFonts w:hint="default" w:ascii="Times New Roman" w:hAnsi="Times New Roman" w:eastAsia="仿宋" w:cs="Times New Roman"/>
          <w:color w:val="auto"/>
          <w:sz w:val="32"/>
          <w:szCs w:val="32"/>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TIyM2UyMGQ4N2RmYjczYzJmNjQ2OGNjMWRjYjIifQ=="/>
  </w:docVars>
  <w:rsids>
    <w:rsidRoot w:val="28A616E4"/>
    <w:rsid w:val="02842701"/>
    <w:rsid w:val="053C13FF"/>
    <w:rsid w:val="059D2F85"/>
    <w:rsid w:val="06B3451B"/>
    <w:rsid w:val="06CA6ACF"/>
    <w:rsid w:val="06F430BD"/>
    <w:rsid w:val="08834192"/>
    <w:rsid w:val="0AE20722"/>
    <w:rsid w:val="0BFF1C67"/>
    <w:rsid w:val="0F611E32"/>
    <w:rsid w:val="0FD10543"/>
    <w:rsid w:val="10E17636"/>
    <w:rsid w:val="123C7672"/>
    <w:rsid w:val="14E26DC1"/>
    <w:rsid w:val="162F468A"/>
    <w:rsid w:val="19C553F3"/>
    <w:rsid w:val="1B3E0B82"/>
    <w:rsid w:val="1C06578C"/>
    <w:rsid w:val="1D747907"/>
    <w:rsid w:val="1EA5462B"/>
    <w:rsid w:val="23936BEF"/>
    <w:rsid w:val="28A616E4"/>
    <w:rsid w:val="31A61BA1"/>
    <w:rsid w:val="31CE5C65"/>
    <w:rsid w:val="34AC4A74"/>
    <w:rsid w:val="3A8B4809"/>
    <w:rsid w:val="3CDC1F55"/>
    <w:rsid w:val="3D3019A4"/>
    <w:rsid w:val="3D49760D"/>
    <w:rsid w:val="418547AC"/>
    <w:rsid w:val="43DA69A1"/>
    <w:rsid w:val="452278BB"/>
    <w:rsid w:val="4C2167F0"/>
    <w:rsid w:val="506F2CC4"/>
    <w:rsid w:val="52112BB5"/>
    <w:rsid w:val="526A33A1"/>
    <w:rsid w:val="58A0454E"/>
    <w:rsid w:val="58C33B87"/>
    <w:rsid w:val="5BD94E94"/>
    <w:rsid w:val="65B94D9D"/>
    <w:rsid w:val="6B262D61"/>
    <w:rsid w:val="6F972F3C"/>
    <w:rsid w:val="755D7B0C"/>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5"/>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oc 4"/>
    <w:basedOn w:val="1"/>
    <w:next w:val="1"/>
    <w:qFormat/>
    <w:uiPriority w:val="39"/>
    <w:pPr>
      <w:ind w:left="1260" w:leftChars="600"/>
    </w:pPr>
    <w:rPr>
      <w:szCs w:val="20"/>
    </w:rPr>
  </w:style>
  <w:style w:type="paragraph" w:styleId="5">
    <w:name w:val="Normal Indent"/>
    <w:basedOn w:val="1"/>
    <w:next w:val="3"/>
    <w:qFormat/>
    <w:uiPriority w:val="99"/>
    <w:pPr>
      <w:ind w:firstLine="420" w:firstLineChars="200"/>
    </w:pPr>
    <w:rPr>
      <w:szCs w:val="20"/>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lock Text"/>
    <w:basedOn w:val="1"/>
    <w:next w:val="1"/>
    <w:unhideWhenUsed/>
    <w:qFormat/>
    <w:uiPriority w:val="99"/>
    <w:pPr>
      <w:ind w:left="1440" w:leftChars="700" w:right="700" w:rightChars="700"/>
    </w:pPr>
  </w:style>
  <w:style w:type="paragraph" w:styleId="8">
    <w:name w:val="Plain Text"/>
    <w:basedOn w:val="1"/>
    <w:qFormat/>
    <w:uiPriority w:val="99"/>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paragraph" w:styleId="12">
    <w:name w:val="Body Text First Indent"/>
    <w:basedOn w:val="6"/>
    <w:next w:val="1"/>
    <w:qFormat/>
    <w:uiPriority w:val="0"/>
    <w:pPr>
      <w:ind w:firstLine="420" w:firstLineChars="100"/>
    </w:pPr>
    <w:rPr>
      <w:szCs w:val="24"/>
    </w:rPr>
  </w:style>
  <w:style w:type="character" w:styleId="15">
    <w:name w:val="page number"/>
    <w:qFormat/>
    <w:uiPriority w:val="99"/>
    <w:rPr>
      <w:rFonts w:cs="Times New Roman"/>
    </w:rPr>
  </w:style>
  <w:style w:type="paragraph" w:customStyle="1" w:styleId="16">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7">
    <w:name w:val="列出段落1"/>
    <w:basedOn w:val="1"/>
    <w:qFormat/>
    <w:uiPriority w:val="0"/>
    <w:pPr>
      <w:ind w:firstLine="420" w:firstLineChars="200"/>
    </w:pPr>
  </w:style>
  <w:style w:type="paragraph" w:customStyle="1" w:styleId="18">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2075</Characters>
  <Lines>0</Lines>
  <Paragraphs>0</Paragraphs>
  <TotalTime>2</TotalTime>
  <ScaleCrop>false</ScaleCrop>
  <LinksUpToDate>false</LinksUpToDate>
  <CharactersWithSpaces>2082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2024-12-05T03:04:55Z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