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9471">
      <w:pPr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</w:rPr>
        <w:t>关于2022年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唐山高新区</w:t>
      </w:r>
      <w:r>
        <w:rPr>
          <w:rFonts w:hint="eastAsia" w:asciiTheme="majorEastAsia" w:hAnsiTheme="majorEastAsia" w:eastAsiaTheme="majorEastAsia"/>
          <w:sz w:val="44"/>
          <w:szCs w:val="44"/>
        </w:rPr>
        <w:t>预算公开</w:t>
      </w:r>
    </w:p>
    <w:p w14:paraId="4C78A6E2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有关事项的说明</w:t>
      </w:r>
    </w:p>
    <w:p w14:paraId="255ACFEF">
      <w:pPr>
        <w:numPr>
          <w:ilvl w:val="0"/>
          <w:numId w:val="1"/>
        </w:numPr>
        <w:spacing w:line="360" w:lineRule="auto"/>
        <w:ind w:firstLine="6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唐山高新区</w:t>
      </w:r>
      <w:r>
        <w:rPr>
          <w:rFonts w:hint="eastAsia" w:ascii="仿宋" w:hAnsi="仿宋" w:eastAsia="仿宋"/>
          <w:b/>
          <w:sz w:val="30"/>
          <w:szCs w:val="30"/>
        </w:rPr>
        <w:t>财政拨款“三公”经费预算情况</w:t>
      </w:r>
    </w:p>
    <w:p w14:paraId="543024E2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2022年高新区 “三公”经费预算情况如下：公务接待费166万元、公务用车运行维护费219万元、公务用车购置费105万元、因公出国（境）费50万元，全年预算合计540万元。与2021年“三公”经费预算数持平。</w:t>
      </w:r>
    </w:p>
    <w:p w14:paraId="0C1BA989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1、公务接待费：2022年公务接待费166万元，2021年公务接待费166万元，无增减变化。</w:t>
      </w:r>
    </w:p>
    <w:p w14:paraId="4197E800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2、公务用车购置及运行维护费：</w:t>
      </w:r>
    </w:p>
    <w:p w14:paraId="353A2E29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2022年公务用车购置费105万元，2021年公务用车购置费102万，同比上涨2.9%，主要原因：公务用车已达报废年限无法正常使用，按规定进行更新。</w:t>
      </w:r>
    </w:p>
    <w:p w14:paraId="7AF136B5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2022年公务用车运行维护费219万元，2021年公务用车运行维护费222万元，同比下降1.4%，主要原因：按照</w:t>
      </w: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中央八项规定</w:t>
      </w:r>
      <w:r>
        <w:rPr>
          <w:rFonts w:hint="eastAsia" w:ascii="仿宋" w:hAnsi="仿宋" w:eastAsia="仿宋"/>
          <w:b w:val="0"/>
          <w:bCs/>
          <w:sz w:val="30"/>
          <w:szCs w:val="30"/>
        </w:rPr>
        <w:t>要求和厉行节约的原则，压减公车运行维护费。</w:t>
      </w:r>
    </w:p>
    <w:p w14:paraId="13005722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3、因公出国（境）费：2022年因公出国（境）费50万元，2021年因公出国（境）费50万元，无增减变化。</w:t>
      </w:r>
    </w:p>
    <w:p w14:paraId="38C542D8"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唐山高新区</w:t>
      </w:r>
      <w:r>
        <w:rPr>
          <w:rFonts w:hint="eastAsia" w:ascii="仿宋" w:hAnsi="仿宋" w:eastAsia="仿宋"/>
          <w:b/>
          <w:sz w:val="30"/>
          <w:szCs w:val="30"/>
        </w:rPr>
        <w:t>地方政府债券还本付息情况</w:t>
      </w:r>
    </w:p>
    <w:p w14:paraId="34B88757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截止2021年底，政府性债券余额134649万元。2022年政府债券应付利息5026万元，债券还本3114万元。安排债务化解资金7000万元，确保完成既定债务化解任务，防范区域性系统性债务风险。</w:t>
      </w:r>
    </w:p>
    <w:p w14:paraId="1BF96831"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三、财政转移支付安排情况</w:t>
      </w:r>
    </w:p>
    <w:p w14:paraId="27A0AE2F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2022年上级补助收入安排支出39366万元，其中：返还性收入-1065万元；一般性转移支付31634万元，主要是体制补助1867万元、均衡性转移支付132万元、结算补助29789万元，固定数额补助455万元，其他一般转移支付-609万元；专项转移支付8797万元。专项转移支付主要包括一般公共服务494万元、教育937万元、文化体育与传媒5万元、社会保障和就业3897万元、卫生健康支出1310万元、农林水支出1985万元。</w:t>
      </w:r>
    </w:p>
    <w:p w14:paraId="02681C2B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2022年政府性基金转移支付资金安排支出635万元，包括文化旅游体育与传媒支出6万元、社会保障和就业支出54万元、城乡社区支出212万元、其他支出363万元。</w:t>
      </w:r>
    </w:p>
    <w:p w14:paraId="11926268"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四、绩效预算工作开展情况</w:t>
      </w:r>
    </w:p>
    <w:p w14:paraId="4D0287BF">
      <w:pPr>
        <w:ind w:firstLine="6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（一）按照中央、省、市关于预算绩效管理的有关要求，我区结合工作实际，先后出台了《唐山高新区财政局关于印发&lt;唐山高新区部门预算绩效管理办法&gt;的通知》（唐高财【2019】88号）、《唐山高新区财政局关于印发&lt;唐山高新区部门预算绩效运行监控工作规程&gt;的通知》（唐高财【2019】89号）、《唐山高新区财政局关于印发&lt;唐山高新区部门预算绩效目标设定规范&gt;的通知》（唐高财【2019】90号）、《唐山高新区财政局关于印发&lt;唐山高新区预算部门事前绩效评估规范&gt;的通知》（唐高财【2019】91号）等一系列预算绩效管理有关制度办法，不断加大预算绩效管理的宣传培训，努力使预算绩效理念深入人心。根据2019年部门三定方案的调整，及时更新完善预算项目管理体系，共梳理高新区部门职责164项、工作活动274项。各预算部门、单位编制项目预算时，必须按照“部门职责—工作活动—预算项目”三个层级绩效预算管理要求，编制具体项目的绩效目标、绩效指标和指标评价标准。强化项目绩效目标及评价指标审核，项目入库绩效随行，所有预算项目全部从项目库中提取，未进入项目库的项目不安排预算，项目库中经业务处室审核通过的项目，才能进入项目预算编制程序。</w:t>
      </w:r>
    </w:p>
    <w:p w14:paraId="38A94113">
      <w:pPr>
        <w:ind w:firstLine="6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（二）将绩效理念贯穿于预算编制执行全过程，优化财政资金配置，提高资金使用绩效。一是强化绩效目标管理。将绩效目标设置作为预算安排的前置条件，严格绩效目标审核，将绩效目标与预算同步批复下达。二是加强事中绩效运行监控。对绩效目标实现程度和预算执行进度进行“双监控”，发现问题及时纠正，确保绩效目标如期保质保量实现。三是组织开展绩效评价，做到部门绩效自评和财政重点评价相结合，部门整体评价和重点项目评价相结合。四是强化绩效结果应用，绩效评价结果要与下年度预算安排挂钩，特别是评价得分不高的项目，要慎重安排或不予安排。</w:t>
      </w:r>
    </w:p>
    <w:p w14:paraId="089D116B">
      <w:pPr>
        <w:ind w:firstLine="6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五、政府采购情况</w:t>
      </w:r>
    </w:p>
    <w:p w14:paraId="4E1800E9">
      <w:pPr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 xml:space="preserve">   2021年政府采购预算项目资金安排6180万元。2022年我区采购预算项目资金安排万元，按资金来源性质分：一般公共预算拨款安排万元、基金预算拨款万元。货物、服务类达到30万元（含）及以上和工程达到60万元（含）及以上的需办理政府采购备案手续。</w:t>
      </w:r>
    </w:p>
    <w:p w14:paraId="6992E244">
      <w:pPr>
        <w:numPr>
          <w:ilvl w:val="0"/>
          <w:numId w:val="2"/>
        </w:numPr>
        <w:ind w:firstLine="60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其他重要情况说明</w:t>
      </w:r>
    </w:p>
    <w:p w14:paraId="2DA4C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高新技术产业开发区无对下级支出，因此各项“转移支付分地区情况表”数据为零。</w:t>
      </w:r>
    </w:p>
    <w:p w14:paraId="5B853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202</w:t>
      </w: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年政府预算无国有资本经营预算，因此相关表格数据为零。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C749C"/>
    <w:multiLevelType w:val="singleLevel"/>
    <w:tmpl w:val="8C5C749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FF1430"/>
    <w:multiLevelType w:val="singleLevel"/>
    <w:tmpl w:val="EBFF14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F2764"/>
    <w:rsid w:val="211F1FB8"/>
    <w:rsid w:val="31826E33"/>
    <w:rsid w:val="40B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1636</Words>
  <Characters>1810</Characters>
  <Lines>0</Lines>
  <Paragraphs>0</Paragraphs>
  <TotalTime>17</TotalTime>
  <ScaleCrop>false</ScaleCrop>
  <LinksUpToDate>false</LinksUpToDate>
  <CharactersWithSpaces>1814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2022-07-04T07:48:00Z</dcterms:created>
  <dc:creator>Master</dc:creator>
  <cp:lastModifiedBy>勇敢编辑部</cp:lastModifiedBy>
  <dcterms:modified xsi:type="dcterms:W3CDTF">2025-02-19T03:36:19Z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eyJoZGlkIjoiMWZhOWFkNjBiNzczM2ZkNWJlMmFkMGI2YmI1ZWNmNGIiLCJ1c2VySWQiOiIxNjU1MzMyOTYxIn0=</vt:lpwstr>
  </property>
  <property fmtid="{D5CDD505-2E9C-101B-9397-08002B2CF9AE}" pid="4" name="ICV">
    <vt:lpwstr>76A3EE9992ED45B1A44BCFAC109AA3A9_12</vt:lpwstr>
  </property>
</Properties>
</file>