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2"/>
        </w:rPr>
      </w:pPr>
    </w:p>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w:t>
      </w:r>
      <w:r>
        <w:rPr>
          <w:rFonts w:hint="eastAsia" w:ascii="方正小标宋简体" w:hAnsi="方正小标宋简体" w:eastAsia="方正小标宋简体" w:cs="方正小标宋简体"/>
          <w:sz w:val="52"/>
          <w:szCs w:val="52"/>
          <w:lang w:eastAsia="zh-CN"/>
        </w:rPr>
        <w:t>消防救援大队</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唐山高新技术产业开发区消防救援大队</w:t>
      </w:r>
      <w:r>
        <w:rPr>
          <w:rFonts w:hint="eastAsia" w:ascii="楷体_GB2312" w:hAnsi="楷体_GB2312" w:eastAsia="楷体_GB2312" w:cs="楷体_GB2312"/>
          <w:bCs/>
          <w:sz w:val="32"/>
          <w:szCs w:val="32"/>
        </w:rPr>
        <w:t>编制</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pPr>
        <w:pStyle w:val="2"/>
        <w:keepNext w:val="0"/>
        <w:keepLines w:val="0"/>
        <w:pageBreakBefore w:val="0"/>
        <w:widowControl w:val="0"/>
        <w:kinsoku/>
        <w:wordWrap/>
        <w:overflowPunct/>
        <w:topLinePunct w:val="0"/>
        <w:bidi w:val="0"/>
        <w:snapToGrid/>
        <w:spacing w:line="560" w:lineRule="exact"/>
        <w:textAlignment w:val="auto"/>
        <w:rPr>
          <w:rFonts w:hint="eastAsia"/>
        </w:rPr>
      </w:pP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pPr>
        <w:spacing w:before="0" w:after="0" w:line="500" w:lineRule="exact"/>
        <w:ind w:firstLine="560"/>
        <w:jc w:val="left"/>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做好高新区202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年消防工作，加强消防监督管理工作和消防宣传培训工作，督促社会单位落实消防安全主体责任并进行消防知识培训，整改火灾隐患，提高消防意识，落实消防安全措施，防止火灾的发生，减少火灾的损失。</w:t>
      </w: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pPr>
        <w:spacing w:before="0" w:after="0" w:line="500" w:lineRule="exact"/>
        <w:ind w:firstLine="560"/>
        <w:jc w:val="left"/>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消防安全监督检查工作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绩效目标：开展消防安全检查</w:t>
      </w:r>
      <w:r>
        <w:rPr>
          <w:rFonts w:hint="eastAsia" w:ascii="仿宋_GB2312" w:hAnsi="仿宋_GB2312" w:eastAsia="仿宋_GB2312" w:cs="仿宋_GB2312"/>
          <w:sz w:val="32"/>
          <w:szCs w:val="32"/>
          <w:lang w:eastAsia="zh-CN"/>
        </w:rPr>
        <w:t>。</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绩效指标：督促辖区社会单位整改火灾隐患，积极开展消防监督检查工作。</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公众聚集场所营业前消防安全检查工作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绩效目标：公众聚集场所使用（营业前）消防安全检查</w:t>
      </w:r>
      <w:r>
        <w:rPr>
          <w:rFonts w:hint="eastAsia" w:ascii="仿宋_GB2312" w:hAnsi="仿宋_GB2312" w:eastAsia="仿宋_GB2312" w:cs="仿宋_GB2312"/>
          <w:sz w:val="32"/>
          <w:szCs w:val="32"/>
          <w:lang w:eastAsia="zh-CN"/>
        </w:rPr>
        <w:t>。</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_GB2312" w:hAnsi="仿宋_GB2312" w:eastAsia="仿宋_GB2312" w:cs="仿宋_GB2312"/>
          <w:color w:val="333333"/>
          <w:sz w:val="32"/>
          <w:szCs w:val="32"/>
        </w:rPr>
        <w:t>负责公众聚集场所投入使用营业前的消防安全检查负责公众聚集场所投入使用营业前的消防安全检查</w:t>
      </w:r>
      <w:r>
        <w:rPr>
          <w:rFonts w:hint="eastAsia" w:ascii="仿宋_GB2312" w:hAnsi="仿宋_GB2312" w:eastAsia="仿宋_GB2312" w:cs="仿宋_GB2312"/>
          <w:sz w:val="32"/>
          <w:szCs w:val="32"/>
        </w:rPr>
        <w:t>。</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火灾事故调查工作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绩效目标：开展火调工作</w:t>
      </w:r>
      <w:r>
        <w:rPr>
          <w:rFonts w:hint="eastAsia" w:ascii="仿宋_GB2312" w:hAnsi="仿宋_GB2312" w:eastAsia="仿宋_GB2312" w:cs="仿宋_GB2312"/>
          <w:sz w:val="32"/>
          <w:szCs w:val="32"/>
          <w:lang w:eastAsia="zh-CN"/>
        </w:rPr>
        <w:t>。</w:t>
      </w:r>
    </w:p>
    <w:p>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绩效指标：组织调查火灾原因，处理火灾事故，对火灾事故进行查处。</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ascii="楷体_GB2312" w:hAnsi="楷体_GB2312" w:eastAsia="楷体_GB2312" w:cs="楷体_GB2312"/>
          <w:sz w:val="32"/>
          <w:szCs w:val="32"/>
        </w:rPr>
        <w:t>）消防宣传教育工作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绩效目标：开展消防宣传工作</w:t>
      </w:r>
      <w:r>
        <w:rPr>
          <w:rFonts w:hint="eastAsia" w:ascii="仿宋_GB2312" w:hAnsi="仿宋_GB2312" w:eastAsia="仿宋_GB2312" w:cs="仿宋_GB2312"/>
          <w:sz w:val="32"/>
          <w:szCs w:val="32"/>
          <w:lang w:eastAsia="zh-CN"/>
        </w:rPr>
        <w:t>。</w:t>
      </w:r>
      <w:bookmarkStart w:id="0" w:name="_GoBack"/>
      <w:bookmarkEnd w:id="0"/>
    </w:p>
    <w:p>
      <w:pPr>
        <w:spacing w:before="0" w:after="0" w:line="500" w:lineRule="exact"/>
        <w:ind w:firstLine="560"/>
        <w:jc w:val="left"/>
        <w:outlineLvl w:val="9"/>
        <w:rPr>
          <w:rFonts w:hint="eastAsia" w:ascii="仿宋" w:hAnsi="仿宋" w:eastAsia="仿宋" w:cs="仿宋"/>
          <w:color w:val="333333"/>
          <w:sz w:val="32"/>
          <w:szCs w:val="32"/>
        </w:rPr>
      </w:pPr>
      <w:r>
        <w:rPr>
          <w:rFonts w:hint="eastAsia" w:ascii="仿宋_GB2312" w:hAnsi="仿宋_GB2312" w:eastAsia="仿宋_GB2312" w:cs="仿宋_GB2312"/>
          <w:sz w:val="32"/>
          <w:szCs w:val="32"/>
        </w:rPr>
        <w:t>绩效指标：定期开展消防宣传活动，普及消防安全知识，提高辖区消防安全意识。</w:t>
      </w: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b/>
          <w:color w:val="000000"/>
          <w:sz w:val="28"/>
        </w:rPr>
      </w:pPr>
      <w:r>
        <w:rPr>
          <w:rFonts w:hint="eastAsia" w:ascii="黑体" w:hAnsi="黑体" w:eastAsia="黑体" w:cs="黑体"/>
          <w:sz w:val="32"/>
          <w:szCs w:val="32"/>
        </w:rPr>
        <w:t>三、工作保障措施</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（一）完善制度建设</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制定完善预算绩效管理制度、资金管理办法、工作保障制度等，为全年预算绩效目标的实现奠定制度基础。</w:t>
      </w:r>
    </w:p>
    <w:p>
      <w:pPr>
        <w:keepNext w:val="0"/>
        <w:keepLines w:val="0"/>
        <w:pageBreakBefore w:val="0"/>
        <w:widowControl w:val="0"/>
        <w:numPr>
          <w:ilvl w:val="0"/>
          <w:numId w:val="1"/>
        </w:numPr>
        <w:kinsoku/>
        <w:wordWrap/>
        <w:overflowPunct/>
        <w:topLinePunct w:val="0"/>
        <w:bidi w:val="0"/>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加强支出管理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加强绩效运行监控</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按要求开展绩效运行监控，发现问题及时采取措施，确保绩效目标如期保质实现。</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做好绩效自评</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规范财务资产管理</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完善财务管理制度，严格审批程序，加强固定资产登记、使用和报废处置管理，做到支出合理，物尽其用。</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加强内部监督</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加强宣传培训调研</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6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pStyle w:val="2"/>
        <w:rPr>
          <w:rFonts w:hint="eastAsia" w:ascii="方正小标宋_GBK" w:eastAsia="方正小标宋_GBK"/>
          <w:sz w:val="44"/>
          <w:szCs w:val="44"/>
        </w:rPr>
      </w:pPr>
    </w:p>
    <w:p>
      <w:pPr>
        <w:pStyle w:val="2"/>
        <w:rPr>
          <w:rFonts w:hint="eastAsia" w:ascii="方正小标宋_GBK" w:eastAsia="方正小标宋_GBK"/>
          <w:sz w:val="44"/>
          <w:szCs w:val="44"/>
        </w:rPr>
      </w:pPr>
    </w:p>
    <w:p>
      <w:pPr>
        <w:pStyle w:val="2"/>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tbl>
      <w:tblPr>
        <w:tblStyle w:val="3"/>
        <w:tblpPr w:leftFromText="180" w:rightFromText="180" w:vertAnchor="text" w:horzAnchor="page" w:tblpXSpec="center" w:tblpY="1083"/>
        <w:tblOverlap w:val="never"/>
        <w:tblW w:w="8952" w:type="dxa"/>
        <w:jc w:val="center"/>
        <w:tblLayout w:type="fixed"/>
        <w:tblCellMar>
          <w:top w:w="15" w:type="dxa"/>
          <w:left w:w="15" w:type="dxa"/>
          <w:bottom w:w="15" w:type="dxa"/>
          <w:right w:w="15" w:type="dxa"/>
        </w:tblCellMar>
      </w:tblPr>
      <w:tblGrid>
        <w:gridCol w:w="835"/>
        <w:gridCol w:w="715"/>
        <w:gridCol w:w="95"/>
        <w:gridCol w:w="900"/>
        <w:gridCol w:w="715"/>
        <w:gridCol w:w="1550"/>
        <w:gridCol w:w="1065"/>
        <w:gridCol w:w="1137"/>
        <w:gridCol w:w="979"/>
        <w:gridCol w:w="961"/>
      </w:tblGrid>
      <w:tr>
        <w:tblPrEx>
          <w:tblCellMar>
            <w:top w:w="15" w:type="dxa"/>
            <w:left w:w="15" w:type="dxa"/>
            <w:bottom w:w="15" w:type="dxa"/>
            <w:right w:w="15" w:type="dxa"/>
          </w:tblCellMar>
        </w:tblPrEx>
        <w:trPr>
          <w:trHeight w:val="60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项目</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编码</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414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建设消防救援指挥中心</w:t>
            </w:r>
          </w:p>
        </w:tc>
      </w:tr>
      <w:tr>
        <w:tblPrEx>
          <w:tblCellMar>
            <w:top w:w="15" w:type="dxa"/>
            <w:left w:w="15" w:type="dxa"/>
            <w:bottom w:w="15" w:type="dxa"/>
            <w:right w:w="15" w:type="dxa"/>
          </w:tblCellMar>
        </w:tblPrEx>
        <w:trPr>
          <w:trHeight w:val="55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预算规模及资金用途</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 xml:space="preserve">预算数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2477.58</w:t>
            </w:r>
            <w:r>
              <w:rPr>
                <w:rFonts w:hint="eastAsia" w:ascii="宋体" w:hAnsi="宋体" w:eastAsia="宋体" w:cs="宋体"/>
                <w:b w:val="0"/>
                <w:bCs w:val="0"/>
                <w:color w:val="000000"/>
                <w:sz w:val="20"/>
                <w:szCs w:val="20"/>
                <w:lang w:eastAsia="zh-CN"/>
              </w:rPr>
              <w:t>万元</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其中：财政资金</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2477.58</w:t>
            </w:r>
            <w:r>
              <w:rPr>
                <w:rFonts w:hint="eastAsia" w:ascii="宋体" w:hAnsi="宋体" w:eastAsia="宋体" w:cs="宋体"/>
                <w:b w:val="0"/>
                <w:bCs w:val="0"/>
                <w:color w:val="000000"/>
                <w:sz w:val="20"/>
                <w:szCs w:val="20"/>
                <w:lang w:eastAsia="zh-CN"/>
              </w:rPr>
              <w:t>万元</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  </w:t>
            </w:r>
          </w:p>
        </w:tc>
      </w:tr>
      <w:tr>
        <w:tblPrEx>
          <w:tblCellMar>
            <w:top w:w="15" w:type="dxa"/>
            <w:left w:w="15" w:type="dxa"/>
            <w:bottom w:w="15" w:type="dxa"/>
            <w:right w:w="15" w:type="dxa"/>
          </w:tblCellMar>
        </w:tblPrEx>
        <w:trPr>
          <w:trHeight w:val="397"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8117"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预算数</w:t>
            </w:r>
            <w:r>
              <w:rPr>
                <w:rFonts w:hint="eastAsia" w:ascii="宋体" w:hAnsi="宋体" w:cs="宋体"/>
                <w:b w:val="0"/>
                <w:bCs w:val="0"/>
                <w:color w:val="000000"/>
                <w:kern w:val="0"/>
                <w:sz w:val="20"/>
                <w:szCs w:val="20"/>
                <w:lang w:val="en-US" w:eastAsia="zh-CN" w:bidi="ar"/>
              </w:rPr>
              <w:t>2477.58</w:t>
            </w:r>
            <w:r>
              <w:rPr>
                <w:rFonts w:hint="eastAsia" w:ascii="宋体" w:hAnsi="宋体" w:eastAsia="宋体" w:cs="宋体"/>
                <w:b w:val="0"/>
                <w:bCs w:val="0"/>
                <w:color w:val="000000"/>
                <w:kern w:val="0"/>
                <w:sz w:val="20"/>
                <w:szCs w:val="20"/>
                <w:lang w:bidi="ar"/>
              </w:rPr>
              <w:t>万元，其中：财政资金</w:t>
            </w:r>
            <w:r>
              <w:rPr>
                <w:rFonts w:hint="eastAsia" w:ascii="宋体" w:hAnsi="宋体" w:cs="宋体"/>
                <w:b w:val="0"/>
                <w:bCs w:val="0"/>
                <w:color w:val="000000"/>
                <w:kern w:val="0"/>
                <w:sz w:val="20"/>
                <w:szCs w:val="20"/>
                <w:lang w:val="en-US" w:eastAsia="zh-CN" w:bidi="ar"/>
              </w:rPr>
              <w:t>2477.58</w:t>
            </w:r>
            <w:r>
              <w:rPr>
                <w:rFonts w:hint="eastAsia" w:ascii="宋体" w:hAnsi="宋体" w:eastAsia="宋体" w:cs="宋体"/>
                <w:b w:val="0"/>
                <w:bCs w:val="0"/>
                <w:color w:val="000000"/>
                <w:kern w:val="0"/>
                <w:sz w:val="20"/>
                <w:szCs w:val="20"/>
                <w:lang w:bidi="ar"/>
              </w:rPr>
              <w:t>万元，主要建设消防救援指挥中心一座，以满足城市发展对火灾防控体积建设的需要。</w:t>
            </w:r>
          </w:p>
        </w:tc>
      </w:tr>
      <w:tr>
        <w:tblPrEx>
          <w:tblCellMar>
            <w:top w:w="15" w:type="dxa"/>
            <w:left w:w="15" w:type="dxa"/>
            <w:bottom w:w="15" w:type="dxa"/>
            <w:right w:w="15" w:type="dxa"/>
          </w:tblCellMar>
        </w:tblPrEx>
        <w:trPr>
          <w:trHeight w:val="53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资金支出计划（%）</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3月底</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6月底</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40%</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60%</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100</w:t>
            </w:r>
            <w:r>
              <w:rPr>
                <w:rFonts w:hint="eastAsia" w:ascii="宋体" w:hAnsi="宋体" w:cs="宋体"/>
                <w:b w:val="0"/>
                <w:bCs w:val="0"/>
                <w:color w:val="000000"/>
                <w:sz w:val="20"/>
                <w:szCs w:val="20"/>
                <w:lang w:val="en-US" w:eastAsia="zh-CN"/>
              </w:rPr>
              <w:t>%</w:t>
            </w:r>
          </w:p>
        </w:tc>
      </w:tr>
      <w:tr>
        <w:tblPrEx>
          <w:tblCellMar>
            <w:top w:w="15" w:type="dxa"/>
            <w:left w:w="15" w:type="dxa"/>
            <w:bottom w:w="15" w:type="dxa"/>
            <w:right w:w="15" w:type="dxa"/>
          </w:tblCellMar>
        </w:tblPrEx>
        <w:trPr>
          <w:trHeight w:val="525"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绩效</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目标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目标1</w:t>
            </w:r>
          </w:p>
        </w:tc>
        <w:tc>
          <w:tcPr>
            <w:tcW w:w="740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为进一步加强高新区消防救援工作和消防救援队伍建设，切实增强全区火灾预防、扑救和应急救援的能力。</w:t>
            </w:r>
          </w:p>
        </w:tc>
      </w:tr>
      <w:tr>
        <w:tblPrEx>
          <w:tblCellMar>
            <w:top w:w="15" w:type="dxa"/>
            <w:left w:w="15" w:type="dxa"/>
            <w:bottom w:w="15" w:type="dxa"/>
            <w:right w:w="15" w:type="dxa"/>
          </w:tblCellMar>
        </w:tblPrEx>
        <w:trPr>
          <w:trHeight w:val="450"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一级</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三级指标</w:t>
            </w:r>
          </w:p>
        </w:tc>
        <w:tc>
          <w:tcPr>
            <w:tcW w:w="375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375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r>
      <w:tr>
        <w:tblPrEx>
          <w:tblCellMar>
            <w:top w:w="15" w:type="dxa"/>
            <w:left w:w="15" w:type="dxa"/>
            <w:bottom w:w="15" w:type="dxa"/>
            <w:right w:w="15" w:type="dxa"/>
          </w:tblCellMar>
        </w:tblPrEx>
        <w:trPr>
          <w:trHeight w:val="55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产出</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成本</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工程单位建设成本</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建设面积</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7500平方米</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质量指标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时效指标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项目完成时限</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项目按计划完工时间</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数量</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工程完工率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工程施工进度工作量占工程完工总比例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70%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效果</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eastAsia="宋体" w:cs="宋体"/>
                <w:b w:val="0"/>
                <w:bCs w:val="0"/>
                <w:color w:val="000000"/>
                <w:kern w:val="0"/>
                <w:sz w:val="20"/>
                <w:szCs w:val="20"/>
                <w:lang w:bidi="ar"/>
              </w:rPr>
              <w:t>效益指标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720"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满意度指标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bl>
    <w:p>
      <w:pPr>
        <w:spacing w:line="580" w:lineRule="exact"/>
        <w:jc w:val="center"/>
        <w:rPr>
          <w:rFonts w:hint="eastAsia" w:ascii="方正小标宋_GBK" w:eastAsia="方正小标宋_GBK"/>
          <w:sz w:val="44"/>
          <w:szCs w:val="44"/>
        </w:rPr>
      </w:pPr>
      <w:r>
        <w:rPr>
          <w:rFonts w:hint="eastAsia" w:ascii="方正小标宋简体" w:eastAsia="方正小标宋简体"/>
          <w:sz w:val="44"/>
          <w:szCs w:val="44"/>
        </w:rPr>
        <w:t>建设消防救援指挥中心</w:t>
      </w:r>
      <w:r>
        <w:rPr>
          <w:rFonts w:hint="eastAsia" w:ascii="方正小标宋简体" w:eastAsia="方正小标宋简体"/>
          <w:sz w:val="44"/>
          <w:szCs w:val="44"/>
          <w:lang w:eastAsia="zh-CN"/>
        </w:rPr>
        <w:t>项</w:t>
      </w:r>
      <w:r>
        <w:rPr>
          <w:rFonts w:hint="eastAsia" w:ascii="方正小标宋简体" w:eastAsia="方正小标宋简体"/>
          <w:sz w:val="44"/>
          <w:szCs w:val="44"/>
        </w:rPr>
        <w:t>目绩效目标</w:t>
      </w:r>
    </w:p>
    <w:p>
      <w:pPr>
        <w:pStyle w:val="2"/>
        <w:rPr>
          <w:rFonts w:hint="eastAsia" w:ascii="方正小标宋_GBK" w:eastAsia="方正小标宋_GBK"/>
          <w:sz w:val="44"/>
          <w:szCs w:val="44"/>
        </w:rPr>
      </w:pPr>
    </w:p>
    <w:p>
      <w:pPr>
        <w:pStyle w:val="2"/>
        <w:rPr>
          <w:rFonts w:hint="eastAsia" w:ascii="方正小标宋_GBK" w:eastAsia="方正小标宋_GBK"/>
          <w:sz w:val="44"/>
          <w:szCs w:val="44"/>
        </w:rPr>
      </w:pPr>
    </w:p>
    <w:p>
      <w:pPr>
        <w:pStyle w:val="2"/>
        <w:rPr>
          <w:rFonts w:hint="eastAsia" w:ascii="方正小标宋_GBK" w:eastAsia="方正小标宋_GBK"/>
          <w:sz w:val="44"/>
          <w:szCs w:val="44"/>
        </w:rPr>
      </w:pPr>
    </w:p>
    <w:p>
      <w:pPr>
        <w:pStyle w:val="2"/>
        <w:rPr>
          <w:rFonts w:hint="eastAsia" w:ascii="方正小标宋_GBK" w:eastAsia="方正小标宋_GBK"/>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消防救援车辆及器材装备采购</w:t>
      </w:r>
    </w:p>
    <w:p>
      <w:pPr>
        <w:pStyle w:val="2"/>
        <w:rPr>
          <w:rFonts w:hint="eastAsia"/>
        </w:rPr>
      </w:pPr>
    </w:p>
    <w:tbl>
      <w:tblPr>
        <w:tblStyle w:val="3"/>
        <w:tblW w:w="8952" w:type="dxa"/>
        <w:tblInd w:w="0" w:type="dxa"/>
        <w:tblLayout w:type="fixed"/>
        <w:tblCellMar>
          <w:top w:w="15" w:type="dxa"/>
          <w:left w:w="15" w:type="dxa"/>
          <w:bottom w:w="15" w:type="dxa"/>
          <w:right w:w="15" w:type="dxa"/>
        </w:tblCellMar>
      </w:tblPr>
      <w:tblGrid>
        <w:gridCol w:w="648"/>
        <w:gridCol w:w="902"/>
        <w:gridCol w:w="204"/>
        <w:gridCol w:w="1315"/>
        <w:gridCol w:w="191"/>
        <w:gridCol w:w="1251"/>
        <w:gridCol w:w="1078"/>
        <w:gridCol w:w="1167"/>
        <w:gridCol w:w="1235"/>
        <w:gridCol w:w="961"/>
      </w:tblGrid>
      <w:tr>
        <w:tblPrEx>
          <w:tblCellMar>
            <w:top w:w="15" w:type="dxa"/>
            <w:left w:w="15" w:type="dxa"/>
            <w:bottom w:w="15" w:type="dxa"/>
            <w:right w:w="15" w:type="dxa"/>
          </w:tblCellMar>
        </w:tblPrEx>
        <w:trPr>
          <w:trHeight w:val="60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项目</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编码</w:t>
            </w:r>
          </w:p>
        </w:tc>
        <w:tc>
          <w:tcPr>
            <w:tcW w:w="24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消防救援车辆装备及器材装备</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预算规模及资金用途</w:t>
            </w:r>
          </w:p>
        </w:tc>
        <w:tc>
          <w:tcPr>
            <w:tcW w:w="11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2230</w:t>
            </w:r>
            <w:r>
              <w:rPr>
                <w:rFonts w:hint="eastAsia" w:ascii="宋体" w:hAnsi="宋体" w:eastAsia="宋体" w:cs="宋体"/>
                <w:b w:val="0"/>
                <w:bCs w:val="0"/>
                <w:color w:val="000000"/>
                <w:sz w:val="20"/>
                <w:szCs w:val="20"/>
                <w:lang w:eastAsia="zh-CN"/>
              </w:rPr>
              <w:t>万元</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2230</w:t>
            </w:r>
            <w:r>
              <w:rPr>
                <w:rFonts w:hint="eastAsia" w:ascii="宋体" w:hAnsi="宋体" w:eastAsia="宋体" w:cs="宋体"/>
                <w:b w:val="0"/>
                <w:bCs w:val="0"/>
                <w:color w:val="000000"/>
                <w:sz w:val="20"/>
                <w:szCs w:val="20"/>
                <w:lang w:eastAsia="zh-CN"/>
              </w:rPr>
              <w:t>万元</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其他资金</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830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eastAsia="宋体" w:cs="宋体"/>
                <w:b w:val="0"/>
                <w:bCs w:val="0"/>
                <w:color w:val="000000"/>
                <w:kern w:val="0"/>
                <w:sz w:val="20"/>
                <w:szCs w:val="20"/>
                <w:lang w:bidi="ar"/>
              </w:rPr>
              <w:t>预算数</w:t>
            </w:r>
            <w:r>
              <w:rPr>
                <w:rFonts w:hint="eastAsia" w:ascii="宋体" w:hAnsi="宋体" w:cs="宋体"/>
                <w:b w:val="0"/>
                <w:bCs w:val="0"/>
                <w:color w:val="000000"/>
                <w:kern w:val="0"/>
                <w:sz w:val="20"/>
                <w:szCs w:val="20"/>
                <w:lang w:val="en-US" w:eastAsia="zh-CN" w:bidi="ar"/>
              </w:rPr>
              <w:t>2230</w:t>
            </w:r>
            <w:r>
              <w:rPr>
                <w:rFonts w:hint="eastAsia" w:ascii="宋体" w:hAnsi="宋体" w:eastAsia="宋体" w:cs="宋体"/>
                <w:b w:val="0"/>
                <w:bCs w:val="0"/>
                <w:color w:val="000000"/>
                <w:kern w:val="0"/>
                <w:sz w:val="20"/>
                <w:szCs w:val="20"/>
                <w:lang w:bidi="ar"/>
              </w:rPr>
              <w:t>万元，其中：财政资金</w:t>
            </w:r>
            <w:r>
              <w:rPr>
                <w:rFonts w:hint="eastAsia" w:ascii="宋体" w:hAnsi="宋体" w:cs="宋体"/>
                <w:b w:val="0"/>
                <w:bCs w:val="0"/>
                <w:color w:val="000000"/>
                <w:kern w:val="0"/>
                <w:sz w:val="20"/>
                <w:szCs w:val="20"/>
                <w:lang w:val="en-US" w:eastAsia="zh-CN" w:bidi="ar"/>
              </w:rPr>
              <w:t>2230</w:t>
            </w:r>
            <w:r>
              <w:rPr>
                <w:rFonts w:hint="eastAsia" w:ascii="宋体" w:hAnsi="宋体" w:eastAsia="宋体" w:cs="宋体"/>
                <w:b w:val="0"/>
                <w:bCs w:val="0"/>
                <w:color w:val="000000"/>
                <w:kern w:val="0"/>
                <w:sz w:val="20"/>
                <w:szCs w:val="20"/>
                <w:lang w:bidi="ar"/>
              </w:rPr>
              <w:t>万元</w:t>
            </w:r>
            <w:r>
              <w:rPr>
                <w:rFonts w:hint="eastAsia" w:ascii="宋体" w:hAnsi="宋体" w:cs="宋体"/>
                <w:b w:val="0"/>
                <w:bCs w:val="0"/>
                <w:color w:val="000000"/>
                <w:kern w:val="0"/>
                <w:sz w:val="20"/>
                <w:szCs w:val="20"/>
                <w:lang w:eastAsia="zh-CN" w:bidi="ar"/>
              </w:rPr>
              <w:t>，</w:t>
            </w:r>
            <w:r>
              <w:rPr>
                <w:rFonts w:hint="eastAsia" w:ascii="宋体" w:hAnsi="宋体" w:eastAsia="宋体" w:cs="宋体"/>
                <w:b w:val="0"/>
                <w:bCs w:val="0"/>
                <w:color w:val="000000"/>
                <w:kern w:val="0"/>
                <w:sz w:val="20"/>
                <w:szCs w:val="20"/>
                <w:lang w:bidi="ar"/>
              </w:rPr>
              <w:t>主要</w:t>
            </w:r>
            <w:r>
              <w:rPr>
                <w:rFonts w:hint="eastAsia" w:ascii="宋体" w:hAnsi="宋体" w:cs="宋体"/>
                <w:b w:val="0"/>
                <w:bCs w:val="0"/>
                <w:color w:val="000000"/>
                <w:kern w:val="0"/>
                <w:sz w:val="20"/>
                <w:szCs w:val="20"/>
                <w:lang w:eastAsia="zh-CN" w:bidi="ar"/>
              </w:rPr>
              <w:t>购置消防救援车辆及器材，</w:t>
            </w:r>
            <w:r>
              <w:rPr>
                <w:rFonts w:hint="eastAsia" w:ascii="宋体" w:hAnsi="宋体" w:eastAsia="宋体" w:cs="宋体"/>
                <w:b w:val="0"/>
                <w:bCs w:val="0"/>
                <w:color w:val="000000"/>
                <w:kern w:val="0"/>
                <w:sz w:val="20"/>
                <w:szCs w:val="20"/>
                <w:lang w:bidi="ar"/>
              </w:rPr>
              <w:t>为进一步加强高新区消防救援工作和消防救援队伍建设</w:t>
            </w:r>
            <w:r>
              <w:rPr>
                <w:rFonts w:hint="eastAsia" w:ascii="宋体" w:hAnsi="宋体" w:cs="宋体"/>
                <w:b w:val="0"/>
                <w:bCs w:val="0"/>
                <w:color w:val="000000"/>
                <w:kern w:val="0"/>
                <w:sz w:val="20"/>
                <w:szCs w:val="20"/>
                <w:lang w:eastAsia="zh-CN" w:bidi="ar"/>
              </w:rPr>
              <w:t>。</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资金支出计划（%）</w:t>
            </w:r>
          </w:p>
        </w:tc>
        <w:tc>
          <w:tcPr>
            <w:tcW w:w="24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3月底</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6月底</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10月底</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24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0%</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50</w:t>
            </w:r>
            <w:r>
              <w:rPr>
                <w:rFonts w:hint="eastAsia" w:ascii="宋体" w:hAnsi="宋体" w:eastAsia="宋体" w:cs="宋体"/>
                <w:b w:val="0"/>
                <w:bCs w:val="0"/>
                <w:color w:val="000000"/>
                <w:sz w:val="20"/>
                <w:szCs w:val="20"/>
                <w:lang w:val="en-US" w:eastAsia="zh-CN"/>
              </w:rPr>
              <w:t>%</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75</w:t>
            </w:r>
            <w:r>
              <w:rPr>
                <w:rFonts w:hint="eastAsia" w:ascii="宋体" w:hAnsi="宋体" w:eastAsia="宋体" w:cs="宋体"/>
                <w:b w:val="0"/>
                <w:bCs w:val="0"/>
                <w:color w:val="000000"/>
                <w:sz w:val="20"/>
                <w:szCs w:val="20"/>
                <w:lang w:val="en-US" w:eastAsia="zh-CN"/>
              </w:rPr>
              <w:t>%</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100</w:t>
            </w:r>
            <w:r>
              <w:rPr>
                <w:rFonts w:hint="eastAsia" w:ascii="宋体" w:hAnsi="宋体" w:eastAsia="宋体" w:cs="宋体"/>
                <w:b w:val="0"/>
                <w:bCs w:val="0"/>
                <w:color w:val="000000"/>
                <w:sz w:val="20"/>
                <w:szCs w:val="20"/>
                <w:lang w:val="en-US" w:eastAsia="zh-CN"/>
              </w:rPr>
              <w:t>%</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绩效</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目标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目标1</w:t>
            </w:r>
          </w:p>
        </w:tc>
        <w:tc>
          <w:tcPr>
            <w:tcW w:w="740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为进一步加强高新区消防救援工作和消防救援队伍建设，切实增强全区火灾预防、扑救和应急救援的能力。</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一级</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9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三级指标</w:t>
            </w:r>
          </w:p>
        </w:tc>
        <w:tc>
          <w:tcPr>
            <w:tcW w:w="34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绩效指标描述</w:t>
            </w:r>
          </w:p>
        </w:tc>
        <w:tc>
          <w:tcPr>
            <w:tcW w:w="1235"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9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34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1235"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产出</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902"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数量指标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购置数量</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eastAsia="zh-CN" w:bidi="ar"/>
              </w:rPr>
              <w:t>购置</w:t>
            </w:r>
            <w:r>
              <w:rPr>
                <w:rFonts w:hint="eastAsia" w:ascii="宋体" w:hAnsi="宋体" w:cs="宋体"/>
                <w:b w:val="0"/>
                <w:bCs w:val="0"/>
                <w:color w:val="000000"/>
                <w:kern w:val="0"/>
                <w:sz w:val="20"/>
                <w:szCs w:val="20"/>
                <w:lang w:val="en-US" w:eastAsia="zh-CN" w:bidi="ar"/>
              </w:rPr>
              <w:t>车辆数量</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5</w:t>
            </w:r>
            <w:r>
              <w:rPr>
                <w:rFonts w:hint="eastAsia" w:ascii="宋体" w:hAnsi="宋体" w:eastAsia="宋体" w:cs="宋体"/>
                <w:b w:val="0"/>
                <w:bCs w:val="0"/>
                <w:color w:val="000000"/>
                <w:kern w:val="0"/>
                <w:sz w:val="20"/>
                <w:szCs w:val="20"/>
                <w:lang w:bidi="ar"/>
              </w:rPr>
              <w:t>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质量指标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产品合格率</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产品合格率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9</w:t>
            </w:r>
            <w:r>
              <w:rPr>
                <w:rFonts w:hint="eastAsia" w:ascii="宋体" w:hAnsi="宋体" w:eastAsia="宋体" w:cs="宋体"/>
                <w:b w:val="0"/>
                <w:bCs w:val="0"/>
                <w:color w:val="000000"/>
                <w:kern w:val="0"/>
                <w:sz w:val="20"/>
                <w:szCs w:val="20"/>
                <w:lang w:bidi="ar"/>
              </w:rPr>
              <w:t>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时效指标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项目完成时限</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完成时效</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902"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成本指标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购置成本</w:t>
            </w:r>
            <w:r>
              <w:rPr>
                <w:rFonts w:hint="eastAsia" w:ascii="宋体" w:hAnsi="宋体" w:eastAsia="宋体" w:cs="宋体"/>
                <w:b w:val="0"/>
                <w:bCs w:val="0"/>
                <w:color w:val="000000"/>
                <w:kern w:val="0"/>
                <w:sz w:val="20"/>
                <w:szCs w:val="20"/>
                <w:lang w:bidi="ar"/>
              </w:rPr>
              <w:t>费用</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购置成本费用</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2230万元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效果</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902"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eastAsia="宋体" w:cs="宋体"/>
                <w:b w:val="0"/>
                <w:bCs w:val="0"/>
                <w:color w:val="000000"/>
                <w:kern w:val="0"/>
                <w:sz w:val="20"/>
                <w:szCs w:val="20"/>
                <w:lang w:bidi="ar"/>
              </w:rPr>
              <w:t>效益指标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eastAsia="zh-CN" w:bidi="ar"/>
              </w:rPr>
            </w:pPr>
            <w:r>
              <w:rPr>
                <w:rFonts w:hint="eastAsia" w:ascii="宋体" w:hAnsi="宋体" w:cs="宋体"/>
                <w:b w:val="0"/>
                <w:bCs w:val="0"/>
                <w:color w:val="000000"/>
                <w:kern w:val="0"/>
                <w:sz w:val="20"/>
                <w:szCs w:val="20"/>
                <w:lang w:eastAsia="zh-CN" w:bidi="ar"/>
              </w:rPr>
              <w:t>切实增强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满意度指标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单位</w:t>
            </w:r>
            <w:r>
              <w:rPr>
                <w:rFonts w:hint="eastAsia" w:ascii="宋体" w:hAnsi="宋体" w:eastAsia="宋体" w:cs="宋体"/>
                <w:b w:val="0"/>
                <w:bCs w:val="0"/>
                <w:color w:val="000000"/>
                <w:kern w:val="0"/>
                <w:sz w:val="20"/>
                <w:szCs w:val="20"/>
                <w:lang w:bidi="ar"/>
              </w:rPr>
              <w:t>人员满意度</w:t>
            </w:r>
          </w:p>
        </w:tc>
        <w:tc>
          <w:tcPr>
            <w:tcW w:w="34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bl>
    <w:p>
      <w:pPr>
        <w:spacing w:line="580" w:lineRule="exact"/>
        <w:rPr>
          <w:rFonts w:hint="eastAsia"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556B"/>
    <w:multiLevelType w:val="singleLevel"/>
    <w:tmpl w:val="F4F355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NDFiNmNkZmFhMDMxNDU4NTc2MDNkNDJkOGEzMDkifQ=="/>
  </w:docVars>
  <w:rsids>
    <w:rsidRoot w:val="5A927DAC"/>
    <w:rsid w:val="02DF7874"/>
    <w:rsid w:val="16AF0D91"/>
    <w:rsid w:val="24833A1A"/>
    <w:rsid w:val="507408A5"/>
    <w:rsid w:val="5A927DAC"/>
    <w:rsid w:val="66E7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2066</Characters>
  <Lines>0</Lines>
  <Paragraphs>0</Paragraphs>
  <TotalTime>3</TotalTime>
  <ScaleCrop>false</ScaleCrop>
  <LinksUpToDate>false</LinksUpToDate>
  <CharactersWithSpaces>2079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2023-01-03T02:39:00Z</dcterms:created>
  <dc:creator>Administrator</dc:creator>
  <cp:lastModifiedBy>Master</cp:lastModifiedBy>
  <dcterms:modified xsi:type="dcterms:W3CDTF">2023-01-03T14:33:23Z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339BA4D59AD94E53A2A5DE3A13B9A6E3</vt:lpwstr>
  </property>
</Properties>
</file>