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号</w:t>
      </w:r>
    </w:p>
    <w:p>
      <w:pPr>
        <w:pStyle w:val="7"/>
        <w:spacing w:line="240" w:lineRule="atLeast"/>
        <w:ind w:firstLine="5372" w:firstLineChars="1700"/>
        <w:jc w:val="both"/>
        <w:rPr>
          <w:rFonts w:ascii="??_GB2312" w:hAnsi="宋体" w:eastAsia="Times New Roman" w:cs="宋体"/>
          <w:color w:val="FF0000"/>
          <w:sz w:val="32"/>
          <w:szCs w:val="32"/>
        </w:rPr>
      </w:pPr>
    </w:p>
    <w:p>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于唐山正权环境技术有限公司环境检测实验室项目</w:t>
      </w: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pPr>
        <w:jc w:val="center"/>
        <w:rPr>
          <w:rFonts w:ascii="宋体"/>
          <w:sz w:val="44"/>
          <w:szCs w:val="44"/>
        </w:rPr>
      </w:pPr>
    </w:p>
    <w:p>
      <w:pPr>
        <w:numPr>
          <w:ilvl w:val="0"/>
          <w:numId w:val="0"/>
        </w:numPr>
        <w:spacing w:line="52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唐山正权环境技术有限公司：</w:t>
      </w:r>
    </w:p>
    <w:p>
      <w:pPr>
        <w:numPr>
          <w:ilvl w:val="0"/>
          <w:numId w:val="0"/>
        </w:numPr>
        <w:spacing w:line="520" w:lineRule="exact"/>
        <w:ind w:firstLine="632"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你公司所报《唐山正权环境技术有限公司环境检测实验室项目》（</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pPr>
        <w:numPr>
          <w:ilvl w:val="0"/>
          <w:numId w:val="0"/>
        </w:numPr>
        <w:spacing w:line="520" w:lineRule="exact"/>
        <w:ind w:firstLine="632" w:firstLineChars="200"/>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项目位于唐山市高新技术产业开发区大庆西道121号，项目总投资</w:t>
      </w:r>
      <w:r>
        <w:rPr>
          <w:rFonts w:hint="eastAsia" w:ascii="仿宋" w:hAnsi="仿宋" w:eastAsia="仿宋" w:cs="仿宋"/>
          <w:b w:val="0"/>
          <w:bCs/>
          <w:sz w:val="32"/>
          <w:szCs w:val="32"/>
          <w:lang w:val="en-US" w:eastAsia="zh-CN"/>
        </w:rPr>
        <w:t>300</w:t>
      </w:r>
      <w:r>
        <w:rPr>
          <w:rFonts w:hint="default" w:ascii="仿宋" w:hAnsi="仿宋" w:eastAsia="仿宋" w:cs="仿宋"/>
          <w:b w:val="0"/>
          <w:bCs/>
          <w:sz w:val="32"/>
          <w:szCs w:val="32"/>
          <w:lang w:val="en-US" w:eastAsia="zh-CN"/>
        </w:rPr>
        <w:t>万元，其中环保投资</w:t>
      </w:r>
      <w:r>
        <w:rPr>
          <w:rFonts w:hint="eastAsia" w:ascii="仿宋" w:hAnsi="仿宋" w:eastAsia="仿宋" w:cs="仿宋"/>
          <w:b w:val="0"/>
          <w:bCs/>
          <w:sz w:val="32"/>
          <w:szCs w:val="32"/>
          <w:lang w:val="en-US" w:eastAsia="zh-CN"/>
        </w:rPr>
        <w:t>25</w:t>
      </w:r>
      <w:r>
        <w:rPr>
          <w:rFonts w:hint="default" w:ascii="仿宋" w:hAnsi="仿宋" w:eastAsia="仿宋" w:cs="仿宋"/>
          <w:b w:val="0"/>
          <w:bCs/>
          <w:sz w:val="32"/>
          <w:szCs w:val="32"/>
          <w:lang w:val="en-US" w:eastAsia="zh-CN"/>
        </w:rPr>
        <w:t>万元。项目建成后年出具1000份检测报告。</w:t>
      </w:r>
    </w:p>
    <w:p>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pPr>
        <w:numPr>
          <w:ilvl w:val="0"/>
          <w:numId w:val="0"/>
        </w:numPr>
        <w:shd w:val="clear" w:color="auto" w:fill="FFFFFF"/>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沾染酸液、碱液的器血冲洗水以及实验过程中产生的废酸液、废碱液，由专人进行酸碱中和处理，使用pH试纸检验达标后与未沾染危化品器血冲洗废水、纯水制备过程产生的废水、恒温恒湿室生产过程产生的废水、地面</w:t>
      </w:r>
      <w:r>
        <w:rPr>
          <w:rFonts w:hint="eastAsia" w:ascii="仿宋" w:hAnsi="仿宋" w:eastAsia="仿宋" w:cs="仿宋"/>
          <w:b w:val="0"/>
          <w:bCs/>
          <w:sz w:val="32"/>
          <w:szCs w:val="32"/>
          <w:lang w:val="en-US" w:eastAsia="zh-CN"/>
        </w:rPr>
        <w:t>冲洗</w:t>
      </w:r>
      <w:r>
        <w:rPr>
          <w:rFonts w:hint="default" w:ascii="仿宋" w:hAnsi="仿宋" w:eastAsia="仿宋" w:cs="仿宋"/>
          <w:b w:val="0"/>
          <w:bCs/>
          <w:sz w:val="32"/>
          <w:szCs w:val="32"/>
          <w:lang w:val="en-US" w:eastAsia="zh-CN"/>
        </w:rPr>
        <w:t>废水</w:t>
      </w:r>
      <w:r>
        <w:rPr>
          <w:rFonts w:hint="eastAsia" w:ascii="仿宋" w:hAnsi="仿宋" w:eastAsia="仿宋" w:cs="仿宋"/>
          <w:b w:val="0"/>
          <w:bCs/>
          <w:sz w:val="32"/>
          <w:szCs w:val="32"/>
          <w:lang w:val="en-US" w:eastAsia="zh-CN"/>
        </w:rPr>
        <w:t>、水环境质量检测剩余水样</w:t>
      </w:r>
      <w:r>
        <w:rPr>
          <w:rFonts w:hint="default" w:ascii="仿宋" w:hAnsi="仿宋" w:eastAsia="仿宋" w:cs="仿宋"/>
          <w:b w:val="0"/>
          <w:bCs/>
          <w:sz w:val="32"/>
          <w:szCs w:val="32"/>
          <w:lang w:val="en-US" w:eastAsia="zh-CN"/>
        </w:rPr>
        <w:t>排入园区污水管网，最终进入唐山市东北郊污水处理厂处理；职工生活污水排入园区污水管网，最终进入唐山市东北郊污水处理厂处理；含有危化品的废水采用专用容器收集，暂存于危废间内，定期交由有资质单位处理。</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（三）严格落实大气环境保护措施。</w:t>
      </w:r>
    </w:p>
    <w:p>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项目样品前处理及实验室分析过程产生的非甲烷总烃</w:t>
      </w:r>
      <w:r>
        <w:rPr>
          <w:rFonts w:hint="eastAsia" w:ascii="仿宋" w:hAnsi="仿宋" w:eastAsia="仿宋" w:cs="仿宋"/>
          <w:b w:val="0"/>
          <w:bCs/>
          <w:sz w:val="32"/>
          <w:szCs w:val="32"/>
          <w:lang w:val="en-US" w:eastAsia="zh-CN"/>
        </w:rPr>
        <w:t>、苯、氨、臭气浓度</w:t>
      </w:r>
      <w:r>
        <w:rPr>
          <w:rFonts w:hint="default" w:ascii="仿宋" w:hAnsi="仿宋" w:eastAsia="仿宋" w:cs="仿宋"/>
          <w:b w:val="0"/>
          <w:bCs/>
          <w:sz w:val="32"/>
          <w:szCs w:val="32"/>
          <w:lang w:val="en-US" w:eastAsia="zh-CN"/>
        </w:rPr>
        <w:t>经集气设施收集后经管道引至一套活性炭吸附装置内进行处理（风机风量为</w:t>
      </w:r>
      <w:r>
        <w:rPr>
          <w:rFonts w:hint="eastAsia" w:ascii="仿宋" w:hAnsi="仿宋" w:eastAsia="仿宋" w:cs="仿宋"/>
          <w:b w:val="0"/>
          <w:bCs/>
          <w:sz w:val="32"/>
          <w:szCs w:val="32"/>
          <w:lang w:val="en-US" w:eastAsia="zh-CN"/>
        </w:rPr>
        <w:t>129</w:t>
      </w:r>
      <w:r>
        <w:rPr>
          <w:rFonts w:hint="default" w:ascii="仿宋" w:hAnsi="仿宋" w:eastAsia="仿宋" w:cs="仿宋"/>
          <w:b w:val="0"/>
          <w:bCs/>
          <w:sz w:val="32"/>
          <w:szCs w:val="32"/>
          <w:lang w:val="en-US" w:eastAsia="zh-CN"/>
        </w:rPr>
        <w:t>00m</w:t>
      </w:r>
      <w:r>
        <w:rPr>
          <w:rFonts w:hint="default" w:ascii="仿宋" w:hAnsi="仿宋" w:eastAsia="仿宋" w:cs="仿宋"/>
          <w:b w:val="0"/>
          <w:bCs/>
          <w:sz w:val="32"/>
          <w:szCs w:val="32"/>
          <w:vertAlign w:val="superscript"/>
          <w:lang w:val="en-US" w:eastAsia="zh-CN"/>
        </w:rPr>
        <w:t>3</w:t>
      </w:r>
      <w:r>
        <w:rPr>
          <w:rFonts w:hint="default" w:ascii="仿宋" w:hAnsi="仿宋" w:eastAsia="仿宋" w:cs="仿宋"/>
          <w:b w:val="0"/>
          <w:bCs/>
          <w:sz w:val="32"/>
          <w:szCs w:val="32"/>
          <w:lang w:val="en-US" w:eastAsia="zh-CN"/>
        </w:rPr>
        <w:t>/h），处理后直接排放于大气环境中，废气经处理后</w:t>
      </w:r>
      <w:r>
        <w:rPr>
          <w:rFonts w:hint="eastAsia" w:ascii="仿宋" w:hAnsi="仿宋" w:eastAsia="仿宋" w:cs="仿宋"/>
          <w:b w:val="0"/>
          <w:bCs/>
          <w:sz w:val="32"/>
          <w:szCs w:val="32"/>
          <w:lang w:val="en-US" w:eastAsia="zh-CN"/>
        </w:rPr>
        <w:t>非甲烷总烃</w:t>
      </w:r>
      <w:r>
        <w:rPr>
          <w:rFonts w:hint="default" w:ascii="仿宋" w:hAnsi="仿宋" w:eastAsia="仿宋" w:cs="仿宋"/>
          <w:b w:val="0"/>
          <w:bCs/>
          <w:sz w:val="32"/>
          <w:szCs w:val="32"/>
          <w:lang w:val="en-US" w:eastAsia="zh-CN"/>
        </w:rPr>
        <w:t>满足《工业企业挥发性有机物排放控制标准》（DB13/2322-2016）及《挥发性有机物无组织排放控制标准》（GB37822-2019）中相关要求</w:t>
      </w:r>
      <w:r>
        <w:rPr>
          <w:rFonts w:hint="eastAsia" w:ascii="仿宋" w:hAnsi="仿宋" w:eastAsia="仿宋" w:cs="仿宋"/>
          <w:b w:val="0"/>
          <w:bCs/>
          <w:sz w:val="32"/>
          <w:szCs w:val="32"/>
          <w:lang w:val="en-US" w:eastAsia="zh-CN"/>
        </w:rPr>
        <w:t>，苯满足《工业企业挥发性有机物排放控制标准》（GB13/2322-2016）中相关要求，氨、臭气浓度满足《恶臭污染物排放标准》（GB14554-93）</w:t>
      </w:r>
      <w:r>
        <w:rPr>
          <w:rFonts w:hint="default" w:ascii="仿宋" w:hAnsi="仿宋" w:eastAsia="仿宋" w:cs="仿宋"/>
          <w:b w:val="0"/>
          <w:bCs/>
          <w:sz w:val="32"/>
          <w:szCs w:val="32"/>
          <w:lang w:val="en-US" w:eastAsia="zh-CN"/>
        </w:rPr>
        <w:t>中相关要求；样品前处理过程产生的硫酸雾、氯化氢、硝酸雾</w:t>
      </w:r>
      <w:r>
        <w:rPr>
          <w:rFonts w:hint="eastAsia" w:ascii="仿宋" w:hAnsi="仿宋" w:eastAsia="仿宋" w:cs="仿宋"/>
          <w:b w:val="0"/>
          <w:bCs/>
          <w:sz w:val="32"/>
          <w:szCs w:val="32"/>
          <w:lang w:val="en-US" w:eastAsia="zh-CN"/>
        </w:rPr>
        <w:t>无组织排放</w:t>
      </w:r>
      <w:r>
        <w:rPr>
          <w:rFonts w:hint="default" w:ascii="仿宋" w:hAnsi="仿宋" w:eastAsia="仿宋" w:cs="仿宋"/>
          <w:b w:val="0"/>
          <w:bCs/>
          <w:sz w:val="32"/>
          <w:szCs w:val="32"/>
          <w:lang w:val="en-US" w:eastAsia="zh-CN"/>
        </w:rPr>
        <w:t>应满足《大气污染物综合排放标准》（GB16297-1996）中相关要求。</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（四）严格落实噪声污染防治措施。</w:t>
      </w:r>
    </w:p>
    <w:p>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项目设备置于封闭生产车间内，设备基础加装减振垫，项目厂界外1m处噪声值满足《工业企业厂界环境噪声排放标准》(GB12348-2008)3类</w:t>
      </w:r>
      <w:r>
        <w:rPr>
          <w:rFonts w:hint="eastAsia" w:ascii="仿宋" w:hAnsi="仿宋" w:eastAsia="仿宋" w:cs="仿宋"/>
          <w:b w:val="0"/>
          <w:bCs/>
          <w:sz w:val="32"/>
          <w:szCs w:val="32"/>
          <w:lang w:val="en-US" w:eastAsia="zh-CN"/>
        </w:rPr>
        <w:t>、4类</w:t>
      </w:r>
      <w:r>
        <w:rPr>
          <w:rFonts w:hint="default" w:ascii="仿宋" w:hAnsi="仿宋" w:eastAsia="仿宋" w:cs="仿宋"/>
          <w:b w:val="0"/>
          <w:bCs/>
          <w:sz w:val="32"/>
          <w:szCs w:val="32"/>
          <w:lang w:val="en-US" w:eastAsia="zh-CN"/>
        </w:rPr>
        <w:t>标准限值要求。</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（五）严格落实固体废物污染防治措施。</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-2023）要求。</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（六）加强环境风险防范，落实环境风险应急措施。</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三、结合该报告表的计算，该项目污染物排放总量指标为：COD：0.0009t/a；氨氮：0.00005t/a，SO</w:t>
      </w:r>
      <w:r>
        <w:rPr>
          <w:rFonts w:hint="eastAsia" w:ascii="仿宋" w:hAnsi="仿宋" w:eastAsia="仿宋" w:cs="仿宋"/>
          <w:b w:val="0"/>
          <w:bCs/>
          <w:sz w:val="32"/>
          <w:szCs w:val="32"/>
          <w:vertAlign w:val="subscript"/>
          <w:lang w:val="en-US" w:eastAsia="zh-CN"/>
        </w:rPr>
        <w:t>2</w:t>
      </w:r>
      <w:r>
        <w:rPr>
          <w:rFonts w:hint="eastAsia" w:ascii="仿宋" w:hAnsi="仿宋" w:eastAsia="仿宋" w:cs="仿宋"/>
          <w:b w:val="0"/>
          <w:bCs/>
          <w:sz w:val="32"/>
          <w:szCs w:val="32"/>
          <w:lang w:val="en-US" w:eastAsia="zh-CN"/>
        </w:rPr>
        <w:t>：0t/a、NOx：0t/a。</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四、严格落实各项建设项目环境管理要求</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（一）建立内部生态环境管理机构和制度，明确人员和生态环境保护职责。</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（三）建设项目竣工后，建设单位按照有关规定要求开展自主验收或委托第三方机构编写建设项目竣工环境保护验收报告，依法向社会公开。</w:t>
      </w:r>
    </w:p>
    <w:p>
      <w:pPr>
        <w:pStyle w:val="2"/>
        <w:rPr>
          <w:rFonts w:hint="default"/>
          <w:lang w:val="en-US" w:eastAsia="zh-CN"/>
        </w:rPr>
      </w:pPr>
    </w:p>
    <w:p>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spacing w:line="540" w:lineRule="exact"/>
        <w:ind w:firstLine="5372" w:firstLineChars="1700"/>
        <w:jc w:val="left"/>
        <w:rPr>
          <w:rFonts w:hint="eastAsia" w:eastAsia="仿宋"/>
          <w:color w:val="0000FF"/>
          <w:lang w:val="en-US" w:eastAsia="zh-CN"/>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9</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30</w:t>
      </w:r>
      <w:bookmarkStart w:id="0" w:name="_GoBack"/>
      <w:bookmarkEnd w:id="0"/>
      <w:r>
        <w:rPr>
          <w:rFonts w:hint="eastAsia" w:ascii="仿宋" w:hAnsi="仿宋" w:eastAsia="仿宋" w:cs="宋体"/>
          <w:color w:val="auto"/>
          <w:sz w:val="32"/>
          <w:szCs w:val="32"/>
          <w:lang w:val="en-US" w:eastAsia="zh-CN"/>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GU5MGY0MWQ0M2MxYmU1MGY3NTJiNmNhNmM2MWEifQ=="/>
  </w:docVars>
  <w:rsids>
    <w:rsidRoot w:val="28A616E4"/>
    <w:rsid w:val="02842701"/>
    <w:rsid w:val="053C13FF"/>
    <w:rsid w:val="059D2F85"/>
    <w:rsid w:val="06B3451B"/>
    <w:rsid w:val="06CA6ACF"/>
    <w:rsid w:val="08834192"/>
    <w:rsid w:val="0AE20722"/>
    <w:rsid w:val="0BFF1C67"/>
    <w:rsid w:val="0CF723C7"/>
    <w:rsid w:val="0F611E32"/>
    <w:rsid w:val="0FD10543"/>
    <w:rsid w:val="10E17636"/>
    <w:rsid w:val="123C7672"/>
    <w:rsid w:val="14E26DC1"/>
    <w:rsid w:val="162F468A"/>
    <w:rsid w:val="19C553F3"/>
    <w:rsid w:val="1B3E0B82"/>
    <w:rsid w:val="1C06578C"/>
    <w:rsid w:val="1D747907"/>
    <w:rsid w:val="1EA5462B"/>
    <w:rsid w:val="28A616E4"/>
    <w:rsid w:val="2C4663EF"/>
    <w:rsid w:val="30B47E7A"/>
    <w:rsid w:val="31A61BA1"/>
    <w:rsid w:val="31CE5C65"/>
    <w:rsid w:val="34AC4A74"/>
    <w:rsid w:val="36831FFD"/>
    <w:rsid w:val="3A8B4809"/>
    <w:rsid w:val="3CDC1F55"/>
    <w:rsid w:val="3D3019A4"/>
    <w:rsid w:val="3D49760D"/>
    <w:rsid w:val="418547AC"/>
    <w:rsid w:val="43DA69A1"/>
    <w:rsid w:val="452278BB"/>
    <w:rsid w:val="4B4B4D7A"/>
    <w:rsid w:val="4C2167F0"/>
    <w:rsid w:val="506F2CC4"/>
    <w:rsid w:val="52112BB5"/>
    <w:rsid w:val="526A33A1"/>
    <w:rsid w:val="58A0454E"/>
    <w:rsid w:val="58C33B87"/>
    <w:rsid w:val="5BD94E94"/>
    <w:rsid w:val="65B94D9D"/>
    <w:rsid w:val="6B262D61"/>
    <w:rsid w:val="6C501D6F"/>
    <w:rsid w:val="6F972F3C"/>
    <w:rsid w:val="755D7B0C"/>
    <w:rsid w:val="78DC497A"/>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120" w:after="120" w:line="480" w:lineRule="exact"/>
      <w:outlineLvl w:val="1"/>
    </w:pPr>
    <w:rPr>
      <w:b/>
      <w:bCs/>
      <w:sz w:val="30"/>
      <w:szCs w:val="32"/>
    </w:rPr>
  </w:style>
  <w:style w:type="paragraph" w:styleId="4">
    <w:name w:val="heading 4"/>
    <w:basedOn w:val="5"/>
    <w:next w:val="6"/>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ind w:left="1440" w:leftChars="700" w:right="700" w:rightChars="700"/>
    </w:pPr>
  </w:style>
  <w:style w:type="paragraph" w:styleId="5">
    <w:name w:val="toc 4"/>
    <w:basedOn w:val="1"/>
    <w:next w:val="1"/>
    <w:qFormat/>
    <w:uiPriority w:val="39"/>
    <w:pPr>
      <w:ind w:left="1260" w:leftChars="600"/>
    </w:pPr>
    <w:rPr>
      <w:szCs w:val="20"/>
    </w:rPr>
  </w:style>
  <w:style w:type="paragraph" w:styleId="6">
    <w:name w:val="Normal Indent"/>
    <w:basedOn w:val="1"/>
    <w:next w:val="4"/>
    <w:qFormat/>
    <w:uiPriority w:val="99"/>
    <w:pPr>
      <w:ind w:firstLine="420" w:firstLineChars="200"/>
    </w:pPr>
    <w:rPr>
      <w:szCs w:val="20"/>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1320</Words>
  <Characters>1400</Characters>
  <Lines>0</Lines>
  <Paragraphs>0</Paragraphs>
  <TotalTime>0</TotalTime>
  <ScaleCrop>false</ScaleCrop>
  <LinksUpToDate>false</LinksUpToDate>
  <CharactersWithSpaces>1402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2024-09-30T00:58:18Z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