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FF0000"/>
          <w:sz w:val="32"/>
          <w:szCs w:val="32"/>
        </w:rPr>
      </w:pPr>
    </w:p>
    <w:p>
      <w:pPr>
        <w:pStyle w:val="7"/>
        <w:spacing w:line="600" w:lineRule="exact"/>
        <w:jc w:val="center"/>
        <w:rPr>
          <w:rFonts w:ascii="黑体" w:hAnsi="黑体" w:eastAsia="黑体" w:cs="黑体"/>
          <w:w w:val="97"/>
          <w:sz w:val="44"/>
          <w:szCs w:val="44"/>
        </w:rPr>
      </w:pPr>
      <w:r>
        <w:rPr>
          <w:rFonts w:hint="eastAsia" w:ascii="黑体" w:hAnsi="黑体" w:eastAsia="黑体" w:cs="黑体"/>
          <w:w w:val="97"/>
          <w:sz w:val="44"/>
          <w:szCs w:val="44"/>
        </w:rPr>
        <w:t>唐山</w:t>
      </w:r>
      <w:r>
        <w:rPr>
          <w:rFonts w:hint="eastAsia" w:ascii="黑体" w:hAnsi="黑体" w:eastAsia="黑体" w:cs="黑体"/>
          <w:w w:val="97"/>
          <w:sz w:val="44"/>
          <w:szCs w:val="44"/>
          <w:lang w:eastAsia="zh-CN"/>
        </w:rPr>
        <w:t>高新区</w:t>
      </w:r>
      <w:r>
        <w:rPr>
          <w:rFonts w:hint="eastAsia" w:ascii="黑体" w:hAnsi="黑体" w:eastAsia="黑体" w:cs="黑体"/>
          <w:w w:val="97"/>
          <w:sz w:val="44"/>
          <w:szCs w:val="44"/>
        </w:rPr>
        <w:t>行政审批局</w:t>
      </w:r>
    </w:p>
    <w:p>
      <w:pPr>
        <w:pStyle w:val="7"/>
        <w:spacing w:line="600" w:lineRule="exact"/>
        <w:jc w:val="center"/>
        <w:rPr>
          <w:rFonts w:hint="default" w:ascii="黑体" w:hAnsi="黑体" w:eastAsia="黑体" w:cs="黑体"/>
          <w:w w:val="97"/>
          <w:sz w:val="44"/>
          <w:szCs w:val="44"/>
          <w:lang w:eastAsia="zh-CN"/>
        </w:rPr>
      </w:pPr>
      <w:r>
        <w:rPr>
          <w:rFonts w:hint="eastAsia" w:ascii="黑体" w:hAnsi="黑体" w:eastAsia="黑体" w:cs="黑体"/>
          <w:w w:val="97"/>
          <w:sz w:val="44"/>
          <w:szCs w:val="44"/>
        </w:rPr>
        <w:t>关于</w:t>
      </w:r>
      <w:r>
        <w:rPr>
          <w:rFonts w:hint="default" w:ascii="黑体" w:hAnsi="黑体" w:eastAsia="黑体" w:cs="黑体"/>
          <w:w w:val="97"/>
          <w:sz w:val="44"/>
          <w:szCs w:val="44"/>
          <w:lang w:val="en-US" w:eastAsia="zh-CN"/>
        </w:rPr>
        <w:t>唐山陆凯科技有限公司大型成套筛分装备数字化制造基地项目</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p>
    <w:p>
      <w:pPr>
        <w:numPr>
          <w:ilvl w:val="0"/>
          <w:numId w:val="0"/>
        </w:numPr>
        <w:spacing w:line="520" w:lineRule="exact"/>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唐山陆凯科技有限公司</w:t>
      </w:r>
      <w:r>
        <w:rPr>
          <w:rFonts w:hint="eastAsia" w:ascii="仿宋" w:hAnsi="仿宋" w:eastAsia="仿宋" w:cs="仿宋"/>
          <w:b w:val="0"/>
          <w:bCs/>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w:t>
      </w:r>
      <w:r>
        <w:rPr>
          <w:rFonts w:hint="default" w:ascii="仿宋" w:hAnsi="仿宋" w:eastAsia="仿宋" w:cs="仿宋"/>
          <w:b w:val="0"/>
          <w:bCs/>
          <w:sz w:val="32"/>
          <w:szCs w:val="32"/>
          <w:lang w:val="en-US" w:eastAsia="zh-CN"/>
        </w:rPr>
        <w:t>唐山陆凯科技有限公司大型成套筛分装备数字化制造基地项目</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w:t>
      </w:r>
      <w:bookmarkStart w:id="0" w:name="_GoBack"/>
      <w:bookmarkEnd w:id="0"/>
      <w:r>
        <w:rPr>
          <w:rFonts w:hint="eastAsia" w:ascii="仿宋" w:hAnsi="仿宋" w:eastAsia="仿宋" w:cs="仿宋"/>
          <w:b w:val="0"/>
          <w:bCs/>
          <w:sz w:val="32"/>
          <w:szCs w:val="32"/>
          <w:lang w:eastAsia="zh-CN"/>
        </w:rPr>
        <w:t>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唐山陆凯科技有限公司</w:t>
      </w:r>
      <w:r>
        <w:rPr>
          <w:rFonts w:hint="eastAsia" w:ascii="仿宋" w:hAnsi="仿宋" w:eastAsia="仿宋" w:cs="仿宋"/>
          <w:b w:val="0"/>
          <w:bCs/>
          <w:sz w:val="32"/>
          <w:szCs w:val="32"/>
          <w:lang w:eastAsia="zh-CN"/>
        </w:rPr>
        <w:t>建设</w:t>
      </w:r>
      <w:r>
        <w:rPr>
          <w:rFonts w:hint="default" w:ascii="仿宋" w:hAnsi="仿宋" w:eastAsia="仿宋" w:cs="仿宋"/>
          <w:b w:val="0"/>
          <w:bCs/>
          <w:sz w:val="32"/>
          <w:szCs w:val="32"/>
          <w:lang w:val="en-US" w:eastAsia="zh-CN"/>
        </w:rPr>
        <w:t>唐山陆凯科技有限公司大型成套筛分装备数字化制造基地项目</w:t>
      </w:r>
      <w:r>
        <w:rPr>
          <w:rFonts w:hint="eastAsia" w:ascii="仿宋" w:hAnsi="仿宋" w:eastAsia="仿宋" w:cs="仿宋"/>
          <w:b w:val="0"/>
          <w:bCs/>
          <w:sz w:val="32"/>
          <w:szCs w:val="32"/>
          <w:lang w:eastAsia="zh-CN"/>
        </w:rPr>
        <w:t>，总投</w:t>
      </w:r>
      <w:r>
        <w:rPr>
          <w:rFonts w:hint="eastAsia" w:ascii="仿宋" w:hAnsi="仿宋" w:eastAsia="仿宋" w:cs="仿宋"/>
          <w:b w:val="0"/>
          <w:bCs/>
          <w:sz w:val="32"/>
          <w:szCs w:val="32"/>
          <w:lang w:val="en-US" w:eastAsia="zh-CN"/>
        </w:rPr>
        <w:t>资33500万元，其中环保投资400万元，</w:t>
      </w:r>
      <w:r>
        <w:rPr>
          <w:rFonts w:hint="default" w:ascii="仿宋" w:hAnsi="仿宋" w:eastAsia="仿宋" w:cs="仿宋"/>
          <w:b w:val="0"/>
          <w:bCs/>
          <w:sz w:val="32"/>
          <w:szCs w:val="32"/>
          <w:lang w:val="en-US" w:eastAsia="zh-CN"/>
        </w:rPr>
        <w:t>项目位于河北省唐山市高新区京唐智慧港纬三路南侧，经七路西侧</w:t>
      </w:r>
      <w:r>
        <w:rPr>
          <w:rFonts w:hint="eastAsia" w:ascii="仿宋" w:hAnsi="仿宋" w:eastAsia="仿宋" w:cs="仿宋"/>
          <w:b w:val="0"/>
          <w:bCs/>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项目总</w:t>
      </w:r>
      <w:r>
        <w:rPr>
          <w:rFonts w:hint="eastAsia" w:ascii="仿宋" w:hAnsi="仿宋" w:eastAsia="仿宋" w:cs="仿宋"/>
          <w:b w:val="0"/>
          <w:bCs/>
          <w:sz w:val="32"/>
          <w:szCs w:val="32"/>
          <w:lang w:val="en-US" w:eastAsia="zh-CN"/>
        </w:rPr>
        <w:t>占地约110.13亩，</w:t>
      </w:r>
      <w:r>
        <w:rPr>
          <w:rFonts w:hint="default" w:ascii="仿宋" w:hAnsi="仿宋" w:eastAsia="仿宋" w:cs="仿宋"/>
          <w:b w:val="0"/>
          <w:bCs/>
          <w:sz w:val="32"/>
          <w:szCs w:val="32"/>
          <w:lang w:val="en-US" w:eastAsia="zh-CN"/>
        </w:rPr>
        <w:t>总建筑面积</w:t>
      </w:r>
      <w:r>
        <w:rPr>
          <w:rFonts w:hint="eastAsia" w:ascii="仿宋" w:hAnsi="仿宋" w:eastAsia="仿宋" w:cs="仿宋"/>
          <w:b w:val="0"/>
          <w:bCs/>
          <w:sz w:val="32"/>
          <w:szCs w:val="32"/>
          <w:lang w:val="en-US" w:eastAsia="zh-CN"/>
        </w:rPr>
        <w:t>50164</w:t>
      </w:r>
      <w:r>
        <w:rPr>
          <w:rFonts w:hint="default" w:ascii="仿宋" w:hAnsi="仿宋" w:eastAsia="仿宋" w:cs="仿宋"/>
          <w:b w:val="0"/>
          <w:bCs/>
          <w:sz w:val="32"/>
          <w:szCs w:val="32"/>
          <w:lang w:val="en-US" w:eastAsia="zh-CN"/>
        </w:rPr>
        <w:t>m</w:t>
      </w:r>
      <w:r>
        <w:rPr>
          <w:rFonts w:hint="default" w:ascii="仿宋" w:hAnsi="仿宋" w:eastAsia="仿宋" w:cs="仿宋"/>
          <w:b w:val="0"/>
          <w:bCs/>
          <w:sz w:val="32"/>
          <w:szCs w:val="32"/>
          <w:vertAlign w:val="superscript"/>
          <w:lang w:val="en-US" w:eastAsia="zh-CN"/>
        </w:rPr>
        <w:t>2</w:t>
      </w:r>
      <w:r>
        <w:rPr>
          <w:rFonts w:hint="default" w:ascii="仿宋" w:hAnsi="仿宋" w:eastAsia="仿宋" w:cs="仿宋"/>
          <w:b w:val="0"/>
          <w:bCs/>
          <w:sz w:val="32"/>
          <w:szCs w:val="32"/>
          <w:lang w:val="en-US" w:eastAsia="zh-CN"/>
        </w:rPr>
        <w:t>，建设</w:t>
      </w:r>
      <w:r>
        <w:rPr>
          <w:rFonts w:hint="eastAsia" w:ascii="仿宋" w:hAnsi="仿宋" w:eastAsia="仿宋" w:cs="仿宋"/>
          <w:b w:val="0"/>
          <w:bCs/>
          <w:sz w:val="32"/>
          <w:szCs w:val="32"/>
          <w:lang w:val="en-US" w:eastAsia="zh-CN"/>
        </w:rPr>
        <w:t>数字化工厂以及筛分工艺实验车间，其中数字化工厂包括下料车间、机加车间、筛网车间、组装车间、调试车间等生产车间及办公附属设施、实验车间；二期建设研发大楼、研发车间等。</w:t>
      </w:r>
      <w:r>
        <w:rPr>
          <w:rFonts w:hint="default" w:ascii="仿宋" w:hAnsi="仿宋" w:eastAsia="仿宋" w:cs="仿宋"/>
          <w:b w:val="0"/>
          <w:bCs/>
          <w:sz w:val="32"/>
          <w:szCs w:val="32"/>
          <w:lang w:val="en-US" w:eastAsia="zh-CN"/>
        </w:rPr>
        <w:t>项目建成后，年产量达到1000自然台细粒分级设备和300自然台中、粗粒筛分设备。</w:t>
      </w:r>
      <w:r>
        <w:rPr>
          <w:rFonts w:hint="eastAsia" w:ascii="仿宋" w:hAnsi="仿宋" w:eastAsia="仿宋" w:cs="仿宋"/>
          <w:b w:val="0"/>
          <w:bCs/>
          <w:sz w:val="32"/>
          <w:szCs w:val="32"/>
          <w:lang w:val="en-US" w:eastAsia="zh-CN"/>
        </w:rPr>
        <w:t>年产值3亿元。</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numPr>
          <w:ilvl w:val="0"/>
          <w:numId w:val="0"/>
        </w:numPr>
        <w:shd w:val="clear" w:color="auto" w:fill="FFFFFF"/>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w:t>
      </w:r>
      <w:r>
        <w:rPr>
          <w:rFonts w:hint="eastAsia" w:ascii="仿宋" w:hAnsi="仿宋" w:eastAsia="仿宋" w:cs="仿宋"/>
          <w:b w:val="0"/>
          <w:bCs/>
          <w:sz w:val="32"/>
          <w:szCs w:val="32"/>
          <w:lang w:val="en-US" w:eastAsia="zh-CN"/>
        </w:rPr>
        <w:t>无生产废水</w:t>
      </w:r>
      <w:r>
        <w:rPr>
          <w:rFonts w:hint="default" w:ascii="仿宋" w:hAnsi="仿宋" w:eastAsia="仿宋" w:cs="仿宋"/>
          <w:b w:val="0"/>
          <w:bCs/>
          <w:sz w:val="32"/>
          <w:szCs w:val="32"/>
          <w:lang w:val="en-US" w:eastAsia="zh-CN"/>
        </w:rPr>
        <w:t>外排；生活污水排入园区污水处理厂</w:t>
      </w:r>
      <w:r>
        <w:rPr>
          <w:rFonts w:hint="eastAsia" w:ascii="仿宋" w:hAnsi="仿宋" w:eastAsia="仿宋" w:cs="仿宋"/>
          <w:b w:val="0"/>
          <w:bCs/>
          <w:sz w:val="32"/>
          <w:szCs w:val="32"/>
          <w:lang w:val="en-US" w:eastAsia="zh-CN"/>
        </w:rPr>
        <w:t>，外排废水满足《污水综合排放标准》（GB8978-1996）的三级标准、《污水排入城镇下水道水质标准》（GB/T31962-2015）中限值要求，同时满足园区污水处理厂进水水质要求</w:t>
      </w:r>
      <w:r>
        <w:rPr>
          <w:rFonts w:hint="default" w:ascii="仿宋" w:hAnsi="仿宋" w:eastAsia="仿宋" w:cs="仿宋"/>
          <w:b w:val="0"/>
          <w:bCs/>
          <w:sz w:val="32"/>
          <w:szCs w:val="32"/>
          <w:lang w:val="en-US" w:eastAsia="zh-CN"/>
        </w:rPr>
        <w:t>。</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w:t>
      </w:r>
      <w:r>
        <w:rPr>
          <w:rFonts w:hint="eastAsia" w:ascii="仿宋" w:hAnsi="仿宋" w:eastAsia="仿宋" w:cs="仿宋"/>
          <w:b w:val="0"/>
          <w:bCs/>
          <w:sz w:val="32"/>
          <w:szCs w:val="32"/>
          <w:lang w:val="en-US" w:eastAsia="zh-CN"/>
        </w:rPr>
        <w:t>大气</w:t>
      </w:r>
      <w:r>
        <w:rPr>
          <w:rFonts w:hint="eastAsia" w:ascii="仿宋" w:hAnsi="仿宋" w:eastAsia="仿宋" w:cs="仿宋"/>
          <w:b w:val="0"/>
          <w:bCs/>
          <w:sz w:val="32"/>
          <w:szCs w:val="32"/>
        </w:rPr>
        <w:t>环境保护措施。</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激光切割机产生的废气经集气罩+1#脉冲布袋除尘器处理；等离子切割机产生的废气经集气罩+2#脉冲布袋除尘器处理，两种废气共用1根20m排气筒P1排放；固定工位焊接废气+2台焊接机器人废气经封闭间+3#脉冲布袋除尘器处理；3台焊接机器人经移动式集气罩+4#脉冲布袋除尘器处理，两种废气共用1根20m排气筒P2排放；角磨机废气、补充焊接废气经移动式焊接烟尘净化器处理后车间内无组织排放；抛丸过程产生的废气经封闭间+旋风除尘器+5#脉冲布袋除尘器+20m排气筒P3排放；喷漆、晾干、危废间废气经喷淋塔+干式过滤器+活性炭吸附/脱附+6#催化燃烧+20m排气筒P4排放；粘胶工序产生的废气经活性炭吸附/脱附+9#催化燃烧+20m排气筒P6排放；下料、抛丸、打磨、焊接工序产生的颗粒物参照执行《钢铁工业大气污染物超低排放标准》（DB13/2169—2018）轧钢工序标准要求；喷漆过程漆雾执行《大气污染物综合排放标准》（GB16297-1996）中表2（染料尘）二级标准，喷漆、晾干及喷涂、粘胶工序产生的有机废气满足《工业企业挥发性有机物排放控制标准》（DB13/2322-2016）表1大气污染物排放限值（表面涂装业），同时执行《重污染天气重点行业应急减排措施制定技术指南》（2021年修订版）中“三十八 工程机械整机制造”绩效分级指标B级要求；厂界无组织颗粒物满足《大气污染物综合排放标准》（GB16297-1996），厂界无组织非甲烷总烃、苯、甲苯、二甲苯满足《工业企业挥发性有机物排放控制标准》（DB13/2322-2016）限值要求；非甲烷总烃无组织排放浓度同时满足《挥发性有机物无组织排放控制标准》（GB37822-2019）要求</w:t>
      </w:r>
      <w:r>
        <w:rPr>
          <w:rFonts w:hint="eastAsia" w:ascii="仿宋" w:hAnsi="仿宋" w:eastAsia="仿宋" w:cs="仿宋"/>
          <w:b w:val="0"/>
          <w:bCs/>
          <w:sz w:val="32"/>
          <w:szCs w:val="32"/>
          <w:lang w:val="en-US" w:eastAsia="zh-CN"/>
        </w:rPr>
        <w:t>。</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打磨胶板废气经封闭间+8#脉冲布袋除尘器+20m排气筒P7排放；粉料配料、捏炼、开炼废气经集气罩+10、11#脉冲布袋除尘器+活性炭吸附/脱附+催化燃烧+20m排气筒P8、9排放（共二套）；硫化过程废气经集气罩+12~14#活性炭吸附/脱附+催化燃烧+20m排气筒P10~12排放（共三套）；</w:t>
      </w:r>
      <w:r>
        <w:rPr>
          <w:rFonts w:hint="eastAsia" w:ascii="仿宋" w:hAnsi="仿宋" w:eastAsia="仿宋" w:cs="仿宋"/>
          <w:b w:val="0"/>
          <w:bCs/>
          <w:sz w:val="32"/>
          <w:szCs w:val="32"/>
          <w:lang w:val="en-US" w:eastAsia="zh-CN"/>
        </w:rPr>
        <w:t>打磨胶板、配料、</w:t>
      </w:r>
      <w:r>
        <w:rPr>
          <w:rFonts w:hint="default" w:ascii="仿宋" w:hAnsi="仿宋" w:eastAsia="仿宋" w:cs="仿宋"/>
          <w:b w:val="0"/>
          <w:bCs/>
          <w:sz w:val="32"/>
          <w:szCs w:val="32"/>
          <w:lang w:val="en-US" w:eastAsia="zh-CN"/>
        </w:rPr>
        <w:t>捏炼、开炼、硫化过程产生的颗粒物、非甲烷总烃执行《橡胶制品工业污染物排放标准》(GB27632-2011)表5中的排放浓度限值相关要求，H2S执行《恶臭污染物排放标准》（GB14554-93）表2相关要求</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臭气浓度执行《恶臭污染物排放标准》（GB14554-93）表</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相关要求</w:t>
      </w:r>
      <w:r>
        <w:rPr>
          <w:rFonts w:hint="eastAsia" w:ascii="仿宋" w:hAnsi="仿宋" w:eastAsia="仿宋" w:cs="仿宋"/>
          <w:b w:val="0"/>
          <w:bCs/>
          <w:sz w:val="32"/>
          <w:szCs w:val="32"/>
          <w:lang w:val="en-US" w:eastAsia="zh-CN"/>
        </w:rPr>
        <w:t>；无组织硫化氢、臭气浓度执行《恶臭污染物排放标准》（GB14554-93）表1相关要求。</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职工食堂油烟经油烟净化器处理后排放</w:t>
      </w:r>
      <w:r>
        <w:rPr>
          <w:rFonts w:hint="eastAsia" w:ascii="仿宋" w:hAnsi="仿宋" w:eastAsia="仿宋" w:cs="仿宋"/>
          <w:b w:val="0"/>
          <w:bCs/>
          <w:sz w:val="32"/>
          <w:szCs w:val="32"/>
          <w:lang w:val="en-US" w:eastAsia="zh-CN"/>
        </w:rPr>
        <w:t>，满足《饮食业油烟排放标准（试行）》（GB18483-2001）中型规模排放限值要求，同时满足《唐山市大气污染防治工作领导小组办公室关于印发&lt;唐山市餐饮油烟污染治理专项方案&gt;的通知》相关要求。</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项目设备置于封闭生产车间内，设备基础加装减振垫，项目厂界外1m处噪声值满足《工业企业厂界环境噪声排放标准》(GB12348-2008)3类标准限值要求。</w:t>
      </w:r>
    </w:p>
    <w:p>
      <w:pPr>
        <w:numPr>
          <w:ilvl w:val="0"/>
          <w:numId w:val="0"/>
        </w:numPr>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rPr>
        <w:t>严格落实固体废物污染防治措施。</w:t>
      </w:r>
    </w:p>
    <w:p>
      <w:pPr>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000000"/>
          <w:sz w:val="32"/>
          <w:szCs w:val="32"/>
          <w:shd w:val="clear" w:color="auto" w:fill="FFFFFF"/>
        </w:rPr>
        <w:t>废物</w:t>
      </w:r>
      <w:r>
        <w:rPr>
          <w:rFonts w:hint="eastAsia" w:ascii="仿宋" w:hAnsi="仿宋" w:eastAsia="仿宋" w:cs="仿宋"/>
          <w:b w:val="0"/>
          <w:bCs/>
          <w:sz w:val="32"/>
          <w:szCs w:val="32"/>
        </w:rPr>
        <w:t>按规定暂存，定期交有相应资质的危废处理单位处理。危险废物暂存间应满足《危险废物贮存污染控制标准》（GB18597-2001）及其修改单要求。</w:t>
      </w:r>
    </w:p>
    <w:p>
      <w:pPr>
        <w:adjustRightInd w:val="0"/>
        <w:snapToGrid w:val="0"/>
        <w:spacing w:line="520" w:lineRule="exact"/>
        <w:ind w:firstLine="632"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（五）加强环境风险防范，落实环境风险应急措施。</w:t>
      </w:r>
    </w:p>
    <w:p>
      <w:pPr>
        <w:autoSpaceDE w:val="0"/>
        <w:autoSpaceDN w:val="0"/>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、结合该报告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的计算，</w:t>
      </w:r>
      <w:r>
        <w:rPr>
          <w:rFonts w:hint="eastAsia" w:ascii="仿宋" w:hAnsi="仿宋" w:eastAsia="仿宋" w:cs="仿宋"/>
          <w:b w:val="0"/>
          <w:bCs/>
          <w:sz w:val="32"/>
          <w:szCs w:val="32"/>
          <w:lang w:eastAsia="zh-CN"/>
        </w:rPr>
        <w:t>该项目</w:t>
      </w:r>
      <w:r>
        <w:rPr>
          <w:rFonts w:hint="eastAsia" w:ascii="仿宋" w:hAnsi="仿宋" w:eastAsia="仿宋" w:cs="仿宋"/>
          <w:b w:val="0"/>
          <w:bCs/>
          <w:sz w:val="32"/>
          <w:szCs w:val="32"/>
        </w:rPr>
        <w:t>污染物排放总量指标为：</w:t>
      </w:r>
      <w:r>
        <w:rPr>
          <w:rFonts w:hint="default" w:ascii="仿宋" w:hAnsi="仿宋" w:eastAsia="仿宋" w:cs="仿宋"/>
          <w:bCs/>
          <w:kern w:val="2"/>
          <w:sz w:val="32"/>
          <w:szCs w:val="32"/>
          <w:lang w:val="en-US" w:eastAsia="zh-CN" w:bidi="ar-SA"/>
        </w:rPr>
        <w:t>COD</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、氨氮：</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SO</w:t>
      </w:r>
      <w:r>
        <w:rPr>
          <w:rFonts w:hint="default" w:ascii="仿宋" w:hAnsi="仿宋" w:eastAsia="仿宋" w:cs="仿宋"/>
          <w:bCs/>
          <w:kern w:val="2"/>
          <w:sz w:val="32"/>
          <w:szCs w:val="32"/>
          <w:vertAlign w:val="subscript"/>
          <w:lang w:val="en-US" w:eastAsia="zh-CN" w:bidi="ar-SA"/>
        </w:rPr>
        <w:t>2</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NO</w:t>
      </w:r>
      <w:r>
        <w:rPr>
          <w:rFonts w:hint="default" w:ascii="仿宋" w:hAnsi="仿宋" w:eastAsia="仿宋" w:cs="仿宋"/>
          <w:bCs/>
          <w:kern w:val="2"/>
          <w:sz w:val="32"/>
          <w:szCs w:val="32"/>
          <w:vertAlign w:val="subscript"/>
          <w:lang w:val="en-US" w:eastAsia="zh-CN" w:bidi="ar-SA"/>
        </w:rPr>
        <w:t>x</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p>
    <w:p>
      <w:pPr>
        <w:autoSpaceDE w:val="0"/>
        <w:autoSpaceDN w:val="0"/>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、严格落实各项建设项目环境管理要求</w:t>
      </w:r>
    </w:p>
    <w:p>
      <w:pPr>
        <w:autoSpaceDE w:val="0"/>
        <w:autoSpaceDN w:val="0"/>
        <w:adjustRightInd w:val="0"/>
        <w:snapToGrid w:val="0"/>
        <w:spacing w:line="520" w:lineRule="exact"/>
        <w:ind w:firstLine="626" w:firstLineChars="198"/>
        <w:rPr>
          <w:rFonts w:hint="eastAsia" w:ascii="仿宋" w:hAnsi="仿宋" w:eastAsia="仿宋" w:cs="仿宋"/>
          <w:b w:val="0"/>
          <w:bCs/>
          <w:sz w:val="32"/>
          <w:szCs w:val="32"/>
        </w:rPr>
      </w:pPr>
      <w:r>
        <w:rPr>
          <w:rFonts w:hint="eastAsia" w:ascii="仿宋" w:hAnsi="仿宋" w:eastAsia="仿宋" w:cs="仿宋"/>
          <w:b w:val="0"/>
          <w:bCs/>
          <w:sz w:val="32"/>
          <w:szCs w:val="32"/>
        </w:rPr>
        <w:t>（一）建立内部生态环境管理机构和制度，明确人员和生态环境保护职责。</w:t>
      </w:r>
    </w:p>
    <w:p>
      <w:pPr>
        <w:autoSpaceDE w:val="0"/>
        <w:autoSpaceDN w:val="0"/>
        <w:adjustRightInd w:val="0"/>
        <w:snapToGrid w:val="0"/>
        <w:spacing w:line="520" w:lineRule="exact"/>
        <w:ind w:firstLine="626" w:firstLineChars="198"/>
        <w:rPr>
          <w:rFonts w:hint="eastAsia" w:ascii="仿宋" w:hAnsi="仿宋" w:eastAsia="仿宋" w:cs="仿宋"/>
          <w:b w:val="0"/>
          <w:bCs/>
          <w:sz w:val="32"/>
          <w:szCs w:val="32"/>
        </w:rPr>
      </w:pPr>
      <w:r>
        <w:rPr>
          <w:rFonts w:hint="eastAsia" w:ascii="仿宋" w:hAnsi="仿宋" w:eastAsia="仿宋" w:cs="仿宋"/>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sz w:val="32"/>
          <w:szCs w:val="32"/>
          <w:lang w:val="en-US" w:eastAsia="zh-CN"/>
        </w:rPr>
        <w:t>向</w:t>
      </w:r>
      <w:r>
        <w:rPr>
          <w:rFonts w:hint="eastAsia" w:ascii="仿宋" w:hAnsi="仿宋" w:eastAsia="仿宋" w:cs="仿宋"/>
          <w:b w:val="0"/>
          <w:bCs/>
          <w:sz w:val="32"/>
          <w:szCs w:val="32"/>
        </w:rPr>
        <w:t>我局重新报批或</w:t>
      </w:r>
      <w:r>
        <w:rPr>
          <w:rFonts w:hint="eastAsia" w:ascii="仿宋" w:hAnsi="仿宋" w:eastAsia="仿宋" w:cs="仿宋"/>
          <w:b w:val="0"/>
          <w:bCs/>
          <w:sz w:val="32"/>
          <w:szCs w:val="32"/>
          <w:lang w:val="en-US" w:eastAsia="zh-CN"/>
        </w:rPr>
        <w:t>申请</w:t>
      </w:r>
      <w:r>
        <w:rPr>
          <w:rFonts w:hint="eastAsia" w:ascii="仿宋" w:hAnsi="仿宋" w:eastAsia="仿宋" w:cs="仿宋"/>
          <w:b w:val="0"/>
          <w:bCs/>
          <w:sz w:val="32"/>
          <w:szCs w:val="32"/>
        </w:rPr>
        <w:t>重新审核该项目的环境影响报告表。</w:t>
      </w:r>
    </w:p>
    <w:p>
      <w:pPr>
        <w:pStyle w:val="2"/>
        <w:ind w:left="0" w:leftChars="0" w:firstLine="632" w:firstLineChars="200"/>
        <w:rPr>
          <w:rFonts w:hint="eastAsia" w:ascii="仿宋" w:hAnsi="仿宋" w:eastAsia="仿宋" w:cs="仿宋"/>
          <w:bCs/>
          <w:color w:val="auto"/>
          <w:sz w:val="32"/>
          <w:szCs w:val="32"/>
          <w:u w:val="none"/>
          <w:lang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p>
    <w:p>
      <w:pPr>
        <w:pStyle w:val="10"/>
        <w:rPr>
          <w:rFonts w:hint="default"/>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color w:val="0000FF"/>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10</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MTYxMDRlYzE1MGNiMTVjYjRlODY1NmU4ZmE4YTY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62F468A"/>
    <w:rsid w:val="19C553F3"/>
    <w:rsid w:val="1B3E0B82"/>
    <w:rsid w:val="1C06578C"/>
    <w:rsid w:val="1D747907"/>
    <w:rsid w:val="28A616E4"/>
    <w:rsid w:val="31A61BA1"/>
    <w:rsid w:val="31CE5C65"/>
    <w:rsid w:val="34AC4A74"/>
    <w:rsid w:val="3A8B4809"/>
    <w:rsid w:val="3CDC1F55"/>
    <w:rsid w:val="3D3019A4"/>
    <w:rsid w:val="3D49760D"/>
    <w:rsid w:val="418547AC"/>
    <w:rsid w:val="43DA69A1"/>
    <w:rsid w:val="452278BB"/>
    <w:rsid w:val="4C2167F0"/>
    <w:rsid w:val="52112BB5"/>
    <w:rsid w:val="58A0454E"/>
    <w:rsid w:val="58C33B87"/>
    <w:rsid w:val="5BD94E94"/>
    <w:rsid w:val="65B94D9D"/>
    <w:rsid w:val="6B262D61"/>
    <w:rsid w:val="6F972F3C"/>
    <w:rsid w:val="755D7B0C"/>
    <w:rsid w:val="7CC77F82"/>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2075</Characters>
  <Lines>0</Lines>
  <Paragraphs>0</Paragraphs>
  <TotalTime>4</TotalTime>
  <ScaleCrop>false</ScaleCrop>
  <LinksUpToDate>false</LinksUpToDate>
  <CharactersWithSpaces>2082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2023-04-10T06:50:56Z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