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cs="Times New Roman"/>
          <w:lang w:val="zh-CN"/>
        </w:rPr>
        <w:id w:val="-1760589080"/>
      </w:sdtPr>
      <w:sdtEndPr>
        <w:rPr>
          <w:rFonts w:ascii="Times New Roman" w:hAnsi="Times New Roman" w:eastAsia="方正仿宋_GBK" w:cs="Times New Roman"/>
          <w:b/>
          <w:bCs/>
          <w:sz w:val="32"/>
          <w:szCs w:val="32"/>
          <w:lang w:val="zh-CN"/>
        </w:rPr>
      </w:sdtEndPr>
      <w:sdtContent>
        <w:p w14:paraId="0F3D9002">
          <w:pPr>
            <w:jc w:val="center"/>
            <w:rPr>
              <w:rFonts w:ascii="Times New Roman" w:hAnsi="Times New Roman" w:eastAsia="方正小标宋_GBK" w:cs="Times New Roman"/>
              <w:sz w:val="44"/>
              <w:szCs w:val="44"/>
            </w:rPr>
          </w:pPr>
          <w:bookmarkStart w:id="88" w:name="_GoBack"/>
          <w:bookmarkEnd w:id="88"/>
          <w:r>
            <w:rPr>
              <w:rFonts w:ascii="Times New Roman" w:hAnsi="Times New Roman" w:eastAsia="方正小标宋_GBK" w:cs="Times New Roman"/>
              <w:sz w:val="44"/>
              <w:szCs w:val="44"/>
            </w:rPr>
            <w:t>2022年减税降费政策清单</w:t>
          </w:r>
        </w:p>
        <w:p w14:paraId="38C93A7E">
          <w:pPr>
            <w:spacing w:line="36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（2022年</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27</w:t>
          </w:r>
          <w:r>
            <w:rPr>
              <w:rFonts w:ascii="Times New Roman" w:hAnsi="Times New Roman" w:eastAsia="仿宋_GB2312" w:cs="Times New Roman"/>
              <w:sz w:val="32"/>
              <w:szCs w:val="32"/>
            </w:rPr>
            <w:t>日）</w:t>
          </w:r>
        </w:p>
        <w:p w14:paraId="7744C286">
          <w:pPr>
            <w:pStyle w:val="17"/>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lang w:val="zh-CN"/>
            </w:rPr>
            <w:t>目录</w:t>
          </w:r>
        </w:p>
        <w:p w14:paraId="4F6A93D1">
          <w:pPr>
            <w:pStyle w:val="8"/>
            <w:rPr>
              <w:rFonts w:asciiTheme="minorHAnsi" w:eastAsiaTheme="minorEastAsia"/>
              <w:sz w:val="21"/>
              <w:szCs w:val="22"/>
            </w:rPr>
          </w:pP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TOC \o "1-3" \h \z \u </w:instrText>
          </w:r>
          <w:r>
            <w:rPr>
              <w:rFonts w:ascii="Times New Roman" w:hAnsi="Times New Roman" w:eastAsia="方正仿宋_GBK" w:cs="Times New Roman"/>
            </w:rPr>
            <w:fldChar w:fldCharType="separate"/>
          </w:r>
          <w:r>
            <w:fldChar w:fldCharType="begin"/>
          </w:r>
          <w:r>
            <w:instrText xml:space="preserve"> HYPERLINK \l "_Toc106962385" </w:instrText>
          </w:r>
          <w:r>
            <w:fldChar w:fldCharType="separate"/>
          </w:r>
          <w:r>
            <w:rPr>
              <w:rStyle w:val="11"/>
              <w:rFonts w:hint="eastAsia" w:ascii="Times New Roman" w:hAnsi="Times New Roman" w:cs="Times New Roman"/>
            </w:rPr>
            <w:t>一、</w:t>
          </w:r>
          <w:r>
            <w:rPr>
              <w:rStyle w:val="11"/>
              <w:rFonts w:ascii="Times New Roman" w:hAnsi="Times New Roman" w:cs="Times New Roman"/>
            </w:rPr>
            <w:t>2022</w:t>
          </w:r>
          <w:r>
            <w:rPr>
              <w:rStyle w:val="11"/>
              <w:rFonts w:hint="eastAsia" w:ascii="Times New Roman" w:hAnsi="Times New Roman" w:cs="Times New Roman"/>
            </w:rPr>
            <w:t>年新出台政策（</w:t>
          </w:r>
          <w:r>
            <w:rPr>
              <w:rStyle w:val="11"/>
              <w:rFonts w:ascii="Times New Roman" w:hAnsi="Times New Roman" w:cs="Times New Roman"/>
            </w:rPr>
            <w:t>15</w:t>
          </w:r>
          <w:r>
            <w:rPr>
              <w:rStyle w:val="11"/>
              <w:rFonts w:hint="eastAsia" w:ascii="Times New Roman" w:hAnsi="Times New Roman" w:cs="Times New Roman"/>
            </w:rPr>
            <w:t>项）</w:t>
          </w:r>
          <w:r>
            <w:tab/>
          </w:r>
          <w:r>
            <w:fldChar w:fldCharType="begin"/>
          </w:r>
          <w:r>
            <w:instrText xml:space="preserve"> PAGEREF _Toc106962385 \h </w:instrText>
          </w:r>
          <w:r>
            <w:fldChar w:fldCharType="separate"/>
          </w:r>
          <w:r>
            <w:t>3</w:t>
          </w:r>
          <w:r>
            <w:fldChar w:fldCharType="end"/>
          </w:r>
          <w:r>
            <w:fldChar w:fldCharType="end"/>
          </w:r>
        </w:p>
        <w:p w14:paraId="7D492DAF">
          <w:pPr>
            <w:pStyle w:val="4"/>
            <w:tabs>
              <w:tab w:val="right" w:leader="dot" w:pos="8296"/>
            </w:tabs>
          </w:pPr>
          <w:r>
            <w:fldChar w:fldCharType="begin"/>
          </w:r>
          <w:r>
            <w:instrText xml:space="preserve"> HYPERLINK \l "_Toc106962386" </w:instrText>
          </w:r>
          <w:r>
            <w:fldChar w:fldCharType="separate"/>
          </w:r>
          <w:r>
            <w:rPr>
              <w:rStyle w:val="11"/>
              <w:rFonts w:ascii="Times New Roman" w:hAnsi="Times New Roman" w:eastAsia="方正仿宋_GBK" w:cs="Times New Roman"/>
            </w:rPr>
            <w:t xml:space="preserve">1. </w:t>
          </w:r>
          <w:r>
            <w:rPr>
              <w:rStyle w:val="11"/>
              <w:rFonts w:hint="eastAsia" w:ascii="Times New Roman" w:hAnsi="Times New Roman" w:eastAsia="方正仿宋_GBK" w:cs="Times New Roman"/>
            </w:rPr>
            <w:t>加大制造业等行业增值税期末留抵退税力度</w:t>
          </w:r>
          <w:r>
            <w:tab/>
          </w:r>
          <w:r>
            <w:fldChar w:fldCharType="begin"/>
          </w:r>
          <w:r>
            <w:instrText xml:space="preserve"> PAGEREF _Toc106962386 \h </w:instrText>
          </w:r>
          <w:r>
            <w:fldChar w:fldCharType="separate"/>
          </w:r>
          <w:r>
            <w:t>3</w:t>
          </w:r>
          <w:r>
            <w:fldChar w:fldCharType="end"/>
          </w:r>
          <w:r>
            <w:fldChar w:fldCharType="end"/>
          </w:r>
        </w:p>
        <w:p w14:paraId="1D1443AA">
          <w:pPr>
            <w:pStyle w:val="4"/>
            <w:tabs>
              <w:tab w:val="right" w:leader="dot" w:pos="8296"/>
            </w:tabs>
          </w:pPr>
          <w:r>
            <w:fldChar w:fldCharType="begin"/>
          </w:r>
          <w:r>
            <w:instrText xml:space="preserve"> HYPERLINK \l "_Toc106962387" </w:instrText>
          </w:r>
          <w:r>
            <w:fldChar w:fldCharType="separate"/>
          </w:r>
          <w:r>
            <w:rPr>
              <w:rStyle w:val="11"/>
              <w:rFonts w:ascii="Times New Roman" w:hAnsi="Times New Roman" w:eastAsia="方正仿宋_GBK" w:cs="Times New Roman"/>
            </w:rPr>
            <w:t xml:space="preserve">2. </w:t>
          </w:r>
          <w:r>
            <w:rPr>
              <w:rStyle w:val="11"/>
              <w:rFonts w:hint="eastAsia" w:ascii="Times New Roman" w:hAnsi="Times New Roman" w:eastAsia="方正仿宋_GBK" w:cs="Times New Roman"/>
            </w:rPr>
            <w:t>加大小微企业增值税期末留抵退税力度</w:t>
          </w:r>
          <w:r>
            <w:tab/>
          </w:r>
          <w:r>
            <w:fldChar w:fldCharType="begin"/>
          </w:r>
          <w:r>
            <w:instrText xml:space="preserve"> PAGEREF _Toc106962387 \h </w:instrText>
          </w:r>
          <w:r>
            <w:fldChar w:fldCharType="separate"/>
          </w:r>
          <w:r>
            <w:t>3</w:t>
          </w:r>
          <w:r>
            <w:fldChar w:fldCharType="end"/>
          </w:r>
          <w:r>
            <w:fldChar w:fldCharType="end"/>
          </w:r>
        </w:p>
        <w:p w14:paraId="2E48781F">
          <w:pPr>
            <w:pStyle w:val="4"/>
            <w:tabs>
              <w:tab w:val="right" w:leader="dot" w:pos="8296"/>
            </w:tabs>
          </w:pPr>
          <w:r>
            <w:fldChar w:fldCharType="begin"/>
          </w:r>
          <w:r>
            <w:instrText xml:space="preserve"> HYPERLINK \l "_Toc106962388" </w:instrText>
          </w:r>
          <w:r>
            <w:fldChar w:fldCharType="separate"/>
          </w:r>
          <w:r>
            <w:rPr>
              <w:rStyle w:val="11"/>
              <w:rFonts w:ascii="Times New Roman" w:hAnsi="Times New Roman" w:eastAsia="方正仿宋_GBK" w:cs="Times New Roman"/>
            </w:rPr>
            <w:t xml:space="preserve">3. </w:t>
          </w:r>
          <w:r>
            <w:rPr>
              <w:rStyle w:val="11"/>
              <w:rFonts w:hint="eastAsia" w:ascii="Times New Roman" w:hAnsi="Times New Roman" w:eastAsia="方正仿宋_GBK" w:cs="Times New Roman"/>
            </w:rPr>
            <w:t>航空和铁路运输企业暂停预缴增值税</w:t>
          </w:r>
          <w:r>
            <w:tab/>
          </w:r>
          <w:r>
            <w:fldChar w:fldCharType="begin"/>
          </w:r>
          <w:r>
            <w:instrText xml:space="preserve"> PAGEREF _Toc106962388 \h </w:instrText>
          </w:r>
          <w:r>
            <w:fldChar w:fldCharType="separate"/>
          </w:r>
          <w:r>
            <w:t>4</w:t>
          </w:r>
          <w:r>
            <w:fldChar w:fldCharType="end"/>
          </w:r>
          <w:r>
            <w:fldChar w:fldCharType="end"/>
          </w:r>
        </w:p>
        <w:p w14:paraId="5F9092A8">
          <w:pPr>
            <w:pStyle w:val="4"/>
            <w:tabs>
              <w:tab w:val="right" w:leader="dot" w:pos="8296"/>
            </w:tabs>
          </w:pPr>
          <w:r>
            <w:fldChar w:fldCharType="begin"/>
          </w:r>
          <w:r>
            <w:instrText xml:space="preserve"> HYPERLINK \l "_Toc106962389" </w:instrText>
          </w:r>
          <w:r>
            <w:fldChar w:fldCharType="separate"/>
          </w:r>
          <w:r>
            <w:rPr>
              <w:rStyle w:val="11"/>
              <w:rFonts w:ascii="Times New Roman" w:hAnsi="Times New Roman" w:eastAsia="方正仿宋_GBK" w:cs="Times New Roman"/>
            </w:rPr>
            <w:t xml:space="preserve">4. </w:t>
          </w:r>
          <w:r>
            <w:rPr>
              <w:rStyle w:val="11"/>
              <w:rFonts w:hint="eastAsia" w:ascii="Times New Roman" w:hAnsi="Times New Roman" w:eastAsia="方正仿宋_GBK" w:cs="Times New Roman"/>
            </w:rPr>
            <w:t>公共交通运输服务免征增值税</w:t>
          </w:r>
          <w:r>
            <w:tab/>
          </w:r>
          <w:r>
            <w:fldChar w:fldCharType="begin"/>
          </w:r>
          <w:r>
            <w:instrText xml:space="preserve"> PAGEREF _Toc106962389 \h </w:instrText>
          </w:r>
          <w:r>
            <w:fldChar w:fldCharType="separate"/>
          </w:r>
          <w:r>
            <w:t>4</w:t>
          </w:r>
          <w:r>
            <w:fldChar w:fldCharType="end"/>
          </w:r>
          <w:r>
            <w:fldChar w:fldCharType="end"/>
          </w:r>
        </w:p>
        <w:p w14:paraId="21242DDF">
          <w:pPr>
            <w:pStyle w:val="4"/>
            <w:tabs>
              <w:tab w:val="right" w:leader="dot" w:pos="8296"/>
            </w:tabs>
          </w:pPr>
          <w:r>
            <w:fldChar w:fldCharType="begin"/>
          </w:r>
          <w:r>
            <w:instrText xml:space="preserve"> HYPERLINK \l "_Toc106962390" </w:instrText>
          </w:r>
          <w:r>
            <w:fldChar w:fldCharType="separate"/>
          </w:r>
          <w:r>
            <w:rPr>
              <w:rStyle w:val="11"/>
              <w:rFonts w:ascii="Times New Roman" w:hAnsi="Times New Roman" w:eastAsia="方正仿宋_GBK" w:cs="Times New Roman"/>
            </w:rPr>
            <w:t>5. 3</w:t>
          </w:r>
          <w:r>
            <w:rPr>
              <w:rStyle w:val="11"/>
              <w:rFonts w:hint="eastAsia" w:ascii="Times New Roman" w:hAnsi="Times New Roman" w:eastAsia="方正仿宋_GBK" w:cs="Times New Roman"/>
            </w:rPr>
            <w:t>岁以下婴幼儿照护专项附加扣除</w:t>
          </w:r>
          <w:r>
            <w:tab/>
          </w:r>
          <w:r>
            <w:fldChar w:fldCharType="begin"/>
          </w:r>
          <w:r>
            <w:instrText xml:space="preserve"> PAGEREF _Toc106962390 \h </w:instrText>
          </w:r>
          <w:r>
            <w:fldChar w:fldCharType="separate"/>
          </w:r>
          <w:r>
            <w:t>4</w:t>
          </w:r>
          <w:r>
            <w:fldChar w:fldCharType="end"/>
          </w:r>
          <w:r>
            <w:fldChar w:fldCharType="end"/>
          </w:r>
        </w:p>
        <w:p w14:paraId="0E7193E1">
          <w:pPr>
            <w:pStyle w:val="4"/>
            <w:tabs>
              <w:tab w:val="right" w:leader="dot" w:pos="8296"/>
            </w:tabs>
          </w:pPr>
          <w:r>
            <w:fldChar w:fldCharType="begin"/>
          </w:r>
          <w:r>
            <w:instrText xml:space="preserve"> HYPERLINK \l "_Toc106962391" </w:instrText>
          </w:r>
          <w:r>
            <w:fldChar w:fldCharType="separate"/>
          </w:r>
          <w:r>
            <w:rPr>
              <w:rStyle w:val="11"/>
              <w:rFonts w:ascii="Times New Roman" w:hAnsi="Times New Roman" w:eastAsia="方正仿宋_GBK" w:cs="Times New Roman"/>
            </w:rPr>
            <w:t xml:space="preserve">6. </w:t>
          </w:r>
          <w:r>
            <w:rPr>
              <w:rStyle w:val="11"/>
              <w:rFonts w:hint="eastAsia" w:ascii="Times New Roman" w:hAnsi="Times New Roman" w:eastAsia="方正仿宋_GBK" w:cs="Times New Roman"/>
            </w:rPr>
            <w:t>阶段性免征小规模纳税人增值税</w:t>
          </w:r>
          <w:r>
            <w:tab/>
          </w:r>
          <w:r>
            <w:fldChar w:fldCharType="begin"/>
          </w:r>
          <w:r>
            <w:instrText xml:space="preserve"> PAGEREF _Toc106962391 \h </w:instrText>
          </w:r>
          <w:r>
            <w:fldChar w:fldCharType="separate"/>
          </w:r>
          <w:r>
            <w:t>5</w:t>
          </w:r>
          <w:r>
            <w:fldChar w:fldCharType="end"/>
          </w:r>
          <w:r>
            <w:fldChar w:fldCharType="end"/>
          </w:r>
        </w:p>
        <w:p w14:paraId="1FE07C26">
          <w:pPr>
            <w:pStyle w:val="4"/>
            <w:tabs>
              <w:tab w:val="right" w:leader="dot" w:pos="8296"/>
            </w:tabs>
          </w:pPr>
          <w:r>
            <w:fldChar w:fldCharType="begin"/>
          </w:r>
          <w:r>
            <w:instrText xml:space="preserve"> HYPERLINK \l "_Toc106962392" </w:instrText>
          </w:r>
          <w:r>
            <w:fldChar w:fldCharType="separate"/>
          </w:r>
          <w:r>
            <w:rPr>
              <w:rStyle w:val="11"/>
              <w:rFonts w:ascii="Times New Roman" w:hAnsi="Times New Roman" w:eastAsia="方正仿宋_GBK" w:cs="Times New Roman"/>
            </w:rPr>
            <w:t xml:space="preserve">7. </w:t>
          </w:r>
          <w:r>
            <w:rPr>
              <w:rStyle w:val="11"/>
              <w:rFonts w:hint="eastAsia" w:ascii="Times New Roman" w:hAnsi="Times New Roman" w:eastAsia="方正仿宋_GBK" w:cs="Times New Roman"/>
            </w:rPr>
            <w:t>提高科技型中小企业研发费加计扣除比例</w:t>
          </w:r>
          <w:r>
            <w:tab/>
          </w:r>
          <w:r>
            <w:fldChar w:fldCharType="begin"/>
          </w:r>
          <w:r>
            <w:instrText xml:space="preserve"> PAGEREF _Toc106962392 \h </w:instrText>
          </w:r>
          <w:r>
            <w:fldChar w:fldCharType="separate"/>
          </w:r>
          <w:r>
            <w:t>5</w:t>
          </w:r>
          <w:r>
            <w:fldChar w:fldCharType="end"/>
          </w:r>
          <w:r>
            <w:fldChar w:fldCharType="end"/>
          </w:r>
        </w:p>
        <w:p w14:paraId="4597D3F5">
          <w:pPr>
            <w:pStyle w:val="4"/>
            <w:tabs>
              <w:tab w:val="right" w:leader="dot" w:pos="8296"/>
            </w:tabs>
          </w:pPr>
          <w:r>
            <w:fldChar w:fldCharType="begin"/>
          </w:r>
          <w:r>
            <w:instrText xml:space="preserve"> HYPERLINK \l "_Toc106962393" </w:instrText>
          </w:r>
          <w:r>
            <w:fldChar w:fldCharType="separate"/>
          </w:r>
          <w:r>
            <w:rPr>
              <w:rStyle w:val="11"/>
              <w:rFonts w:ascii="Times New Roman" w:hAnsi="Times New Roman" w:eastAsia="方正仿宋_GBK" w:cs="Times New Roman"/>
            </w:rPr>
            <w:t xml:space="preserve">8. </w:t>
          </w:r>
          <w:r>
            <w:rPr>
              <w:rStyle w:val="11"/>
              <w:rFonts w:hint="eastAsia" w:ascii="Times New Roman" w:hAnsi="Times New Roman" w:eastAsia="方正仿宋_GBK" w:cs="Times New Roman"/>
            </w:rPr>
            <w:t>制造业中小微企业缓税政策</w:t>
          </w:r>
          <w:r>
            <w:tab/>
          </w:r>
          <w:r>
            <w:fldChar w:fldCharType="begin"/>
          </w:r>
          <w:r>
            <w:instrText xml:space="preserve"> PAGEREF _Toc106962393 \h </w:instrText>
          </w:r>
          <w:r>
            <w:fldChar w:fldCharType="separate"/>
          </w:r>
          <w:r>
            <w:t>6</w:t>
          </w:r>
          <w:r>
            <w:fldChar w:fldCharType="end"/>
          </w:r>
          <w:r>
            <w:fldChar w:fldCharType="end"/>
          </w:r>
        </w:p>
        <w:p w14:paraId="33F0DAE2">
          <w:pPr>
            <w:pStyle w:val="4"/>
            <w:tabs>
              <w:tab w:val="right" w:leader="dot" w:pos="8296"/>
            </w:tabs>
          </w:pPr>
          <w:r>
            <w:fldChar w:fldCharType="begin"/>
          </w:r>
          <w:r>
            <w:instrText xml:space="preserve"> HYPERLINK \l "_Toc106962394" </w:instrText>
          </w:r>
          <w:r>
            <w:fldChar w:fldCharType="separate"/>
          </w:r>
          <w:r>
            <w:rPr>
              <w:rStyle w:val="11"/>
              <w:rFonts w:ascii="Times New Roman" w:hAnsi="Times New Roman" w:eastAsia="方正仿宋_GBK" w:cs="Times New Roman"/>
            </w:rPr>
            <w:t xml:space="preserve">9. </w:t>
          </w:r>
          <w:r>
            <w:rPr>
              <w:rStyle w:val="11"/>
              <w:rFonts w:hint="eastAsia" w:ascii="Times New Roman" w:hAnsi="Times New Roman" w:eastAsia="方正仿宋_GBK" w:cs="Times New Roman"/>
            </w:rPr>
            <w:t>加大小型微利企业所得税优惠力度</w:t>
          </w:r>
          <w:r>
            <w:tab/>
          </w:r>
          <w:r>
            <w:fldChar w:fldCharType="begin"/>
          </w:r>
          <w:r>
            <w:instrText xml:space="preserve"> PAGEREF _Toc106962394 \h </w:instrText>
          </w:r>
          <w:r>
            <w:fldChar w:fldCharType="separate"/>
          </w:r>
          <w:r>
            <w:t>6</w:t>
          </w:r>
          <w:r>
            <w:fldChar w:fldCharType="end"/>
          </w:r>
          <w:r>
            <w:fldChar w:fldCharType="end"/>
          </w:r>
        </w:p>
        <w:p w14:paraId="63DD07DD">
          <w:pPr>
            <w:pStyle w:val="4"/>
            <w:tabs>
              <w:tab w:val="right" w:leader="dot" w:pos="8296"/>
            </w:tabs>
          </w:pPr>
          <w:r>
            <w:fldChar w:fldCharType="begin"/>
          </w:r>
          <w:r>
            <w:instrText xml:space="preserve"> HYPERLINK \l "_Toc106962395" </w:instrText>
          </w:r>
          <w:r>
            <w:fldChar w:fldCharType="separate"/>
          </w:r>
          <w:r>
            <w:rPr>
              <w:rStyle w:val="11"/>
              <w:rFonts w:ascii="Times New Roman" w:hAnsi="Times New Roman" w:eastAsia="方正仿宋_GBK" w:cs="Times New Roman"/>
            </w:rPr>
            <w:t xml:space="preserve">10. </w:t>
          </w:r>
          <w:r>
            <w:rPr>
              <w:rStyle w:val="11"/>
              <w:rFonts w:hint="eastAsia" w:ascii="Times New Roman" w:hAnsi="Times New Roman" w:eastAsia="方正仿宋_GBK" w:cs="Times New Roman"/>
            </w:rPr>
            <w:t>中小微企业设备、器具所得税税前扣除政策</w:t>
          </w:r>
          <w:r>
            <w:tab/>
          </w:r>
          <w:r>
            <w:fldChar w:fldCharType="begin"/>
          </w:r>
          <w:r>
            <w:instrText xml:space="preserve"> PAGEREF _Toc106962395 \h </w:instrText>
          </w:r>
          <w:r>
            <w:fldChar w:fldCharType="separate"/>
          </w:r>
          <w:r>
            <w:t>6</w:t>
          </w:r>
          <w:r>
            <w:fldChar w:fldCharType="end"/>
          </w:r>
          <w:r>
            <w:fldChar w:fldCharType="end"/>
          </w:r>
        </w:p>
        <w:p w14:paraId="5B981C0F">
          <w:pPr>
            <w:pStyle w:val="4"/>
            <w:tabs>
              <w:tab w:val="right" w:leader="dot" w:pos="8296"/>
            </w:tabs>
          </w:pPr>
          <w:r>
            <w:fldChar w:fldCharType="begin"/>
          </w:r>
          <w:r>
            <w:instrText xml:space="preserve"> HYPERLINK \l "_Toc106962396" </w:instrText>
          </w:r>
          <w:r>
            <w:fldChar w:fldCharType="separate"/>
          </w:r>
          <w:r>
            <w:rPr>
              <w:rStyle w:val="11"/>
              <w:rFonts w:ascii="Times New Roman" w:hAnsi="Times New Roman" w:eastAsia="方正仿宋_GBK" w:cs="Times New Roman"/>
            </w:rPr>
            <w:t xml:space="preserve">11. </w:t>
          </w:r>
          <w:r>
            <w:rPr>
              <w:rStyle w:val="11"/>
              <w:rFonts w:hint="eastAsia" w:ascii="Times New Roman" w:hAnsi="Times New Roman" w:eastAsia="方正仿宋_GBK" w:cs="Times New Roman"/>
            </w:rPr>
            <w:t>进一步实施小微企业</w:t>
          </w:r>
          <w:r>
            <w:rPr>
              <w:rStyle w:val="11"/>
              <w:rFonts w:ascii="Times New Roman" w:hAnsi="Times New Roman" w:eastAsia="方正仿宋_GBK" w:cs="Times New Roman"/>
            </w:rPr>
            <w:t>“</w:t>
          </w:r>
          <w:r>
            <w:rPr>
              <w:rStyle w:val="11"/>
              <w:rFonts w:hint="eastAsia" w:ascii="Times New Roman" w:hAnsi="Times New Roman" w:eastAsia="方正仿宋_GBK" w:cs="Times New Roman"/>
            </w:rPr>
            <w:t>六税两费</w:t>
          </w:r>
          <w:r>
            <w:rPr>
              <w:rStyle w:val="11"/>
              <w:rFonts w:ascii="Times New Roman" w:hAnsi="Times New Roman" w:eastAsia="方正仿宋_GBK" w:cs="Times New Roman"/>
            </w:rPr>
            <w:t>”</w:t>
          </w:r>
          <w:r>
            <w:rPr>
              <w:rStyle w:val="11"/>
              <w:rFonts w:hint="eastAsia" w:ascii="Times New Roman" w:hAnsi="Times New Roman" w:eastAsia="方正仿宋_GBK" w:cs="Times New Roman"/>
            </w:rPr>
            <w:t>减免并扩大适用范围</w:t>
          </w:r>
          <w:r>
            <w:tab/>
          </w:r>
          <w:r>
            <w:fldChar w:fldCharType="begin"/>
          </w:r>
          <w:r>
            <w:instrText xml:space="preserve"> PAGEREF _Toc106962396 \h </w:instrText>
          </w:r>
          <w:r>
            <w:fldChar w:fldCharType="separate"/>
          </w:r>
          <w:r>
            <w:t>7</w:t>
          </w:r>
          <w:r>
            <w:fldChar w:fldCharType="end"/>
          </w:r>
          <w:r>
            <w:fldChar w:fldCharType="end"/>
          </w:r>
        </w:p>
        <w:p w14:paraId="28F1F7D4">
          <w:pPr>
            <w:pStyle w:val="4"/>
            <w:tabs>
              <w:tab w:val="right" w:leader="dot" w:pos="8296"/>
            </w:tabs>
          </w:pPr>
          <w:r>
            <w:fldChar w:fldCharType="begin"/>
          </w:r>
          <w:r>
            <w:instrText xml:space="preserve"> HYPERLINK \l "_Toc106962397" </w:instrText>
          </w:r>
          <w:r>
            <w:fldChar w:fldCharType="separate"/>
          </w:r>
          <w:r>
            <w:rPr>
              <w:rStyle w:val="11"/>
              <w:rFonts w:ascii="Times New Roman" w:hAnsi="Times New Roman" w:eastAsia="方正仿宋_GBK" w:cs="Times New Roman"/>
            </w:rPr>
            <w:t xml:space="preserve">12. </w:t>
          </w:r>
          <w:r>
            <w:rPr>
              <w:rStyle w:val="11"/>
              <w:rFonts w:hint="eastAsia" w:ascii="Times New Roman" w:hAnsi="Times New Roman" w:eastAsia="方正仿宋_GBK" w:cs="Times New Roman"/>
            </w:rPr>
            <w:t>快递收派服务免征增值税</w:t>
          </w:r>
          <w:r>
            <w:tab/>
          </w:r>
          <w:r>
            <w:fldChar w:fldCharType="begin"/>
          </w:r>
          <w:r>
            <w:instrText xml:space="preserve"> PAGEREF _Toc106962397 \h </w:instrText>
          </w:r>
          <w:r>
            <w:fldChar w:fldCharType="separate"/>
          </w:r>
          <w:r>
            <w:t>8</w:t>
          </w:r>
          <w:r>
            <w:fldChar w:fldCharType="end"/>
          </w:r>
          <w:r>
            <w:fldChar w:fldCharType="end"/>
          </w:r>
        </w:p>
        <w:p w14:paraId="10344751">
          <w:pPr>
            <w:pStyle w:val="4"/>
            <w:tabs>
              <w:tab w:val="right" w:leader="dot" w:pos="8296"/>
            </w:tabs>
          </w:pPr>
          <w:r>
            <w:fldChar w:fldCharType="begin"/>
          </w:r>
          <w:r>
            <w:instrText xml:space="preserve"> HYPERLINK \l "_Toc106962398" </w:instrText>
          </w:r>
          <w:r>
            <w:fldChar w:fldCharType="separate"/>
          </w:r>
          <w:r>
            <w:rPr>
              <w:rStyle w:val="11"/>
              <w:rFonts w:ascii="Times New Roman" w:hAnsi="Times New Roman" w:eastAsia="方正仿宋_GBK" w:cs="Times New Roman"/>
            </w:rPr>
            <w:t xml:space="preserve">13. </w:t>
          </w:r>
          <w:r>
            <w:rPr>
              <w:rStyle w:val="11"/>
              <w:rFonts w:hint="eastAsia" w:ascii="Times New Roman" w:hAnsi="Times New Roman" w:eastAsia="方正仿宋_GBK" w:cs="Times New Roman"/>
            </w:rPr>
            <w:t>部分乘用车减征车辆购置税</w:t>
          </w:r>
          <w:r>
            <w:tab/>
          </w:r>
          <w:r>
            <w:fldChar w:fldCharType="begin"/>
          </w:r>
          <w:r>
            <w:instrText xml:space="preserve"> PAGEREF _Toc106962398 \h </w:instrText>
          </w:r>
          <w:r>
            <w:fldChar w:fldCharType="separate"/>
          </w:r>
          <w:r>
            <w:t>8</w:t>
          </w:r>
          <w:r>
            <w:fldChar w:fldCharType="end"/>
          </w:r>
          <w:r>
            <w:fldChar w:fldCharType="end"/>
          </w:r>
        </w:p>
        <w:p w14:paraId="63D2F3AF">
          <w:pPr>
            <w:pStyle w:val="4"/>
            <w:tabs>
              <w:tab w:val="right" w:leader="dot" w:pos="8296"/>
            </w:tabs>
          </w:pPr>
          <w:r>
            <w:fldChar w:fldCharType="begin"/>
          </w:r>
          <w:r>
            <w:instrText xml:space="preserve"> HYPERLINK \l "_Toc106962399" </w:instrText>
          </w:r>
          <w:r>
            <w:fldChar w:fldCharType="separate"/>
          </w:r>
          <w:r>
            <w:rPr>
              <w:rStyle w:val="11"/>
              <w:rFonts w:ascii="Times New Roman" w:hAnsi="Times New Roman" w:eastAsia="方正仿宋_GBK" w:cs="Times New Roman"/>
            </w:rPr>
            <w:t xml:space="preserve">14. </w:t>
          </w:r>
          <w:r>
            <w:rPr>
              <w:rStyle w:val="11"/>
              <w:rFonts w:hint="eastAsia" w:ascii="Times New Roman" w:hAnsi="Times New Roman" w:eastAsia="方正仿宋_GBK" w:cs="Times New Roman"/>
            </w:rPr>
            <w:t>批发和零售业等</w:t>
          </w:r>
          <w:r>
            <w:rPr>
              <w:rStyle w:val="11"/>
              <w:rFonts w:ascii="Times New Roman" w:hAnsi="Times New Roman" w:eastAsia="方正仿宋_GBK" w:cs="Times New Roman"/>
            </w:rPr>
            <w:t>7</w:t>
          </w:r>
          <w:r>
            <w:rPr>
              <w:rStyle w:val="11"/>
              <w:rFonts w:hint="eastAsia" w:ascii="Times New Roman" w:hAnsi="Times New Roman" w:eastAsia="方正仿宋_GBK" w:cs="Times New Roman"/>
            </w:rPr>
            <w:t>个行业全额退还增值税留抵税额</w:t>
          </w:r>
          <w:r>
            <w:tab/>
          </w:r>
          <w:r>
            <w:fldChar w:fldCharType="begin"/>
          </w:r>
          <w:r>
            <w:instrText xml:space="preserve"> PAGEREF _Toc106962399 \h </w:instrText>
          </w:r>
          <w:r>
            <w:fldChar w:fldCharType="separate"/>
          </w:r>
          <w:r>
            <w:t>8</w:t>
          </w:r>
          <w:r>
            <w:fldChar w:fldCharType="end"/>
          </w:r>
          <w:r>
            <w:fldChar w:fldCharType="end"/>
          </w:r>
        </w:p>
        <w:p w14:paraId="2927AD00">
          <w:pPr>
            <w:pStyle w:val="4"/>
            <w:tabs>
              <w:tab w:val="right" w:leader="dot" w:pos="8296"/>
            </w:tabs>
          </w:pPr>
          <w:r>
            <w:fldChar w:fldCharType="begin"/>
          </w:r>
          <w:r>
            <w:instrText xml:space="preserve"> HYPERLINK \l "_Toc106962400" </w:instrText>
          </w:r>
          <w:r>
            <w:fldChar w:fldCharType="separate"/>
          </w:r>
          <w:r>
            <w:rPr>
              <w:rStyle w:val="11"/>
              <w:rFonts w:ascii="Times New Roman" w:hAnsi="Times New Roman" w:eastAsia="方正仿宋_GBK" w:cs="Times New Roman"/>
            </w:rPr>
            <w:t xml:space="preserve">15. </w:t>
          </w:r>
          <w:r>
            <w:rPr>
              <w:rStyle w:val="11"/>
              <w:rFonts w:hint="eastAsia" w:ascii="Times New Roman" w:hAnsi="Times New Roman" w:eastAsia="方正仿宋_GBK" w:cs="Times New Roman"/>
            </w:rPr>
            <w:t>特困行业阶段性实施缓缴企业社会保险费</w:t>
          </w:r>
          <w:r>
            <w:tab/>
          </w:r>
          <w:r>
            <w:fldChar w:fldCharType="begin"/>
          </w:r>
          <w:r>
            <w:instrText xml:space="preserve"> PAGEREF _Toc106962400 \h </w:instrText>
          </w:r>
          <w:r>
            <w:fldChar w:fldCharType="separate"/>
          </w:r>
          <w:r>
            <w:t>9</w:t>
          </w:r>
          <w:r>
            <w:fldChar w:fldCharType="end"/>
          </w:r>
          <w:r>
            <w:fldChar w:fldCharType="end"/>
          </w:r>
        </w:p>
        <w:p w14:paraId="4CA8298C">
          <w:pPr>
            <w:pStyle w:val="8"/>
            <w:rPr>
              <w:rFonts w:asciiTheme="minorHAnsi" w:eastAsiaTheme="minorEastAsia"/>
              <w:sz w:val="21"/>
              <w:szCs w:val="22"/>
            </w:rPr>
          </w:pPr>
          <w:r>
            <w:fldChar w:fldCharType="begin"/>
          </w:r>
          <w:r>
            <w:instrText xml:space="preserve"> HYPERLINK \l "_Toc106962401" </w:instrText>
          </w:r>
          <w:r>
            <w:fldChar w:fldCharType="separate"/>
          </w:r>
          <w:r>
            <w:rPr>
              <w:rStyle w:val="11"/>
              <w:rFonts w:hint="eastAsia" w:ascii="Times New Roman" w:hAnsi="Times New Roman" w:cs="Times New Roman"/>
            </w:rPr>
            <w:t>二、</w:t>
          </w:r>
          <w:r>
            <w:rPr>
              <w:rStyle w:val="11"/>
              <w:rFonts w:ascii="Times New Roman" w:hAnsi="Times New Roman" w:cs="Times New Roman"/>
            </w:rPr>
            <w:t>2022</w:t>
          </w:r>
          <w:r>
            <w:rPr>
              <w:rStyle w:val="11"/>
              <w:rFonts w:hint="eastAsia" w:ascii="Times New Roman" w:hAnsi="Times New Roman" w:cs="Times New Roman"/>
            </w:rPr>
            <w:t>年展期政策（</w:t>
          </w:r>
          <w:r>
            <w:rPr>
              <w:rStyle w:val="11"/>
              <w:rFonts w:ascii="Times New Roman" w:hAnsi="Times New Roman" w:cs="Times New Roman"/>
            </w:rPr>
            <w:t>14</w:t>
          </w:r>
          <w:r>
            <w:rPr>
              <w:rStyle w:val="11"/>
              <w:rFonts w:hint="eastAsia" w:ascii="Times New Roman" w:hAnsi="Times New Roman" w:cs="Times New Roman"/>
            </w:rPr>
            <w:t>项）</w:t>
          </w:r>
          <w:r>
            <w:tab/>
          </w:r>
          <w:r>
            <w:fldChar w:fldCharType="begin"/>
          </w:r>
          <w:r>
            <w:instrText xml:space="preserve"> PAGEREF _Toc106962401 \h </w:instrText>
          </w:r>
          <w:r>
            <w:fldChar w:fldCharType="separate"/>
          </w:r>
          <w:r>
            <w:t>10</w:t>
          </w:r>
          <w:r>
            <w:fldChar w:fldCharType="end"/>
          </w:r>
          <w:r>
            <w:fldChar w:fldCharType="end"/>
          </w:r>
        </w:p>
        <w:p w14:paraId="5243192C">
          <w:pPr>
            <w:pStyle w:val="4"/>
            <w:tabs>
              <w:tab w:val="right" w:leader="dot" w:pos="8296"/>
            </w:tabs>
          </w:pPr>
          <w:r>
            <w:fldChar w:fldCharType="begin"/>
          </w:r>
          <w:r>
            <w:instrText xml:space="preserve"> HYPERLINK \l "_Toc106962402" </w:instrText>
          </w:r>
          <w:r>
            <w:fldChar w:fldCharType="separate"/>
          </w:r>
          <w:r>
            <w:rPr>
              <w:rStyle w:val="11"/>
              <w:rFonts w:ascii="Times New Roman" w:hAnsi="Times New Roman" w:eastAsia="方正仿宋_GBK" w:cs="Times New Roman"/>
            </w:rPr>
            <w:t>1.</w:t>
          </w:r>
          <w:r>
            <w:rPr>
              <w:rStyle w:val="11"/>
              <w:rFonts w:hint="eastAsia" w:ascii="Times New Roman" w:hAnsi="Times New Roman" w:eastAsia="方正仿宋_GBK" w:cs="Times New Roman"/>
            </w:rPr>
            <w:t>生产性服务业纳税人进项税额加计抵减</w:t>
          </w:r>
          <w:r>
            <w:tab/>
          </w:r>
          <w:r>
            <w:fldChar w:fldCharType="begin"/>
          </w:r>
          <w:r>
            <w:instrText xml:space="preserve"> PAGEREF _Toc106962402 \h </w:instrText>
          </w:r>
          <w:r>
            <w:fldChar w:fldCharType="separate"/>
          </w:r>
          <w:r>
            <w:t>10</w:t>
          </w:r>
          <w:r>
            <w:fldChar w:fldCharType="end"/>
          </w:r>
          <w:r>
            <w:fldChar w:fldCharType="end"/>
          </w:r>
        </w:p>
        <w:p w14:paraId="548248C0">
          <w:pPr>
            <w:pStyle w:val="4"/>
            <w:tabs>
              <w:tab w:val="right" w:leader="dot" w:pos="8296"/>
            </w:tabs>
          </w:pPr>
          <w:r>
            <w:fldChar w:fldCharType="begin"/>
          </w:r>
          <w:r>
            <w:instrText xml:space="preserve"> HYPERLINK \l "_Toc106962403" </w:instrText>
          </w:r>
          <w:r>
            <w:fldChar w:fldCharType="separate"/>
          </w:r>
          <w:r>
            <w:rPr>
              <w:rStyle w:val="11"/>
              <w:rFonts w:ascii="Times New Roman" w:hAnsi="Times New Roman" w:eastAsia="方正仿宋_GBK" w:cs="Times New Roman"/>
            </w:rPr>
            <w:t>2.</w:t>
          </w:r>
          <w:r>
            <w:rPr>
              <w:rStyle w:val="11"/>
              <w:rFonts w:hint="eastAsia" w:ascii="Times New Roman" w:hAnsi="Times New Roman" w:eastAsia="方正仿宋_GBK" w:cs="Times New Roman"/>
            </w:rPr>
            <w:t>生活性服务业纳税人进项税额加计抵减</w:t>
          </w:r>
          <w:r>
            <w:tab/>
          </w:r>
          <w:r>
            <w:fldChar w:fldCharType="begin"/>
          </w:r>
          <w:r>
            <w:instrText xml:space="preserve"> PAGEREF _Toc106962403 \h </w:instrText>
          </w:r>
          <w:r>
            <w:fldChar w:fldCharType="separate"/>
          </w:r>
          <w:r>
            <w:t>11</w:t>
          </w:r>
          <w:r>
            <w:fldChar w:fldCharType="end"/>
          </w:r>
          <w:r>
            <w:fldChar w:fldCharType="end"/>
          </w:r>
        </w:p>
        <w:p w14:paraId="2E398F68">
          <w:pPr>
            <w:pStyle w:val="4"/>
            <w:tabs>
              <w:tab w:val="right" w:leader="dot" w:pos="8296"/>
            </w:tabs>
          </w:pPr>
          <w:r>
            <w:fldChar w:fldCharType="begin"/>
          </w:r>
          <w:r>
            <w:instrText xml:space="preserve"> HYPERLINK \l "_Toc106962404" </w:instrText>
          </w:r>
          <w:r>
            <w:fldChar w:fldCharType="separate"/>
          </w:r>
          <w:r>
            <w:rPr>
              <w:rStyle w:val="11"/>
              <w:rFonts w:ascii="Times New Roman" w:hAnsi="Times New Roman" w:eastAsia="方正仿宋_GBK" w:cs="Times New Roman"/>
            </w:rPr>
            <w:t>3.</w:t>
          </w:r>
          <w:r>
            <w:rPr>
              <w:rStyle w:val="11"/>
              <w:rFonts w:hint="eastAsia" w:ascii="Times New Roman" w:hAnsi="Times New Roman" w:eastAsia="方正仿宋_GBK" w:cs="Times New Roman"/>
            </w:rPr>
            <w:t>延续施行全年一次性奖金等个人所得税优惠</w:t>
          </w:r>
          <w:r>
            <w:tab/>
          </w:r>
          <w:r>
            <w:fldChar w:fldCharType="begin"/>
          </w:r>
          <w:r>
            <w:instrText xml:space="preserve"> PAGEREF _Toc106962404 \h </w:instrText>
          </w:r>
          <w:r>
            <w:fldChar w:fldCharType="separate"/>
          </w:r>
          <w:r>
            <w:t>11</w:t>
          </w:r>
          <w:r>
            <w:fldChar w:fldCharType="end"/>
          </w:r>
          <w:r>
            <w:fldChar w:fldCharType="end"/>
          </w:r>
        </w:p>
        <w:p w14:paraId="77FD24A6">
          <w:pPr>
            <w:pStyle w:val="4"/>
            <w:tabs>
              <w:tab w:val="right" w:leader="dot" w:pos="8296"/>
            </w:tabs>
          </w:pPr>
          <w:r>
            <w:fldChar w:fldCharType="begin"/>
          </w:r>
          <w:r>
            <w:instrText xml:space="preserve"> HYPERLINK \l "_Toc106962405" </w:instrText>
          </w:r>
          <w:r>
            <w:fldChar w:fldCharType="separate"/>
          </w:r>
          <w:r>
            <w:rPr>
              <w:rStyle w:val="11"/>
              <w:rFonts w:ascii="Times New Roman" w:hAnsi="Times New Roman" w:eastAsia="方正仿宋_GBK" w:cs="Times New Roman"/>
            </w:rPr>
            <w:t>4.</w:t>
          </w:r>
          <w:r>
            <w:rPr>
              <w:rStyle w:val="11"/>
              <w:rFonts w:hint="eastAsia" w:ascii="Times New Roman" w:hAnsi="Times New Roman" w:eastAsia="方正仿宋_GBK" w:cs="Times New Roman"/>
            </w:rPr>
            <w:t>延续施行个税汇算清缴政策</w:t>
          </w:r>
          <w:r>
            <w:tab/>
          </w:r>
          <w:r>
            <w:fldChar w:fldCharType="begin"/>
          </w:r>
          <w:r>
            <w:instrText xml:space="preserve"> PAGEREF _Toc106962405 \h </w:instrText>
          </w:r>
          <w:r>
            <w:fldChar w:fldCharType="separate"/>
          </w:r>
          <w:r>
            <w:t>12</w:t>
          </w:r>
          <w:r>
            <w:fldChar w:fldCharType="end"/>
          </w:r>
          <w:r>
            <w:fldChar w:fldCharType="end"/>
          </w:r>
        </w:p>
        <w:p w14:paraId="759A3053">
          <w:pPr>
            <w:pStyle w:val="4"/>
            <w:tabs>
              <w:tab w:val="right" w:leader="dot" w:pos="8296"/>
            </w:tabs>
          </w:pPr>
          <w:r>
            <w:fldChar w:fldCharType="begin"/>
          </w:r>
          <w:r>
            <w:instrText xml:space="preserve"> HYPERLINK \l "_Toc106962406" </w:instrText>
          </w:r>
          <w:r>
            <w:fldChar w:fldCharType="separate"/>
          </w:r>
          <w:r>
            <w:rPr>
              <w:rStyle w:val="11"/>
              <w:rFonts w:ascii="Times New Roman" w:hAnsi="Times New Roman" w:eastAsia="方正仿宋_GBK" w:cs="Times New Roman"/>
            </w:rPr>
            <w:t>5.</w:t>
          </w:r>
          <w:r>
            <w:rPr>
              <w:rStyle w:val="11"/>
              <w:rFonts w:hint="eastAsia" w:ascii="Times New Roman" w:hAnsi="Times New Roman" w:eastAsia="方正仿宋_GBK" w:cs="Times New Roman"/>
            </w:rPr>
            <w:t>上市公司股权激励单独计税政策</w:t>
          </w:r>
          <w:r>
            <w:tab/>
          </w:r>
          <w:r>
            <w:fldChar w:fldCharType="begin"/>
          </w:r>
          <w:r>
            <w:instrText xml:space="preserve"> PAGEREF _Toc106962406 \h </w:instrText>
          </w:r>
          <w:r>
            <w:fldChar w:fldCharType="separate"/>
          </w:r>
          <w:r>
            <w:t>12</w:t>
          </w:r>
          <w:r>
            <w:fldChar w:fldCharType="end"/>
          </w:r>
          <w:r>
            <w:fldChar w:fldCharType="end"/>
          </w:r>
        </w:p>
        <w:p w14:paraId="65BEB73D">
          <w:pPr>
            <w:pStyle w:val="4"/>
            <w:tabs>
              <w:tab w:val="right" w:leader="dot" w:pos="8296"/>
            </w:tabs>
          </w:pPr>
          <w:r>
            <w:fldChar w:fldCharType="begin"/>
          </w:r>
          <w:r>
            <w:instrText xml:space="preserve"> HYPERLINK \l "_Toc106962407" </w:instrText>
          </w:r>
          <w:r>
            <w:fldChar w:fldCharType="separate"/>
          </w:r>
          <w:r>
            <w:rPr>
              <w:rStyle w:val="11"/>
              <w:rFonts w:ascii="Times New Roman" w:hAnsi="Times New Roman" w:eastAsia="方正仿宋_GBK" w:cs="Times New Roman"/>
            </w:rPr>
            <w:t xml:space="preserve">6. </w:t>
          </w:r>
          <w:r>
            <w:rPr>
              <w:rStyle w:val="11"/>
              <w:rFonts w:hint="eastAsia" w:ascii="Times New Roman" w:hAnsi="Times New Roman" w:eastAsia="方正仿宋_GBK" w:cs="Times New Roman"/>
            </w:rPr>
            <w:t>科技企业孵化器、大学科技园、众创空间免征增值税等政策</w:t>
          </w:r>
          <w:r>
            <w:tab/>
          </w:r>
          <w:r>
            <w:fldChar w:fldCharType="begin"/>
          </w:r>
          <w:r>
            <w:instrText xml:space="preserve"> PAGEREF _Toc106962407 \h </w:instrText>
          </w:r>
          <w:r>
            <w:fldChar w:fldCharType="separate"/>
          </w:r>
          <w:r>
            <w:t>13</w:t>
          </w:r>
          <w:r>
            <w:fldChar w:fldCharType="end"/>
          </w:r>
          <w:r>
            <w:fldChar w:fldCharType="end"/>
          </w:r>
        </w:p>
        <w:p w14:paraId="50AC5CF3">
          <w:pPr>
            <w:pStyle w:val="4"/>
            <w:tabs>
              <w:tab w:val="right" w:leader="dot" w:pos="8296"/>
            </w:tabs>
          </w:pPr>
          <w:r>
            <w:fldChar w:fldCharType="begin"/>
          </w:r>
          <w:r>
            <w:instrText xml:space="preserve"> HYPERLINK \l "_Toc106962408" </w:instrText>
          </w:r>
          <w:r>
            <w:fldChar w:fldCharType="separate"/>
          </w:r>
          <w:r>
            <w:rPr>
              <w:rStyle w:val="11"/>
              <w:rFonts w:ascii="Times New Roman" w:hAnsi="Times New Roman" w:eastAsia="方正仿宋_GBK" w:cs="Times New Roman"/>
            </w:rPr>
            <w:t xml:space="preserve">7. </w:t>
          </w:r>
          <w:r>
            <w:rPr>
              <w:rStyle w:val="11"/>
              <w:rFonts w:hint="eastAsia" w:ascii="Times New Roman" w:hAnsi="Times New Roman" w:eastAsia="方正仿宋_GBK" w:cs="Times New Roman"/>
            </w:rPr>
            <w:t>延续执行创业投资企业和天使投资个人投资初创科技型企业有关政策条件</w:t>
          </w:r>
          <w:r>
            <w:tab/>
          </w:r>
          <w:r>
            <w:fldChar w:fldCharType="begin"/>
          </w:r>
          <w:r>
            <w:instrText xml:space="preserve"> PAGEREF _Toc106962408 \h </w:instrText>
          </w:r>
          <w:r>
            <w:fldChar w:fldCharType="separate"/>
          </w:r>
          <w:r>
            <w:t>13</w:t>
          </w:r>
          <w:r>
            <w:fldChar w:fldCharType="end"/>
          </w:r>
          <w:r>
            <w:fldChar w:fldCharType="end"/>
          </w:r>
        </w:p>
        <w:p w14:paraId="73EAD147">
          <w:pPr>
            <w:pStyle w:val="4"/>
            <w:tabs>
              <w:tab w:val="right" w:leader="dot" w:pos="8296"/>
            </w:tabs>
          </w:pPr>
          <w:r>
            <w:fldChar w:fldCharType="begin"/>
          </w:r>
          <w:r>
            <w:instrText xml:space="preserve"> HYPERLINK \l "_Toc106962409" </w:instrText>
          </w:r>
          <w:r>
            <w:fldChar w:fldCharType="separate"/>
          </w:r>
          <w:r>
            <w:rPr>
              <w:rStyle w:val="11"/>
              <w:rFonts w:ascii="Times New Roman" w:hAnsi="Times New Roman" w:eastAsia="方正仿宋_GBK" w:cs="Times New Roman"/>
            </w:rPr>
            <w:t xml:space="preserve">8. </w:t>
          </w:r>
          <w:r>
            <w:rPr>
              <w:rStyle w:val="11"/>
              <w:rFonts w:hint="eastAsia" w:ascii="Times New Roman" w:hAnsi="Times New Roman" w:eastAsia="方正仿宋_GBK" w:cs="Times New Roman"/>
            </w:rPr>
            <w:t>退役士兵创业就业优惠政策</w:t>
          </w:r>
          <w:r>
            <w:tab/>
          </w:r>
          <w:r>
            <w:fldChar w:fldCharType="begin"/>
          </w:r>
          <w:r>
            <w:instrText xml:space="preserve"> PAGEREF _Toc106962409 \h </w:instrText>
          </w:r>
          <w:r>
            <w:fldChar w:fldCharType="separate"/>
          </w:r>
          <w:r>
            <w:t>14</w:t>
          </w:r>
          <w:r>
            <w:fldChar w:fldCharType="end"/>
          </w:r>
          <w:r>
            <w:fldChar w:fldCharType="end"/>
          </w:r>
        </w:p>
        <w:p w14:paraId="22AC1BA0">
          <w:pPr>
            <w:pStyle w:val="4"/>
            <w:tabs>
              <w:tab w:val="right" w:leader="dot" w:pos="8296"/>
            </w:tabs>
          </w:pPr>
          <w:r>
            <w:fldChar w:fldCharType="begin"/>
          </w:r>
          <w:r>
            <w:instrText xml:space="preserve"> HYPERLINK \l "_Toc106962410" </w:instrText>
          </w:r>
          <w:r>
            <w:fldChar w:fldCharType="separate"/>
          </w:r>
          <w:r>
            <w:rPr>
              <w:rStyle w:val="11"/>
              <w:rFonts w:ascii="Times New Roman" w:hAnsi="Times New Roman" w:eastAsia="方正仿宋_GBK" w:cs="Times New Roman"/>
            </w:rPr>
            <w:t xml:space="preserve">9. </w:t>
          </w:r>
          <w:r>
            <w:rPr>
              <w:rStyle w:val="11"/>
              <w:rFonts w:hint="eastAsia" w:ascii="Times New Roman" w:hAnsi="Times New Roman" w:eastAsia="方正仿宋_GBK" w:cs="Times New Roman"/>
            </w:rPr>
            <w:t>符合条件的农产品批发市场、农贸市场暂免征收房产税和城镇土地使用税</w:t>
          </w:r>
          <w:r>
            <w:tab/>
          </w:r>
          <w:r>
            <w:fldChar w:fldCharType="begin"/>
          </w:r>
          <w:r>
            <w:instrText xml:space="preserve"> PAGEREF _Toc106962410 \h </w:instrText>
          </w:r>
          <w:r>
            <w:fldChar w:fldCharType="separate"/>
          </w:r>
          <w:r>
            <w:t>14</w:t>
          </w:r>
          <w:r>
            <w:fldChar w:fldCharType="end"/>
          </w:r>
          <w:r>
            <w:fldChar w:fldCharType="end"/>
          </w:r>
        </w:p>
        <w:p w14:paraId="6E4F1BD7">
          <w:pPr>
            <w:pStyle w:val="4"/>
            <w:tabs>
              <w:tab w:val="right" w:leader="dot" w:pos="8296"/>
            </w:tabs>
          </w:pPr>
          <w:r>
            <w:fldChar w:fldCharType="begin"/>
          </w:r>
          <w:r>
            <w:instrText xml:space="preserve"> HYPERLINK \l "_Toc106962411" </w:instrText>
          </w:r>
          <w:r>
            <w:fldChar w:fldCharType="separate"/>
          </w:r>
          <w:r>
            <w:rPr>
              <w:rStyle w:val="11"/>
              <w:rFonts w:ascii="Times New Roman" w:hAnsi="Times New Roman" w:eastAsia="方正仿宋_GBK" w:cs="Times New Roman"/>
            </w:rPr>
            <w:t xml:space="preserve">10. </w:t>
          </w:r>
          <w:r>
            <w:rPr>
              <w:rStyle w:val="11"/>
              <w:rFonts w:hint="eastAsia" w:ascii="Times New Roman" w:hAnsi="Times New Roman" w:eastAsia="方正仿宋_GBK" w:cs="Times New Roman"/>
            </w:rPr>
            <w:t>符合条件的城市公交、客运、轨道交通运营用地暂免征城镇土地使用税</w:t>
          </w:r>
          <w:r>
            <w:tab/>
          </w:r>
          <w:r>
            <w:fldChar w:fldCharType="begin"/>
          </w:r>
          <w:r>
            <w:instrText xml:space="preserve"> PAGEREF _Toc106962411 \h </w:instrText>
          </w:r>
          <w:r>
            <w:fldChar w:fldCharType="separate"/>
          </w:r>
          <w:r>
            <w:t>15</w:t>
          </w:r>
          <w:r>
            <w:fldChar w:fldCharType="end"/>
          </w:r>
          <w:r>
            <w:fldChar w:fldCharType="end"/>
          </w:r>
        </w:p>
        <w:p w14:paraId="40B662E0">
          <w:pPr>
            <w:pStyle w:val="4"/>
            <w:tabs>
              <w:tab w:val="right" w:leader="dot" w:pos="8296"/>
            </w:tabs>
          </w:pPr>
          <w:r>
            <w:fldChar w:fldCharType="begin"/>
          </w:r>
          <w:r>
            <w:instrText xml:space="preserve"> HYPERLINK \l "_Toc106962412" </w:instrText>
          </w:r>
          <w:r>
            <w:fldChar w:fldCharType="separate"/>
          </w:r>
          <w:r>
            <w:rPr>
              <w:rStyle w:val="11"/>
              <w:rFonts w:ascii="Times New Roman" w:hAnsi="Times New Roman" w:eastAsia="方正仿宋_GBK" w:cs="Times New Roman"/>
            </w:rPr>
            <w:t xml:space="preserve">11. </w:t>
          </w:r>
          <w:r>
            <w:rPr>
              <w:rStyle w:val="11"/>
              <w:rFonts w:hint="eastAsia" w:ascii="Times New Roman" w:hAnsi="Times New Roman" w:eastAsia="方正仿宋_GBK" w:cs="Times New Roman"/>
            </w:rPr>
            <w:t>参加疫情防治工作的医务人员和防疫工作者取得的相关补助和奖金免征个人所得税</w:t>
          </w:r>
          <w:r>
            <w:tab/>
          </w:r>
          <w:r>
            <w:fldChar w:fldCharType="begin"/>
          </w:r>
          <w:r>
            <w:instrText xml:space="preserve"> PAGEREF _Toc106962412 \h </w:instrText>
          </w:r>
          <w:r>
            <w:fldChar w:fldCharType="separate"/>
          </w:r>
          <w:r>
            <w:t>15</w:t>
          </w:r>
          <w:r>
            <w:fldChar w:fldCharType="end"/>
          </w:r>
          <w:r>
            <w:fldChar w:fldCharType="end"/>
          </w:r>
        </w:p>
        <w:p w14:paraId="5142F73D">
          <w:pPr>
            <w:pStyle w:val="4"/>
            <w:tabs>
              <w:tab w:val="right" w:leader="dot" w:pos="8296"/>
            </w:tabs>
          </w:pPr>
          <w:r>
            <w:fldChar w:fldCharType="begin"/>
          </w:r>
          <w:r>
            <w:instrText xml:space="preserve"> HYPERLINK \l "_Toc106962413" </w:instrText>
          </w:r>
          <w:r>
            <w:fldChar w:fldCharType="separate"/>
          </w:r>
          <w:r>
            <w:rPr>
              <w:rStyle w:val="11"/>
              <w:rFonts w:ascii="Times New Roman" w:hAnsi="Times New Roman" w:eastAsia="方正仿宋_GBK" w:cs="Times New Roman"/>
            </w:rPr>
            <w:t xml:space="preserve">12. </w:t>
          </w:r>
          <w:r>
            <w:rPr>
              <w:rStyle w:val="11"/>
              <w:rFonts w:hint="eastAsia" w:ascii="Times New Roman" w:hAnsi="Times New Roman" w:eastAsia="方正仿宋_GBK" w:cs="Times New Roman"/>
            </w:rPr>
            <w:t>高校学生公寓免征房产税印花税</w:t>
          </w:r>
          <w:r>
            <w:tab/>
          </w:r>
          <w:r>
            <w:fldChar w:fldCharType="begin"/>
          </w:r>
          <w:r>
            <w:instrText xml:space="preserve"> PAGEREF _Toc106962413 \h </w:instrText>
          </w:r>
          <w:r>
            <w:fldChar w:fldCharType="separate"/>
          </w:r>
          <w:r>
            <w:t>16</w:t>
          </w:r>
          <w:r>
            <w:fldChar w:fldCharType="end"/>
          </w:r>
          <w:r>
            <w:fldChar w:fldCharType="end"/>
          </w:r>
        </w:p>
        <w:p w14:paraId="4D7644C1">
          <w:pPr>
            <w:pStyle w:val="4"/>
            <w:tabs>
              <w:tab w:val="right" w:leader="dot" w:pos="8296"/>
            </w:tabs>
          </w:pPr>
          <w:r>
            <w:fldChar w:fldCharType="begin"/>
          </w:r>
          <w:r>
            <w:instrText xml:space="preserve"> HYPERLINK \l "_Toc106962414" </w:instrText>
          </w:r>
          <w:r>
            <w:fldChar w:fldCharType="separate"/>
          </w:r>
          <w:r>
            <w:rPr>
              <w:rStyle w:val="11"/>
              <w:rFonts w:ascii="Times New Roman" w:hAnsi="Times New Roman" w:eastAsia="方正仿宋_GBK" w:cs="Times New Roman"/>
            </w:rPr>
            <w:t xml:space="preserve">13. </w:t>
          </w:r>
          <w:r>
            <w:rPr>
              <w:rStyle w:val="11"/>
              <w:rFonts w:hint="eastAsia" w:ascii="Times New Roman" w:hAnsi="Times New Roman" w:eastAsia="方正仿宋_GBK" w:cs="Times New Roman"/>
            </w:rPr>
            <w:t>国家储备商品免征房产税城镇土地使用税</w:t>
          </w:r>
          <w:r>
            <w:tab/>
          </w:r>
          <w:r>
            <w:fldChar w:fldCharType="begin"/>
          </w:r>
          <w:r>
            <w:instrText xml:space="preserve"> PAGEREF _Toc106962414 \h </w:instrText>
          </w:r>
          <w:r>
            <w:fldChar w:fldCharType="separate"/>
          </w:r>
          <w:r>
            <w:t>16</w:t>
          </w:r>
          <w:r>
            <w:fldChar w:fldCharType="end"/>
          </w:r>
          <w:r>
            <w:fldChar w:fldCharType="end"/>
          </w:r>
        </w:p>
        <w:p w14:paraId="7E235052">
          <w:pPr>
            <w:pStyle w:val="4"/>
            <w:tabs>
              <w:tab w:val="right" w:leader="dot" w:pos="8296"/>
            </w:tabs>
          </w:pPr>
          <w:r>
            <w:fldChar w:fldCharType="begin"/>
          </w:r>
          <w:r>
            <w:instrText xml:space="preserve"> HYPERLINK \l "_Toc106962415" </w:instrText>
          </w:r>
          <w:r>
            <w:fldChar w:fldCharType="separate"/>
          </w:r>
          <w:r>
            <w:rPr>
              <w:rStyle w:val="11"/>
              <w:rFonts w:ascii="Times New Roman" w:hAnsi="Times New Roman" w:eastAsia="方正仿宋_GBK" w:cs="Times New Roman"/>
            </w:rPr>
            <w:t xml:space="preserve">14. </w:t>
          </w:r>
          <w:r>
            <w:rPr>
              <w:rStyle w:val="11"/>
              <w:rFonts w:hint="eastAsia" w:ascii="Times New Roman" w:hAnsi="Times New Roman" w:eastAsia="方正仿宋_GBK" w:cs="Times New Roman"/>
            </w:rPr>
            <w:t>符合条件的从事污染防治的第三方企业减按</w:t>
          </w:r>
          <w:r>
            <w:rPr>
              <w:rStyle w:val="11"/>
              <w:rFonts w:ascii="Times New Roman" w:hAnsi="Times New Roman" w:eastAsia="方正仿宋_GBK" w:cs="Times New Roman"/>
            </w:rPr>
            <w:t>15%</w:t>
          </w:r>
          <w:r>
            <w:rPr>
              <w:rStyle w:val="11"/>
              <w:rFonts w:hint="eastAsia" w:ascii="Times New Roman" w:hAnsi="Times New Roman" w:eastAsia="方正仿宋_GBK" w:cs="Times New Roman"/>
            </w:rPr>
            <w:t>的税率征收企业所得税</w:t>
          </w:r>
          <w:r>
            <w:tab/>
          </w:r>
          <w:r>
            <w:fldChar w:fldCharType="begin"/>
          </w:r>
          <w:r>
            <w:instrText xml:space="preserve"> PAGEREF _Toc106962415 \h </w:instrText>
          </w:r>
          <w:r>
            <w:fldChar w:fldCharType="separate"/>
          </w:r>
          <w:r>
            <w:t>16</w:t>
          </w:r>
          <w:r>
            <w:fldChar w:fldCharType="end"/>
          </w:r>
          <w:r>
            <w:fldChar w:fldCharType="end"/>
          </w:r>
        </w:p>
        <w:p w14:paraId="6E7BDFBD">
          <w:pPr>
            <w:pStyle w:val="8"/>
            <w:rPr>
              <w:rFonts w:asciiTheme="minorHAnsi" w:eastAsiaTheme="minorEastAsia"/>
              <w:sz w:val="21"/>
              <w:szCs w:val="22"/>
            </w:rPr>
          </w:pPr>
          <w:r>
            <w:fldChar w:fldCharType="begin"/>
          </w:r>
          <w:r>
            <w:instrText xml:space="preserve"> HYPERLINK \l "_Toc106962416" </w:instrText>
          </w:r>
          <w:r>
            <w:fldChar w:fldCharType="separate"/>
          </w:r>
          <w:r>
            <w:rPr>
              <w:rStyle w:val="11"/>
              <w:rFonts w:hint="eastAsia" w:ascii="Times New Roman" w:hAnsi="Times New Roman" w:cs="Times New Roman"/>
            </w:rPr>
            <w:t>三、</w:t>
          </w:r>
          <w:r>
            <w:rPr>
              <w:rStyle w:val="11"/>
              <w:rFonts w:ascii="Times New Roman" w:hAnsi="Times New Roman" w:cs="Times New Roman"/>
            </w:rPr>
            <w:t>2019</w:t>
          </w:r>
          <w:r>
            <w:rPr>
              <w:rStyle w:val="11"/>
              <w:rFonts w:hint="eastAsia" w:ascii="Times New Roman" w:hAnsi="Times New Roman" w:cs="Times New Roman"/>
            </w:rPr>
            <w:t>年以来现行有效政策（</w:t>
          </w:r>
          <w:r>
            <w:rPr>
              <w:rStyle w:val="11"/>
              <w:rFonts w:ascii="Times New Roman" w:hAnsi="Times New Roman" w:cs="Times New Roman"/>
            </w:rPr>
            <w:t>31</w:t>
          </w:r>
          <w:r>
            <w:rPr>
              <w:rStyle w:val="11"/>
              <w:rFonts w:hint="eastAsia" w:ascii="Times New Roman" w:hAnsi="Times New Roman" w:cs="Times New Roman"/>
            </w:rPr>
            <w:t>项）</w:t>
          </w:r>
          <w:r>
            <w:tab/>
          </w:r>
          <w:r>
            <w:fldChar w:fldCharType="begin"/>
          </w:r>
          <w:r>
            <w:instrText xml:space="preserve"> PAGEREF _Toc106962416 \h </w:instrText>
          </w:r>
          <w:r>
            <w:fldChar w:fldCharType="separate"/>
          </w:r>
          <w:r>
            <w:t>17</w:t>
          </w:r>
          <w:r>
            <w:fldChar w:fldCharType="end"/>
          </w:r>
          <w:r>
            <w:fldChar w:fldCharType="end"/>
          </w:r>
        </w:p>
        <w:p w14:paraId="0CD95CA4">
          <w:pPr>
            <w:pStyle w:val="4"/>
            <w:tabs>
              <w:tab w:val="right" w:leader="dot" w:pos="8296"/>
            </w:tabs>
          </w:pPr>
          <w:r>
            <w:fldChar w:fldCharType="begin"/>
          </w:r>
          <w:r>
            <w:instrText xml:space="preserve"> HYPERLINK \l "_Toc106962417" </w:instrText>
          </w:r>
          <w:r>
            <w:fldChar w:fldCharType="separate"/>
          </w:r>
          <w:r>
            <w:rPr>
              <w:rStyle w:val="11"/>
              <w:rFonts w:ascii="Times New Roman" w:hAnsi="Times New Roman" w:eastAsia="方正仿宋_GBK" w:cs="Times New Roman"/>
            </w:rPr>
            <w:t xml:space="preserve">1. </w:t>
          </w:r>
          <w:r>
            <w:rPr>
              <w:rStyle w:val="11"/>
              <w:rFonts w:hint="eastAsia" w:ascii="Times New Roman" w:hAnsi="Times New Roman" w:eastAsia="仿宋_GB2312" w:cs="Times New Roman"/>
            </w:rPr>
            <w:t>降低增值税税率</w:t>
          </w:r>
          <w:r>
            <w:tab/>
          </w:r>
          <w:r>
            <w:fldChar w:fldCharType="begin"/>
          </w:r>
          <w:r>
            <w:instrText xml:space="preserve"> PAGEREF _Toc106962417 \h </w:instrText>
          </w:r>
          <w:r>
            <w:fldChar w:fldCharType="separate"/>
          </w:r>
          <w:r>
            <w:t>17</w:t>
          </w:r>
          <w:r>
            <w:fldChar w:fldCharType="end"/>
          </w:r>
          <w:r>
            <w:fldChar w:fldCharType="end"/>
          </w:r>
        </w:p>
        <w:p w14:paraId="01EC2696">
          <w:pPr>
            <w:pStyle w:val="4"/>
            <w:tabs>
              <w:tab w:val="right" w:leader="dot" w:pos="8296"/>
            </w:tabs>
          </w:pPr>
          <w:r>
            <w:fldChar w:fldCharType="begin"/>
          </w:r>
          <w:r>
            <w:instrText xml:space="preserve"> HYPERLINK \l "_Toc106962418" </w:instrText>
          </w:r>
          <w:r>
            <w:fldChar w:fldCharType="separate"/>
          </w:r>
          <w:r>
            <w:rPr>
              <w:rStyle w:val="11"/>
              <w:rFonts w:ascii="Times New Roman" w:hAnsi="Times New Roman" w:eastAsia="仿宋_GB2312" w:cs="Times New Roman"/>
            </w:rPr>
            <w:t>2.</w:t>
          </w:r>
          <w:r>
            <w:rPr>
              <w:rStyle w:val="11"/>
              <w:rFonts w:hint="eastAsia" w:ascii="Times New Roman" w:hAnsi="Times New Roman" w:eastAsia="仿宋_GB2312" w:cs="Times New Roman"/>
            </w:rPr>
            <w:t>将不动产分两年抵扣改为一次性全额抵扣</w:t>
          </w:r>
          <w:r>
            <w:tab/>
          </w:r>
          <w:r>
            <w:fldChar w:fldCharType="begin"/>
          </w:r>
          <w:r>
            <w:instrText xml:space="preserve"> PAGEREF _Toc106962418 \h </w:instrText>
          </w:r>
          <w:r>
            <w:fldChar w:fldCharType="separate"/>
          </w:r>
          <w:r>
            <w:t>17</w:t>
          </w:r>
          <w:r>
            <w:fldChar w:fldCharType="end"/>
          </w:r>
          <w:r>
            <w:fldChar w:fldCharType="end"/>
          </w:r>
        </w:p>
        <w:p w14:paraId="76BBFD76">
          <w:pPr>
            <w:pStyle w:val="4"/>
            <w:tabs>
              <w:tab w:val="right" w:leader="dot" w:pos="8296"/>
            </w:tabs>
          </w:pPr>
          <w:r>
            <w:fldChar w:fldCharType="begin"/>
          </w:r>
          <w:r>
            <w:instrText xml:space="preserve"> HYPERLINK \l "_Toc106962419" </w:instrText>
          </w:r>
          <w:r>
            <w:fldChar w:fldCharType="separate"/>
          </w:r>
          <w:r>
            <w:rPr>
              <w:rStyle w:val="11"/>
              <w:rFonts w:ascii="Times New Roman" w:hAnsi="Times New Roman" w:eastAsia="仿宋_GB2312" w:cs="Times New Roman"/>
            </w:rPr>
            <w:t>3.</w:t>
          </w:r>
          <w:r>
            <w:rPr>
              <w:rStyle w:val="11"/>
              <w:rFonts w:hint="eastAsia" w:ascii="Times New Roman" w:hAnsi="Times New Roman" w:eastAsia="仿宋_GB2312" w:cs="Times New Roman"/>
            </w:rPr>
            <w:t>国内旅客运输服务纳入进项税额抵扣范围</w:t>
          </w:r>
          <w:r>
            <w:tab/>
          </w:r>
          <w:r>
            <w:fldChar w:fldCharType="begin"/>
          </w:r>
          <w:r>
            <w:instrText xml:space="preserve"> PAGEREF _Toc106962419 \h </w:instrText>
          </w:r>
          <w:r>
            <w:fldChar w:fldCharType="separate"/>
          </w:r>
          <w:r>
            <w:t>18</w:t>
          </w:r>
          <w:r>
            <w:fldChar w:fldCharType="end"/>
          </w:r>
          <w:r>
            <w:fldChar w:fldCharType="end"/>
          </w:r>
        </w:p>
        <w:p w14:paraId="6E6A06B5">
          <w:pPr>
            <w:pStyle w:val="4"/>
            <w:tabs>
              <w:tab w:val="right" w:leader="dot" w:pos="8296"/>
            </w:tabs>
          </w:pPr>
          <w:r>
            <w:fldChar w:fldCharType="begin"/>
          </w:r>
          <w:r>
            <w:instrText xml:space="preserve"> HYPERLINK \l "_Toc106962420" </w:instrText>
          </w:r>
          <w:r>
            <w:fldChar w:fldCharType="separate"/>
          </w:r>
          <w:r>
            <w:rPr>
              <w:rStyle w:val="11"/>
              <w:rFonts w:ascii="Times New Roman" w:hAnsi="Times New Roman" w:eastAsia="仿宋_GB2312" w:cs="Times New Roman"/>
            </w:rPr>
            <w:t>4.</w:t>
          </w:r>
          <w:r>
            <w:rPr>
              <w:rStyle w:val="11"/>
              <w:rFonts w:hint="eastAsia" w:ascii="Times New Roman" w:hAnsi="Times New Roman" w:eastAsia="仿宋_GB2312" w:cs="Times New Roman"/>
            </w:rPr>
            <w:t>增值税期末留抵税额退税</w:t>
          </w:r>
          <w:r>
            <w:tab/>
          </w:r>
          <w:r>
            <w:fldChar w:fldCharType="begin"/>
          </w:r>
          <w:r>
            <w:instrText xml:space="preserve"> PAGEREF _Toc106962420 \h </w:instrText>
          </w:r>
          <w:r>
            <w:fldChar w:fldCharType="separate"/>
          </w:r>
          <w:r>
            <w:t>18</w:t>
          </w:r>
          <w:r>
            <w:fldChar w:fldCharType="end"/>
          </w:r>
          <w:r>
            <w:fldChar w:fldCharType="end"/>
          </w:r>
        </w:p>
        <w:p w14:paraId="2B68FF81">
          <w:pPr>
            <w:pStyle w:val="4"/>
            <w:tabs>
              <w:tab w:val="right" w:leader="dot" w:pos="8296"/>
            </w:tabs>
          </w:pPr>
          <w:r>
            <w:fldChar w:fldCharType="begin"/>
          </w:r>
          <w:r>
            <w:instrText xml:space="preserve"> HYPERLINK \l "_Toc106962421" </w:instrText>
          </w:r>
          <w:r>
            <w:fldChar w:fldCharType="separate"/>
          </w:r>
          <w:r>
            <w:rPr>
              <w:rStyle w:val="11"/>
              <w:rFonts w:ascii="Times New Roman" w:hAnsi="Times New Roman" w:eastAsia="仿宋_GB2312" w:cs="Times New Roman"/>
            </w:rPr>
            <w:t>5.</w:t>
          </w:r>
          <w:r>
            <w:rPr>
              <w:rStyle w:val="11"/>
              <w:rFonts w:hint="eastAsia" w:ascii="Times New Roman" w:hAnsi="Times New Roman" w:eastAsia="仿宋_GB2312" w:cs="Times New Roman"/>
            </w:rPr>
            <w:t>个人所得税增加专项附加扣除</w:t>
          </w:r>
          <w:r>
            <w:tab/>
          </w:r>
          <w:r>
            <w:fldChar w:fldCharType="begin"/>
          </w:r>
          <w:r>
            <w:instrText xml:space="preserve"> PAGEREF _Toc106962421 \h </w:instrText>
          </w:r>
          <w:r>
            <w:fldChar w:fldCharType="separate"/>
          </w:r>
          <w:r>
            <w:t>19</w:t>
          </w:r>
          <w:r>
            <w:fldChar w:fldCharType="end"/>
          </w:r>
          <w:r>
            <w:fldChar w:fldCharType="end"/>
          </w:r>
        </w:p>
        <w:p w14:paraId="1297343E">
          <w:pPr>
            <w:pStyle w:val="4"/>
            <w:tabs>
              <w:tab w:val="right" w:leader="dot" w:pos="8296"/>
            </w:tabs>
          </w:pPr>
          <w:r>
            <w:fldChar w:fldCharType="begin"/>
          </w:r>
          <w:r>
            <w:instrText xml:space="preserve"> HYPERLINK \l "_Toc106962422" </w:instrText>
          </w:r>
          <w:r>
            <w:fldChar w:fldCharType="separate"/>
          </w:r>
          <w:r>
            <w:rPr>
              <w:rStyle w:val="11"/>
              <w:rFonts w:ascii="Times New Roman" w:hAnsi="Times New Roman" w:eastAsia="仿宋_GB2312" w:cs="Times New Roman"/>
            </w:rPr>
            <w:t>6.</w:t>
          </w:r>
          <w:r>
            <w:rPr>
              <w:rStyle w:val="11"/>
              <w:rFonts w:hint="eastAsia" w:ascii="Times New Roman" w:hAnsi="Times New Roman" w:eastAsia="仿宋_GB2312" w:cs="Times New Roman"/>
            </w:rPr>
            <w:t>延长高新技术企业和科技型中小企业亏损结转年限</w:t>
          </w:r>
          <w:r>
            <w:tab/>
          </w:r>
          <w:r>
            <w:fldChar w:fldCharType="begin"/>
          </w:r>
          <w:r>
            <w:instrText xml:space="preserve"> PAGEREF _Toc106962422 \h </w:instrText>
          </w:r>
          <w:r>
            <w:fldChar w:fldCharType="separate"/>
          </w:r>
          <w:r>
            <w:t>19</w:t>
          </w:r>
          <w:r>
            <w:fldChar w:fldCharType="end"/>
          </w:r>
          <w:r>
            <w:fldChar w:fldCharType="end"/>
          </w:r>
        </w:p>
        <w:p w14:paraId="094F7D8F">
          <w:pPr>
            <w:pStyle w:val="4"/>
            <w:tabs>
              <w:tab w:val="right" w:leader="dot" w:pos="8296"/>
            </w:tabs>
          </w:pPr>
          <w:r>
            <w:fldChar w:fldCharType="begin"/>
          </w:r>
          <w:r>
            <w:instrText xml:space="preserve"> HYPERLINK \l "_Toc106962423" </w:instrText>
          </w:r>
          <w:r>
            <w:fldChar w:fldCharType="separate"/>
          </w:r>
          <w:r>
            <w:rPr>
              <w:rStyle w:val="11"/>
              <w:rFonts w:ascii="Times New Roman" w:hAnsi="Times New Roman" w:eastAsia="仿宋_GB2312" w:cs="Times New Roman"/>
            </w:rPr>
            <w:t>7.</w:t>
          </w:r>
          <w:r>
            <w:rPr>
              <w:rStyle w:val="11"/>
              <w:rFonts w:hint="eastAsia" w:ascii="Times New Roman" w:hAnsi="Times New Roman" w:eastAsia="仿宋_GB2312" w:cs="Times New Roman"/>
            </w:rPr>
            <w:t>扩大固定资产加速折旧优惠的行业范围至全部制造业领域</w:t>
          </w:r>
          <w:r>
            <w:tab/>
          </w:r>
          <w:r>
            <w:fldChar w:fldCharType="begin"/>
          </w:r>
          <w:r>
            <w:instrText xml:space="preserve"> PAGEREF _Toc106962423 \h </w:instrText>
          </w:r>
          <w:r>
            <w:fldChar w:fldCharType="separate"/>
          </w:r>
          <w:r>
            <w:t>19</w:t>
          </w:r>
          <w:r>
            <w:fldChar w:fldCharType="end"/>
          </w:r>
          <w:r>
            <w:fldChar w:fldCharType="end"/>
          </w:r>
        </w:p>
        <w:p w14:paraId="375DA795">
          <w:pPr>
            <w:pStyle w:val="4"/>
            <w:tabs>
              <w:tab w:val="right" w:leader="dot" w:pos="8296"/>
            </w:tabs>
          </w:pPr>
          <w:r>
            <w:fldChar w:fldCharType="begin"/>
          </w:r>
          <w:r>
            <w:instrText xml:space="preserve"> HYPERLINK \l "_Toc106962424" </w:instrText>
          </w:r>
          <w:r>
            <w:fldChar w:fldCharType="separate"/>
          </w:r>
          <w:r>
            <w:rPr>
              <w:rStyle w:val="11"/>
              <w:rFonts w:ascii="Times New Roman" w:hAnsi="Times New Roman" w:eastAsia="仿宋_GB2312" w:cs="Times New Roman"/>
            </w:rPr>
            <w:t>8.</w:t>
          </w:r>
          <w:r>
            <w:rPr>
              <w:rStyle w:val="11"/>
              <w:rFonts w:hint="eastAsia" w:ascii="Times New Roman" w:hAnsi="Times New Roman" w:eastAsia="仿宋_GB2312" w:cs="Times New Roman"/>
            </w:rPr>
            <w:t>对单位或个体工商户捐赠扶贫货物暂免征增值税</w:t>
          </w:r>
          <w:r>
            <w:tab/>
          </w:r>
          <w:r>
            <w:fldChar w:fldCharType="begin"/>
          </w:r>
          <w:r>
            <w:instrText xml:space="preserve"> PAGEREF _Toc106962424 \h </w:instrText>
          </w:r>
          <w:r>
            <w:fldChar w:fldCharType="separate"/>
          </w:r>
          <w:r>
            <w:t>20</w:t>
          </w:r>
          <w:r>
            <w:fldChar w:fldCharType="end"/>
          </w:r>
          <w:r>
            <w:fldChar w:fldCharType="end"/>
          </w:r>
        </w:p>
        <w:p w14:paraId="127D9A98">
          <w:pPr>
            <w:pStyle w:val="4"/>
            <w:tabs>
              <w:tab w:val="right" w:leader="dot" w:pos="8296"/>
            </w:tabs>
          </w:pPr>
          <w:r>
            <w:fldChar w:fldCharType="begin"/>
          </w:r>
          <w:r>
            <w:instrText xml:space="preserve"> HYPERLINK \l "_Toc106962425" </w:instrText>
          </w:r>
          <w:r>
            <w:fldChar w:fldCharType="separate"/>
          </w:r>
          <w:r>
            <w:rPr>
              <w:rStyle w:val="11"/>
              <w:rFonts w:ascii="Times New Roman" w:hAnsi="Times New Roman" w:eastAsia="方正仿宋_GBK" w:cs="Times New Roman"/>
            </w:rPr>
            <w:t>9.</w:t>
          </w:r>
          <w:r>
            <w:rPr>
              <w:rStyle w:val="11"/>
              <w:rFonts w:hint="eastAsia" w:ascii="Times New Roman" w:hAnsi="Times New Roman" w:eastAsia="仿宋_GB2312" w:cs="Times New Roman"/>
            </w:rPr>
            <w:t>延续文化体制改革中经营性文化事业单位转制为企业的若干税收减免政策</w:t>
          </w:r>
          <w:r>
            <w:tab/>
          </w:r>
          <w:r>
            <w:fldChar w:fldCharType="begin"/>
          </w:r>
          <w:r>
            <w:instrText xml:space="preserve"> PAGEREF _Toc106962425 \h </w:instrText>
          </w:r>
          <w:r>
            <w:fldChar w:fldCharType="separate"/>
          </w:r>
          <w:r>
            <w:t>20</w:t>
          </w:r>
          <w:r>
            <w:fldChar w:fldCharType="end"/>
          </w:r>
          <w:r>
            <w:fldChar w:fldCharType="end"/>
          </w:r>
        </w:p>
        <w:p w14:paraId="1A63BD00">
          <w:pPr>
            <w:pStyle w:val="4"/>
            <w:tabs>
              <w:tab w:val="right" w:leader="dot" w:pos="8296"/>
            </w:tabs>
          </w:pPr>
          <w:r>
            <w:fldChar w:fldCharType="begin"/>
          </w:r>
          <w:r>
            <w:instrText xml:space="preserve"> HYPERLINK \l "_Toc106962426" </w:instrText>
          </w:r>
          <w:r>
            <w:fldChar w:fldCharType="separate"/>
          </w:r>
          <w:r>
            <w:rPr>
              <w:rStyle w:val="11"/>
              <w:rFonts w:ascii="Times New Roman" w:hAnsi="Times New Roman" w:eastAsia="仿宋_GB2312" w:cs="Times New Roman"/>
            </w:rPr>
            <w:t>10.</w:t>
          </w:r>
          <w:r>
            <w:rPr>
              <w:rStyle w:val="11"/>
              <w:rFonts w:hint="eastAsia" w:ascii="Times New Roman" w:hAnsi="Times New Roman" w:eastAsia="仿宋_GB2312" w:cs="Times New Roman"/>
            </w:rPr>
            <w:t>支持文化企业发展政策</w:t>
          </w:r>
          <w:r>
            <w:tab/>
          </w:r>
          <w:r>
            <w:fldChar w:fldCharType="begin"/>
          </w:r>
          <w:r>
            <w:instrText xml:space="preserve"> PAGEREF _Toc106962426 \h </w:instrText>
          </w:r>
          <w:r>
            <w:fldChar w:fldCharType="separate"/>
          </w:r>
          <w:r>
            <w:t>21</w:t>
          </w:r>
          <w:r>
            <w:fldChar w:fldCharType="end"/>
          </w:r>
          <w:r>
            <w:fldChar w:fldCharType="end"/>
          </w:r>
        </w:p>
        <w:p w14:paraId="61882E62">
          <w:pPr>
            <w:pStyle w:val="4"/>
            <w:tabs>
              <w:tab w:val="right" w:leader="dot" w:pos="8296"/>
            </w:tabs>
          </w:pPr>
          <w:r>
            <w:fldChar w:fldCharType="begin"/>
          </w:r>
          <w:r>
            <w:instrText xml:space="preserve"> HYPERLINK \l "_Toc106962427" </w:instrText>
          </w:r>
          <w:r>
            <w:fldChar w:fldCharType="separate"/>
          </w:r>
          <w:r>
            <w:rPr>
              <w:rStyle w:val="11"/>
              <w:rFonts w:ascii="Times New Roman" w:hAnsi="Times New Roman" w:eastAsia="仿宋_GB2312" w:cs="Times New Roman"/>
            </w:rPr>
            <w:t>11.</w:t>
          </w:r>
          <w:r>
            <w:rPr>
              <w:rStyle w:val="11"/>
              <w:rFonts w:hint="eastAsia" w:ascii="Times New Roman" w:hAnsi="Times New Roman" w:eastAsia="仿宋_GB2312" w:cs="Times New Roman"/>
            </w:rPr>
            <w:t>对个人或企业投资者三年内转让创新企业</w:t>
          </w:r>
          <w:r>
            <w:rPr>
              <w:rStyle w:val="11"/>
              <w:rFonts w:ascii="Times New Roman" w:hAnsi="Times New Roman" w:eastAsia="仿宋_GB2312" w:cs="Times New Roman"/>
            </w:rPr>
            <w:t>CDR</w:t>
          </w:r>
          <w:r>
            <w:rPr>
              <w:rStyle w:val="11"/>
              <w:rFonts w:hint="eastAsia" w:ascii="Times New Roman" w:hAnsi="Times New Roman" w:eastAsia="仿宋_GB2312" w:cs="Times New Roman"/>
            </w:rPr>
            <w:t>免征个人所得税、企业所得税</w:t>
          </w:r>
          <w:r>
            <w:tab/>
          </w:r>
          <w:r>
            <w:fldChar w:fldCharType="begin"/>
          </w:r>
          <w:r>
            <w:instrText xml:space="preserve"> PAGEREF _Toc106962427 \h </w:instrText>
          </w:r>
          <w:r>
            <w:fldChar w:fldCharType="separate"/>
          </w:r>
          <w:r>
            <w:t>21</w:t>
          </w:r>
          <w:r>
            <w:fldChar w:fldCharType="end"/>
          </w:r>
          <w:r>
            <w:fldChar w:fldCharType="end"/>
          </w:r>
        </w:p>
        <w:p w14:paraId="12311711">
          <w:pPr>
            <w:pStyle w:val="4"/>
            <w:tabs>
              <w:tab w:val="right" w:leader="dot" w:pos="8296"/>
            </w:tabs>
          </w:pPr>
          <w:r>
            <w:fldChar w:fldCharType="begin"/>
          </w:r>
          <w:r>
            <w:instrText xml:space="preserve"> HYPERLINK \l "_Toc106962428" </w:instrText>
          </w:r>
          <w:r>
            <w:fldChar w:fldCharType="separate"/>
          </w:r>
          <w:r>
            <w:rPr>
              <w:rStyle w:val="11"/>
              <w:rFonts w:ascii="Times New Roman" w:hAnsi="Times New Roman" w:eastAsia="仿宋_GB2312" w:cs="Times New Roman"/>
            </w:rPr>
            <w:t>12.</w:t>
          </w:r>
          <w:r>
            <w:rPr>
              <w:rStyle w:val="11"/>
              <w:rFonts w:hint="eastAsia" w:ascii="Times New Roman" w:hAnsi="Times New Roman" w:eastAsia="仿宋_GB2312" w:cs="Times New Roman"/>
            </w:rPr>
            <w:t>企业发行的永续债，可以适用股息、红利政策免征企业所得税</w:t>
          </w:r>
          <w:r>
            <w:tab/>
          </w:r>
          <w:r>
            <w:fldChar w:fldCharType="begin"/>
          </w:r>
          <w:r>
            <w:instrText xml:space="preserve"> PAGEREF _Toc106962428 \h </w:instrText>
          </w:r>
          <w:r>
            <w:fldChar w:fldCharType="separate"/>
          </w:r>
          <w:r>
            <w:t>22</w:t>
          </w:r>
          <w:r>
            <w:fldChar w:fldCharType="end"/>
          </w:r>
          <w:r>
            <w:fldChar w:fldCharType="end"/>
          </w:r>
        </w:p>
        <w:p w14:paraId="517A116E">
          <w:pPr>
            <w:pStyle w:val="4"/>
            <w:tabs>
              <w:tab w:val="right" w:leader="dot" w:pos="8296"/>
            </w:tabs>
          </w:pPr>
          <w:r>
            <w:fldChar w:fldCharType="begin"/>
          </w:r>
          <w:r>
            <w:instrText xml:space="preserve"> HYPERLINK \l "_Toc106962429" </w:instrText>
          </w:r>
          <w:r>
            <w:fldChar w:fldCharType="separate"/>
          </w:r>
          <w:r>
            <w:rPr>
              <w:rStyle w:val="11"/>
              <w:rFonts w:ascii="Times New Roman" w:hAnsi="Times New Roman" w:eastAsia="仿宋_GB2312" w:cs="Times New Roman"/>
            </w:rPr>
            <w:t>13.</w:t>
          </w:r>
          <w:r>
            <w:rPr>
              <w:rStyle w:val="11"/>
              <w:rFonts w:hint="eastAsia" w:ascii="Times New Roman" w:hAnsi="Times New Roman" w:eastAsia="仿宋_GB2312" w:cs="Times New Roman"/>
            </w:rPr>
            <w:t>对养老、托育、家政等社区家庭服务业免征、减征增值税、所得税、契税等</w:t>
          </w:r>
          <w:r>
            <w:tab/>
          </w:r>
          <w:r>
            <w:fldChar w:fldCharType="begin"/>
          </w:r>
          <w:r>
            <w:instrText xml:space="preserve"> PAGEREF _Toc106962429 \h </w:instrText>
          </w:r>
          <w:r>
            <w:fldChar w:fldCharType="separate"/>
          </w:r>
          <w:r>
            <w:t>22</w:t>
          </w:r>
          <w:r>
            <w:fldChar w:fldCharType="end"/>
          </w:r>
          <w:r>
            <w:fldChar w:fldCharType="end"/>
          </w:r>
        </w:p>
        <w:p w14:paraId="53A6FF63">
          <w:pPr>
            <w:pStyle w:val="4"/>
            <w:tabs>
              <w:tab w:val="right" w:leader="dot" w:pos="8296"/>
            </w:tabs>
          </w:pPr>
          <w:r>
            <w:fldChar w:fldCharType="begin"/>
          </w:r>
          <w:r>
            <w:instrText xml:space="preserve"> HYPERLINK \l "_Toc106962430" </w:instrText>
          </w:r>
          <w:r>
            <w:fldChar w:fldCharType="separate"/>
          </w:r>
          <w:r>
            <w:rPr>
              <w:rStyle w:val="11"/>
              <w:rFonts w:ascii="Times New Roman" w:hAnsi="Times New Roman" w:eastAsia="仿宋_GB2312" w:cs="Times New Roman"/>
            </w:rPr>
            <w:t>14.</w:t>
          </w:r>
          <w:r>
            <w:rPr>
              <w:rStyle w:val="11"/>
              <w:rFonts w:hint="eastAsia" w:ascii="Times New Roman" w:hAnsi="Times New Roman" w:eastAsia="仿宋_GB2312" w:cs="Times New Roman"/>
            </w:rPr>
            <w:t>重点群体等创业就业税收优惠</w:t>
          </w:r>
          <w:r>
            <w:tab/>
          </w:r>
          <w:r>
            <w:fldChar w:fldCharType="begin"/>
          </w:r>
          <w:r>
            <w:instrText xml:space="preserve"> PAGEREF _Toc106962430 \h </w:instrText>
          </w:r>
          <w:r>
            <w:fldChar w:fldCharType="separate"/>
          </w:r>
          <w:r>
            <w:t>23</w:t>
          </w:r>
          <w:r>
            <w:fldChar w:fldCharType="end"/>
          </w:r>
          <w:r>
            <w:fldChar w:fldCharType="end"/>
          </w:r>
        </w:p>
        <w:p w14:paraId="6B0193EA">
          <w:pPr>
            <w:pStyle w:val="4"/>
            <w:tabs>
              <w:tab w:val="right" w:leader="dot" w:pos="8296"/>
            </w:tabs>
          </w:pPr>
          <w:r>
            <w:fldChar w:fldCharType="begin"/>
          </w:r>
          <w:r>
            <w:instrText xml:space="preserve"> HYPERLINK \l "_Toc106962431" </w:instrText>
          </w:r>
          <w:r>
            <w:fldChar w:fldCharType="separate"/>
          </w:r>
          <w:r>
            <w:rPr>
              <w:rStyle w:val="11"/>
              <w:rFonts w:ascii="Times New Roman" w:hAnsi="Times New Roman" w:eastAsia="方正仿宋_GBK" w:cs="Times New Roman"/>
            </w:rPr>
            <w:t>15.</w:t>
          </w:r>
          <w:r>
            <w:rPr>
              <w:rStyle w:val="11"/>
              <w:rFonts w:hint="eastAsia" w:ascii="Times New Roman" w:hAnsi="Times New Roman" w:eastAsia="方正仿宋_GBK" w:cs="Times New Roman"/>
            </w:rPr>
            <w:t>提高部分产品出口退税率</w:t>
          </w:r>
          <w:r>
            <w:tab/>
          </w:r>
          <w:r>
            <w:fldChar w:fldCharType="begin"/>
          </w:r>
          <w:r>
            <w:instrText xml:space="preserve"> PAGEREF _Toc106962431 \h </w:instrText>
          </w:r>
          <w:r>
            <w:fldChar w:fldCharType="separate"/>
          </w:r>
          <w:r>
            <w:t>23</w:t>
          </w:r>
          <w:r>
            <w:fldChar w:fldCharType="end"/>
          </w:r>
          <w:r>
            <w:fldChar w:fldCharType="end"/>
          </w:r>
        </w:p>
        <w:p w14:paraId="7316C152">
          <w:pPr>
            <w:pStyle w:val="4"/>
            <w:tabs>
              <w:tab w:val="right" w:leader="dot" w:pos="8296"/>
            </w:tabs>
          </w:pPr>
          <w:r>
            <w:fldChar w:fldCharType="begin"/>
          </w:r>
          <w:r>
            <w:instrText xml:space="preserve"> HYPERLINK \l "_Toc106962432" </w:instrText>
          </w:r>
          <w:r>
            <w:fldChar w:fldCharType="separate"/>
          </w:r>
          <w:r>
            <w:rPr>
              <w:rStyle w:val="11"/>
              <w:rFonts w:ascii="Times New Roman" w:hAnsi="Times New Roman" w:eastAsia="方正仿宋_GBK" w:cs="Times New Roman"/>
            </w:rPr>
            <w:t>16.</w:t>
          </w:r>
          <w:r>
            <w:rPr>
              <w:rStyle w:val="11"/>
              <w:rFonts w:hint="eastAsia" w:ascii="Times New Roman" w:hAnsi="Times New Roman" w:eastAsia="仿宋_GB2312" w:cs="Times New Roman"/>
            </w:rPr>
            <w:t>物流企业大宗商品仓储设施用地减半征收城镇土地使用税</w:t>
          </w:r>
          <w:r>
            <w:tab/>
          </w:r>
          <w:r>
            <w:fldChar w:fldCharType="begin"/>
          </w:r>
          <w:r>
            <w:instrText xml:space="preserve"> PAGEREF _Toc106962432 \h </w:instrText>
          </w:r>
          <w:r>
            <w:fldChar w:fldCharType="separate"/>
          </w:r>
          <w:r>
            <w:t>24</w:t>
          </w:r>
          <w:r>
            <w:fldChar w:fldCharType="end"/>
          </w:r>
          <w:r>
            <w:fldChar w:fldCharType="end"/>
          </w:r>
        </w:p>
        <w:p w14:paraId="6D9B1D18">
          <w:pPr>
            <w:pStyle w:val="4"/>
            <w:tabs>
              <w:tab w:val="right" w:leader="dot" w:pos="8296"/>
            </w:tabs>
          </w:pPr>
          <w:r>
            <w:fldChar w:fldCharType="begin"/>
          </w:r>
          <w:r>
            <w:instrText xml:space="preserve"> HYPERLINK \l "_Toc106962433" </w:instrText>
          </w:r>
          <w:r>
            <w:fldChar w:fldCharType="separate"/>
          </w:r>
          <w:r>
            <w:rPr>
              <w:rStyle w:val="11"/>
              <w:rFonts w:ascii="Times New Roman" w:hAnsi="Times New Roman" w:eastAsia="方正仿宋_GBK" w:cs="Times New Roman"/>
            </w:rPr>
            <w:t>17.</w:t>
          </w:r>
          <w:r>
            <w:rPr>
              <w:rStyle w:val="11"/>
              <w:rFonts w:hint="eastAsia" w:ascii="Times New Roman" w:hAnsi="Times New Roman" w:eastAsia="方正仿宋_GBK" w:cs="Times New Roman"/>
            </w:rPr>
            <w:t>二手车经销企业销售旧车减征增值税</w:t>
          </w:r>
          <w:r>
            <w:tab/>
          </w:r>
          <w:r>
            <w:fldChar w:fldCharType="begin"/>
          </w:r>
          <w:r>
            <w:instrText xml:space="preserve"> PAGEREF _Toc106962433 \h </w:instrText>
          </w:r>
          <w:r>
            <w:fldChar w:fldCharType="separate"/>
          </w:r>
          <w:r>
            <w:t>24</w:t>
          </w:r>
          <w:r>
            <w:fldChar w:fldCharType="end"/>
          </w:r>
          <w:r>
            <w:fldChar w:fldCharType="end"/>
          </w:r>
        </w:p>
        <w:p w14:paraId="2F6B761E">
          <w:pPr>
            <w:pStyle w:val="4"/>
            <w:tabs>
              <w:tab w:val="right" w:leader="dot" w:pos="8296"/>
            </w:tabs>
          </w:pPr>
          <w:r>
            <w:fldChar w:fldCharType="begin"/>
          </w:r>
          <w:r>
            <w:instrText xml:space="preserve"> HYPERLINK \l "_Toc106962434" </w:instrText>
          </w:r>
          <w:r>
            <w:fldChar w:fldCharType="separate"/>
          </w:r>
          <w:r>
            <w:rPr>
              <w:rStyle w:val="11"/>
              <w:rFonts w:ascii="Times New Roman" w:hAnsi="Times New Roman" w:eastAsia="仿宋_GB2312" w:cs="Times New Roman"/>
            </w:rPr>
            <w:t>18.</w:t>
          </w:r>
          <w:r>
            <w:rPr>
              <w:rStyle w:val="11"/>
              <w:rFonts w:hint="eastAsia" w:ascii="Times New Roman" w:hAnsi="Times New Roman" w:eastAsia="仿宋_GB2312" w:cs="Times New Roman"/>
            </w:rPr>
            <w:t>延续实施新能源汽车免征车辆购置税政策</w:t>
          </w:r>
          <w:r>
            <w:tab/>
          </w:r>
          <w:r>
            <w:fldChar w:fldCharType="begin"/>
          </w:r>
          <w:r>
            <w:instrText xml:space="preserve"> PAGEREF _Toc106962434 \h </w:instrText>
          </w:r>
          <w:r>
            <w:fldChar w:fldCharType="separate"/>
          </w:r>
          <w:r>
            <w:t>25</w:t>
          </w:r>
          <w:r>
            <w:fldChar w:fldCharType="end"/>
          </w:r>
          <w:r>
            <w:fldChar w:fldCharType="end"/>
          </w:r>
        </w:p>
        <w:p w14:paraId="00BEF8A2">
          <w:pPr>
            <w:pStyle w:val="4"/>
            <w:tabs>
              <w:tab w:val="right" w:leader="dot" w:pos="8296"/>
            </w:tabs>
          </w:pPr>
          <w:r>
            <w:fldChar w:fldCharType="begin"/>
          </w:r>
          <w:r>
            <w:instrText xml:space="preserve"> HYPERLINK \l "_Toc106962435" </w:instrText>
          </w:r>
          <w:r>
            <w:fldChar w:fldCharType="separate"/>
          </w:r>
          <w:r>
            <w:rPr>
              <w:rStyle w:val="11"/>
              <w:rFonts w:ascii="Times New Roman" w:hAnsi="Times New Roman" w:eastAsia="仿宋_GB2312" w:cs="Times New Roman"/>
            </w:rPr>
            <w:t>19</w:t>
          </w:r>
          <w:r>
            <w:rPr>
              <w:rStyle w:val="11"/>
              <w:rFonts w:hint="eastAsia" w:ascii="Times New Roman" w:hAnsi="Times New Roman" w:eastAsia="仿宋_GB2312" w:cs="Times New Roman"/>
            </w:rPr>
            <w:t>延续实施支持小微企业、个体工商户和农户普惠金融有关税收优惠政策</w:t>
          </w:r>
          <w:r>
            <w:tab/>
          </w:r>
          <w:r>
            <w:fldChar w:fldCharType="begin"/>
          </w:r>
          <w:r>
            <w:instrText xml:space="preserve"> PAGEREF _Toc106962435 \h </w:instrText>
          </w:r>
          <w:r>
            <w:fldChar w:fldCharType="separate"/>
          </w:r>
          <w:r>
            <w:t>25</w:t>
          </w:r>
          <w:r>
            <w:fldChar w:fldCharType="end"/>
          </w:r>
          <w:r>
            <w:fldChar w:fldCharType="end"/>
          </w:r>
        </w:p>
        <w:p w14:paraId="404A5268">
          <w:pPr>
            <w:pStyle w:val="4"/>
            <w:tabs>
              <w:tab w:val="right" w:leader="dot" w:pos="8296"/>
            </w:tabs>
          </w:pPr>
          <w:r>
            <w:fldChar w:fldCharType="begin"/>
          </w:r>
          <w:r>
            <w:instrText xml:space="preserve"> HYPERLINK \l "_Toc106962436" </w:instrText>
          </w:r>
          <w:r>
            <w:fldChar w:fldCharType="separate"/>
          </w:r>
          <w:r>
            <w:rPr>
              <w:rStyle w:val="11"/>
              <w:rFonts w:ascii="Times New Roman" w:hAnsi="Times New Roman" w:eastAsia="仿宋_GB2312" w:cs="Times New Roman"/>
            </w:rPr>
            <w:t>20.</w:t>
          </w:r>
          <w:r>
            <w:rPr>
              <w:rStyle w:val="11"/>
              <w:rFonts w:hint="eastAsia" w:ascii="Times New Roman" w:hAnsi="Times New Roman" w:eastAsia="仿宋_GB2312" w:cs="Times New Roman"/>
            </w:rPr>
            <w:t>公益性捐赠税前结转扣除政策</w:t>
          </w:r>
          <w:r>
            <w:tab/>
          </w:r>
          <w:r>
            <w:fldChar w:fldCharType="begin"/>
          </w:r>
          <w:r>
            <w:instrText xml:space="preserve"> PAGEREF _Toc106962436 \h </w:instrText>
          </w:r>
          <w:r>
            <w:fldChar w:fldCharType="separate"/>
          </w:r>
          <w:r>
            <w:t>27</w:t>
          </w:r>
          <w:r>
            <w:fldChar w:fldCharType="end"/>
          </w:r>
          <w:r>
            <w:fldChar w:fldCharType="end"/>
          </w:r>
        </w:p>
        <w:p w14:paraId="2B1DBAD3">
          <w:pPr>
            <w:pStyle w:val="4"/>
            <w:tabs>
              <w:tab w:val="right" w:leader="dot" w:pos="8296"/>
            </w:tabs>
          </w:pPr>
          <w:r>
            <w:fldChar w:fldCharType="begin"/>
          </w:r>
          <w:r>
            <w:instrText xml:space="preserve"> HYPERLINK \l "_Toc106962437" </w:instrText>
          </w:r>
          <w:r>
            <w:fldChar w:fldCharType="separate"/>
          </w:r>
          <w:r>
            <w:rPr>
              <w:rStyle w:val="11"/>
              <w:rFonts w:ascii="Times New Roman" w:hAnsi="Times New Roman" w:eastAsia="仿宋_GB2312" w:cs="Times New Roman"/>
            </w:rPr>
            <w:t>21.</w:t>
          </w:r>
          <w:r>
            <w:rPr>
              <w:rStyle w:val="11"/>
              <w:rFonts w:hint="eastAsia" w:ascii="Times New Roman" w:hAnsi="Times New Roman" w:eastAsia="仿宋_GB2312" w:cs="Times New Roman"/>
            </w:rPr>
            <w:t>广告费和业务宣传费支出税前扣除政策</w:t>
          </w:r>
          <w:r>
            <w:tab/>
          </w:r>
          <w:r>
            <w:fldChar w:fldCharType="begin"/>
          </w:r>
          <w:r>
            <w:instrText xml:space="preserve"> PAGEREF _Toc106962437 \h </w:instrText>
          </w:r>
          <w:r>
            <w:fldChar w:fldCharType="separate"/>
          </w:r>
          <w:r>
            <w:t>27</w:t>
          </w:r>
          <w:r>
            <w:fldChar w:fldCharType="end"/>
          </w:r>
          <w:r>
            <w:fldChar w:fldCharType="end"/>
          </w:r>
        </w:p>
        <w:p w14:paraId="2C1C69D9">
          <w:pPr>
            <w:pStyle w:val="4"/>
            <w:tabs>
              <w:tab w:val="right" w:leader="dot" w:pos="8296"/>
            </w:tabs>
          </w:pPr>
          <w:r>
            <w:fldChar w:fldCharType="begin"/>
          </w:r>
          <w:r>
            <w:instrText xml:space="preserve"> HYPERLINK \l "_Toc106962438" </w:instrText>
          </w:r>
          <w:r>
            <w:fldChar w:fldCharType="separate"/>
          </w:r>
          <w:r>
            <w:rPr>
              <w:rStyle w:val="11"/>
              <w:rFonts w:ascii="Times New Roman" w:hAnsi="Times New Roman" w:eastAsia="方正仿宋_GBK" w:cs="Times New Roman"/>
            </w:rPr>
            <w:t>22.</w:t>
          </w:r>
          <w:r>
            <w:rPr>
              <w:rStyle w:val="11"/>
              <w:rFonts w:hint="eastAsia" w:ascii="Times New Roman" w:hAnsi="Times New Roman" w:eastAsia="仿宋_GB2312" w:cs="Times New Roman"/>
            </w:rPr>
            <w:t>提高增值税小规模纳税人起征点</w:t>
          </w:r>
          <w:r>
            <w:tab/>
          </w:r>
          <w:r>
            <w:fldChar w:fldCharType="begin"/>
          </w:r>
          <w:r>
            <w:instrText xml:space="preserve"> PAGEREF _Toc106962438 \h </w:instrText>
          </w:r>
          <w:r>
            <w:fldChar w:fldCharType="separate"/>
          </w:r>
          <w:r>
            <w:t>27</w:t>
          </w:r>
          <w:r>
            <w:fldChar w:fldCharType="end"/>
          </w:r>
          <w:r>
            <w:fldChar w:fldCharType="end"/>
          </w:r>
        </w:p>
        <w:p w14:paraId="6A196B9F">
          <w:pPr>
            <w:pStyle w:val="4"/>
            <w:tabs>
              <w:tab w:val="right" w:leader="dot" w:pos="8296"/>
            </w:tabs>
          </w:pPr>
          <w:r>
            <w:fldChar w:fldCharType="begin"/>
          </w:r>
          <w:r>
            <w:instrText xml:space="preserve"> HYPERLINK \l "_Toc106962439" </w:instrText>
          </w:r>
          <w:r>
            <w:fldChar w:fldCharType="separate"/>
          </w:r>
          <w:r>
            <w:rPr>
              <w:rStyle w:val="11"/>
              <w:rFonts w:ascii="Times New Roman" w:hAnsi="Times New Roman" w:eastAsia="方正仿宋_GBK" w:cs="Times New Roman"/>
            </w:rPr>
            <w:t>23</w:t>
          </w:r>
          <w:r>
            <w:rPr>
              <w:rStyle w:val="11"/>
              <w:rFonts w:hint="eastAsia" w:ascii="Times New Roman" w:hAnsi="Times New Roman" w:eastAsia="仿宋_GB2312" w:cs="Times New Roman"/>
            </w:rPr>
            <w:t>微企业和个体工商户所得税优惠政策</w:t>
          </w:r>
          <w:r>
            <w:tab/>
          </w:r>
          <w:r>
            <w:fldChar w:fldCharType="begin"/>
          </w:r>
          <w:r>
            <w:instrText xml:space="preserve"> PAGEREF _Toc106962439 \h </w:instrText>
          </w:r>
          <w:r>
            <w:fldChar w:fldCharType="separate"/>
          </w:r>
          <w:r>
            <w:t>28</w:t>
          </w:r>
          <w:r>
            <w:fldChar w:fldCharType="end"/>
          </w:r>
          <w:r>
            <w:fldChar w:fldCharType="end"/>
          </w:r>
        </w:p>
        <w:p w14:paraId="00E020A5">
          <w:pPr>
            <w:pStyle w:val="4"/>
            <w:tabs>
              <w:tab w:val="right" w:leader="dot" w:pos="8296"/>
            </w:tabs>
          </w:pPr>
          <w:r>
            <w:fldChar w:fldCharType="begin"/>
          </w:r>
          <w:r>
            <w:instrText xml:space="preserve"> HYPERLINK \l "_Toc106962440" </w:instrText>
          </w:r>
          <w:r>
            <w:fldChar w:fldCharType="separate"/>
          </w:r>
          <w:r>
            <w:rPr>
              <w:rStyle w:val="11"/>
              <w:rFonts w:ascii="Times New Roman" w:hAnsi="Times New Roman" w:eastAsia="方正仿宋_GBK" w:cs="Times New Roman"/>
            </w:rPr>
            <w:t>24</w:t>
          </w:r>
          <w:r>
            <w:rPr>
              <w:rStyle w:val="11"/>
              <w:rFonts w:hint="eastAsia" w:ascii="Times New Roman" w:hAnsi="Times New Roman" w:eastAsia="仿宋_GB2312" w:cs="Times New Roman"/>
            </w:rPr>
            <w:t>造业企业研发费加计扣除比例提高至</w:t>
          </w:r>
          <w:r>
            <w:rPr>
              <w:rStyle w:val="11"/>
              <w:rFonts w:ascii="Times New Roman" w:hAnsi="Times New Roman" w:eastAsia="仿宋_GB2312" w:cs="Times New Roman"/>
            </w:rPr>
            <w:t>100%</w:t>
          </w:r>
          <w:r>
            <w:tab/>
          </w:r>
          <w:r>
            <w:fldChar w:fldCharType="begin"/>
          </w:r>
          <w:r>
            <w:instrText xml:space="preserve"> PAGEREF _Toc106962440 \h </w:instrText>
          </w:r>
          <w:r>
            <w:fldChar w:fldCharType="separate"/>
          </w:r>
          <w:r>
            <w:t>28</w:t>
          </w:r>
          <w:r>
            <w:fldChar w:fldCharType="end"/>
          </w:r>
          <w:r>
            <w:fldChar w:fldCharType="end"/>
          </w:r>
        </w:p>
        <w:p w14:paraId="5D2E5F52">
          <w:pPr>
            <w:pStyle w:val="4"/>
            <w:tabs>
              <w:tab w:val="right" w:leader="dot" w:pos="8296"/>
            </w:tabs>
          </w:pPr>
          <w:r>
            <w:fldChar w:fldCharType="begin"/>
          </w:r>
          <w:r>
            <w:instrText xml:space="preserve"> HYPERLINK \l "_Toc106962441" </w:instrText>
          </w:r>
          <w:r>
            <w:fldChar w:fldCharType="separate"/>
          </w:r>
          <w:r>
            <w:rPr>
              <w:rStyle w:val="11"/>
              <w:rFonts w:ascii="Times New Roman" w:hAnsi="Times New Roman" w:eastAsia="仿宋_GB2312" w:cs="Times New Roman"/>
            </w:rPr>
            <w:t>25</w:t>
          </w:r>
          <w:r>
            <w:rPr>
              <w:rStyle w:val="11"/>
              <w:rFonts w:hint="eastAsia" w:ascii="Times New Roman" w:hAnsi="Times New Roman" w:eastAsia="仿宋_GB2312" w:cs="Times New Roman"/>
            </w:rPr>
            <w:t>低职工养老保险单位缴费比例</w:t>
          </w:r>
          <w:r>
            <w:tab/>
          </w:r>
          <w:r>
            <w:fldChar w:fldCharType="begin"/>
          </w:r>
          <w:r>
            <w:instrText xml:space="preserve"> PAGEREF _Toc106962441 \h </w:instrText>
          </w:r>
          <w:r>
            <w:fldChar w:fldCharType="separate"/>
          </w:r>
          <w:r>
            <w:t>29</w:t>
          </w:r>
          <w:r>
            <w:fldChar w:fldCharType="end"/>
          </w:r>
          <w:r>
            <w:fldChar w:fldCharType="end"/>
          </w:r>
        </w:p>
        <w:p w14:paraId="698CED3D">
          <w:pPr>
            <w:pStyle w:val="4"/>
            <w:tabs>
              <w:tab w:val="right" w:leader="dot" w:pos="8296"/>
            </w:tabs>
          </w:pPr>
          <w:r>
            <w:fldChar w:fldCharType="begin"/>
          </w:r>
          <w:r>
            <w:instrText xml:space="preserve"> HYPERLINK \l "_Toc106962442" </w:instrText>
          </w:r>
          <w:r>
            <w:fldChar w:fldCharType="separate"/>
          </w:r>
          <w:r>
            <w:rPr>
              <w:rStyle w:val="11"/>
              <w:rFonts w:ascii="Times New Roman" w:hAnsi="Times New Roman" w:cs="Times New Roman"/>
            </w:rPr>
            <w:t>26</w:t>
          </w:r>
          <w:r>
            <w:rPr>
              <w:rStyle w:val="11"/>
              <w:rFonts w:hint="eastAsia" w:ascii="Times New Roman" w:hAnsi="Times New Roman" w:eastAsia="仿宋_GB2312" w:cs="Times New Roman"/>
            </w:rPr>
            <w:t>疾人就业保障金实行阶段性减免政策</w:t>
          </w:r>
          <w:r>
            <w:tab/>
          </w:r>
          <w:r>
            <w:fldChar w:fldCharType="begin"/>
          </w:r>
          <w:r>
            <w:instrText xml:space="preserve"> PAGEREF _Toc106962442 \h </w:instrText>
          </w:r>
          <w:r>
            <w:fldChar w:fldCharType="separate"/>
          </w:r>
          <w:r>
            <w:t>29</w:t>
          </w:r>
          <w:r>
            <w:fldChar w:fldCharType="end"/>
          </w:r>
          <w:r>
            <w:fldChar w:fldCharType="end"/>
          </w:r>
        </w:p>
        <w:p w14:paraId="4E764BB0">
          <w:pPr>
            <w:pStyle w:val="4"/>
            <w:tabs>
              <w:tab w:val="right" w:leader="dot" w:pos="8296"/>
            </w:tabs>
          </w:pPr>
          <w:r>
            <w:fldChar w:fldCharType="begin"/>
          </w:r>
          <w:r>
            <w:instrText xml:space="preserve"> HYPERLINK \l "_Toc106962443" </w:instrText>
          </w:r>
          <w:r>
            <w:fldChar w:fldCharType="separate"/>
          </w:r>
          <w:r>
            <w:rPr>
              <w:rStyle w:val="11"/>
              <w:rFonts w:ascii="Times New Roman" w:hAnsi="Times New Roman" w:eastAsia="仿宋_GB2312" w:cs="Times New Roman"/>
            </w:rPr>
            <w:t>27</w:t>
          </w:r>
          <w:r>
            <w:rPr>
              <w:rStyle w:val="11"/>
              <w:rFonts w:hint="eastAsia" w:ascii="Times New Roman" w:hAnsi="Times New Roman" w:eastAsia="仿宋_GB2312" w:cs="Times New Roman"/>
            </w:rPr>
            <w:t>免不动产登记费，调整专利收费</w:t>
          </w:r>
          <w:r>
            <w:tab/>
          </w:r>
          <w:r>
            <w:fldChar w:fldCharType="begin"/>
          </w:r>
          <w:r>
            <w:instrText xml:space="preserve"> PAGEREF _Toc106962443 \h </w:instrText>
          </w:r>
          <w:r>
            <w:fldChar w:fldCharType="separate"/>
          </w:r>
          <w:r>
            <w:t>29</w:t>
          </w:r>
          <w:r>
            <w:fldChar w:fldCharType="end"/>
          </w:r>
          <w:r>
            <w:fldChar w:fldCharType="end"/>
          </w:r>
        </w:p>
        <w:p w14:paraId="6AD3B01D">
          <w:pPr>
            <w:pStyle w:val="4"/>
            <w:tabs>
              <w:tab w:val="right" w:leader="dot" w:pos="8296"/>
            </w:tabs>
          </w:pPr>
          <w:r>
            <w:fldChar w:fldCharType="begin"/>
          </w:r>
          <w:r>
            <w:instrText xml:space="preserve"> HYPERLINK \l "_Toc106962444" </w:instrText>
          </w:r>
          <w:r>
            <w:fldChar w:fldCharType="separate"/>
          </w:r>
          <w:r>
            <w:rPr>
              <w:rStyle w:val="11"/>
              <w:rFonts w:ascii="Times New Roman" w:hAnsi="Times New Roman" w:eastAsia="仿宋_GB2312" w:cs="Times New Roman"/>
            </w:rPr>
            <w:t>28</w:t>
          </w:r>
          <w:r>
            <w:rPr>
              <w:rStyle w:val="11"/>
              <w:rFonts w:hint="eastAsia" w:ascii="Times New Roman" w:hAnsi="Times New Roman" w:eastAsia="仿宋_GB2312" w:cs="Times New Roman"/>
            </w:rPr>
            <w:t>整部分政府性基金</w:t>
          </w:r>
          <w:r>
            <w:tab/>
          </w:r>
          <w:r>
            <w:fldChar w:fldCharType="begin"/>
          </w:r>
          <w:r>
            <w:instrText xml:space="preserve"> PAGEREF _Toc106962444 \h </w:instrText>
          </w:r>
          <w:r>
            <w:fldChar w:fldCharType="separate"/>
          </w:r>
          <w:r>
            <w:t>30</w:t>
          </w:r>
          <w:r>
            <w:fldChar w:fldCharType="end"/>
          </w:r>
          <w:r>
            <w:fldChar w:fldCharType="end"/>
          </w:r>
        </w:p>
        <w:p w14:paraId="1F244BC7">
          <w:pPr>
            <w:pStyle w:val="4"/>
            <w:tabs>
              <w:tab w:val="right" w:leader="dot" w:pos="8296"/>
            </w:tabs>
          </w:pPr>
          <w:r>
            <w:fldChar w:fldCharType="begin"/>
          </w:r>
          <w:r>
            <w:instrText xml:space="preserve"> HYPERLINK \l "_Toc106962445" </w:instrText>
          </w:r>
          <w:r>
            <w:fldChar w:fldCharType="separate"/>
          </w:r>
          <w:r>
            <w:rPr>
              <w:rStyle w:val="11"/>
              <w:rFonts w:ascii="Times New Roman" w:hAnsi="Times New Roman" w:eastAsia="仿宋_GB2312" w:cs="Times New Roman"/>
            </w:rPr>
            <w:t>29</w:t>
          </w:r>
          <w:r>
            <w:rPr>
              <w:rStyle w:val="11"/>
              <w:rFonts w:hint="eastAsia" w:ascii="Times New Roman" w:hAnsi="Times New Roman" w:eastAsia="仿宋_GB2312" w:cs="Times New Roman"/>
            </w:rPr>
            <w:t>低无线电频率占用费、出入境证照类收费、商标注册收费等部分行政事业性收费标准</w:t>
          </w:r>
          <w:r>
            <w:tab/>
          </w:r>
          <w:r>
            <w:fldChar w:fldCharType="begin"/>
          </w:r>
          <w:r>
            <w:instrText xml:space="preserve"> PAGEREF _Toc106962445 \h </w:instrText>
          </w:r>
          <w:r>
            <w:fldChar w:fldCharType="separate"/>
          </w:r>
          <w:r>
            <w:t>30</w:t>
          </w:r>
          <w:r>
            <w:fldChar w:fldCharType="end"/>
          </w:r>
          <w:r>
            <w:fldChar w:fldCharType="end"/>
          </w:r>
        </w:p>
        <w:p w14:paraId="1B64F299">
          <w:pPr>
            <w:pStyle w:val="4"/>
            <w:tabs>
              <w:tab w:val="right" w:leader="dot" w:pos="8296"/>
            </w:tabs>
          </w:pPr>
          <w:r>
            <w:fldChar w:fldCharType="begin"/>
          </w:r>
          <w:r>
            <w:instrText xml:space="preserve"> HYPERLINK \l "_Toc106962446" </w:instrText>
          </w:r>
          <w:r>
            <w:fldChar w:fldCharType="separate"/>
          </w:r>
          <w:r>
            <w:rPr>
              <w:rStyle w:val="11"/>
              <w:rFonts w:ascii="Times New Roman" w:hAnsi="Times New Roman" w:eastAsia="仿宋_GB2312" w:cs="Times New Roman"/>
            </w:rPr>
            <w:t>30.</w:t>
          </w:r>
          <w:r>
            <w:rPr>
              <w:rStyle w:val="11"/>
              <w:rFonts w:hint="eastAsia" w:ascii="Times New Roman" w:hAnsi="Times New Roman" w:eastAsia="仿宋_GB2312" w:cs="Times New Roman"/>
            </w:rPr>
            <w:t>取消港口建设费</w:t>
          </w:r>
          <w:r>
            <w:tab/>
          </w:r>
          <w:r>
            <w:fldChar w:fldCharType="begin"/>
          </w:r>
          <w:r>
            <w:instrText xml:space="preserve"> PAGEREF _Toc106962446 \h </w:instrText>
          </w:r>
          <w:r>
            <w:fldChar w:fldCharType="separate"/>
          </w:r>
          <w:r>
            <w:t>31</w:t>
          </w:r>
          <w:r>
            <w:fldChar w:fldCharType="end"/>
          </w:r>
          <w:r>
            <w:fldChar w:fldCharType="end"/>
          </w:r>
        </w:p>
        <w:p w14:paraId="2A296C06">
          <w:pPr>
            <w:pStyle w:val="4"/>
            <w:tabs>
              <w:tab w:val="right" w:leader="dot" w:pos="8296"/>
            </w:tabs>
          </w:pPr>
          <w:r>
            <w:fldChar w:fldCharType="begin"/>
          </w:r>
          <w:r>
            <w:instrText xml:space="preserve"> HYPERLINK \l "_Toc106962447" </w:instrText>
          </w:r>
          <w:r>
            <w:fldChar w:fldCharType="separate"/>
          </w:r>
          <w:r>
            <w:rPr>
              <w:rStyle w:val="11"/>
              <w:rFonts w:ascii="Times New Roman" w:hAnsi="Times New Roman" w:eastAsia="仿宋_GB2312" w:cs="Times New Roman"/>
            </w:rPr>
            <w:t>31.</w:t>
          </w:r>
          <w:r>
            <w:rPr>
              <w:rStyle w:val="11"/>
              <w:rFonts w:hint="eastAsia" w:ascii="Times New Roman" w:hAnsi="Times New Roman" w:eastAsia="仿宋_GB2312" w:cs="Times New Roman"/>
            </w:rPr>
            <w:t>调整民航发展基金有关政策</w:t>
          </w:r>
          <w:r>
            <w:tab/>
          </w:r>
          <w:r>
            <w:fldChar w:fldCharType="begin"/>
          </w:r>
          <w:r>
            <w:instrText xml:space="preserve"> PAGEREF _Toc106962447 \h </w:instrText>
          </w:r>
          <w:r>
            <w:fldChar w:fldCharType="separate"/>
          </w:r>
          <w:r>
            <w:t>31</w:t>
          </w:r>
          <w:r>
            <w:fldChar w:fldCharType="end"/>
          </w:r>
          <w:r>
            <w:fldChar w:fldCharType="end"/>
          </w:r>
        </w:p>
        <w:p w14:paraId="0FA21E26">
          <w:pPr>
            <w:rPr>
              <w:rFonts w:ascii="Times New Roman" w:hAnsi="Times New Roman" w:eastAsia="方正仿宋_GBK" w:cs="Times New Roman"/>
              <w:sz w:val="32"/>
              <w:szCs w:val="32"/>
            </w:rPr>
          </w:pPr>
          <w:r>
            <w:rPr>
              <w:rFonts w:ascii="Times New Roman" w:hAnsi="Times New Roman" w:eastAsia="方正仿宋_GBK" w:cs="Times New Roman"/>
              <w:bCs/>
              <w:szCs w:val="32"/>
              <w:lang w:val="zh-CN"/>
            </w:rPr>
            <w:fldChar w:fldCharType="end"/>
          </w:r>
        </w:p>
      </w:sdtContent>
    </w:sdt>
    <w:p w14:paraId="731E2D39">
      <w:pPr>
        <w:pStyle w:val="2"/>
        <w:rPr>
          <w:rFonts w:ascii="Times New Roman" w:hAnsi="Times New Roman" w:cs="Times New Roman"/>
        </w:rPr>
      </w:pPr>
      <w:r>
        <w:rPr>
          <w:rFonts w:ascii="Times New Roman" w:hAnsi="Times New Roman" w:cs="Times New Roman"/>
        </w:rPr>
        <w:br w:type="page"/>
      </w:r>
    </w:p>
    <w:p w14:paraId="38BEE632">
      <w:pPr>
        <w:pStyle w:val="2"/>
        <w:rPr>
          <w:rFonts w:ascii="Times New Roman" w:hAnsi="Times New Roman" w:eastAsia="方正黑体_GBK" w:cs="Times New Roman"/>
          <w:b w:val="0"/>
          <w:bCs w:val="0"/>
        </w:rPr>
      </w:pPr>
      <w:bookmarkStart w:id="0" w:name="_Toc106962385"/>
      <w:r>
        <w:rPr>
          <w:rFonts w:ascii="Times New Roman" w:hAnsi="Times New Roman" w:eastAsia="方正黑体_GBK" w:cs="Times New Roman"/>
          <w:b w:val="0"/>
          <w:bCs w:val="0"/>
        </w:rPr>
        <w:t>一、2022年新出台政策（1</w:t>
      </w:r>
      <w:r>
        <w:rPr>
          <w:rFonts w:hint="eastAsia" w:ascii="Times New Roman" w:hAnsi="Times New Roman" w:eastAsia="方正黑体_GBK" w:cs="Times New Roman"/>
          <w:b w:val="0"/>
          <w:bCs w:val="0"/>
        </w:rPr>
        <w:t>5</w:t>
      </w:r>
      <w:r>
        <w:rPr>
          <w:rFonts w:ascii="Times New Roman" w:hAnsi="Times New Roman" w:eastAsia="方正黑体_GBK" w:cs="Times New Roman"/>
          <w:b w:val="0"/>
          <w:bCs w:val="0"/>
        </w:rPr>
        <w:t>项）</w:t>
      </w:r>
      <w:bookmarkEnd w:id="0"/>
    </w:p>
    <w:p w14:paraId="149BD500">
      <w:pPr>
        <w:pStyle w:val="3"/>
        <w:rPr>
          <w:rFonts w:ascii="Times New Roman" w:hAnsi="Times New Roman" w:eastAsia="方正仿宋_GBK" w:cs="Times New Roman"/>
          <w:lang w:eastAsia="zh-CN"/>
        </w:rPr>
      </w:pPr>
      <w:bookmarkStart w:id="1" w:name="_Toc106962386"/>
      <w:r>
        <w:rPr>
          <w:rFonts w:ascii="Times New Roman" w:hAnsi="Times New Roman" w:eastAsia="方正仿宋_GBK" w:cs="Times New Roman"/>
          <w:lang w:eastAsia="zh-CN"/>
        </w:rPr>
        <w:t>1. 加大制造业等行业增值税期末留抵退税力度</w:t>
      </w:r>
      <w:bookmarkEnd w:id="1"/>
    </w:p>
    <w:p w14:paraId="1C1EEFF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8A28BF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科学研究和技术服务业”、“电力、热力、燃气及水生产和供应业”、“软件和信息技术服务业”、“生态保护和环境治理业”和“交通运输、仓储和邮政业”等6个行业企业（以下简称“制造业等行业”）</w:t>
      </w:r>
      <w:r>
        <w:rPr>
          <w:rFonts w:hint="eastAsia" w:ascii="Times New Roman" w:hAnsi="Times New Roman" w:eastAsia="仿宋_GB2312" w:cs="Times New Roman"/>
          <w:sz w:val="32"/>
          <w:szCs w:val="32"/>
        </w:rPr>
        <w:t>，购买使用进口煤炭的燃煤发电企业。</w:t>
      </w:r>
    </w:p>
    <w:p w14:paraId="1601AFC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26F2F7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（1）符合条件的制造业等行业企业，可以自2022年4月纳税申报期起向主管税务机关申请退还增量留抵税额。</w:t>
      </w:r>
    </w:p>
    <w:p w14:paraId="5470ADA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（2）符合条件的制造业等行业中型企业，可以自2022年</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 xml:space="preserve">月纳税申报期起向主管税务机关申请一次性退还存量留抵税额； </w:t>
      </w:r>
    </w:p>
    <w:p w14:paraId="05B1879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（3）符合条件的制造业等行业大型企业，可以自2022年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 xml:space="preserve">月纳税申报期起向主管税务机关申请一次性退还存量留抵税额。 </w:t>
      </w:r>
    </w:p>
    <w:p w14:paraId="2BDCB20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6A60F3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税务总局关于进一步加大增值税期末留抵退税政策实施力度的公告》（财政部 税务总局公告2022年第14号）</w:t>
      </w:r>
    </w:p>
    <w:p w14:paraId="0D5EEF58">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税务总局关于进一步加快增值税期末留抵退税政策实施进度的公告》（财政部 税务总局公告2022年第17号）</w:t>
      </w:r>
    </w:p>
    <w:p w14:paraId="25251068">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税务总局关于进一步持续加快增值税期末留抵退税政策实施进度的公告》（财政部 税务总局公告2022年第19号）</w:t>
      </w:r>
    </w:p>
    <w:p w14:paraId="7B444F21">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税务总局关于切实落实煤炭发电企业增值税留抵退税政策做好电力保供工作的通知》（财税</w:t>
      </w:r>
      <w:r>
        <w:rPr>
          <w:rFonts w:hint="eastAsia" w:ascii="宋体" w:hAnsi="宋体" w:eastAsia="宋体" w:cs="Times New Roman"/>
          <w:sz w:val="32"/>
          <w:szCs w:val="32"/>
        </w:rPr>
        <w:t>﹝</w:t>
      </w:r>
      <w:r>
        <w:rPr>
          <w:rFonts w:hint="eastAsia" w:ascii="Times New Roman" w:hAnsi="Times New Roman" w:eastAsia="仿宋_GB2312" w:cs="Times New Roman"/>
          <w:sz w:val="32"/>
          <w:szCs w:val="32"/>
        </w:rPr>
        <w:t>2022</w:t>
      </w:r>
      <w:r>
        <w:rPr>
          <w:rFonts w:ascii="Times New Roman" w:hAnsi="Times New Roman" w:eastAsia="宋体" w:cs="Times New Roman"/>
          <w:sz w:val="32"/>
          <w:szCs w:val="32"/>
        </w:rPr>
        <w:t>﹞25</w:t>
      </w:r>
      <w:r>
        <w:rPr>
          <w:rFonts w:ascii="Times New Roman" w:hAnsi="Times New Roman" w:eastAsia="仿宋_GB2312" w:cs="Times New Roman"/>
          <w:sz w:val="32"/>
          <w:szCs w:val="32"/>
        </w:rPr>
        <w:t>号）</w:t>
      </w:r>
    </w:p>
    <w:p w14:paraId="0B122A24">
      <w:pPr>
        <w:spacing w:line="360" w:lineRule="exact"/>
        <w:ind w:firstLine="640" w:firstLineChars="200"/>
        <w:rPr>
          <w:rFonts w:ascii="Times New Roman" w:hAnsi="Times New Roman" w:eastAsia="仿宋_GB2312" w:cs="Times New Roman"/>
          <w:sz w:val="32"/>
          <w:szCs w:val="32"/>
        </w:rPr>
      </w:pPr>
    </w:p>
    <w:p w14:paraId="0B729F35">
      <w:pPr>
        <w:pStyle w:val="3"/>
        <w:rPr>
          <w:rFonts w:ascii="Times New Roman" w:hAnsi="Times New Roman" w:eastAsia="方正仿宋_GBK" w:cs="Times New Roman"/>
          <w:lang w:eastAsia="zh-CN"/>
        </w:rPr>
      </w:pPr>
      <w:bookmarkStart w:id="2" w:name="_Toc106962387"/>
      <w:r>
        <w:rPr>
          <w:rFonts w:ascii="Times New Roman" w:hAnsi="Times New Roman" w:eastAsia="方正仿宋_GBK" w:cs="Times New Roman"/>
          <w:lang w:eastAsia="zh-CN"/>
        </w:rPr>
        <w:t>2. 加大小微企业增值税期末留抵退税力度</w:t>
      </w:r>
      <w:bookmarkEnd w:id="2"/>
    </w:p>
    <w:p w14:paraId="3DA0EF3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532E17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小微企业（含个体工商户）</w:t>
      </w:r>
    </w:p>
    <w:p w14:paraId="184095C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C5028A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（1）符合条件的小微企业，可以自2022年4月纳税申报期起向主管税务机关申请退还增量留抵税额。</w:t>
      </w:r>
    </w:p>
    <w:p w14:paraId="783E476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（2）符合条件的微型企业，可以自2022年4月纳税申报期起向主管税务机关申请一次性退还存量留抵税额；</w:t>
      </w:r>
    </w:p>
    <w:p w14:paraId="1DFB649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（3）符合条件的小型企业，可以自2022年5月纳税申报期起向主管税务机关申请一次性退还存量留抵税额。</w:t>
      </w:r>
    </w:p>
    <w:p w14:paraId="251DC55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6BBDB7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税务总局关于进一步加大增值税期末留抵退税政策实施力度的公告》（财政部 税务总局公告2022年第14号）</w:t>
      </w:r>
    </w:p>
    <w:p w14:paraId="04375564">
      <w:pPr>
        <w:pStyle w:val="3"/>
        <w:rPr>
          <w:rFonts w:ascii="Times New Roman" w:hAnsi="Times New Roman" w:eastAsia="方正仿宋_GBK" w:cs="Times New Roman"/>
          <w:lang w:eastAsia="zh-CN"/>
        </w:rPr>
      </w:pPr>
      <w:bookmarkStart w:id="3" w:name="_Toc106962388"/>
      <w:r>
        <w:rPr>
          <w:rFonts w:ascii="Times New Roman" w:hAnsi="Times New Roman" w:eastAsia="方正仿宋_GBK" w:cs="Times New Roman"/>
          <w:lang w:eastAsia="zh-CN"/>
        </w:rPr>
        <w:t>3. 航空和铁路运输企业暂停预缴增值税</w:t>
      </w:r>
      <w:bookmarkEnd w:id="3"/>
    </w:p>
    <w:p w14:paraId="1891D99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215390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航空和铁路运输企业</w:t>
      </w:r>
    </w:p>
    <w:p w14:paraId="77F8628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E2D2D9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自2022年1月1日至2022年12月31日，航空和铁路运输企业分支机构暂停预缴增值税。</w:t>
      </w:r>
    </w:p>
    <w:p w14:paraId="6353B6B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C0AE3B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 税务总局公告2022年第11号）</w:t>
      </w:r>
    </w:p>
    <w:p w14:paraId="788885D8">
      <w:pPr>
        <w:pStyle w:val="3"/>
        <w:rPr>
          <w:rFonts w:ascii="Times New Roman" w:hAnsi="Times New Roman" w:eastAsia="方正仿宋_GBK" w:cs="Times New Roman"/>
          <w:lang w:eastAsia="zh-CN"/>
        </w:rPr>
      </w:pPr>
      <w:bookmarkStart w:id="4" w:name="_Toc106962389"/>
      <w:r>
        <w:rPr>
          <w:rFonts w:ascii="Times New Roman" w:hAnsi="Times New Roman" w:eastAsia="方正仿宋_GBK" w:cs="Times New Roman"/>
          <w:lang w:eastAsia="zh-CN"/>
        </w:rPr>
        <w:t>4. 公共交通运输服务免征增值税</w:t>
      </w:r>
      <w:bookmarkEnd w:id="4"/>
    </w:p>
    <w:p w14:paraId="38D7473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D15701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公共交通运输服务企业</w:t>
      </w:r>
    </w:p>
    <w:p w14:paraId="5CEC7B9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C4E93E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自2022年1月1日至2022年12月31日，对纳税人提供轮客渡、公交客运、地铁、城市轻轨、出租车、长途客运、班车等公共交通运输服务取得的收入，免征增值税。</w:t>
      </w:r>
    </w:p>
    <w:p w14:paraId="0B67A6F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3D61CB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 税务总局公告2022年第11号）</w:t>
      </w:r>
    </w:p>
    <w:p w14:paraId="65377ED4">
      <w:pPr>
        <w:pStyle w:val="3"/>
        <w:rPr>
          <w:rFonts w:ascii="Times New Roman" w:hAnsi="Times New Roman" w:eastAsia="方正仿宋_GBK" w:cs="Times New Roman"/>
          <w:lang w:eastAsia="zh-CN"/>
        </w:rPr>
      </w:pPr>
      <w:bookmarkStart w:id="5" w:name="_Toc106962390"/>
      <w:r>
        <w:rPr>
          <w:rFonts w:ascii="Times New Roman" w:hAnsi="Times New Roman" w:eastAsia="方正仿宋_GBK" w:cs="Times New Roman"/>
          <w:lang w:eastAsia="zh-CN"/>
        </w:rPr>
        <w:t>5. 3岁以下婴幼儿照护专项附加扣除</w:t>
      </w:r>
      <w:bookmarkEnd w:id="5"/>
    </w:p>
    <w:p w14:paraId="60A3ED4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338943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3岁以下婴幼儿的父母或监护人</w:t>
      </w:r>
    </w:p>
    <w:p w14:paraId="74BFA04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3D8BE9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自2022年1月1日起，纳税人照护3岁以下婴幼儿子女的相关支出，按照每个婴幼儿每月1000元的标准定额扣除。</w:t>
      </w:r>
    </w:p>
    <w:p w14:paraId="348E877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AC670E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《国务院关于设立3岁以下婴幼儿照护个人所得税专项附加扣除的通知》（国发〔2022〕8号）</w:t>
      </w:r>
    </w:p>
    <w:p w14:paraId="57A77C64">
      <w:pPr>
        <w:spacing w:line="360" w:lineRule="exact"/>
        <w:ind w:firstLine="640" w:firstLineChars="200"/>
        <w:rPr>
          <w:rFonts w:ascii="Times New Roman" w:hAnsi="Times New Roman" w:eastAsia="仿宋_GB2312" w:cs="Times New Roman"/>
          <w:sz w:val="32"/>
          <w:szCs w:val="32"/>
        </w:rPr>
      </w:pPr>
    </w:p>
    <w:p w14:paraId="367430C5">
      <w:pPr>
        <w:pStyle w:val="3"/>
        <w:rPr>
          <w:rFonts w:ascii="Times New Roman" w:hAnsi="Times New Roman" w:eastAsia="方正仿宋_GBK" w:cs="Times New Roman"/>
          <w:lang w:eastAsia="zh-CN"/>
        </w:rPr>
      </w:pPr>
      <w:bookmarkStart w:id="6" w:name="_Toc106962391"/>
      <w:r>
        <w:rPr>
          <w:rFonts w:ascii="Times New Roman" w:hAnsi="Times New Roman" w:eastAsia="方正仿宋_GBK" w:cs="Times New Roman"/>
          <w:lang w:eastAsia="zh-CN"/>
        </w:rPr>
        <w:t>6. 阶段性免征小规模纳税人增值税</w:t>
      </w:r>
      <w:bookmarkEnd w:id="6"/>
    </w:p>
    <w:p w14:paraId="624D043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9D5892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w:t>
      </w:r>
    </w:p>
    <w:p w14:paraId="2199D7D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5930FD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自2022年4月1日至2022年12月31日，增值税小规模纳税人适用3%征收率的应税销售收入，免征增值税；适用3%预征率的预缴增值税项目，暂停预缴增值税。 </w:t>
      </w:r>
    </w:p>
    <w:p w14:paraId="6ACEFDD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0F8A13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税务总局关于对增值税小规模纳税人免征增值税的公告》（财政部 税务总局公告2022年第15号）</w:t>
      </w:r>
    </w:p>
    <w:p w14:paraId="22693324">
      <w:pPr>
        <w:pStyle w:val="3"/>
        <w:rPr>
          <w:rFonts w:ascii="Times New Roman" w:hAnsi="Times New Roman" w:eastAsia="方正仿宋_GBK" w:cs="Times New Roman"/>
          <w:lang w:eastAsia="zh-CN"/>
        </w:rPr>
      </w:pPr>
      <w:bookmarkStart w:id="7" w:name="_Toc106962392"/>
      <w:r>
        <w:rPr>
          <w:rFonts w:ascii="Times New Roman" w:hAnsi="Times New Roman" w:eastAsia="方正仿宋_GBK" w:cs="Times New Roman"/>
          <w:lang w:eastAsia="zh-CN"/>
        </w:rPr>
        <w:t>7. 提高科技型中小企业研发费加计扣除比例</w:t>
      </w:r>
      <w:bookmarkEnd w:id="7"/>
    </w:p>
    <w:p w14:paraId="4527227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CD3800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科技型中小企业</w:t>
      </w:r>
    </w:p>
    <w:p w14:paraId="0B990FE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37A1BB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 </w:t>
      </w:r>
    </w:p>
    <w:p w14:paraId="520826F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EBD026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科技部关于进一步提高科技型中小企业研发费用税前加计扣除比例的公告》（财政部 税务总局 科技部公告2022年第16号）</w:t>
      </w:r>
    </w:p>
    <w:p w14:paraId="5A824D79">
      <w:pPr>
        <w:pStyle w:val="3"/>
        <w:rPr>
          <w:rFonts w:ascii="Times New Roman" w:hAnsi="Times New Roman" w:eastAsia="方正仿宋_GBK" w:cs="Times New Roman"/>
          <w:lang w:eastAsia="zh-CN"/>
        </w:rPr>
      </w:pPr>
      <w:bookmarkStart w:id="8" w:name="_Toc106962393"/>
      <w:r>
        <w:rPr>
          <w:rFonts w:ascii="Times New Roman" w:hAnsi="Times New Roman" w:eastAsia="方正仿宋_GBK" w:cs="Times New Roman"/>
          <w:lang w:eastAsia="zh-CN"/>
        </w:rPr>
        <w:t>8. 制造业中小微企业缓税政策</w:t>
      </w:r>
      <w:bookmarkEnd w:id="8"/>
    </w:p>
    <w:p w14:paraId="63E4D45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EBC1BB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制造业中小微企业</w:t>
      </w:r>
    </w:p>
    <w:p w14:paraId="4010BEA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A9EE98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制造业中小微企业（含个人独资企业、合伙企业、个体工商户）2021年第四季度、2022年第一季度、第二季度</w:t>
      </w:r>
      <w:r>
        <w:rPr>
          <w:rFonts w:hint="eastAsia" w:ascii="Times New Roman" w:hAnsi="Times New Roman" w:eastAsia="仿宋_GB2312" w:cs="Times New Roman"/>
          <w:sz w:val="32"/>
          <w:szCs w:val="32"/>
        </w:rPr>
        <w:t>部分税费</w:t>
      </w:r>
      <w:r>
        <w:rPr>
          <w:rFonts w:ascii="Times New Roman" w:hAnsi="Times New Roman" w:eastAsia="仿宋_GB2312" w:cs="Times New Roman"/>
          <w:sz w:val="32"/>
          <w:szCs w:val="32"/>
        </w:rPr>
        <w:t>可延缓缴纳，延缓的期限为6个月。其中，</w:t>
      </w:r>
      <w:r>
        <w:rPr>
          <w:rFonts w:hint="eastAsia" w:ascii="Times New Roman" w:hAnsi="Times New Roman" w:eastAsia="仿宋_GB2312" w:cs="Times New Roman"/>
          <w:sz w:val="32"/>
          <w:szCs w:val="32"/>
        </w:rPr>
        <w:t>制造业</w:t>
      </w:r>
      <w:r>
        <w:rPr>
          <w:rFonts w:ascii="Times New Roman" w:hAnsi="Times New Roman" w:eastAsia="仿宋_GB2312" w:cs="Times New Roman"/>
          <w:sz w:val="32"/>
          <w:szCs w:val="32"/>
        </w:rPr>
        <w:t>中型企业可缓缴</w:t>
      </w:r>
      <w:r>
        <w:rPr>
          <w:rFonts w:hint="eastAsia" w:ascii="Times New Roman" w:hAnsi="Times New Roman" w:eastAsia="仿宋_GB2312" w:cs="Times New Roman"/>
          <w:sz w:val="32"/>
          <w:szCs w:val="32"/>
        </w:rPr>
        <w:t>公告规定各项税费</w:t>
      </w:r>
      <w:r>
        <w:rPr>
          <w:rFonts w:ascii="Times New Roman" w:hAnsi="Times New Roman" w:eastAsia="仿宋_GB2312" w:cs="Times New Roman"/>
          <w:sz w:val="32"/>
          <w:szCs w:val="32"/>
        </w:rPr>
        <w:t>的50%，</w:t>
      </w:r>
      <w:r>
        <w:rPr>
          <w:rFonts w:hint="eastAsia" w:ascii="Times New Roman" w:hAnsi="Times New Roman" w:eastAsia="仿宋_GB2312" w:cs="Times New Roman"/>
          <w:sz w:val="32"/>
          <w:szCs w:val="32"/>
        </w:rPr>
        <w:t>制造业</w:t>
      </w:r>
      <w:r>
        <w:rPr>
          <w:rFonts w:ascii="Times New Roman" w:hAnsi="Times New Roman" w:eastAsia="仿宋_GB2312" w:cs="Times New Roman"/>
          <w:sz w:val="32"/>
          <w:szCs w:val="32"/>
        </w:rPr>
        <w:t>小微企业可缓缴</w:t>
      </w:r>
      <w:r>
        <w:rPr>
          <w:rFonts w:hint="eastAsia" w:ascii="Times New Roman" w:hAnsi="Times New Roman" w:eastAsia="仿宋_GB2312" w:cs="Times New Roman"/>
          <w:sz w:val="32"/>
          <w:szCs w:val="32"/>
        </w:rPr>
        <w:t>公告规定</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sz w:val="32"/>
          <w:szCs w:val="32"/>
        </w:rPr>
        <w:t>全部</w:t>
      </w:r>
      <w:r>
        <w:rPr>
          <w:rFonts w:hint="eastAsia" w:ascii="Times New Roman" w:hAnsi="Times New Roman" w:eastAsia="仿宋_GB2312" w:cs="Times New Roman"/>
          <w:sz w:val="32"/>
          <w:szCs w:val="32"/>
        </w:rPr>
        <w:t>税费</w:t>
      </w:r>
      <w:r>
        <w:rPr>
          <w:rFonts w:ascii="Times New Roman" w:hAnsi="Times New Roman" w:eastAsia="仿宋_GB2312" w:cs="Times New Roman"/>
          <w:sz w:val="32"/>
          <w:szCs w:val="32"/>
        </w:rPr>
        <w:t xml:space="preserve">。 </w:t>
      </w:r>
    </w:p>
    <w:p w14:paraId="009F756D">
      <w:pPr>
        <w:spacing w:line="360" w:lineRule="exact"/>
        <w:ind w:firstLine="640" w:firstLineChars="200"/>
        <w:rPr>
          <w:rFonts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highlight w:val="yellow"/>
        </w:rPr>
        <w:t>自2022年9月1日起，按照《国家税务总局 财政部关于延续实施制造业中小微企业延缓缴纳部分税费有关事项的公告》（2022年第2号）已享受延缓缴纳税费50%的制造业中型企业和延缓缴纳税费100%的制造业小微企业，其已缓缴税费的缓缴期限届满后继续延长4个月。</w:t>
      </w:r>
    </w:p>
    <w:p w14:paraId="10B9778A">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highlight w:val="yellow"/>
        </w:rPr>
        <w:t>延缓缴纳的税费包括所属期为2021年11月、12月，2022年2月、3月、4月、5月、6月（按月缴纳）或者2021年第四季度，2022年第一季度、第二季度（按季缴纳）已按规定缓缴的企业所得税、个人所得税、国内增值税、国内消费税及附征的城市维护建设税、教育费附加、地方教育附加，不包括代扣代缴、代收代缴以及向税务机关申请代开发票时缴纳的税费。</w:t>
      </w:r>
    </w:p>
    <w:p w14:paraId="7B23852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1D5D51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《国家税务总局 财政部关于延续实施制造业中小微企业延缓缴纳部分税费有关事项的公告》（国家税务总局 财政部公告2022年第2号）</w:t>
      </w:r>
    </w:p>
    <w:p w14:paraId="1BF373FC">
      <w:pPr>
        <w:spacing w:line="360" w:lineRule="exact"/>
        <w:ind w:firstLine="640" w:firstLineChars="200"/>
        <w:rPr>
          <w:rFonts w:ascii="Times New Roman" w:hAnsi="Times New Roman" w:eastAsia="仿宋_GB2312" w:cs="Times New Roman"/>
          <w:sz w:val="32"/>
          <w:szCs w:val="32"/>
        </w:rPr>
      </w:pPr>
      <w:bookmarkStart w:id="9" w:name="_Toc106962394"/>
      <w:r>
        <w:rPr>
          <w:rFonts w:ascii="Times New Roman" w:hAnsi="Times New Roman" w:eastAsia="仿宋_GB2312" w:cs="Times New Roman"/>
          <w:sz w:val="32"/>
          <w:szCs w:val="32"/>
          <w:highlight w:val="yellow"/>
        </w:rPr>
        <w:t>《国家税务总局 财政部关于延续实施制造业中小微企业延缓缴纳部分税费有关事项的公告》（国家税务总局 财政部公告2022年第</w:t>
      </w:r>
      <w:r>
        <w:rPr>
          <w:rFonts w:hint="eastAsia" w:ascii="Times New Roman" w:hAnsi="Times New Roman" w:eastAsia="仿宋_GB2312" w:cs="Times New Roman"/>
          <w:sz w:val="32"/>
          <w:szCs w:val="32"/>
          <w:highlight w:val="yellow"/>
        </w:rPr>
        <w:t>17</w:t>
      </w:r>
      <w:r>
        <w:rPr>
          <w:rFonts w:ascii="Times New Roman" w:hAnsi="Times New Roman" w:eastAsia="仿宋_GB2312" w:cs="Times New Roman"/>
          <w:sz w:val="32"/>
          <w:szCs w:val="32"/>
          <w:highlight w:val="yellow"/>
        </w:rPr>
        <w:t>号）</w:t>
      </w:r>
    </w:p>
    <w:p w14:paraId="1C2080A9">
      <w:pPr>
        <w:pStyle w:val="3"/>
        <w:rPr>
          <w:rFonts w:ascii="Times New Roman" w:hAnsi="Times New Roman" w:eastAsia="方正仿宋_GBK" w:cs="Times New Roman"/>
          <w:lang w:eastAsia="zh-CN"/>
        </w:rPr>
      </w:pPr>
      <w:r>
        <w:rPr>
          <w:rFonts w:ascii="Times New Roman" w:hAnsi="Times New Roman" w:eastAsia="方正仿宋_GBK" w:cs="Times New Roman"/>
          <w:lang w:eastAsia="zh-CN"/>
        </w:rPr>
        <w:t>9. 加大小型微利企业所得税优惠力度</w:t>
      </w:r>
      <w:bookmarkEnd w:id="9"/>
    </w:p>
    <w:p w14:paraId="02A806A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25A48E7">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符合政策规定的</w:t>
      </w:r>
      <w:r>
        <w:rPr>
          <w:rFonts w:ascii="Times New Roman" w:hAnsi="Times New Roman" w:eastAsia="仿宋_GB2312" w:cs="Times New Roman"/>
          <w:sz w:val="32"/>
          <w:szCs w:val="32"/>
        </w:rPr>
        <w:t>小型微利企业</w:t>
      </w:r>
    </w:p>
    <w:p w14:paraId="4330AED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C84D4C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自2022年1月1日至2024年12月31日，对小型微利企业年应纳税所得额超过100万元但不超过300万元的部分，减按25%计入应纳税所得额，按20%的税率缴纳企业所得税。 </w:t>
      </w:r>
    </w:p>
    <w:p w14:paraId="462FD60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CE3F56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税务总局关于进一步实施小微企业所得税优惠政策的公告》（财政部 税务总局公告2022年第13号）</w:t>
      </w:r>
    </w:p>
    <w:p w14:paraId="02D8FDA2">
      <w:pPr>
        <w:pStyle w:val="3"/>
        <w:rPr>
          <w:rFonts w:ascii="Times New Roman" w:hAnsi="Times New Roman" w:eastAsia="方正仿宋_GBK" w:cs="Times New Roman"/>
          <w:lang w:eastAsia="zh-CN"/>
        </w:rPr>
      </w:pPr>
      <w:bookmarkStart w:id="10" w:name="_Toc106962395"/>
      <w:r>
        <w:rPr>
          <w:rFonts w:ascii="Times New Roman" w:hAnsi="Times New Roman" w:eastAsia="方正仿宋_GBK" w:cs="Times New Roman"/>
          <w:lang w:eastAsia="zh-CN"/>
        </w:rPr>
        <w:t xml:space="preserve">10. </w:t>
      </w:r>
      <w:r>
        <w:rPr>
          <w:rFonts w:hint="eastAsia" w:ascii="Times New Roman" w:hAnsi="Times New Roman" w:eastAsia="方正仿宋_GBK" w:cs="Times New Roman"/>
          <w:lang w:eastAsia="zh-CN"/>
        </w:rPr>
        <w:t>中小微企业设备、器具所得税税前扣除政策</w:t>
      </w:r>
      <w:bookmarkEnd w:id="10"/>
    </w:p>
    <w:p w14:paraId="4948C19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7FB4D84">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w:t>
      </w:r>
      <w:r>
        <w:rPr>
          <w:rFonts w:ascii="Times New Roman" w:hAnsi="Times New Roman" w:eastAsia="仿宋_GB2312" w:cs="Times New Roman"/>
          <w:sz w:val="32"/>
          <w:szCs w:val="32"/>
        </w:rPr>
        <w:t>中小微企业</w:t>
      </w:r>
    </w:p>
    <w:p w14:paraId="70145DB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B059BF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小微企业在2022年1月1日至2022年12月31日期间新购置的设备、器具，单位价值在500万元以上的，按照单位价值的一定比例自愿选择在企业所得税税前扣除。其中，企业所得税法实施条例规定最低折旧年限为3年的设备器具，单位价值的100%可在当年一次性税前扣除；最低折旧年限为4年、5年、10年的，单位价值的50%可在当年一次性税前扣除，其余50%按规定在剩余年度计算折旧进行税前扣除。</w:t>
      </w:r>
    </w:p>
    <w:p w14:paraId="05AB147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企业选择适用上述政策当年不足扣除形成的亏损，可在以后5个纳税年度结转弥补，享受其他延长亏损结转年限政策的企业可按现行规定执行。</w:t>
      </w:r>
    </w:p>
    <w:p w14:paraId="4DF390C2">
      <w:pPr>
        <w:spacing w:line="360" w:lineRule="exact"/>
        <w:ind w:firstLine="640" w:firstLineChars="200"/>
        <w:rPr>
          <w:rFonts w:ascii="Times New Roman" w:hAnsi="Times New Roman" w:eastAsia="仿宋_GB2312" w:cs="Times New Roman"/>
          <w:sz w:val="32"/>
          <w:szCs w:val="32"/>
        </w:rPr>
      </w:pPr>
    </w:p>
    <w:p w14:paraId="5EBAA51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3D8273B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2C5FB55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税务总局关于中小微企业设备器具所得税税前扣除有关政策的公告》（财政部</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国家税务总局公告2022年第</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号）</w:t>
      </w:r>
    </w:p>
    <w:p w14:paraId="116C32AC">
      <w:pPr>
        <w:pStyle w:val="3"/>
        <w:rPr>
          <w:rFonts w:ascii="Times New Roman" w:hAnsi="Times New Roman" w:eastAsia="方正仿宋_GBK" w:cs="Times New Roman"/>
          <w:lang w:eastAsia="zh-CN"/>
        </w:rPr>
      </w:pPr>
      <w:bookmarkStart w:id="11" w:name="_Toc106962396"/>
      <w:r>
        <w:rPr>
          <w:rFonts w:ascii="Times New Roman" w:hAnsi="Times New Roman" w:eastAsia="方正仿宋_GBK" w:cs="Times New Roman"/>
          <w:lang w:eastAsia="zh-CN"/>
        </w:rPr>
        <w:t>11.</w:t>
      </w:r>
      <w:r>
        <w:rPr>
          <w:rFonts w:hint="eastAsia" w:ascii="Times New Roman" w:hAnsi="Times New Roman" w:eastAsia="方正仿宋_GBK" w:cs="Times New Roman"/>
          <w:lang w:eastAsia="zh-CN"/>
        </w:rPr>
        <w:t xml:space="preserve"> 进一步实施小微企业</w:t>
      </w:r>
      <w:r>
        <w:rPr>
          <w:rFonts w:ascii="Times New Roman" w:hAnsi="Times New Roman" w:eastAsia="方正仿宋_GBK" w:cs="Times New Roman"/>
          <w:lang w:eastAsia="zh-CN"/>
        </w:rPr>
        <w:t>“六税两费”</w:t>
      </w:r>
      <w:r>
        <w:rPr>
          <w:rFonts w:hint="eastAsia" w:ascii="Times New Roman" w:hAnsi="Times New Roman" w:eastAsia="方正仿宋_GBK" w:cs="Times New Roman"/>
          <w:lang w:eastAsia="zh-CN"/>
        </w:rPr>
        <w:t>减免</w:t>
      </w:r>
      <w:r>
        <w:rPr>
          <w:rFonts w:ascii="Times New Roman" w:hAnsi="Times New Roman" w:eastAsia="方正仿宋_GBK" w:cs="Times New Roman"/>
          <w:lang w:eastAsia="zh-CN"/>
        </w:rPr>
        <w:t>并扩大适用范围</w:t>
      </w:r>
      <w:bookmarkEnd w:id="11"/>
    </w:p>
    <w:p w14:paraId="2500A75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4C8B4F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增值税小规模纳税人、小型微利企业和个体工商户</w:t>
      </w:r>
    </w:p>
    <w:p w14:paraId="189D015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041CD5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2022年1月1日至2024年12月31日，对增值税小规模纳税人、小型微利企业和个体工商户可以在50%的税额幅度内减征资源税（不含水资源税）、城市维护建设税、房产税、城镇土地使用税、印花税（不含证券交易印花税）、耕地占用税和教育费附加、地方教育附加。 </w:t>
      </w:r>
    </w:p>
    <w:p w14:paraId="11EB90D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增值税小规模纳税人、小型微利企业和个体工商户按照50%的税额幅度减征资源税（不含水资源税）、城市维护建设税、房产税、城镇土地使用税、印花税（不含证券交易印花税）、耕地占用税和教育费附加、地方教育附加。</w:t>
      </w:r>
    </w:p>
    <w:p w14:paraId="1996D7D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64C6B5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税务总局关于进一步实施小微企业“六税两费”减免政策的公告》（财政部 税务总局公告2022年第10号）</w:t>
      </w:r>
    </w:p>
    <w:p w14:paraId="3EE79CB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 国家税务总局河北省税务局关于进一步落实小微企业“六税两费”减免政策的通知》（冀财税〔2022〕9号）</w:t>
      </w:r>
    </w:p>
    <w:p w14:paraId="526D0D23">
      <w:pPr>
        <w:pStyle w:val="3"/>
        <w:rPr>
          <w:rFonts w:ascii="Times New Roman" w:hAnsi="Times New Roman" w:eastAsia="方正仿宋_GBK" w:cs="Times New Roman"/>
          <w:lang w:eastAsia="zh-CN"/>
        </w:rPr>
      </w:pPr>
    </w:p>
    <w:p w14:paraId="3C9D069C">
      <w:pPr>
        <w:pStyle w:val="3"/>
        <w:rPr>
          <w:rFonts w:ascii="Times New Roman" w:hAnsi="Times New Roman" w:eastAsia="方正仿宋_GBK" w:cs="Times New Roman"/>
          <w:lang w:eastAsia="zh-CN"/>
        </w:rPr>
      </w:pPr>
      <w:bookmarkStart w:id="12" w:name="_Toc106962397"/>
      <w:r>
        <w:rPr>
          <w:rFonts w:hint="eastAsia" w:ascii="Times New Roman" w:hAnsi="Times New Roman" w:eastAsia="方正仿宋_GBK" w:cs="Times New Roman"/>
          <w:lang w:eastAsia="zh-CN"/>
        </w:rPr>
        <w:t>12. 快递收派服务免征增值税</w:t>
      </w:r>
      <w:bookmarkEnd w:id="12"/>
    </w:p>
    <w:p w14:paraId="3E540A0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7CB7104">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提供符合条件的快递收派服务纳税人</w:t>
      </w:r>
    </w:p>
    <w:p w14:paraId="0BB7392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C803A2C">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自2022年5月1日至2022年12月31日，对纳税人为居民提供必需生活物资快递收派服务取得的收入，免征增值税。</w:t>
      </w:r>
    </w:p>
    <w:p w14:paraId="15A9AF4F">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快递收派服务的具体范围，按照《销售服务、无形资产、不动产注释》（财税〔2016〕36号印发）执行。</w:t>
      </w:r>
    </w:p>
    <w:p w14:paraId="5C563D1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1B01C4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财政部 税务总局关于快递收派服务免征增值税政策的公告</w:t>
      </w:r>
      <w:r>
        <w:rPr>
          <w:rFonts w:ascii="Times New Roman" w:hAnsi="Times New Roman" w:eastAsia="仿宋_GB2312" w:cs="Times New Roman"/>
          <w:sz w:val="32"/>
          <w:szCs w:val="32"/>
        </w:rPr>
        <w:t>》（财政部 税务总局公告2022年第</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号）</w:t>
      </w:r>
    </w:p>
    <w:p w14:paraId="162EA717">
      <w:pPr>
        <w:pStyle w:val="3"/>
        <w:rPr>
          <w:rFonts w:ascii="Times New Roman" w:hAnsi="Times New Roman" w:eastAsia="方正仿宋_GBK" w:cs="Times New Roman"/>
          <w:lang w:eastAsia="zh-CN"/>
        </w:rPr>
      </w:pPr>
      <w:bookmarkStart w:id="13" w:name="_Toc106962398"/>
      <w:r>
        <w:rPr>
          <w:rFonts w:hint="eastAsia" w:ascii="Times New Roman" w:hAnsi="Times New Roman" w:eastAsia="方正仿宋_GBK" w:cs="Times New Roman"/>
          <w:lang w:eastAsia="zh-CN"/>
        </w:rPr>
        <w:t>13. 部分乘用车减征车辆购置税</w:t>
      </w:r>
      <w:bookmarkEnd w:id="13"/>
    </w:p>
    <w:p w14:paraId="1366DD6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322E36E">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购买符合政策车辆的纳税人</w:t>
      </w:r>
    </w:p>
    <w:p w14:paraId="697159A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8548645">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对纳税人购置日期在2022年6月1日至2022年12月31日期间内，购置单车价格（不含增值税）不超过30万元的2.0升及以下排量乘用车，减半征收车辆购置税。</w:t>
      </w:r>
    </w:p>
    <w:p w14:paraId="6436899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AAAEE1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财政部 税务总局关于减征部分乘用车车辆购置税的公告</w:t>
      </w:r>
      <w:r>
        <w:rPr>
          <w:rFonts w:ascii="Times New Roman" w:hAnsi="Times New Roman" w:eastAsia="仿宋_GB2312" w:cs="Times New Roman"/>
          <w:sz w:val="32"/>
          <w:szCs w:val="32"/>
        </w:rPr>
        <w:t>》（财政部 税务总局公告2022年第</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号）</w:t>
      </w:r>
    </w:p>
    <w:p w14:paraId="0DB8CA79">
      <w:pPr>
        <w:spacing w:line="360" w:lineRule="exact"/>
        <w:ind w:firstLine="640" w:firstLineChars="200"/>
        <w:rPr>
          <w:rFonts w:ascii="Times New Roman" w:hAnsi="Times New Roman" w:eastAsia="仿宋_GB2312" w:cs="Times New Roman"/>
          <w:sz w:val="32"/>
          <w:szCs w:val="32"/>
        </w:rPr>
      </w:pPr>
    </w:p>
    <w:p w14:paraId="537D0281">
      <w:pPr>
        <w:pStyle w:val="3"/>
        <w:rPr>
          <w:rFonts w:ascii="Times New Roman" w:hAnsi="Times New Roman" w:eastAsia="方正仿宋_GBK" w:cs="Times New Roman"/>
          <w:lang w:eastAsia="zh-CN"/>
        </w:rPr>
      </w:pPr>
      <w:bookmarkStart w:id="14" w:name="_Toc106962399"/>
      <w:r>
        <w:rPr>
          <w:rFonts w:hint="eastAsia" w:ascii="Times New Roman" w:hAnsi="Times New Roman" w:eastAsia="方正仿宋_GBK" w:cs="Times New Roman"/>
          <w:lang w:eastAsia="zh-CN"/>
        </w:rPr>
        <w:t>14. 批发和零售业等7个行业全额退还增值税留抵税额</w:t>
      </w:r>
      <w:bookmarkEnd w:id="14"/>
    </w:p>
    <w:p w14:paraId="17F3EF7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FDCAAA8">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符合条件的“批发和零售业”“农、林、牧、渔业”“住宿和餐饮业”“居民服务、修理和其他服务”“教育”“卫生和社会工作”“文化、体育和娱乐业”企业（以下称批发零售业等行业，含个体工商户）</w:t>
      </w:r>
    </w:p>
    <w:p w14:paraId="4228312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ED5A94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（1）符合条件的</w:t>
      </w:r>
      <w:r>
        <w:rPr>
          <w:rFonts w:hint="eastAsia" w:ascii="Times New Roman" w:hAnsi="Times New Roman" w:eastAsia="仿宋_GB2312" w:cs="Times New Roman"/>
          <w:sz w:val="32"/>
          <w:szCs w:val="32"/>
        </w:rPr>
        <w:t>批发零售</w:t>
      </w:r>
      <w:r>
        <w:rPr>
          <w:rFonts w:ascii="Times New Roman" w:hAnsi="Times New Roman" w:eastAsia="仿宋_GB2312" w:cs="Times New Roman"/>
          <w:sz w:val="32"/>
          <w:szCs w:val="32"/>
        </w:rPr>
        <w:t>等行业企业，可以自2022年</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月纳税申报期起向主管税务机关申请退还增量留抵税额。</w:t>
      </w:r>
    </w:p>
    <w:p w14:paraId="4999B15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符合条件的批发零售等行业企业</w:t>
      </w:r>
      <w:r>
        <w:rPr>
          <w:rFonts w:ascii="Times New Roman" w:hAnsi="Times New Roman" w:eastAsia="仿宋_GB2312" w:cs="Times New Roman"/>
          <w:sz w:val="32"/>
          <w:szCs w:val="32"/>
        </w:rPr>
        <w:t>，可以自2022年</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 xml:space="preserve">月纳税申报期起向主管税务机关申请一次性退还存量留抵税额； </w:t>
      </w:r>
    </w:p>
    <w:p w14:paraId="73879D1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2C05DF3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w:t>
      </w:r>
      <w:r>
        <w:rPr>
          <w:rFonts w:hint="eastAsia" w:ascii="Times New Roman" w:hAnsi="Times New Roman" w:eastAsia="仿宋_GB2312" w:cs="Times New Roman"/>
          <w:sz w:val="32"/>
          <w:szCs w:val="32"/>
        </w:rPr>
        <w:t>扩</w:t>
      </w:r>
      <w:r>
        <w:rPr>
          <w:rFonts w:ascii="Times New Roman" w:hAnsi="Times New Roman" w:eastAsia="仿宋_GB2312" w:cs="Times New Roman"/>
          <w:sz w:val="32"/>
          <w:szCs w:val="32"/>
        </w:rPr>
        <w:t>大</w:t>
      </w:r>
      <w:r>
        <w:rPr>
          <w:rFonts w:hint="eastAsia" w:ascii="Times New Roman" w:hAnsi="Times New Roman" w:eastAsia="仿宋_GB2312" w:cs="Times New Roman"/>
          <w:sz w:val="32"/>
          <w:szCs w:val="32"/>
        </w:rPr>
        <w:t>全额退还</w:t>
      </w:r>
      <w:r>
        <w:rPr>
          <w:rFonts w:ascii="Times New Roman" w:hAnsi="Times New Roman" w:eastAsia="仿宋_GB2312" w:cs="Times New Roman"/>
          <w:sz w:val="32"/>
          <w:szCs w:val="32"/>
        </w:rPr>
        <w:t>增值税留抵</w:t>
      </w:r>
      <w:r>
        <w:rPr>
          <w:rFonts w:hint="eastAsia" w:ascii="Times New Roman" w:hAnsi="Times New Roman" w:eastAsia="仿宋_GB2312" w:cs="Times New Roman"/>
          <w:sz w:val="32"/>
          <w:szCs w:val="32"/>
        </w:rPr>
        <w:t>税额</w:t>
      </w:r>
      <w:r>
        <w:rPr>
          <w:rFonts w:ascii="Times New Roman" w:hAnsi="Times New Roman" w:eastAsia="仿宋_GB2312" w:cs="Times New Roman"/>
          <w:sz w:val="32"/>
          <w:szCs w:val="32"/>
        </w:rPr>
        <w:t>政策</w:t>
      </w:r>
      <w:r>
        <w:rPr>
          <w:rFonts w:hint="eastAsia" w:ascii="Times New Roman" w:hAnsi="Times New Roman" w:eastAsia="仿宋_GB2312" w:cs="Times New Roman"/>
          <w:sz w:val="32"/>
          <w:szCs w:val="32"/>
        </w:rPr>
        <w:t>行业范围</w:t>
      </w:r>
      <w:r>
        <w:rPr>
          <w:rFonts w:ascii="Times New Roman" w:hAnsi="Times New Roman" w:eastAsia="仿宋_GB2312" w:cs="Times New Roman"/>
          <w:sz w:val="32"/>
          <w:szCs w:val="32"/>
        </w:rPr>
        <w:t>的公告》（财政部 税务总局公告2022年第</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号）</w:t>
      </w:r>
    </w:p>
    <w:p w14:paraId="6FCC8D0F">
      <w:pPr>
        <w:pStyle w:val="3"/>
        <w:rPr>
          <w:rFonts w:ascii="Times New Roman" w:hAnsi="Times New Roman" w:eastAsia="方正仿宋_GBK" w:cs="Times New Roman"/>
          <w:lang w:eastAsia="zh-CN"/>
        </w:rPr>
      </w:pPr>
      <w:bookmarkStart w:id="15" w:name="_Toc106962400"/>
      <w:r>
        <w:rPr>
          <w:rFonts w:hint="eastAsia" w:ascii="Times New Roman" w:hAnsi="Times New Roman" w:eastAsia="方正仿宋_GBK" w:cs="Times New Roman"/>
          <w:lang w:eastAsia="zh-CN"/>
        </w:rPr>
        <w:t>15. 特困行业阶段性实施缓缴企业社会保险费</w:t>
      </w:r>
      <w:bookmarkEnd w:id="15"/>
    </w:p>
    <w:p w14:paraId="5A49323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CE408F1">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餐饮、零售、旅游、民航、公路水路铁路运输企业，以及上述行业中以单位方式参加社会保险的有雇工的个体工商户以及其他单位。</w:t>
      </w:r>
    </w:p>
    <w:p w14:paraId="07D959EC">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以个人身份参加企业职工基本养老保险的个体工商户和各类灵活就业人员。</w:t>
      </w:r>
    </w:p>
    <w:p w14:paraId="4E374FCB">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受疫情影响严重地区生产经营出现暂时困难的所有中小微企业、以单位方式参保的个体工商户。</w:t>
      </w:r>
    </w:p>
    <w:p w14:paraId="15CC879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B5BAF00">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餐饮、零售、旅游、民航、公路水路铁路运输企业阶段性实施缓缴企业职工基本养老保险费、失业保险费和工伤保险费。上述行业中以单位方式参加社会保险的有雇工的个体工商户以及其他单位，参照企业办法缓缴。对职工个人应缴纳部分，企业应依法履行好代扣代缴义务。</w:t>
      </w:r>
    </w:p>
    <w:p w14:paraId="243FAB0C">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个人身份参加企业职工基本养老保险的个体工商户和各类灵活就业人员，2022年缴纳费款有困难的，可自愿暂缓缴费，2022年未缴费月度可于2023年底前进行补缴，缴费基数在2023年当地个人缴费基数上下限范围内自主选择，缴费年限累计计算。</w:t>
      </w:r>
    </w:p>
    <w:p w14:paraId="32072C31">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职工基本养老保险费缓缴费款所属期为2022年4月至6月。失业保险费、工伤保险费缓缴费款所属期为2022年4月至2023年3月，在此期间，企业可申请不同期限的缓缴。已缴纳所属期为2022年4月费款的企业，可从5月起申请缓缴，缓缴月份相应顺延一个月，也可以申请退回4月费款。缓缴期间免收滞纳金。</w:t>
      </w:r>
    </w:p>
    <w:p w14:paraId="773719EE">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受疫情影响严重地区生产经营出现暂时困难的所有中小微企业、以单位方式参保的个体工商户，可申请缓缴三项社保费单位缴费部分，缓缴实施期限到2022年底，期间免收滞纳金。</w:t>
      </w:r>
    </w:p>
    <w:p w14:paraId="628D16F3">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【政策依据】</w:t>
      </w:r>
    </w:p>
    <w:p w14:paraId="7422459F">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《人力资源社会保障部 财政部 国家税务总局关于做好失业保险稳岗位提技能防失业工作的通知》（人社部发〔2022〕23号）</w:t>
      </w:r>
    </w:p>
    <w:p w14:paraId="1FE14954">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《人力资源社会保障部 国家发展改革委 财政部 国家税务总局</w:t>
      </w:r>
      <w:r>
        <w:rPr>
          <w:rFonts w:hint="eastAsia" w:ascii="Times New Roman" w:hAnsi="Times New Roman" w:eastAsia="仿宋_GB2312" w:cs="Times New Roman"/>
          <w:sz w:val="32"/>
          <w:szCs w:val="32"/>
          <w:lang w:eastAsia="zh-CN"/>
        </w:rPr>
        <w:t>关于</w:t>
      </w:r>
      <w:r>
        <w:rPr>
          <w:rFonts w:hint="eastAsia" w:ascii="Times New Roman" w:hAnsi="Times New Roman" w:eastAsia="仿宋_GB2312" w:cs="Times New Roman"/>
          <w:sz w:val="32"/>
          <w:szCs w:val="32"/>
        </w:rPr>
        <w:t>扩大阶段性缓缴社会保险费政策实施范围等问题的通知》（人社部发〔2022〕31号）</w:t>
      </w:r>
    </w:p>
    <w:p w14:paraId="6DF02D4D">
      <w:pPr>
        <w:spacing w:line="360" w:lineRule="exact"/>
        <w:ind w:firstLine="640" w:firstLineChars="200"/>
        <w:rPr>
          <w:rFonts w:ascii="Times New Roman" w:hAnsi="Times New Roman" w:eastAsia="仿宋_GB2312" w:cs="Times New Roman"/>
          <w:sz w:val="32"/>
          <w:szCs w:val="32"/>
        </w:rPr>
      </w:pPr>
    </w:p>
    <w:p w14:paraId="0930FD3C">
      <w:pPr>
        <w:spacing w:line="360" w:lineRule="exact"/>
        <w:ind w:firstLine="640" w:firstLineChars="200"/>
        <w:rPr>
          <w:rFonts w:ascii="Times New Roman" w:hAnsi="Times New Roman" w:eastAsia="仿宋_GB2312" w:cs="Times New Roman"/>
          <w:sz w:val="32"/>
          <w:szCs w:val="32"/>
        </w:rPr>
      </w:pPr>
    </w:p>
    <w:p w14:paraId="00021C5A">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《人力资源社会保障部办公厅 国家税务总局办公厅关于特困行业阶段性实施缓缴企业社会保险费政策的通知》（人社厅发〔2022〕16号）</w:t>
      </w:r>
    </w:p>
    <w:p w14:paraId="0B9EB86D">
      <w:pPr>
        <w:spacing w:line="360" w:lineRule="exact"/>
        <w:ind w:firstLine="640" w:firstLineChars="200"/>
        <w:rPr>
          <w:rFonts w:ascii="Times New Roman" w:hAnsi="Times New Roman" w:eastAsia="仿宋_GB2312" w:cs="Times New Roman"/>
          <w:sz w:val="32"/>
          <w:szCs w:val="32"/>
        </w:rPr>
      </w:pPr>
    </w:p>
    <w:p w14:paraId="56D59C65">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《关于做好失业保险稳岗位提技能防失业工作有关事项的通知》（冀人社规[2022]7号）</w:t>
      </w:r>
    </w:p>
    <w:p w14:paraId="310DA946">
      <w:pPr>
        <w:spacing w:line="360" w:lineRule="exact"/>
        <w:ind w:firstLine="640" w:firstLineChars="200"/>
        <w:rPr>
          <w:rFonts w:ascii="Times New Roman" w:hAnsi="Times New Roman" w:eastAsia="仿宋_GB2312" w:cs="Times New Roman"/>
          <w:sz w:val="32"/>
          <w:szCs w:val="32"/>
        </w:rPr>
      </w:pPr>
    </w:p>
    <w:p w14:paraId="2F599BC2">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《关于特困行业阶段性实施缓缴企业社会保险费政策有关事项的通知》（冀人社规[2022]8号）</w:t>
      </w:r>
    </w:p>
    <w:p w14:paraId="4E50D7E7">
      <w:pPr>
        <w:pStyle w:val="2"/>
        <w:rPr>
          <w:rFonts w:ascii="Times New Roman" w:hAnsi="Times New Roman" w:eastAsia="方正黑体_GBK" w:cs="Times New Roman"/>
          <w:b w:val="0"/>
          <w:bCs w:val="0"/>
        </w:rPr>
      </w:pPr>
      <w:bookmarkStart w:id="16" w:name="_Toc106962401"/>
      <w:r>
        <w:rPr>
          <w:rFonts w:ascii="Times New Roman" w:hAnsi="Times New Roman" w:eastAsia="方正黑体_GBK" w:cs="Times New Roman"/>
          <w:b w:val="0"/>
          <w:bCs w:val="0"/>
        </w:rPr>
        <w:t>二、2022年展期政策（14项）</w:t>
      </w:r>
      <w:bookmarkEnd w:id="16"/>
    </w:p>
    <w:p w14:paraId="4A0CBA0A">
      <w:pPr>
        <w:pStyle w:val="3"/>
        <w:rPr>
          <w:rFonts w:ascii="Times New Roman" w:hAnsi="Times New Roman" w:eastAsia="方正仿宋_GBK" w:cs="Times New Roman"/>
          <w:lang w:eastAsia="zh-CN"/>
        </w:rPr>
      </w:pPr>
      <w:bookmarkStart w:id="17" w:name="_Toc106962402"/>
      <w:r>
        <w:rPr>
          <w:rFonts w:ascii="Times New Roman" w:hAnsi="Times New Roman" w:eastAsia="方正仿宋_GBK" w:cs="Times New Roman"/>
          <w:lang w:eastAsia="zh-CN"/>
        </w:rPr>
        <w:t>1.生产性服务业纳税人进项税额加计抵减</w:t>
      </w:r>
      <w:bookmarkEnd w:id="17"/>
    </w:p>
    <w:p w14:paraId="42ACFE7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E7F49A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生产性服务业纳税人</w:t>
      </w:r>
    </w:p>
    <w:p w14:paraId="58026FC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AB2F07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2019年4月1日至202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w:t>
      </w:r>
      <w:r>
        <w:rPr>
          <w:rFonts w:hint="eastAsia" w:ascii="Times New Roman" w:hAnsi="Times New Roman" w:eastAsia="仿宋_GB2312" w:cs="Times New Roman"/>
          <w:color w:val="000000" w:themeColor="text1"/>
          <w:sz w:val="32"/>
          <w:szCs w:val="32"/>
        </w:rPr>
        <w:t>允许</w:t>
      </w:r>
      <w:r>
        <w:rPr>
          <w:rFonts w:ascii="Times New Roman" w:hAnsi="Times New Roman" w:eastAsia="仿宋_GB2312" w:cs="Times New Roman"/>
          <w:color w:val="000000" w:themeColor="text1"/>
          <w:sz w:val="32"/>
          <w:szCs w:val="32"/>
        </w:rPr>
        <w:t>生产</w:t>
      </w:r>
      <w:r>
        <w:rPr>
          <w:rFonts w:hint="eastAsia" w:ascii="Times New Roman" w:hAnsi="Times New Roman" w:eastAsia="仿宋_GB2312" w:cs="Times New Roman"/>
          <w:color w:val="000000" w:themeColor="text1"/>
          <w:sz w:val="32"/>
          <w:szCs w:val="32"/>
        </w:rPr>
        <w:t>性</w:t>
      </w:r>
      <w:r>
        <w:rPr>
          <w:rFonts w:ascii="Times New Roman" w:hAnsi="Times New Roman" w:eastAsia="仿宋_GB2312" w:cs="Times New Roman"/>
          <w:color w:val="000000" w:themeColor="text1"/>
          <w:sz w:val="32"/>
          <w:szCs w:val="32"/>
        </w:rPr>
        <w:t>服务业纳税人按照当期可抵扣进项税额加计10%，抵减应纳税额。生产性服务业纳税人是指提供邮政服务、电信服务、现代服务取得</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销售额占</w:t>
      </w:r>
      <w:r>
        <w:rPr>
          <w:rFonts w:hint="eastAsia" w:ascii="Times New Roman" w:hAnsi="Times New Roman" w:eastAsia="仿宋_GB2312" w:cs="Times New Roman"/>
          <w:color w:val="000000" w:themeColor="text1"/>
          <w:sz w:val="32"/>
          <w:szCs w:val="32"/>
        </w:rPr>
        <w:t>全部销售额的比重</w:t>
      </w:r>
      <w:r>
        <w:rPr>
          <w:rFonts w:ascii="Times New Roman" w:hAnsi="Times New Roman" w:eastAsia="仿宋_GB2312" w:cs="Times New Roman"/>
          <w:color w:val="000000" w:themeColor="text1"/>
          <w:sz w:val="32"/>
          <w:szCs w:val="32"/>
        </w:rPr>
        <w:t>超</w:t>
      </w:r>
      <w:r>
        <w:rPr>
          <w:rFonts w:ascii="Times New Roman" w:hAnsi="Times New Roman" w:eastAsia="仿宋_GB2312" w:cs="Times New Roman"/>
          <w:sz w:val="32"/>
          <w:szCs w:val="32"/>
        </w:rPr>
        <w:t>过50%的纳税人。</w:t>
      </w:r>
    </w:p>
    <w:p w14:paraId="6BEDCFC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A8FA1D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5E24F0A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《财政部 税务总局关于促进服务业领域困难行业纾困发展有关增值税政策的公告财政部公告》（财政部 税务总局公告2022年第11号）</w:t>
      </w:r>
    </w:p>
    <w:p w14:paraId="73B407CA">
      <w:pPr>
        <w:pStyle w:val="3"/>
        <w:rPr>
          <w:rFonts w:ascii="Times New Roman" w:hAnsi="Times New Roman" w:eastAsia="方正仿宋_GBK" w:cs="Times New Roman"/>
          <w:lang w:eastAsia="zh-CN"/>
        </w:rPr>
      </w:pPr>
      <w:bookmarkStart w:id="18" w:name="_Toc106962403"/>
      <w:r>
        <w:rPr>
          <w:rFonts w:ascii="Times New Roman" w:hAnsi="Times New Roman" w:eastAsia="方正仿宋_GBK" w:cs="Times New Roman"/>
          <w:lang w:eastAsia="zh-CN"/>
        </w:rPr>
        <w:t>2.生活性服务业纳税人进项税额加计抵减</w:t>
      </w:r>
      <w:bookmarkEnd w:id="18"/>
    </w:p>
    <w:p w14:paraId="7DBD3DF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DF7C05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生活性服务业纳税人</w:t>
      </w:r>
    </w:p>
    <w:p w14:paraId="40B15D7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6EC111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2019年10月1日至202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，允许生活性服务业纳税人按照当期可抵扣进项税额加计15%，抵减应纳税额</w:t>
      </w:r>
      <w:r>
        <w:rPr>
          <w:rFonts w:hint="eastAsia" w:ascii="Times New Roman" w:hAnsi="Times New Roman" w:eastAsia="仿宋_GB2312" w:cs="Times New Roman"/>
          <w:b/>
          <w:color w:val="FF0000"/>
          <w:sz w:val="32"/>
          <w:szCs w:val="32"/>
        </w:rPr>
        <w:t>。</w:t>
      </w:r>
      <w:r>
        <w:rPr>
          <w:rFonts w:ascii="Times New Roman" w:hAnsi="Times New Roman" w:eastAsia="仿宋_GB2312" w:cs="Times New Roman"/>
          <w:sz w:val="32"/>
          <w:szCs w:val="32"/>
        </w:rPr>
        <w:t>生活服务业包括文化体育、教育医疗、旅游娱乐、餐饮住宿、居民日常服务和其他生活服务。</w:t>
      </w:r>
    </w:p>
    <w:p w14:paraId="267A86D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668BF3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税务总局关于明确生活性服务业增值税加计抵减政策的公告》（财政部 税务总局公告2019年第87号）</w:t>
      </w:r>
    </w:p>
    <w:p w14:paraId="448DA8E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《财政部 税务总局关于促进服务业领域困难行业纾困发展有关增值税政策的公告财政部公告》（财政部 税务总局公告2022年第11号）</w:t>
      </w:r>
    </w:p>
    <w:p w14:paraId="6D6F3449">
      <w:pPr>
        <w:pStyle w:val="3"/>
        <w:rPr>
          <w:rFonts w:ascii="Times New Roman" w:hAnsi="Times New Roman" w:eastAsia="方正仿宋_GBK" w:cs="Times New Roman"/>
          <w:lang w:eastAsia="zh-CN"/>
        </w:rPr>
      </w:pPr>
      <w:bookmarkStart w:id="19" w:name="_Toc106962404"/>
      <w:r>
        <w:rPr>
          <w:rFonts w:ascii="Times New Roman" w:hAnsi="Times New Roman" w:eastAsia="方正仿宋_GBK" w:cs="Times New Roman"/>
          <w:lang w:eastAsia="zh-CN"/>
        </w:rPr>
        <w:t>3.延续施行全年一次性奖金等个人所得税优惠</w:t>
      </w:r>
      <w:bookmarkEnd w:id="19"/>
    </w:p>
    <w:p w14:paraId="48B8755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3BA7E5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14:paraId="2F854F1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800E47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（1）居民取得全年一次性奖金，符合规定的，2023年12月31日</w:t>
      </w:r>
      <w:r>
        <w:rPr>
          <w:rFonts w:ascii="Times New Roman" w:hAnsi="Times New Roman" w:eastAsia="仿宋_GB2312" w:cs="Times New Roman"/>
          <w:color w:val="000000" w:themeColor="text1"/>
          <w:sz w:val="32"/>
          <w:szCs w:val="32"/>
        </w:rPr>
        <w:t>前</w:t>
      </w:r>
      <w:r>
        <w:rPr>
          <w:rFonts w:hint="eastAsia" w:ascii="Times New Roman" w:hAnsi="Times New Roman" w:eastAsia="仿宋_GB2312" w:cs="Times New Roman"/>
          <w:color w:val="000000" w:themeColor="text1"/>
          <w:sz w:val="32"/>
          <w:szCs w:val="32"/>
        </w:rPr>
        <w:t>可以选择</w:t>
      </w:r>
      <w:r>
        <w:rPr>
          <w:rFonts w:ascii="Times New Roman" w:hAnsi="Times New Roman" w:eastAsia="仿宋_GB2312" w:cs="Times New Roman"/>
          <w:color w:val="000000" w:themeColor="text1"/>
          <w:sz w:val="32"/>
          <w:szCs w:val="32"/>
        </w:rPr>
        <w:t>不</w:t>
      </w:r>
      <w:r>
        <w:rPr>
          <w:rFonts w:ascii="Times New Roman" w:hAnsi="Times New Roman" w:eastAsia="仿宋_GB2312" w:cs="Times New Roman"/>
          <w:sz w:val="32"/>
          <w:szCs w:val="32"/>
        </w:rPr>
        <w:t>并入当年综合所得，以全年一次性奖金收入除以12月得到的数额，按照税率表单独计算纳税。</w:t>
      </w:r>
    </w:p>
    <w:p w14:paraId="76D0317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（2）延续实施外籍个人津补贴、中央企业负责人任期激励单独计税等优惠政策至2023年12月31日。</w:t>
      </w:r>
    </w:p>
    <w:p w14:paraId="48C2DF8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84FA8C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税务总局关于个人所得税法修改后有关优惠政策衔接问题的通知》（财税〔2018〕164号）</w:t>
      </w:r>
    </w:p>
    <w:p w14:paraId="41956BB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税务总局关于延续实施全年一次性奖金等个人所得税优惠政策的公告》（财政部 税务总局公告2021年第42号）</w:t>
      </w:r>
    </w:p>
    <w:p w14:paraId="562ABCE9">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税务总局关于延续实施外籍个人津补贴等有关个人所得税优惠政策的公告》（财政部 税务总局公告2021年第43号）</w:t>
      </w:r>
    </w:p>
    <w:p w14:paraId="2B582F34">
      <w:pPr>
        <w:pStyle w:val="3"/>
        <w:rPr>
          <w:rFonts w:ascii="Times New Roman" w:hAnsi="Times New Roman" w:eastAsia="方正仿宋_GBK" w:cs="Times New Roman"/>
          <w:lang w:eastAsia="zh-CN"/>
        </w:rPr>
      </w:pPr>
      <w:bookmarkStart w:id="20" w:name="_Toc106962405"/>
      <w:r>
        <w:rPr>
          <w:rFonts w:ascii="Times New Roman" w:hAnsi="Times New Roman" w:eastAsia="方正仿宋_GBK" w:cs="Times New Roman"/>
          <w:lang w:eastAsia="zh-CN"/>
        </w:rPr>
        <w:t>4.延续施行个税汇算清缴政策</w:t>
      </w:r>
      <w:bookmarkEnd w:id="20"/>
    </w:p>
    <w:p w14:paraId="6654E1E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B22A12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14:paraId="14280A5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BDE436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，继续对年收入不超过12万元且需补税或年度汇算补税额不超过400元的免予补税</w:t>
      </w:r>
      <w:r>
        <w:rPr>
          <w:rFonts w:hint="eastAsia" w:ascii="Times New Roman" w:hAnsi="Times New Roman" w:eastAsia="仿宋_GB2312" w:cs="Times New Roman"/>
          <w:sz w:val="32"/>
          <w:szCs w:val="32"/>
        </w:rPr>
        <w:t>。</w:t>
      </w:r>
    </w:p>
    <w:p w14:paraId="40DD736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4F0B19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《财政部 税务总局关于个人所得税综合所得汇算清缴涉及有关政策问题的公告》（财政部 税务总局公告2019年第94号）  </w:t>
      </w:r>
    </w:p>
    <w:p w14:paraId="7A95285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税务总局关于延续实施全年一次性奖金等个人所得税优惠政策的公告》（财政部 税务总局公告2021年第42号）</w:t>
      </w:r>
    </w:p>
    <w:p w14:paraId="5013BFD3">
      <w:pPr>
        <w:pStyle w:val="3"/>
        <w:rPr>
          <w:rFonts w:ascii="Times New Roman" w:hAnsi="Times New Roman" w:eastAsia="方正仿宋_GBK" w:cs="Times New Roman"/>
          <w:lang w:eastAsia="zh-CN"/>
        </w:rPr>
      </w:pPr>
      <w:bookmarkStart w:id="21" w:name="_Toc106962406"/>
      <w:r>
        <w:rPr>
          <w:rFonts w:ascii="Times New Roman" w:hAnsi="Times New Roman" w:eastAsia="方正仿宋_GBK" w:cs="Times New Roman"/>
          <w:lang w:eastAsia="zh-CN"/>
        </w:rPr>
        <w:t>5.上市公司股权激励单独计税政策</w:t>
      </w:r>
      <w:bookmarkEnd w:id="21"/>
    </w:p>
    <w:p w14:paraId="3EEE640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D9A2CC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14:paraId="7114211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2822B1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，居民个人取得股票期权、股票增值权、限制性股票、股权奖励等股权激励，符合规定的，不并入当年综合所得，全额单独适用综合所得税率表，计算纳税。</w:t>
      </w:r>
    </w:p>
    <w:p w14:paraId="17B4D29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A75F03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税务总局关于个人所得税法修改后有关优惠政策衔接问题的通知》（财税〔2018〕164号）</w:t>
      </w:r>
    </w:p>
    <w:p w14:paraId="5ADD0E7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《财政部 税务总局关于延续实施全年一次性奖金等个人所得税优惠政策的公告》（财政部 税务总局公告2021年第42号）</w:t>
      </w:r>
    </w:p>
    <w:p w14:paraId="631B2E96">
      <w:pPr>
        <w:pStyle w:val="3"/>
        <w:rPr>
          <w:rFonts w:ascii="Times New Roman" w:hAnsi="Times New Roman" w:eastAsia="方正仿宋_GBK" w:cs="Times New Roman"/>
          <w:lang w:eastAsia="zh-CN"/>
        </w:rPr>
      </w:pPr>
      <w:bookmarkStart w:id="22" w:name="_Toc106962407"/>
      <w:r>
        <w:rPr>
          <w:rFonts w:ascii="Times New Roman" w:hAnsi="Times New Roman" w:eastAsia="方正仿宋_GBK" w:cs="Times New Roman"/>
          <w:lang w:eastAsia="zh-CN"/>
        </w:rPr>
        <w:t>6. 科技企业孵化器、大学科技园、众创空间免征增值税等政策</w:t>
      </w:r>
      <w:bookmarkEnd w:id="22"/>
    </w:p>
    <w:p w14:paraId="09EFF66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2E1383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符合条件的科技企业孵化器、大学科技园和众创空间企业</w:t>
      </w:r>
    </w:p>
    <w:p w14:paraId="672B9E8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33A91E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w:t>
      </w:r>
      <w:r>
        <w:rPr>
          <w:rFonts w:ascii="Times New Roman" w:hAnsi="Times New Roman" w:eastAsia="仿宋_GB2312" w:cs="Times New Roman"/>
          <w:color w:val="000000" w:themeColor="text1"/>
          <w:sz w:val="32"/>
          <w:szCs w:val="32"/>
        </w:rPr>
        <w:t>2023年12月31日</w:t>
      </w:r>
      <w:r>
        <w:rPr>
          <w:rFonts w:ascii="Times New Roman" w:hAnsi="Times New Roman" w:eastAsia="仿宋_GB2312" w:cs="Times New Roman"/>
          <w:sz w:val="32"/>
          <w:szCs w:val="32"/>
        </w:rPr>
        <w:t>，免征符合条件的科技企业孵化器、大学科技园和众创空间孵化服务增值税，对其自用及提供给在孵对象使用的房产、土地免征房产税和城镇土地使用税。</w:t>
      </w:r>
    </w:p>
    <w:p w14:paraId="0CE48E0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AB2552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科技部 教育部关于科技企业孵化器 大学科技园和众创空间税收政策的通知》（财税〔2018〕120号）</w:t>
      </w:r>
    </w:p>
    <w:p w14:paraId="3673742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14:paraId="2E56B7BA">
      <w:pPr>
        <w:pStyle w:val="3"/>
        <w:rPr>
          <w:rFonts w:ascii="Times New Roman" w:hAnsi="Times New Roman" w:eastAsia="方正仿宋_GBK" w:cs="Times New Roman"/>
          <w:lang w:eastAsia="zh-CN"/>
        </w:rPr>
      </w:pPr>
      <w:bookmarkStart w:id="23" w:name="_Toc106962408"/>
      <w:r>
        <w:rPr>
          <w:rFonts w:ascii="Times New Roman" w:hAnsi="Times New Roman" w:eastAsia="方正仿宋_GBK" w:cs="Times New Roman"/>
          <w:lang w:eastAsia="zh-CN"/>
        </w:rPr>
        <w:t>7. 延续执行创业投资企业和天使投资个人投资初创科技型企业有关政策条件</w:t>
      </w:r>
      <w:bookmarkEnd w:id="23"/>
    </w:p>
    <w:p w14:paraId="0B76D3C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18A0AF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公司制创业投资企业、有限合伙制创业投资企业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天使投资个人</w:t>
      </w:r>
    </w:p>
    <w:p w14:paraId="559ACD1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23B0BD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自2022年1月1日至2023年12月31日,创业投资企业、天使投资个人采取股权投资方式直接投资于</w:t>
      </w:r>
      <w:r>
        <w:rPr>
          <w:rFonts w:hint="eastAsia" w:ascii="Times New Roman" w:hAnsi="Times New Roman" w:eastAsia="仿宋_GB2312" w:cs="Times New Roman"/>
          <w:sz w:val="32"/>
          <w:szCs w:val="32"/>
        </w:rPr>
        <w:t>种子期、</w:t>
      </w:r>
      <w:r>
        <w:rPr>
          <w:rFonts w:ascii="Times New Roman" w:hAnsi="Times New Roman" w:eastAsia="仿宋_GB2312" w:cs="Times New Roman"/>
          <w:sz w:val="32"/>
          <w:szCs w:val="32"/>
        </w:rPr>
        <w:t>初创科技型企业</w:t>
      </w:r>
      <w:r>
        <w:rPr>
          <w:rFonts w:hint="eastAsia" w:ascii="Times New Roman" w:hAnsi="Times New Roman" w:eastAsia="仿宋_GB2312" w:cs="Times New Roman"/>
          <w:sz w:val="32"/>
          <w:szCs w:val="32"/>
        </w:rPr>
        <w:t>；有限合伙制创业投资企业、天使投资个人采取股权投资方式直接投资于初创科技型企业</w:t>
      </w:r>
      <w:r>
        <w:rPr>
          <w:rFonts w:ascii="Times New Roman" w:hAnsi="Times New Roman" w:eastAsia="仿宋_GB2312" w:cs="Times New Roman"/>
          <w:sz w:val="32"/>
          <w:szCs w:val="32"/>
        </w:rPr>
        <w:t>满2年的，可以按照投资额的70%抵扣转让该初创科技型企业股权取得的应纳税所得额。初创科技型企业按从业人数不超过300人、资产总额和年销售收入均不超过5000万元执行。</w:t>
      </w:r>
    </w:p>
    <w:p w14:paraId="3FB5817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1263D0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税务总局关于创业投资企业和天使投资个人有关税收政策的通知》（财税〔2018〕55号）</w:t>
      </w:r>
    </w:p>
    <w:p w14:paraId="11656F5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税务总局关于延续执行创业投资企业和天使投资个人投资初创科技型企业有关政策条件的公告》（财政部 税务总局公告2022年第6号）</w:t>
      </w:r>
    </w:p>
    <w:p w14:paraId="16E9CC26">
      <w:pPr>
        <w:pStyle w:val="3"/>
        <w:rPr>
          <w:rFonts w:ascii="Times New Roman" w:hAnsi="Times New Roman" w:eastAsia="方正仿宋_GBK" w:cs="Times New Roman"/>
          <w:lang w:eastAsia="zh-CN"/>
        </w:rPr>
      </w:pPr>
      <w:bookmarkStart w:id="24" w:name="_Toc106962409"/>
      <w:r>
        <w:rPr>
          <w:rFonts w:ascii="Times New Roman" w:hAnsi="Times New Roman" w:eastAsia="方正仿宋_GBK" w:cs="Times New Roman"/>
          <w:lang w:eastAsia="zh-CN"/>
        </w:rPr>
        <w:t>8. 退役士兵创业就业优惠政策</w:t>
      </w:r>
      <w:bookmarkEnd w:id="24"/>
    </w:p>
    <w:p w14:paraId="68EB382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3BC4D4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退役士兵及</w:t>
      </w:r>
      <w:r>
        <w:rPr>
          <w:rFonts w:hint="eastAsia" w:ascii="Times New Roman" w:hAnsi="Times New Roman" w:eastAsia="仿宋_GB2312" w:cs="Times New Roman"/>
          <w:sz w:val="32"/>
          <w:szCs w:val="32"/>
        </w:rPr>
        <w:t>招用退役士兵的企业</w:t>
      </w:r>
    </w:p>
    <w:p w14:paraId="4C5F7D4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CCAD98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w:t>
      </w:r>
      <w:r>
        <w:rPr>
          <w:rFonts w:hint="eastAsia" w:ascii="Times New Roman" w:hAnsi="Times New Roman" w:eastAsia="仿宋_GB2312" w:cs="Times New Roman"/>
          <w:sz w:val="32"/>
          <w:szCs w:val="32"/>
        </w:rPr>
        <w:t>至2023年12月31日</w:t>
      </w:r>
      <w:r>
        <w:rPr>
          <w:rFonts w:ascii="Times New Roman" w:hAnsi="Times New Roman" w:eastAsia="仿宋_GB2312" w:cs="Times New Roman"/>
          <w:sz w:val="32"/>
          <w:szCs w:val="32"/>
        </w:rPr>
        <w:t>，自主就业退役士兵从事个体经营的，在3年内按每户每年14400元为限额依次扣减其当年实际应缴纳的增值税等税费。企业招用自主就业退役士兵，在3年内每人每年按9000元定额依次扣减增值税等税费。</w:t>
      </w:r>
    </w:p>
    <w:p w14:paraId="6C017FE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AE0F14A">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 退役军人部关于进一步扶持自主就业退役士兵创业就业有关税收政策的通知》（财税〔2019〕21号）</w:t>
      </w:r>
    </w:p>
    <w:p w14:paraId="36B9493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《河北省财政厅等</w:t>
      </w:r>
      <w:r>
        <w:rPr>
          <w:rFonts w:hint="eastAsia" w:ascii="Times New Roman" w:hAnsi="Times New Roman" w:eastAsia="仿宋_GB2312" w:cs="Times New Roman"/>
          <w:sz w:val="32"/>
          <w:szCs w:val="32"/>
        </w:rPr>
        <w:t>三部门关于进一步扶持自主就业退役士兵创业就业有关税收政策</w:t>
      </w:r>
      <w:r>
        <w:rPr>
          <w:rFonts w:ascii="Times New Roman" w:hAnsi="Times New Roman" w:eastAsia="仿宋_GB2312" w:cs="Times New Roman"/>
          <w:sz w:val="32"/>
          <w:szCs w:val="32"/>
        </w:rPr>
        <w:t>的通知》（冀财</w:t>
      </w:r>
      <w:r>
        <w:rPr>
          <w:rFonts w:ascii="Times New Roman" w:hAnsi="Times New Roman" w:eastAsia="仿宋_GB2312" w:cs="Times New Roman"/>
          <w:color w:val="000000" w:themeColor="text1"/>
          <w:sz w:val="32"/>
          <w:szCs w:val="32"/>
        </w:rPr>
        <w:t>税〔201</w:t>
      </w:r>
      <w:r>
        <w:rPr>
          <w:rFonts w:hint="eastAsia" w:ascii="Times New Roman" w:hAnsi="Times New Roman" w:eastAsia="仿宋_GB2312" w:cs="Times New Roman"/>
          <w:color w:val="000000" w:themeColor="text1"/>
          <w:sz w:val="32"/>
          <w:szCs w:val="32"/>
        </w:rPr>
        <w:t>9</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 xml:space="preserve">号） </w:t>
      </w:r>
    </w:p>
    <w:p w14:paraId="2D48766F">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税务总局关于延长部分税收优惠政策执行期限的公告》（财政部 税务总局公告2022年第4号）</w:t>
      </w:r>
    </w:p>
    <w:p w14:paraId="7FD73B5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《河北省财政厅等三部门关于延续执行扶持自主就业退役士兵创业就业有关税收政策的通知》冀财税〔2022〕6号</w:t>
      </w:r>
    </w:p>
    <w:p w14:paraId="5CEA9C21">
      <w:pPr>
        <w:pStyle w:val="3"/>
        <w:rPr>
          <w:rFonts w:ascii="Times New Roman" w:hAnsi="Times New Roman" w:eastAsia="方正仿宋_GBK" w:cs="Times New Roman"/>
          <w:lang w:eastAsia="zh-CN"/>
        </w:rPr>
      </w:pPr>
      <w:bookmarkStart w:id="25" w:name="_Toc106962410"/>
      <w:r>
        <w:rPr>
          <w:rFonts w:ascii="Times New Roman" w:hAnsi="Times New Roman" w:eastAsia="方正仿宋_GBK" w:cs="Times New Roman"/>
          <w:lang w:eastAsia="zh-CN"/>
        </w:rPr>
        <w:t>9. 符合条件的农产品批发市场、农贸市场暂免征收房产税和城镇土地使用税</w:t>
      </w:r>
      <w:bookmarkEnd w:id="25"/>
    </w:p>
    <w:p w14:paraId="2623AB6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85C4E5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农产品批发市场、农贸市场</w:t>
      </w:r>
    </w:p>
    <w:p w14:paraId="4E19104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2BBC6F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，对农产品批发市场、农贸市场专门用于经营农产品的房产、土地，暂免征收房产税和城镇土地使用税。</w:t>
      </w:r>
    </w:p>
    <w:p w14:paraId="615F742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72AB3C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税务总局关于继续实行农产品批发市场 农贸市场房产税 城镇土地使用税优惠政策的通知》（财税〔2019〕12号）</w:t>
      </w:r>
    </w:p>
    <w:p w14:paraId="47B5D20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14:paraId="13801A6A">
      <w:pPr>
        <w:pStyle w:val="3"/>
        <w:rPr>
          <w:rFonts w:ascii="Times New Roman" w:hAnsi="Times New Roman" w:eastAsia="方正仿宋_GBK" w:cs="Times New Roman"/>
          <w:lang w:eastAsia="zh-CN"/>
        </w:rPr>
      </w:pPr>
      <w:bookmarkStart w:id="26" w:name="_Toc106962411"/>
      <w:r>
        <w:rPr>
          <w:rFonts w:ascii="Times New Roman" w:hAnsi="Times New Roman" w:eastAsia="方正仿宋_GBK" w:cs="Times New Roman"/>
          <w:lang w:eastAsia="zh-CN"/>
        </w:rPr>
        <w:t>10. 符合条件的城市公交、客运、轨道交通运营用地暂免征城镇土地使用税</w:t>
      </w:r>
      <w:bookmarkEnd w:id="26"/>
    </w:p>
    <w:p w14:paraId="55BD753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C9D80D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城市公交</w:t>
      </w:r>
      <w:r>
        <w:rPr>
          <w:rFonts w:hint="eastAsia" w:ascii="Times New Roman" w:hAnsi="Times New Roman" w:eastAsia="仿宋_GB2312" w:cs="Times New Roman"/>
          <w:sz w:val="32"/>
          <w:szCs w:val="32"/>
        </w:rPr>
        <w:t>站场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道路</w:t>
      </w:r>
      <w:r>
        <w:rPr>
          <w:rFonts w:ascii="Times New Roman" w:hAnsi="Times New Roman" w:eastAsia="仿宋_GB2312" w:cs="Times New Roman"/>
          <w:sz w:val="32"/>
          <w:szCs w:val="32"/>
        </w:rPr>
        <w:t>客运</w:t>
      </w:r>
      <w:r>
        <w:rPr>
          <w:rFonts w:hint="eastAsia" w:ascii="Times New Roman" w:hAnsi="Times New Roman" w:eastAsia="仿宋_GB2312" w:cs="Times New Roman"/>
          <w:sz w:val="32"/>
          <w:szCs w:val="32"/>
        </w:rPr>
        <w:t>站场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城市</w:t>
      </w:r>
      <w:r>
        <w:rPr>
          <w:rFonts w:ascii="Times New Roman" w:hAnsi="Times New Roman" w:eastAsia="仿宋_GB2312" w:cs="Times New Roman"/>
          <w:sz w:val="32"/>
          <w:szCs w:val="32"/>
        </w:rPr>
        <w:t>轨道交通</w:t>
      </w:r>
      <w:r>
        <w:rPr>
          <w:rFonts w:hint="eastAsia" w:ascii="Times New Roman" w:hAnsi="Times New Roman" w:eastAsia="仿宋_GB2312" w:cs="Times New Roman"/>
          <w:sz w:val="32"/>
          <w:szCs w:val="32"/>
        </w:rPr>
        <w:t>系统</w:t>
      </w:r>
    </w:p>
    <w:p w14:paraId="238E35F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170289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，对城市公交、客运、轨道交通运营用地，免征城镇土地使用税。</w:t>
      </w:r>
    </w:p>
    <w:p w14:paraId="6647C7F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2CAF1E3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税务总局关于继续对城市公交站场道路客运站场、城市轨道交通系统减免城镇土地使用税优惠政策的通知》（财税〔2019〕11号）</w:t>
      </w:r>
    </w:p>
    <w:p w14:paraId="7A7D179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14:paraId="32CFEAA5">
      <w:pPr>
        <w:pStyle w:val="3"/>
        <w:rPr>
          <w:rFonts w:ascii="Times New Roman" w:hAnsi="Times New Roman" w:eastAsia="方正仿宋_GBK" w:cs="Times New Roman"/>
          <w:lang w:eastAsia="zh-CN"/>
        </w:rPr>
      </w:pPr>
      <w:bookmarkStart w:id="27" w:name="_Toc106962412"/>
      <w:r>
        <w:rPr>
          <w:rFonts w:ascii="Times New Roman" w:hAnsi="Times New Roman" w:eastAsia="方正仿宋_GBK" w:cs="Times New Roman"/>
          <w:lang w:eastAsia="zh-CN"/>
        </w:rPr>
        <w:t>11. 参加</w:t>
      </w:r>
      <w:r>
        <w:rPr>
          <w:rFonts w:ascii="Times New Roman" w:hAnsi="Times New Roman" w:eastAsia="方正仿宋_GBK" w:cs="Times New Roman"/>
          <w:color w:val="000000" w:themeColor="text1"/>
          <w:lang w:eastAsia="zh-CN"/>
        </w:rPr>
        <w:t>疫情防</w:t>
      </w:r>
      <w:r>
        <w:rPr>
          <w:rFonts w:hint="eastAsia" w:ascii="Times New Roman" w:hAnsi="Times New Roman" w:eastAsia="方正仿宋_GBK" w:cs="Times New Roman"/>
          <w:color w:val="000000" w:themeColor="text1"/>
          <w:lang w:eastAsia="zh-CN"/>
        </w:rPr>
        <w:t>治</w:t>
      </w:r>
      <w:r>
        <w:rPr>
          <w:rFonts w:ascii="Times New Roman" w:hAnsi="Times New Roman" w:eastAsia="方正仿宋_GBK" w:cs="Times New Roman"/>
          <w:color w:val="000000" w:themeColor="text1"/>
          <w:lang w:eastAsia="zh-CN"/>
        </w:rPr>
        <w:t>工</w:t>
      </w:r>
      <w:r>
        <w:rPr>
          <w:rFonts w:ascii="Times New Roman" w:hAnsi="Times New Roman" w:eastAsia="方正仿宋_GBK" w:cs="Times New Roman"/>
          <w:lang w:eastAsia="zh-CN"/>
        </w:rPr>
        <w:t>作的医务人员和防疫工作者取得的相关补助和奖金免征个人所得税</w:t>
      </w:r>
      <w:bookmarkEnd w:id="27"/>
    </w:p>
    <w:p w14:paraId="5ED3D39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F9B8A0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疫情</w:t>
      </w:r>
      <w:r>
        <w:rPr>
          <w:rFonts w:ascii="Times New Roman" w:hAnsi="Times New Roman" w:eastAsia="仿宋_GB2312" w:cs="Times New Roman"/>
          <w:color w:val="000000" w:themeColor="text1"/>
          <w:sz w:val="32"/>
          <w:szCs w:val="32"/>
        </w:rPr>
        <w:t>防</w:t>
      </w:r>
      <w:r>
        <w:rPr>
          <w:rFonts w:hint="eastAsia" w:ascii="Times New Roman" w:hAnsi="Times New Roman" w:eastAsia="仿宋_GB2312" w:cs="Times New Roman"/>
          <w:color w:val="000000" w:themeColor="text1"/>
          <w:sz w:val="32"/>
          <w:szCs w:val="32"/>
        </w:rPr>
        <w:t>治</w:t>
      </w:r>
      <w:r>
        <w:rPr>
          <w:rFonts w:ascii="Times New Roman" w:hAnsi="Times New Roman" w:eastAsia="仿宋_GB2312" w:cs="Times New Roman"/>
          <w:sz w:val="32"/>
          <w:szCs w:val="32"/>
        </w:rPr>
        <w:t>工作的医务人员和防疫工作者</w:t>
      </w:r>
    </w:p>
    <w:p w14:paraId="687DB4A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26F685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参加疫情防治工作的医务人员和防疫工作者按政府规定标准取得的临时性工作补助和奖金，免征个人所得税。单位发给个人用于预防新型冠状病毒感染的肺炎的药品、医疗用品和防护用品等实物（不包括现金），不计入工资、薪金收入，免征个人所得税。</w:t>
      </w:r>
    </w:p>
    <w:p w14:paraId="099ACFE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ACC061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税务总局关于支持新型冠状病毒感染的肺炎疫情防控有关个人所得税政策的公告》（财政部 税务总局公告2020年第10号）</w:t>
      </w:r>
    </w:p>
    <w:p w14:paraId="405BCB6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14:paraId="1F6FFB12">
      <w:pPr>
        <w:pStyle w:val="3"/>
        <w:rPr>
          <w:rFonts w:ascii="Times New Roman" w:hAnsi="Times New Roman" w:eastAsia="方正仿宋_GBK" w:cs="Times New Roman"/>
          <w:lang w:eastAsia="zh-CN"/>
        </w:rPr>
      </w:pPr>
      <w:bookmarkStart w:id="28" w:name="_Toc106962413"/>
      <w:r>
        <w:rPr>
          <w:rFonts w:ascii="Times New Roman" w:hAnsi="Times New Roman" w:eastAsia="方正仿宋_GBK" w:cs="Times New Roman"/>
          <w:lang w:eastAsia="zh-CN"/>
        </w:rPr>
        <w:t>12. 高校学生公寓免征房产税印花税</w:t>
      </w:r>
      <w:bookmarkEnd w:id="28"/>
    </w:p>
    <w:p w14:paraId="2F0F7B0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541D7D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高校学生公寓经营企业</w:t>
      </w:r>
    </w:p>
    <w:p w14:paraId="35BD4DC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1D977D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月31日</w:t>
      </w:r>
      <w:r>
        <w:rPr>
          <w:rFonts w:ascii="Times New Roman" w:hAnsi="Times New Roman" w:eastAsia="仿宋_GB2312" w:cs="Times New Roman"/>
          <w:sz w:val="32"/>
          <w:szCs w:val="32"/>
        </w:rPr>
        <w:t>，对高校学生公寓免征房产税，对与高校学生签订的高校学生公寓租赁合同，免征印花税。</w:t>
      </w:r>
    </w:p>
    <w:p w14:paraId="1666C03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485F22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税务总局关于高校学生公寓房产税 印花税政策的通知》（财税〔2019〕14号）</w:t>
      </w:r>
    </w:p>
    <w:p w14:paraId="607CC2E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14:paraId="07AAF596">
      <w:pPr>
        <w:pStyle w:val="3"/>
        <w:rPr>
          <w:rFonts w:ascii="Times New Roman" w:hAnsi="Times New Roman" w:eastAsia="方正仿宋_GBK" w:cs="Times New Roman"/>
          <w:lang w:eastAsia="zh-CN"/>
        </w:rPr>
      </w:pPr>
      <w:bookmarkStart w:id="29" w:name="_Toc106962414"/>
      <w:r>
        <w:rPr>
          <w:rFonts w:ascii="Times New Roman" w:hAnsi="Times New Roman" w:eastAsia="方正仿宋_GBK" w:cs="Times New Roman"/>
          <w:lang w:eastAsia="zh-CN"/>
        </w:rPr>
        <w:t>13. 国家储备商品免征房产税城镇土地使用税</w:t>
      </w:r>
      <w:bookmarkEnd w:id="29"/>
    </w:p>
    <w:p w14:paraId="1D9403F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07FD3D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商品储备管理公司及其直属库</w:t>
      </w:r>
    </w:p>
    <w:p w14:paraId="757CB18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BC39DC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年12月31日，对</w:t>
      </w:r>
      <w:r>
        <w:rPr>
          <w:rFonts w:hint="eastAsia" w:ascii="Times New Roman" w:hAnsi="Times New Roman" w:eastAsia="仿宋_GB2312" w:cs="Times New Roman"/>
          <w:sz w:val="32"/>
          <w:szCs w:val="32"/>
        </w:rPr>
        <w:t>符合条件的</w:t>
      </w:r>
      <w:r>
        <w:rPr>
          <w:rFonts w:ascii="Times New Roman" w:hAnsi="Times New Roman" w:eastAsia="仿宋_GB2312" w:cs="Times New Roman"/>
          <w:sz w:val="32"/>
          <w:szCs w:val="32"/>
        </w:rPr>
        <w:t>商品储备管理公司及其直属库资金账簿免征印花税，对其承担商品储备业务过程中书立的购销合同免征印花税</w:t>
      </w:r>
      <w:r>
        <w:rPr>
          <w:rFonts w:hint="eastAsia" w:ascii="Times New Roman" w:hAnsi="Times New Roman" w:eastAsia="仿宋_GB2312" w:cs="Times New Roman"/>
          <w:sz w:val="32"/>
          <w:szCs w:val="32"/>
        </w:rPr>
        <w:t>；对其</w:t>
      </w:r>
      <w:r>
        <w:rPr>
          <w:rFonts w:ascii="Times New Roman" w:hAnsi="Times New Roman" w:eastAsia="仿宋_GB2312" w:cs="Times New Roman"/>
          <w:sz w:val="32"/>
          <w:szCs w:val="32"/>
        </w:rPr>
        <w:t>自用的承担商品储备业务的房产、土地，免征房产税、城镇土地使用税。</w:t>
      </w:r>
    </w:p>
    <w:p w14:paraId="6DFBF05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8F243E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税务总局关于部分国家储备商品有关税收政策的公告》（财政部 税务总局公告2019年第77号）</w:t>
      </w:r>
    </w:p>
    <w:p w14:paraId="5D58850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《财政部 税务总局关于延续执行部分国家商品储备税收优惠政策的公告》（财政部 税务总局公告2022年第8号）  </w:t>
      </w:r>
    </w:p>
    <w:p w14:paraId="79AB355B">
      <w:pPr>
        <w:pStyle w:val="3"/>
        <w:rPr>
          <w:rFonts w:ascii="Times New Roman" w:hAnsi="Times New Roman" w:eastAsia="方正仿宋_GBK" w:cs="Times New Roman"/>
          <w:lang w:eastAsia="zh-CN"/>
        </w:rPr>
      </w:pPr>
      <w:bookmarkStart w:id="30" w:name="_Toc106962415"/>
      <w:r>
        <w:rPr>
          <w:rFonts w:ascii="Times New Roman" w:hAnsi="Times New Roman" w:eastAsia="方正仿宋_GBK" w:cs="Times New Roman"/>
          <w:lang w:eastAsia="zh-CN"/>
        </w:rPr>
        <w:t>14. 符合条件的从事污染防治的第三方企业减按15%的税率征收企业所得税</w:t>
      </w:r>
      <w:bookmarkEnd w:id="30"/>
    </w:p>
    <w:p w14:paraId="47055CB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55DFD3D">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w:t>
      </w:r>
      <w:r>
        <w:rPr>
          <w:rFonts w:hint="eastAsia" w:ascii="Times New Roman" w:hAnsi="Times New Roman" w:eastAsia="仿宋_GB2312" w:cs="Times New Roman"/>
          <w:color w:val="000000" w:themeColor="text1"/>
          <w:sz w:val="32"/>
          <w:szCs w:val="32"/>
        </w:rPr>
        <w:t>从事</w:t>
      </w:r>
      <w:r>
        <w:rPr>
          <w:rFonts w:ascii="Times New Roman" w:hAnsi="Times New Roman" w:eastAsia="仿宋_GB2312" w:cs="Times New Roman"/>
          <w:sz w:val="32"/>
          <w:szCs w:val="32"/>
        </w:rPr>
        <w:t>污染防治的第三方企业</w:t>
      </w:r>
    </w:p>
    <w:p w14:paraId="1300358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AFB1AF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2019年1月1日起至202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年12月31日，对符合条件的从事污染防治的第三方企业减按15%的税率征收企业所得税。</w:t>
      </w:r>
    </w:p>
    <w:p w14:paraId="087862A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2DE4AA1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国家发展改革委 生态环境部　　关于从事污染防治的第三方企业所得税政策问题的公告》（财政部公告2019年第60号）</w:t>
      </w:r>
    </w:p>
    <w:p w14:paraId="4802EF1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14:paraId="79FF61D9">
      <w:pPr>
        <w:pStyle w:val="2"/>
        <w:rPr>
          <w:rFonts w:ascii="Times New Roman" w:hAnsi="Times New Roman" w:eastAsia="方正黑体_GBK" w:cs="Times New Roman"/>
          <w:b w:val="0"/>
          <w:bCs w:val="0"/>
        </w:rPr>
      </w:pPr>
      <w:bookmarkStart w:id="31" w:name="_Toc106962416"/>
      <w:r>
        <w:rPr>
          <w:rFonts w:ascii="Times New Roman" w:hAnsi="Times New Roman" w:eastAsia="方正黑体_GBK" w:cs="Times New Roman"/>
          <w:b w:val="0"/>
          <w:bCs w:val="0"/>
        </w:rPr>
        <w:t>三、</w:t>
      </w:r>
      <w:bookmarkStart w:id="32" w:name="_Toc75786923"/>
      <w:r>
        <w:rPr>
          <w:rFonts w:ascii="Times New Roman" w:hAnsi="Times New Roman" w:eastAsia="方正黑体_GBK" w:cs="Times New Roman"/>
          <w:b w:val="0"/>
          <w:bCs w:val="0"/>
        </w:rPr>
        <w:t>2019年以来现行有效政策（31项）</w:t>
      </w:r>
      <w:bookmarkEnd w:id="31"/>
    </w:p>
    <w:p w14:paraId="0E1DAAA4">
      <w:pPr>
        <w:pStyle w:val="3"/>
        <w:rPr>
          <w:rFonts w:ascii="Times New Roman" w:hAnsi="Times New Roman" w:eastAsia="仿宋_GB2312" w:cs="Times New Roman"/>
          <w:lang w:eastAsia="zh-CN"/>
        </w:rPr>
      </w:pPr>
      <w:bookmarkStart w:id="33" w:name="_Toc106962417"/>
      <w:r>
        <w:rPr>
          <w:rFonts w:ascii="Times New Roman" w:hAnsi="Times New Roman" w:eastAsia="方正仿宋_GBK" w:cs="Times New Roman"/>
          <w:lang w:eastAsia="zh-CN"/>
        </w:rPr>
        <w:t xml:space="preserve">1. </w:t>
      </w:r>
      <w:r>
        <w:rPr>
          <w:rFonts w:ascii="Times New Roman" w:hAnsi="Times New Roman" w:eastAsia="仿宋_GB2312" w:cs="Times New Roman"/>
          <w:lang w:eastAsia="zh-CN"/>
        </w:rPr>
        <w:t>降低增值税税率</w:t>
      </w:r>
      <w:bookmarkEnd w:id="33"/>
    </w:p>
    <w:p w14:paraId="7090327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F3D40F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14:paraId="19C4423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354D74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w:t>
      </w:r>
    </w:p>
    <w:p w14:paraId="4743992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（1）将制造业等行业现行16%的税率</w:t>
      </w:r>
      <w:r>
        <w:rPr>
          <w:rFonts w:hint="eastAsia" w:ascii="Times New Roman" w:hAnsi="Times New Roman" w:eastAsia="仿宋_GB2312" w:cs="Times New Roman"/>
          <w:color w:val="000000" w:themeColor="text1"/>
          <w:sz w:val="32"/>
          <w:szCs w:val="32"/>
        </w:rPr>
        <w:t>降</w:t>
      </w:r>
      <w:r>
        <w:rPr>
          <w:rFonts w:ascii="Times New Roman" w:hAnsi="Times New Roman" w:eastAsia="仿宋_GB2312" w:cs="Times New Roman"/>
          <w:sz w:val="32"/>
          <w:szCs w:val="32"/>
        </w:rPr>
        <w:t>至13%，将交通运输业、建筑业等行业现行10%的税率</w:t>
      </w:r>
      <w:r>
        <w:rPr>
          <w:rFonts w:hint="eastAsia" w:ascii="Times New Roman" w:hAnsi="Times New Roman" w:eastAsia="仿宋_GB2312" w:cs="Times New Roman"/>
          <w:color w:val="000000" w:themeColor="text1"/>
          <w:sz w:val="32"/>
          <w:szCs w:val="32"/>
        </w:rPr>
        <w:t>降</w:t>
      </w:r>
      <w:r>
        <w:rPr>
          <w:rFonts w:ascii="Times New Roman" w:hAnsi="Times New Roman" w:eastAsia="仿宋_GB2312" w:cs="Times New Roman"/>
          <w:sz w:val="32"/>
          <w:szCs w:val="32"/>
        </w:rPr>
        <w:t>至9%；</w:t>
      </w:r>
    </w:p>
    <w:p w14:paraId="6A178A1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（2）纳税人购进农产品，原适用10%扣除率的，扣除率调整为9%。纳税人购进用于生产或者委托加工13%税率货物的农产品，按照10%的扣除率计算进项税额；</w:t>
      </w:r>
    </w:p>
    <w:p w14:paraId="26A9E5B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（3）原适用16%税率且出口退税率为16%的出口货物劳务，出口退税率调整为13%；原适用10%税率且出口退税率为10%的出口货物、跨境应税行为，出口退税率调整为9%。</w:t>
      </w:r>
    </w:p>
    <w:p w14:paraId="472FFA8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5E389B4">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6C5909EE">
      <w:pPr>
        <w:pStyle w:val="3"/>
        <w:rPr>
          <w:rFonts w:ascii="Times New Roman" w:hAnsi="Times New Roman" w:eastAsia="仿宋_GB2312" w:cs="Times New Roman"/>
          <w:lang w:eastAsia="zh-CN"/>
        </w:rPr>
      </w:pPr>
      <w:bookmarkStart w:id="34" w:name="_Toc106962418"/>
      <w:bookmarkStart w:id="35" w:name="_Toc75786938"/>
      <w:r>
        <w:rPr>
          <w:rFonts w:ascii="Times New Roman" w:hAnsi="Times New Roman" w:eastAsia="仿宋_GB2312" w:cs="Times New Roman"/>
          <w:lang w:eastAsia="zh-CN"/>
        </w:rPr>
        <w:t>2.将不动产分两年抵扣改为一次性全额抵扣</w:t>
      </w:r>
      <w:bookmarkEnd w:id="34"/>
      <w:bookmarkEnd w:id="35"/>
    </w:p>
    <w:p w14:paraId="29D5953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32BC5D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14:paraId="3D1A9DF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5FBCAF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自2019年4月1日起，纳税人取得不动产或者不动产在建工程的进项税额不再分2年抵扣。此前按照上述规定尚未抵扣完毕的待抵扣进项税额，可自2019年4月税款所属期起从销项税额中抵扣。</w:t>
      </w:r>
    </w:p>
    <w:p w14:paraId="1705DF1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BC4C1D3">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180F0563">
      <w:pPr>
        <w:pStyle w:val="3"/>
        <w:rPr>
          <w:rFonts w:ascii="Times New Roman" w:hAnsi="Times New Roman" w:eastAsia="仿宋_GB2312" w:cs="Times New Roman"/>
          <w:lang w:eastAsia="zh-CN"/>
        </w:rPr>
      </w:pPr>
      <w:bookmarkStart w:id="36" w:name="_Toc75786939"/>
      <w:bookmarkStart w:id="37" w:name="_Toc106962419"/>
      <w:r>
        <w:rPr>
          <w:rFonts w:ascii="Times New Roman" w:hAnsi="Times New Roman" w:eastAsia="仿宋_GB2312" w:cs="Times New Roman"/>
          <w:lang w:eastAsia="zh-CN"/>
        </w:rPr>
        <w:t>3.国内旅客运输服务纳入进项税额抵扣范围</w:t>
      </w:r>
      <w:bookmarkEnd w:id="36"/>
      <w:bookmarkEnd w:id="37"/>
    </w:p>
    <w:p w14:paraId="77D8110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137C51F">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14:paraId="392BA0D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1E4567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自2019年4月1日起，纳税人购进国内旅客运输服务，其进项税额允许从销项税额中抵扣。</w:t>
      </w:r>
    </w:p>
    <w:p w14:paraId="7DCD612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1C356AE">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4C75C7AB">
      <w:pPr>
        <w:pStyle w:val="3"/>
        <w:rPr>
          <w:rFonts w:ascii="Times New Roman" w:hAnsi="Times New Roman" w:eastAsia="仿宋_GB2312" w:cs="Times New Roman"/>
          <w:lang w:eastAsia="zh-CN"/>
        </w:rPr>
      </w:pPr>
      <w:bookmarkStart w:id="38" w:name="_Toc106962420"/>
      <w:bookmarkStart w:id="39" w:name="_Toc75786941"/>
      <w:r>
        <w:rPr>
          <w:rFonts w:ascii="Times New Roman" w:hAnsi="Times New Roman" w:eastAsia="仿宋_GB2312" w:cs="Times New Roman"/>
          <w:lang w:eastAsia="zh-CN"/>
        </w:rPr>
        <w:t>4.增值税期末留抵税额退税</w:t>
      </w:r>
      <w:bookmarkEnd w:id="38"/>
      <w:bookmarkEnd w:id="39"/>
    </w:p>
    <w:p w14:paraId="6313499A">
      <w:pPr>
        <w:spacing w:line="360" w:lineRule="exact"/>
        <w:ind w:firstLine="640" w:firstLineChars="200"/>
        <w:rPr>
          <w:rFonts w:ascii="Times New Roman" w:hAnsi="Times New Roman" w:eastAsia="仿宋_GB2312" w:cs="Times New Roman"/>
          <w:sz w:val="32"/>
          <w:szCs w:val="32"/>
        </w:rPr>
      </w:pPr>
      <w:bookmarkStart w:id="40" w:name="_Toc75786942"/>
      <w:r>
        <w:rPr>
          <w:rFonts w:ascii="Times New Roman" w:hAnsi="Times New Roman" w:eastAsia="仿宋_GB2312" w:cs="Times New Roman"/>
          <w:sz w:val="32"/>
          <w:szCs w:val="32"/>
        </w:rPr>
        <w:t>【享受主体】</w:t>
      </w:r>
    </w:p>
    <w:p w14:paraId="1E35B058">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14:paraId="3124B35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F5BEC0E">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w:t>
      </w:r>
      <w:r>
        <w:rPr>
          <w:rFonts w:hint="eastAsia" w:ascii="Times New Roman" w:hAnsi="Times New Roman" w:eastAsia="仿宋_GB2312" w:cs="Times New Roman"/>
          <w:color w:val="000000" w:themeColor="text1"/>
          <w:sz w:val="32"/>
          <w:szCs w:val="32"/>
        </w:rPr>
        <w:t>试</w:t>
      </w:r>
      <w:r>
        <w:rPr>
          <w:rFonts w:ascii="Times New Roman" w:hAnsi="Times New Roman" w:eastAsia="仿宋_GB2312" w:cs="Times New Roman"/>
          <w:sz w:val="32"/>
          <w:szCs w:val="32"/>
        </w:rPr>
        <w:t>行增值税期末留抵税额退税制度，符合条件的纳税人，可以向主管税务机关申请退还增量留抵税额：</w:t>
      </w:r>
    </w:p>
    <w:p w14:paraId="3E61FA63">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①自2019年4月税款所属期起，连续六个月（按季纳税的，连续两个季度）增量留抵税额均大于零，且第六个月增量留抵税额不低于50万元；</w:t>
      </w:r>
    </w:p>
    <w:p w14:paraId="5F1FAB44">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②纳税信用等级为A级或者B级；</w:t>
      </w:r>
    </w:p>
    <w:p w14:paraId="43E73478">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③申请退税前36个月未发生骗取留抵退税、出口退税或虚开增值税专用发票情形的；</w:t>
      </w:r>
    </w:p>
    <w:p w14:paraId="65302E62">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④申请退税前36个月未因偷税被税务机关处罚两次及以上的；</w:t>
      </w:r>
    </w:p>
    <w:p w14:paraId="62940714">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⑤自2019年4月1日起未享受即征即退、先征后返（退）政策的。</w:t>
      </w:r>
    </w:p>
    <w:p w14:paraId="58666E3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26892227">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1378F8E0">
      <w:pPr>
        <w:pStyle w:val="3"/>
        <w:rPr>
          <w:rFonts w:ascii="Times New Roman" w:hAnsi="Times New Roman" w:eastAsia="仿宋_GB2312" w:cs="Times New Roman"/>
          <w:lang w:eastAsia="zh-CN"/>
        </w:rPr>
      </w:pPr>
      <w:bookmarkStart w:id="41" w:name="_Toc106962421"/>
      <w:r>
        <w:rPr>
          <w:rFonts w:ascii="Times New Roman" w:hAnsi="Times New Roman" w:eastAsia="仿宋_GB2312" w:cs="Times New Roman"/>
          <w:lang w:eastAsia="zh-CN"/>
        </w:rPr>
        <w:t>5.个人所得税增加专项附加扣除</w:t>
      </w:r>
      <w:bookmarkEnd w:id="40"/>
      <w:bookmarkEnd w:id="41"/>
    </w:p>
    <w:p w14:paraId="3D0F271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1D44A1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14:paraId="61FBD97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260D75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自2019年1月1日起，在个税免征额提高至每月5000元的基础上，增加子女教育、继续教育、大病医疗、住房贷款利息、住房租金、赡养老人等6项专项附加扣除。</w:t>
      </w:r>
    </w:p>
    <w:p w14:paraId="36F1DC7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B1AC75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《个人所得税法》</w:t>
      </w:r>
    </w:p>
    <w:p w14:paraId="5CF5DE20">
      <w:pPr>
        <w:pStyle w:val="3"/>
        <w:rPr>
          <w:rFonts w:ascii="Times New Roman" w:hAnsi="Times New Roman" w:eastAsia="仿宋_GB2312" w:cs="Times New Roman"/>
          <w:lang w:eastAsia="zh-CN"/>
        </w:rPr>
      </w:pPr>
      <w:bookmarkStart w:id="42" w:name="_Toc106962422"/>
      <w:bookmarkStart w:id="43" w:name="_Toc75786926"/>
      <w:r>
        <w:rPr>
          <w:rFonts w:hint="eastAsia" w:ascii="Times New Roman" w:hAnsi="Times New Roman" w:eastAsia="仿宋_GB2312" w:cs="Times New Roman"/>
          <w:lang w:eastAsia="zh-CN"/>
        </w:rPr>
        <w:t>6</w:t>
      </w:r>
      <w:r>
        <w:rPr>
          <w:rFonts w:ascii="Times New Roman" w:hAnsi="Times New Roman" w:eastAsia="仿宋_GB2312" w:cs="Times New Roman"/>
          <w:lang w:eastAsia="zh-CN"/>
        </w:rPr>
        <w:t>.延长高新技术企业和科技型中小企业亏损结转年限</w:t>
      </w:r>
      <w:bookmarkEnd w:id="42"/>
      <w:bookmarkEnd w:id="43"/>
    </w:p>
    <w:p w14:paraId="65676ED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0D8BBF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高新技术企业和科技型中小企业</w:t>
      </w:r>
    </w:p>
    <w:p w14:paraId="6D6E2BF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F4AEFB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自2018年1月1日起，当年具备高新技术企业或科技型中小企业资格的企业，其具备资格年度之前5个年度发生的尚未弥补完的亏损，准予结转以后年度弥补，最长结转年限由5年延长至10年。</w:t>
      </w:r>
    </w:p>
    <w:p w14:paraId="12BCCA67">
      <w:pPr>
        <w:spacing w:line="3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【政策依据】</w:t>
      </w:r>
    </w:p>
    <w:p w14:paraId="292E6EB7">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税务总局关于延长高新技术企业和科技型中小企业亏损结转年限的通知》（财税〔2018〕76号）</w:t>
      </w:r>
    </w:p>
    <w:p w14:paraId="439D16F5">
      <w:pPr>
        <w:pStyle w:val="3"/>
        <w:rPr>
          <w:rFonts w:ascii="Times New Roman" w:hAnsi="Times New Roman" w:eastAsia="仿宋_GB2312" w:cs="Times New Roman"/>
          <w:lang w:eastAsia="zh-CN"/>
        </w:rPr>
      </w:pPr>
      <w:bookmarkStart w:id="44" w:name="_Toc106962423"/>
      <w:bookmarkStart w:id="45" w:name="_Toc75786927"/>
      <w:r>
        <w:rPr>
          <w:rFonts w:hint="eastAsia" w:ascii="Times New Roman" w:hAnsi="Times New Roman" w:eastAsia="仿宋_GB2312" w:cs="Times New Roman"/>
          <w:lang w:eastAsia="zh-CN"/>
        </w:rPr>
        <w:t>7</w:t>
      </w:r>
      <w:r>
        <w:rPr>
          <w:rFonts w:ascii="Times New Roman" w:hAnsi="Times New Roman" w:eastAsia="仿宋_GB2312" w:cs="Times New Roman"/>
          <w:lang w:eastAsia="zh-CN"/>
        </w:rPr>
        <w:t>.扩大固定资产加速折旧优惠的行业范围至全部制造业领域</w:t>
      </w:r>
      <w:bookmarkEnd w:id="44"/>
      <w:bookmarkEnd w:id="45"/>
    </w:p>
    <w:p w14:paraId="433AF25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D35DE8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制造业领域纳税人</w:t>
      </w:r>
    </w:p>
    <w:p w14:paraId="1D575A0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9EBA3E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自2019年1月1日起，适用财税〔2014〕75号和财税〔2015〕106号规定固定资产加速折旧优惠的行业范围，扩大至全部制造业领域。</w:t>
      </w:r>
    </w:p>
    <w:p w14:paraId="087B745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58CFC7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税务总局关于扩大固定资产加速折旧优惠政策适用范围的公告》(财政部 税务总局公告2019年第66号)</w:t>
      </w:r>
    </w:p>
    <w:p w14:paraId="24DC7BEA">
      <w:pPr>
        <w:pStyle w:val="3"/>
        <w:rPr>
          <w:rFonts w:ascii="Times New Roman" w:hAnsi="Times New Roman" w:eastAsia="仿宋_GB2312" w:cs="Times New Roman"/>
          <w:lang w:eastAsia="zh-CN"/>
        </w:rPr>
      </w:pPr>
      <w:bookmarkStart w:id="46" w:name="_Toc75786933"/>
      <w:bookmarkStart w:id="47" w:name="_Toc106962424"/>
      <w:r>
        <w:rPr>
          <w:rFonts w:hint="eastAsia" w:ascii="Times New Roman" w:hAnsi="Times New Roman" w:eastAsia="仿宋_GB2312" w:cs="Times New Roman"/>
          <w:lang w:eastAsia="zh-CN"/>
        </w:rPr>
        <w:t>8</w:t>
      </w:r>
      <w:r>
        <w:rPr>
          <w:rFonts w:ascii="Times New Roman" w:hAnsi="Times New Roman" w:eastAsia="仿宋_GB2312" w:cs="Times New Roman"/>
          <w:lang w:eastAsia="zh-CN"/>
        </w:rPr>
        <w:t>.对单位或个体工商户捐赠扶贫货物暂免征增值税</w:t>
      </w:r>
      <w:bookmarkEnd w:id="46"/>
      <w:bookmarkEnd w:id="47"/>
    </w:p>
    <w:p w14:paraId="359B708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C4704C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符合条件的单位或个体工商户</w:t>
      </w:r>
    </w:p>
    <w:p w14:paraId="6DE62A5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2F1829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w:t>
      </w:r>
      <w:r>
        <w:rPr>
          <w:rFonts w:hint="eastAsia" w:ascii="Times New Roman" w:hAnsi="Times New Roman" w:eastAsia="仿宋_GB2312" w:cs="Times New Roman"/>
          <w:color w:val="000000" w:themeColor="text1"/>
          <w:sz w:val="32"/>
          <w:szCs w:val="32"/>
        </w:rPr>
        <w:t>2025</w:t>
      </w:r>
      <w:r>
        <w:rPr>
          <w:rFonts w:ascii="Times New Roman" w:hAnsi="Times New Roman" w:eastAsia="仿宋_GB2312" w:cs="Times New Roman"/>
          <w:color w:val="000000" w:themeColor="text1"/>
          <w:sz w:val="32"/>
          <w:szCs w:val="32"/>
        </w:rPr>
        <w:t>年</w:t>
      </w:r>
      <w:r>
        <w:rPr>
          <w:rFonts w:ascii="Times New Roman" w:hAnsi="Times New Roman" w:eastAsia="仿宋_GB2312" w:cs="Times New Roman"/>
          <w:sz w:val="32"/>
          <w:szCs w:val="32"/>
        </w:rPr>
        <w:t>12月31日，对单位或者个体工商户将自产、委托加工或购买的货物通过公益性社会组织、县级及以上人民政府及其组成部门和直属机构，或直接无偿捐赠给目标脱贫地区的单位和个人，免征增值税。</w:t>
      </w:r>
    </w:p>
    <w:p w14:paraId="033899E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AADC38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国务院扶贫办关于扶贫货物捐赠免征增值税政策的公告》（财政部 税务总局 国务院扶贫办公告2019年第55号）</w:t>
      </w:r>
    </w:p>
    <w:p w14:paraId="76FF3FAA">
      <w:pPr>
        <w:spacing w:line="360" w:lineRule="exact"/>
        <w:ind w:firstLine="640" w:firstLineChars="200"/>
        <w:rPr>
          <w:rFonts w:ascii="Times New Roman" w:hAnsi="Times New Roman" w:eastAsia="仿宋_GB2312" w:cs="Times New Roman"/>
          <w:color w:val="000000" w:themeColor="text1"/>
          <w:sz w:val="32"/>
          <w:szCs w:val="32"/>
        </w:rPr>
      </w:pPr>
      <w:r>
        <w:rPr>
          <w:rFonts w:hint="eastAsia" w:ascii="仿宋" w:hAnsi="仿宋" w:eastAsia="仿宋" w:cs="仿宋"/>
          <w:color w:val="000000" w:themeColor="text1"/>
          <w:sz w:val="32"/>
          <w:szCs w:val="32"/>
        </w:rPr>
        <w:t>《财政部 国家税务总局 国家乡村振兴局 人力资源和社会保障部关于延长部分扶贫税收优惠政策执行期限的公告》（财政部 税务总局 人力资源社会保障部 国家乡村振兴局公告2021年第18号）</w:t>
      </w:r>
    </w:p>
    <w:p w14:paraId="235A2AD4">
      <w:pPr>
        <w:pStyle w:val="3"/>
        <w:rPr>
          <w:rFonts w:ascii="Times New Roman" w:hAnsi="Times New Roman" w:eastAsia="仿宋_GB2312" w:cs="Times New Roman"/>
          <w:lang w:eastAsia="zh-CN"/>
        </w:rPr>
      </w:pPr>
      <w:bookmarkStart w:id="48" w:name="_Toc106962425"/>
      <w:r>
        <w:rPr>
          <w:rFonts w:hint="eastAsia" w:ascii="Times New Roman" w:hAnsi="Times New Roman" w:eastAsia="方正仿宋_GBK" w:cs="Times New Roman"/>
          <w:lang w:eastAsia="zh-CN"/>
        </w:rPr>
        <w:t>9</w:t>
      </w:r>
      <w:r>
        <w:rPr>
          <w:rFonts w:ascii="Times New Roman" w:hAnsi="Times New Roman" w:eastAsia="方正仿宋_GBK" w:cs="Times New Roman"/>
          <w:lang w:eastAsia="zh-CN"/>
        </w:rPr>
        <w:t>.</w:t>
      </w:r>
      <w:r>
        <w:rPr>
          <w:rFonts w:ascii="Times New Roman" w:hAnsi="Times New Roman" w:eastAsia="仿宋_GB2312" w:cs="Times New Roman"/>
          <w:lang w:eastAsia="zh-CN"/>
        </w:rPr>
        <w:t>延续文化体制改革中经营性文化事业单位转制为企业的若干税收减免政策</w:t>
      </w:r>
      <w:bookmarkEnd w:id="48"/>
    </w:p>
    <w:p w14:paraId="2FAB61A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BF39DC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转制为企业的经营性文化事业单位</w:t>
      </w:r>
    </w:p>
    <w:p w14:paraId="0912107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0B51DD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2023年12月31日，经营性文化事业单位转制为企业，自转制注册之日起五年内免征企业所得税。由财政部门拨付事业经费的文化单位转制为企业，自转制注册之日起五年内对其自用房产免征房产税。党报、党刊将其发行、印刷业务及相应的经营性资产剥离组建的文化企业，自注册之日起所取得的党报、党刊发行收入和印刷收入免征增值税。</w:t>
      </w:r>
    </w:p>
    <w:p w14:paraId="6B6926B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8BAE47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《关于继续实施文化体制改革中经营性文化事业单位转制为企业若干税收政策的通知》（财税〔2019〕16号）</w:t>
      </w:r>
    </w:p>
    <w:p w14:paraId="4605D82E">
      <w:pPr>
        <w:pStyle w:val="3"/>
        <w:rPr>
          <w:rFonts w:ascii="Times New Roman" w:hAnsi="Times New Roman" w:eastAsia="仿宋_GB2312" w:cs="Times New Roman"/>
          <w:lang w:eastAsia="zh-CN"/>
        </w:rPr>
      </w:pPr>
      <w:bookmarkStart w:id="49" w:name="_Toc75786946"/>
      <w:bookmarkStart w:id="50" w:name="_Toc106962426"/>
      <w:r>
        <w:rPr>
          <w:rFonts w:hint="eastAsia" w:ascii="Times New Roman" w:hAnsi="Times New Roman" w:eastAsia="仿宋_GB2312" w:cs="Times New Roman"/>
          <w:lang w:eastAsia="zh-CN"/>
        </w:rPr>
        <w:t>10</w:t>
      </w:r>
      <w:r>
        <w:rPr>
          <w:rFonts w:ascii="Times New Roman" w:hAnsi="Times New Roman" w:eastAsia="仿宋_GB2312" w:cs="Times New Roman"/>
          <w:lang w:eastAsia="zh-CN"/>
        </w:rPr>
        <w:t>.支持文化企业发展政策</w:t>
      </w:r>
      <w:bookmarkEnd w:id="49"/>
      <w:bookmarkEnd w:id="50"/>
    </w:p>
    <w:p w14:paraId="2B89433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A7622C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符合条件的文化企业</w:t>
      </w:r>
    </w:p>
    <w:p w14:paraId="2395841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C0A527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2023年12月31日，对电影主管部门（包括中央、省、地市及县级）按照各自职能权限批准从事电影制片、发行、放映的电影集团公司（含成员企业）、电影制片厂及其他电影企业取得的销售电影拷贝（含数字拷贝）收入、转让电影版权（包括转让和许可使用）收入、电影发行收入以及在农村取得的电影放映收入，免征增值税。对广播电视运营服务企业收取的有线数字电视基本收视维护费和农村有线电视基本收视费，免征增值税。</w:t>
      </w:r>
    </w:p>
    <w:p w14:paraId="3C21F05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A7270E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《关于继续实施支持文化企业发展增值税政策的通知》(财税〔2019〕17号)</w:t>
      </w:r>
    </w:p>
    <w:p w14:paraId="7E57E4D5">
      <w:pPr>
        <w:pStyle w:val="3"/>
        <w:rPr>
          <w:rFonts w:ascii="Times New Roman" w:hAnsi="Times New Roman" w:eastAsia="仿宋_GB2312" w:cs="Times New Roman"/>
          <w:lang w:eastAsia="zh-CN"/>
        </w:rPr>
      </w:pPr>
      <w:bookmarkStart w:id="51" w:name="_Toc106962427"/>
      <w:bookmarkStart w:id="52" w:name="_Toc75786947"/>
      <w:r>
        <w:rPr>
          <w:rFonts w:hint="eastAsia" w:ascii="Times New Roman" w:hAnsi="Times New Roman" w:eastAsia="仿宋_GB2312" w:cs="Times New Roman"/>
          <w:lang w:eastAsia="zh-CN"/>
        </w:rPr>
        <w:t>11</w:t>
      </w:r>
      <w:r>
        <w:rPr>
          <w:rFonts w:ascii="Times New Roman" w:hAnsi="Times New Roman" w:eastAsia="仿宋_GB2312" w:cs="Times New Roman"/>
          <w:lang w:eastAsia="zh-CN"/>
        </w:rPr>
        <w:t>.对个人或企业投资者三年内转让创新企业CDR免征个人所得税、企业所得税</w:t>
      </w:r>
      <w:bookmarkEnd w:id="51"/>
      <w:bookmarkEnd w:id="52"/>
    </w:p>
    <w:p w14:paraId="0BD64A9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652A21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三年内转让创新企业CDR的个人或企业投资者</w:t>
      </w:r>
    </w:p>
    <w:p w14:paraId="1C87606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BC5E0C2">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rPr>
        <w:t>自试点开始之日起，</w:t>
      </w:r>
      <w:r>
        <w:rPr>
          <w:rFonts w:ascii="Times New Roman" w:hAnsi="Times New Roman" w:eastAsia="仿宋_GB2312" w:cs="Times New Roman"/>
          <w:sz w:val="32"/>
          <w:szCs w:val="32"/>
        </w:rPr>
        <w:t>对个人投资者转让创新企业CDR（中国存托凭证）取得的差价收入暂免征收增值税，三年内免征个人所得税；对企业投资者转让创新企业CDR取得的差价所得和持有创新企业CDR取得的股息红利所得，按转让股票差价所得和持有股票的股息红利所得政策规定征免企业所得税，按金融商品转让政策规定征免增值税。</w:t>
      </w:r>
    </w:p>
    <w:p w14:paraId="29FB59B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6CA935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证监会关于创新企业境内发行存托凭证试点阶段有关税收政策的公告》(财政部 税务总局 证监会公告2019年第52号)</w:t>
      </w:r>
    </w:p>
    <w:p w14:paraId="775B5716">
      <w:pPr>
        <w:pStyle w:val="3"/>
        <w:rPr>
          <w:rFonts w:ascii="Times New Roman" w:hAnsi="Times New Roman" w:eastAsia="仿宋_GB2312" w:cs="Times New Roman"/>
          <w:lang w:eastAsia="zh-CN"/>
        </w:rPr>
      </w:pPr>
      <w:bookmarkStart w:id="53" w:name="_Toc106962428"/>
      <w:r>
        <w:rPr>
          <w:rFonts w:hint="eastAsia" w:ascii="Times New Roman" w:hAnsi="Times New Roman" w:eastAsia="仿宋_GB2312" w:cs="Times New Roman"/>
          <w:lang w:eastAsia="zh-CN"/>
        </w:rPr>
        <w:t>12</w:t>
      </w:r>
      <w:r>
        <w:rPr>
          <w:rFonts w:ascii="Times New Roman" w:hAnsi="Times New Roman" w:eastAsia="仿宋_GB2312" w:cs="Times New Roman"/>
          <w:lang w:eastAsia="zh-CN"/>
        </w:rPr>
        <w:t>.企业发行的永续债，可以适用股息、红利政策免征企业所得税</w:t>
      </w:r>
      <w:bookmarkEnd w:id="53"/>
    </w:p>
    <w:p w14:paraId="2DCA6FB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31C0E7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永续债发行方企业</w:t>
      </w:r>
    </w:p>
    <w:p w14:paraId="4413200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0BC21B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自2019年1月1日起，企业发行的永续债可以适用股息、红利政策免征企业所得税。</w:t>
      </w:r>
    </w:p>
    <w:p w14:paraId="292C251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AE237A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税务总局关于永续债企业所得税政策问题的公告》(财政部 税务总局公告2019年第64号)</w:t>
      </w:r>
    </w:p>
    <w:p w14:paraId="609DB897">
      <w:pPr>
        <w:pStyle w:val="3"/>
        <w:rPr>
          <w:rFonts w:ascii="Times New Roman" w:hAnsi="Times New Roman" w:eastAsia="仿宋_GB2312" w:cs="Times New Roman"/>
          <w:lang w:eastAsia="zh-CN"/>
        </w:rPr>
      </w:pPr>
      <w:bookmarkStart w:id="54" w:name="_Toc106962429"/>
      <w:bookmarkStart w:id="55" w:name="_Toc75786950"/>
      <w:r>
        <w:rPr>
          <w:rFonts w:hint="eastAsia" w:ascii="Times New Roman" w:hAnsi="Times New Roman" w:eastAsia="仿宋_GB2312" w:cs="Times New Roman"/>
          <w:lang w:eastAsia="zh-CN"/>
        </w:rPr>
        <w:t>13</w:t>
      </w:r>
      <w:r>
        <w:rPr>
          <w:rFonts w:ascii="Times New Roman" w:hAnsi="Times New Roman" w:eastAsia="仿宋_GB2312" w:cs="Times New Roman"/>
          <w:lang w:eastAsia="zh-CN"/>
        </w:rPr>
        <w:t>.对养老、托育、家政等社区家庭服务业免征、减征增值税、所得税、契税等</w:t>
      </w:r>
      <w:bookmarkEnd w:id="54"/>
      <w:bookmarkEnd w:id="55"/>
    </w:p>
    <w:p w14:paraId="0504FEC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29E9C3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提供养老、托育、家政等社区家庭服务业</w:t>
      </w:r>
    </w:p>
    <w:p w14:paraId="3A2D50D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2D7F88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6月1日至2025年12月31日，提供社区养老、托育、家政服务取得的收入，免征增值税；提供社区养老、托育、家政服务取得的收入，在计算应纳税所得额时，减按90%计入收入总额；承受房屋、土地用于提供社区养老、托育、家政服务的，免征契税；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为社区提供养老、托育、家政等服务的机构自有或其通过承租、无偿使用等方式取得并用于提供社区养老、托育、家政服务的房产、土地，免征房产税、城镇土地使用税。</w:t>
      </w:r>
      <w:r>
        <w:rPr>
          <w:rFonts w:hint="eastAsia" w:ascii="Times New Roman" w:hAnsi="Times New Roman" w:eastAsia="仿宋_GB2312" w:cs="Times New Roman"/>
          <w:sz w:val="32"/>
          <w:szCs w:val="32"/>
        </w:rPr>
        <w:t>对社会福利机构占用耕地，免征耕地占用税。</w:t>
      </w:r>
    </w:p>
    <w:p w14:paraId="0E2294C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43F445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发展改革委 民政部 商务部 卫生健康委关于养老、托育、家政等社区家庭服务业税费优惠政策的公告》（财政部 税务总局 发展改革委 民政部 商务部 卫生健康委公告2019年第76号）</w:t>
      </w:r>
    </w:p>
    <w:p w14:paraId="1BEA2EC7">
      <w:pPr>
        <w:pStyle w:val="3"/>
        <w:rPr>
          <w:rFonts w:ascii="Times New Roman" w:hAnsi="Times New Roman" w:eastAsia="仿宋_GB2312" w:cs="Times New Roman"/>
          <w:lang w:eastAsia="zh-CN"/>
        </w:rPr>
      </w:pPr>
      <w:bookmarkStart w:id="56" w:name="_Toc75786957"/>
      <w:bookmarkStart w:id="57" w:name="_Toc106962430"/>
      <w:r>
        <w:rPr>
          <w:rFonts w:hint="eastAsia" w:ascii="Times New Roman" w:hAnsi="Times New Roman" w:eastAsia="仿宋_GB2312" w:cs="Times New Roman"/>
          <w:lang w:eastAsia="zh-CN"/>
        </w:rPr>
        <w:t>14</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重点群体</w:t>
      </w:r>
      <w:r>
        <w:rPr>
          <w:rFonts w:ascii="Times New Roman" w:hAnsi="Times New Roman" w:eastAsia="仿宋_GB2312" w:cs="Times New Roman"/>
          <w:lang w:eastAsia="zh-CN"/>
        </w:rPr>
        <w:t>等创业就业税收优惠</w:t>
      </w:r>
      <w:bookmarkEnd w:id="56"/>
      <w:bookmarkEnd w:id="57"/>
    </w:p>
    <w:p w14:paraId="44C4FB0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DC92B6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建档立卡的贫困人口等</w:t>
      </w:r>
    </w:p>
    <w:p w14:paraId="511714C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12B231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2025年12月31日，建档立卡贫困人口、持《就业创业证》（注明“自主创业税收政策”或“毕业年度内自主创业税收政策”）或《就业失业登记证》（注明“自主创业税收政策”）的人员，从事个体经营的，自办理个体工商户登记当月起，在3年内按每户每年14400元为限额依次扣减其当年实际应缴纳的增值税、城市维护建设税、教育费附加、地方教育附加和个人所得税。企业招用建档立卡贫困人口，以及在人力资源和社会保障部门公共就业服务机构登记失业半年以上且持《就业创业证》或《就业失业登记证》（注明“企业吸纳税收政策”）的人员，与其签订1年以上期限劳动合同并依法缴纳社会保险费的，在3年内按实际招用人数予以定额依次扣减增值税、城市维护建设税、教育费附加、地方教育附加和企业所得税优惠。定额标准为每人每年7800元。</w:t>
      </w:r>
    </w:p>
    <w:p w14:paraId="12F4E2B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50A819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（1）《河北省财政厅等四部门关于转发&lt;财政部 税务总局 人力资源和社会保障部 国务院扶贫办关于进一步支持和促进重点群体创业就业有关税收政策的通知&gt;的通知》（冀财税〔2019〕22号）</w:t>
      </w:r>
    </w:p>
    <w:p w14:paraId="35FF9BF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（2）河北省财政厅等四部门《关于延长支持和促进重点群体创业就业有关税收政策的通知》（冀财税〔2021〕40号）</w:t>
      </w:r>
    </w:p>
    <w:p w14:paraId="77718B83">
      <w:pPr>
        <w:pStyle w:val="3"/>
        <w:rPr>
          <w:rFonts w:ascii="Times New Roman" w:hAnsi="Times New Roman" w:eastAsia="方正仿宋_GBK" w:cs="Times New Roman"/>
          <w:lang w:eastAsia="zh-CN"/>
        </w:rPr>
      </w:pPr>
      <w:bookmarkStart w:id="58" w:name="_Toc106962431"/>
      <w:r>
        <w:rPr>
          <w:rFonts w:hint="eastAsia" w:ascii="Times New Roman" w:hAnsi="Times New Roman" w:eastAsia="方正仿宋_GBK" w:cs="Times New Roman"/>
          <w:lang w:eastAsia="zh-CN"/>
        </w:rPr>
        <w:t>15</w:t>
      </w:r>
      <w:r>
        <w:rPr>
          <w:rFonts w:ascii="Times New Roman" w:hAnsi="Times New Roman" w:eastAsia="方正仿宋_GBK" w:cs="Times New Roman"/>
          <w:lang w:eastAsia="zh-CN"/>
        </w:rPr>
        <w:t>.提高部分产品出口退税率</w:t>
      </w:r>
      <w:bookmarkEnd w:id="58"/>
    </w:p>
    <w:p w14:paraId="3BA876E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104B84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出口企业</w:t>
      </w:r>
    </w:p>
    <w:p w14:paraId="3E39E33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A6121B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自2020年3月20日起，将瓷制卫生器具等1084项产品出口退税率提高至13%；将植物生长调节剂等380项产品出口退税率提高至9%。具体产品清单见《财政部 税务总局关于提高部分产品出口退税率的公告》（财政部 税务总局公告2020年第15号）附件《提高出口退税率的产品清单》。</w:t>
      </w:r>
    </w:p>
    <w:p w14:paraId="4BE8930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7E9AE1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税务总局关于提高部分产品出口退税率的公告》（财政部 税务总局公告2020年第15号）</w:t>
      </w:r>
    </w:p>
    <w:p w14:paraId="6EF39FE6">
      <w:pPr>
        <w:pStyle w:val="3"/>
        <w:rPr>
          <w:rFonts w:ascii="Times New Roman" w:hAnsi="Times New Roman" w:eastAsia="仿宋_GB2312" w:cs="Times New Roman"/>
          <w:lang w:eastAsia="zh-CN"/>
        </w:rPr>
      </w:pPr>
      <w:bookmarkStart w:id="59" w:name="_Toc106962432"/>
      <w:r>
        <w:rPr>
          <w:rFonts w:hint="eastAsia" w:ascii="Times New Roman" w:hAnsi="Times New Roman" w:eastAsia="方正仿宋_GBK" w:cs="Times New Roman"/>
          <w:lang w:eastAsia="zh-CN"/>
        </w:rPr>
        <w:t>16</w:t>
      </w:r>
      <w:r>
        <w:rPr>
          <w:rFonts w:ascii="Times New Roman" w:hAnsi="Times New Roman" w:eastAsia="方正仿宋_GBK" w:cs="Times New Roman"/>
          <w:lang w:eastAsia="zh-CN"/>
        </w:rPr>
        <w:t>.</w:t>
      </w:r>
      <w:r>
        <w:rPr>
          <w:rFonts w:ascii="Times New Roman" w:hAnsi="Times New Roman" w:eastAsia="仿宋_GB2312" w:cs="Times New Roman"/>
          <w:lang w:eastAsia="zh-CN"/>
        </w:rPr>
        <w:t>物流企业大宗商品仓储设施用地减半征收城镇土地使用税</w:t>
      </w:r>
      <w:bookmarkEnd w:id="59"/>
    </w:p>
    <w:p w14:paraId="43AC84B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177671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物流企业大宗商品仓储设施用地的城镇土地使用税纳税人</w:t>
      </w:r>
    </w:p>
    <w:p w14:paraId="2EFA025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39A53D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自2020年1月1日至2022年12月31日，对物流企业自有（包括自用和出租）或承租的大宗商品仓储设施用地，减按所属土地等级适用税额标准的50%计征城镇土地使用税。</w:t>
      </w:r>
    </w:p>
    <w:p w14:paraId="66AD4A7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0C5673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税务总局关于继续实施物流企业大宗商品仓储设施用地城镇土地使用税优惠政策的公告》（财政部 税务总局公告2020年第16号）</w:t>
      </w:r>
    </w:p>
    <w:p w14:paraId="09108035">
      <w:pPr>
        <w:pStyle w:val="3"/>
        <w:rPr>
          <w:rFonts w:ascii="Times New Roman" w:hAnsi="Times New Roman" w:eastAsia="方正仿宋_GBK" w:cs="Times New Roman"/>
          <w:lang w:eastAsia="zh-CN"/>
        </w:rPr>
      </w:pPr>
      <w:bookmarkStart w:id="60" w:name="_Toc75786930"/>
      <w:bookmarkStart w:id="61" w:name="_Toc106962433"/>
      <w:r>
        <w:rPr>
          <w:rFonts w:hint="eastAsia" w:ascii="Times New Roman" w:hAnsi="Times New Roman" w:eastAsia="方正仿宋_GBK" w:cs="Times New Roman"/>
          <w:lang w:eastAsia="zh-CN"/>
        </w:rPr>
        <w:t>17</w:t>
      </w:r>
      <w:r>
        <w:rPr>
          <w:rFonts w:ascii="Times New Roman" w:hAnsi="Times New Roman" w:eastAsia="方正仿宋_GBK" w:cs="Times New Roman"/>
          <w:lang w:eastAsia="zh-CN"/>
        </w:rPr>
        <w:t>.二手车经销企业销售旧车减征增值税</w:t>
      </w:r>
      <w:bookmarkEnd w:id="60"/>
      <w:bookmarkEnd w:id="61"/>
    </w:p>
    <w:p w14:paraId="057C133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5E6BE9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从事二手车经销的纳税人</w:t>
      </w:r>
    </w:p>
    <w:p w14:paraId="25EB7F6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4A4D36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自2020年5月1日至2023年12月31日，从事二手车经销的纳税人销售其收购的二手车，由原按照简易办法依3%征收率减按2%征收增值税，改为减按0.5%征收增值税，并按下列公式计算销售额：</w:t>
      </w:r>
    </w:p>
    <w:p w14:paraId="2B5F14C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销售额=含税销售额/（1+0.5%）</w:t>
      </w:r>
    </w:p>
    <w:p w14:paraId="1FD456E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DB068B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税务总局关于二手车经销有关增值税政策的公告》（财政部 税务总局公告2020年第17号）</w:t>
      </w:r>
    </w:p>
    <w:p w14:paraId="3A0E3C2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《国家税务总局关于明确二手车经销等若干增值税征管问题的公告》（国家税务总局公告2020年第9号）</w:t>
      </w:r>
    </w:p>
    <w:p w14:paraId="2C00D28F">
      <w:pPr>
        <w:pStyle w:val="3"/>
        <w:rPr>
          <w:rFonts w:ascii="Times New Roman" w:hAnsi="Times New Roman" w:eastAsia="仿宋_GB2312" w:cs="Times New Roman"/>
          <w:lang w:eastAsia="zh-CN"/>
        </w:rPr>
      </w:pPr>
      <w:bookmarkStart w:id="62" w:name="_Toc75786931"/>
      <w:bookmarkStart w:id="63" w:name="_Toc106962434"/>
      <w:r>
        <w:rPr>
          <w:rFonts w:hint="eastAsia" w:ascii="Times New Roman" w:hAnsi="Times New Roman" w:eastAsia="仿宋_GB2312" w:cs="Times New Roman"/>
          <w:lang w:eastAsia="zh-CN"/>
        </w:rPr>
        <w:t>18</w:t>
      </w:r>
      <w:r>
        <w:rPr>
          <w:rFonts w:ascii="Times New Roman" w:hAnsi="Times New Roman" w:eastAsia="仿宋_GB2312" w:cs="Times New Roman"/>
          <w:lang w:eastAsia="zh-CN"/>
        </w:rPr>
        <w:t>.延续实施新能源汽车免征车辆购置税政策</w:t>
      </w:r>
      <w:bookmarkEnd w:id="62"/>
      <w:bookmarkEnd w:id="63"/>
    </w:p>
    <w:p w14:paraId="5FB2E76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9C65BA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购置新能源汽车的单位和个人</w:t>
      </w:r>
    </w:p>
    <w:p w14:paraId="48B6EC6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8B199F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2018年1月1日至</w:t>
      </w:r>
      <w:r>
        <w:rPr>
          <w:rFonts w:ascii="Times New Roman" w:hAnsi="Times New Roman" w:eastAsia="仿宋_GB2312" w:cs="Times New Roman"/>
          <w:sz w:val="32"/>
          <w:szCs w:val="32"/>
          <w:highlight w:val="yellow"/>
        </w:rPr>
        <w:t>202</w:t>
      </w:r>
      <w:r>
        <w:rPr>
          <w:rFonts w:hint="eastAsia" w:ascii="Times New Roman" w:hAnsi="Times New Roman" w:eastAsia="仿宋_GB2312" w:cs="Times New Roman"/>
          <w:sz w:val="32"/>
          <w:szCs w:val="32"/>
          <w:highlight w:val="yellow"/>
        </w:rPr>
        <w:t>3</w:t>
      </w:r>
      <w:r>
        <w:rPr>
          <w:rFonts w:ascii="Times New Roman" w:hAnsi="Times New Roman" w:eastAsia="仿宋_GB2312" w:cs="Times New Roman"/>
          <w:sz w:val="32"/>
          <w:szCs w:val="32"/>
        </w:rPr>
        <w:t>年12月31日，对列入《免征车辆购置税的新能源汽车车型目录》（以下简称《目录》）的新能源汽车，免征车辆购置税。《目录》详见工业和信息化部和税务总局公告。</w:t>
      </w:r>
      <w:r>
        <w:rPr>
          <w:rFonts w:ascii="Times New Roman" w:hAnsi="Times New Roman" w:eastAsia="仿宋_GB2312" w:cs="Times New Roman"/>
          <w:sz w:val="32"/>
          <w:szCs w:val="32"/>
          <w:highlight w:val="yellow"/>
        </w:rPr>
        <w:t>20</w:t>
      </w:r>
      <w:r>
        <w:rPr>
          <w:rFonts w:hint="eastAsia" w:ascii="Times New Roman" w:hAnsi="Times New Roman" w:eastAsia="仿宋_GB2312" w:cs="Times New Roman"/>
          <w:sz w:val="32"/>
          <w:szCs w:val="32"/>
          <w:highlight w:val="yellow"/>
        </w:rPr>
        <w:t>22</w:t>
      </w:r>
      <w:r>
        <w:rPr>
          <w:rFonts w:ascii="Times New Roman" w:hAnsi="Times New Roman" w:eastAsia="仿宋_GB2312" w:cs="Times New Roman"/>
          <w:sz w:val="32"/>
          <w:szCs w:val="32"/>
        </w:rPr>
        <w:t>年12月31日之前已列入《目录》的新能源汽车，对其免征车辆购置税政策继续有效。</w:t>
      </w:r>
    </w:p>
    <w:p w14:paraId="0631DFE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E98669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工业和信息化部 科技部关于免征新能源汽车车辆购置税的公告》（财政部</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color w:val="000000" w:themeColor="text1"/>
          <w:sz w:val="32"/>
          <w:szCs w:val="32"/>
        </w:rPr>
        <w:t>税务总局 工业和信息化部</w:t>
      </w:r>
      <w:r>
        <w:rPr>
          <w:rFonts w:ascii="Times New Roman" w:hAnsi="Times New Roman" w:eastAsia="仿宋_GB2312" w:cs="Times New Roman"/>
          <w:color w:val="000000" w:themeColor="text1"/>
          <w:sz w:val="32"/>
          <w:szCs w:val="32"/>
        </w:rPr>
        <w:t>公告2017 年第17</w:t>
      </w:r>
      <w:r>
        <w:rPr>
          <w:rFonts w:ascii="Times New Roman" w:hAnsi="Times New Roman" w:eastAsia="仿宋_GB2312" w:cs="Times New Roman"/>
          <w:sz w:val="32"/>
          <w:szCs w:val="32"/>
        </w:rPr>
        <w:t>2号）</w:t>
      </w:r>
    </w:p>
    <w:p w14:paraId="1C796774">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《财政部 税务总局 工业和信息化部关于新能源汽车免征车辆购置税有关政策的公告》（财政部</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color w:val="000000" w:themeColor="text1"/>
          <w:sz w:val="32"/>
          <w:szCs w:val="32"/>
        </w:rPr>
        <w:t>税务总局 工业和信息化部</w:t>
      </w:r>
      <w:r>
        <w:rPr>
          <w:rFonts w:ascii="Times New Roman" w:hAnsi="Times New Roman" w:eastAsia="仿宋_GB2312" w:cs="Times New Roman"/>
          <w:color w:val="000000" w:themeColor="text1"/>
          <w:sz w:val="32"/>
          <w:szCs w:val="32"/>
        </w:rPr>
        <w:t>公告2020 年第21号）</w:t>
      </w:r>
    </w:p>
    <w:p w14:paraId="485B2750">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highlight w:val="yellow"/>
        </w:rPr>
        <w:t>《财政部 税务总局 工业和信息化部关于</w:t>
      </w:r>
      <w:r>
        <w:rPr>
          <w:rFonts w:hint="eastAsia" w:ascii="Times New Roman" w:hAnsi="Times New Roman" w:eastAsia="仿宋_GB2312" w:cs="Times New Roman"/>
          <w:sz w:val="32"/>
          <w:szCs w:val="32"/>
          <w:highlight w:val="yellow"/>
        </w:rPr>
        <w:t>延续新</w:t>
      </w:r>
      <w:r>
        <w:rPr>
          <w:rFonts w:ascii="Times New Roman" w:hAnsi="Times New Roman" w:eastAsia="仿宋_GB2312" w:cs="Times New Roman"/>
          <w:sz w:val="32"/>
          <w:szCs w:val="32"/>
          <w:highlight w:val="yellow"/>
        </w:rPr>
        <w:t>能源汽车免征车辆购置税政策的公告》（财政部</w:t>
      </w:r>
      <w:r>
        <w:rPr>
          <w:rFonts w:hint="eastAsia" w:ascii="Times New Roman" w:hAnsi="Times New Roman" w:eastAsia="仿宋_GB2312" w:cs="Times New Roman"/>
          <w:sz w:val="32"/>
          <w:szCs w:val="32"/>
          <w:highlight w:val="yellow"/>
        </w:rPr>
        <w:t xml:space="preserve"> </w:t>
      </w:r>
      <w:r>
        <w:rPr>
          <w:rFonts w:hint="eastAsia" w:ascii="Times New Roman" w:hAnsi="Times New Roman" w:eastAsia="仿宋_GB2312" w:cs="Times New Roman"/>
          <w:color w:val="000000" w:themeColor="text1"/>
          <w:sz w:val="32"/>
          <w:szCs w:val="32"/>
          <w:highlight w:val="yellow"/>
        </w:rPr>
        <w:t>税务总局 工业和信息化部</w:t>
      </w:r>
      <w:r>
        <w:rPr>
          <w:rFonts w:ascii="Times New Roman" w:hAnsi="Times New Roman" w:eastAsia="仿宋_GB2312" w:cs="Times New Roman"/>
          <w:color w:val="000000" w:themeColor="text1"/>
          <w:sz w:val="32"/>
          <w:szCs w:val="32"/>
          <w:highlight w:val="yellow"/>
        </w:rPr>
        <w:t>公告202</w:t>
      </w:r>
      <w:r>
        <w:rPr>
          <w:rFonts w:hint="eastAsia" w:ascii="Times New Roman" w:hAnsi="Times New Roman" w:eastAsia="仿宋_GB2312" w:cs="Times New Roman"/>
          <w:color w:val="000000" w:themeColor="text1"/>
          <w:sz w:val="32"/>
          <w:szCs w:val="32"/>
          <w:highlight w:val="yellow"/>
        </w:rPr>
        <w:t>2</w:t>
      </w:r>
      <w:r>
        <w:rPr>
          <w:rFonts w:ascii="Times New Roman" w:hAnsi="Times New Roman" w:eastAsia="仿宋_GB2312" w:cs="Times New Roman"/>
          <w:color w:val="000000" w:themeColor="text1"/>
          <w:sz w:val="32"/>
          <w:szCs w:val="32"/>
          <w:highlight w:val="yellow"/>
        </w:rPr>
        <w:t xml:space="preserve"> 年第</w:t>
      </w:r>
      <w:r>
        <w:rPr>
          <w:rFonts w:hint="eastAsia" w:ascii="Times New Roman" w:hAnsi="Times New Roman" w:eastAsia="仿宋_GB2312" w:cs="Times New Roman"/>
          <w:color w:val="000000" w:themeColor="text1"/>
          <w:sz w:val="32"/>
          <w:szCs w:val="32"/>
          <w:highlight w:val="yellow"/>
        </w:rPr>
        <w:t>27</w:t>
      </w:r>
      <w:r>
        <w:rPr>
          <w:rFonts w:ascii="Times New Roman" w:hAnsi="Times New Roman" w:eastAsia="仿宋_GB2312" w:cs="Times New Roman"/>
          <w:color w:val="000000" w:themeColor="text1"/>
          <w:sz w:val="32"/>
          <w:szCs w:val="32"/>
          <w:highlight w:val="yellow"/>
        </w:rPr>
        <w:t>号）</w:t>
      </w:r>
    </w:p>
    <w:p w14:paraId="4B457BB1">
      <w:pPr>
        <w:spacing w:line="360" w:lineRule="exact"/>
        <w:ind w:firstLine="640" w:firstLineChars="200"/>
        <w:rPr>
          <w:rFonts w:ascii="Times New Roman" w:hAnsi="Times New Roman" w:eastAsia="仿宋_GB2312" w:cs="Times New Roman"/>
          <w:color w:val="000000" w:themeColor="text1"/>
          <w:sz w:val="32"/>
          <w:szCs w:val="32"/>
        </w:rPr>
      </w:pPr>
    </w:p>
    <w:p w14:paraId="173B62D8">
      <w:pPr>
        <w:pStyle w:val="3"/>
        <w:rPr>
          <w:rFonts w:ascii="Times New Roman" w:hAnsi="Times New Roman" w:eastAsia="仿宋_GB2312" w:cs="Times New Roman"/>
          <w:lang w:eastAsia="zh-CN"/>
        </w:rPr>
      </w:pPr>
      <w:bookmarkStart w:id="64" w:name="_Toc106962435"/>
      <w:r>
        <w:rPr>
          <w:rFonts w:hint="eastAsia" w:ascii="Times New Roman" w:hAnsi="Times New Roman" w:eastAsia="仿宋_GB2312" w:cs="Times New Roman"/>
          <w:lang w:eastAsia="zh-CN"/>
        </w:rPr>
        <w:t>19</w:t>
      </w:r>
      <w:r>
        <w:rPr>
          <w:rFonts w:ascii="Times New Roman" w:hAnsi="Times New Roman" w:eastAsia="仿宋_GB2312" w:cs="Times New Roman"/>
          <w:lang w:eastAsia="zh-CN"/>
        </w:rPr>
        <w:t>延续实施支持小微企业、个体工商户和农户普惠金融有关税收优惠政策</w:t>
      </w:r>
      <w:bookmarkEnd w:id="32"/>
      <w:bookmarkEnd w:id="64"/>
    </w:p>
    <w:p w14:paraId="08ABC2E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6CAF08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向小微企业、个体工商户和农户提供普惠金融服务的纳税人</w:t>
      </w:r>
    </w:p>
    <w:p w14:paraId="100C53C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69D694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税务总局关于延续支持农村金融发展有关税收政策的通知》（财税〔2017〕44号）、《财政部 税务总局关于小额贷款公司有关税收政策的通知》（财税〔2017〕48号）、《财政部 税务总局关于支持小微企业融资有关税收政策的 通知》（财税〔2017〕77号）、《财政部 税务总局关于租入固定资产进项税额抵扣等增值税政策的通知》（财税〔2017〕90号）中规定于2019年12月31日执行到期的税收优惠政策，实施期限延长至2023年12月31日。上述政策包括：</w:t>
      </w:r>
    </w:p>
    <w:p w14:paraId="6638B64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对金融机构向农户、小型企业、微型企业及个体工商户发放小额贷款取得的利息收入，免征增值税。小额贷款，是指单户授信小于100万元（含本数）的农户、小型企业、微型企业或个体工商户贷款；没有授信额度的，是指单户贷款合同金额且贷款余额在100万元（含本数）以下的贷款。</w:t>
      </w:r>
    </w:p>
    <w:p w14:paraId="5AAA535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（2）对金融机构农户小额贷款的利息收入，在计算应纳税所得额时，按90%计入收入总额。小额贷款，是指单笔且该农户贷款余额总额在10万元（含本数）以下的贷款。</w:t>
      </w:r>
    </w:p>
    <w:p w14:paraId="4A5DE25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（3）对经省级金融管理部门（金融办、局等）批准成立的小额贷款公司取得的农户小额贷款利息收入，免征增值税。小额贷款，是指单笔且该农户贷款余额总额在10万元（含本数）以下的贷款。</w:t>
      </w:r>
    </w:p>
    <w:p w14:paraId="213864E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对经省级金融管理部门（金融办、局等）批准成立的小额贷款公司取得的农户小额贷款利息收入，在计算应纳税所得额时，按90%计入收入总额。小额贷款，是指单笔且该农户贷款余额总额在10万元（含本数）以下的贷款。</w:t>
      </w:r>
    </w:p>
    <w:p w14:paraId="0A6F6D8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（5）对经省级金融管理部门（金融办、局等）批准成立的小额贷款公司按年末贷款余额的1%计提的贷款损失准备金准予在企业所得税税前扣除。</w:t>
      </w:r>
    </w:p>
    <w:p w14:paraId="167EB4F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（6）对保险公司为种植业、养殖业提供保险业务取得的保费收入，在计算应纳税所得额时，按90%计入收入总额。保费收入，是指原保险保费收入加上分保费收入减去分出保费后的余额。</w:t>
      </w:r>
    </w:p>
    <w:p w14:paraId="20B8ED1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（7）纳税人为农户、小型企业、微型企业及个体工商户借款、发行债券提供融资担保取得的担保费收入，以及为上述融资担保提供再担保取得的再担保费收入，免征增值税。</w:t>
      </w:r>
    </w:p>
    <w:p w14:paraId="0FE5756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0C14B4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税务总局关于延续支持农村金融发展有关税收政策的通知》（财税〔2017〕44号）</w:t>
      </w:r>
    </w:p>
    <w:p w14:paraId="370F9E6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税务总局关于小额贷款公司有关税收政策的通知》（财税〔2017〕48号）</w:t>
      </w:r>
    </w:p>
    <w:p w14:paraId="7AC69DC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税务总局关于支持小微企业融资有关税收政策的通知》（财税〔2017〕77号）</w:t>
      </w:r>
    </w:p>
    <w:p w14:paraId="3EEED3B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税务总局关于租入固定资产进项税额抵扣等增值税政策的通知》（财税〔2017〕90号）</w:t>
      </w:r>
    </w:p>
    <w:p w14:paraId="6CA62F7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税务总局关于延续实施普惠金融有关税收优惠政策的公告》（财政部 税务总局公告2020年第22号）</w:t>
      </w:r>
    </w:p>
    <w:p w14:paraId="454A9E41">
      <w:pPr>
        <w:pStyle w:val="3"/>
        <w:rPr>
          <w:rFonts w:ascii="Times New Roman" w:hAnsi="Times New Roman" w:eastAsia="仿宋_GB2312" w:cs="Times New Roman"/>
          <w:lang w:eastAsia="zh-CN"/>
        </w:rPr>
      </w:pPr>
      <w:bookmarkStart w:id="65" w:name="_Toc75786932"/>
      <w:bookmarkStart w:id="66" w:name="_Toc106962436"/>
      <w:r>
        <w:rPr>
          <w:rFonts w:hint="eastAsia" w:ascii="Times New Roman" w:hAnsi="Times New Roman" w:eastAsia="仿宋_GB2312" w:cs="Times New Roman"/>
          <w:lang w:eastAsia="zh-CN"/>
        </w:rPr>
        <w:t>20.</w:t>
      </w:r>
      <w:r>
        <w:rPr>
          <w:rFonts w:ascii="Times New Roman" w:hAnsi="Times New Roman" w:eastAsia="仿宋_GB2312" w:cs="Times New Roman"/>
          <w:lang w:eastAsia="zh-CN"/>
        </w:rPr>
        <w:t>公益性捐赠税前结转扣除政策</w:t>
      </w:r>
      <w:bookmarkEnd w:id="65"/>
      <w:bookmarkEnd w:id="66"/>
    </w:p>
    <w:p w14:paraId="308C67A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001D81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通过社会公益性社会组织或政府部门发生公益性捐赠的企业和个人</w:t>
      </w:r>
    </w:p>
    <w:p w14:paraId="21DD3C6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439CD6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自2020年1月1日起，企业或个人通过公益性社会组织、县级以上人民政府及其部门等国家机关，用于符合法律规定的公益慈善事业捐赠支出，准予按税法规定在计算应纳税所得额时扣除。</w:t>
      </w:r>
    </w:p>
    <w:p w14:paraId="00061EB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D86ED6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民政部关于公益性捐赠税前扣除有关事项的公告》（财政部公告2020年第27号）</w:t>
      </w:r>
    </w:p>
    <w:p w14:paraId="6B486ED0">
      <w:pPr>
        <w:pStyle w:val="3"/>
        <w:rPr>
          <w:rFonts w:ascii="Times New Roman" w:hAnsi="Times New Roman" w:eastAsia="仿宋_GB2312" w:cs="Times New Roman"/>
          <w:lang w:eastAsia="zh-CN"/>
        </w:rPr>
      </w:pPr>
      <w:bookmarkStart w:id="67" w:name="_Toc106962437"/>
      <w:bookmarkStart w:id="68" w:name="_Toc75786925"/>
      <w:r>
        <w:rPr>
          <w:rFonts w:hint="eastAsia" w:ascii="Times New Roman" w:hAnsi="Times New Roman" w:eastAsia="仿宋_GB2312" w:cs="Times New Roman"/>
          <w:lang w:eastAsia="zh-CN"/>
        </w:rPr>
        <w:t>21</w:t>
      </w:r>
      <w:r>
        <w:rPr>
          <w:rFonts w:ascii="Times New Roman" w:hAnsi="Times New Roman" w:eastAsia="仿宋_GB2312" w:cs="Times New Roman"/>
          <w:lang w:eastAsia="zh-CN"/>
        </w:rPr>
        <w:t>.广告费和业务宣传费支出税前扣除政策</w:t>
      </w:r>
      <w:bookmarkEnd w:id="67"/>
      <w:bookmarkEnd w:id="68"/>
    </w:p>
    <w:p w14:paraId="42D8578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1575AF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化妆品制造或销售、医药制造和饮料制造（不含酒类制造）企业</w:t>
      </w:r>
    </w:p>
    <w:p w14:paraId="64050AE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96CB83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1月1日起至2025年12月31日，对化妆品制造或销售、医药制造和饮料制造（不含酒类制造）企业发生的广告费和业务宣传费支出，不超过当年销售（营业）收入30%的部分，准予扣除；超过部分，准予在以后纳税年度结转扣除。</w:t>
      </w:r>
    </w:p>
    <w:p w14:paraId="06D949F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485874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税务总局关于广告费和业务宣传费支出税前扣除有关事项的公告》（财政部 税务总局公告2020年第43号）</w:t>
      </w:r>
    </w:p>
    <w:p w14:paraId="4AF294A8">
      <w:pPr>
        <w:pStyle w:val="3"/>
        <w:rPr>
          <w:rFonts w:ascii="Times New Roman" w:hAnsi="Times New Roman" w:eastAsia="仿宋_GB2312" w:cs="Times New Roman"/>
          <w:lang w:eastAsia="zh-CN"/>
        </w:rPr>
      </w:pPr>
      <w:bookmarkStart w:id="69" w:name="_Toc106962438"/>
      <w:r>
        <w:rPr>
          <w:rFonts w:hint="eastAsia" w:ascii="Times New Roman" w:hAnsi="Times New Roman" w:eastAsia="方正仿宋_GBK" w:cs="Times New Roman"/>
          <w:lang w:eastAsia="zh-CN"/>
        </w:rPr>
        <w:t>22</w:t>
      </w:r>
      <w:r>
        <w:rPr>
          <w:rFonts w:ascii="Times New Roman" w:hAnsi="Times New Roman" w:eastAsia="方正仿宋_GBK" w:cs="Times New Roman"/>
          <w:lang w:eastAsia="zh-CN"/>
        </w:rPr>
        <w:t>.</w:t>
      </w:r>
      <w:r>
        <w:rPr>
          <w:rFonts w:ascii="Times New Roman" w:hAnsi="Times New Roman" w:eastAsia="仿宋_GB2312" w:cs="Times New Roman"/>
          <w:lang w:eastAsia="zh-CN"/>
        </w:rPr>
        <w:t>提高增值税小规模纳税人起征点</w:t>
      </w:r>
      <w:bookmarkEnd w:id="69"/>
    </w:p>
    <w:p w14:paraId="440BA1B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6268A7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w:t>
      </w:r>
    </w:p>
    <w:p w14:paraId="62CB18A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2FB50F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自2021年4月1日至2022年12月31日,对月销售额15万元以下（含本数）的增值税小规模纳税人，免征增值税。</w:t>
      </w:r>
    </w:p>
    <w:p w14:paraId="550A1A3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0FA48A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税务总局关于明确增值税小规模纳税人免征增值税政策的公告》（财政部 税务总局公告2021年第11号）</w:t>
      </w:r>
    </w:p>
    <w:p w14:paraId="6672BC16">
      <w:pPr>
        <w:pStyle w:val="3"/>
        <w:rPr>
          <w:rFonts w:ascii="Times New Roman" w:hAnsi="Times New Roman" w:eastAsia="仿宋_GB2312" w:cs="Times New Roman"/>
          <w:lang w:eastAsia="zh-CN"/>
        </w:rPr>
      </w:pPr>
      <w:bookmarkStart w:id="70" w:name="_Toc106962439"/>
      <w:r>
        <w:rPr>
          <w:rFonts w:hint="eastAsia" w:ascii="Times New Roman" w:hAnsi="Times New Roman" w:eastAsia="方正仿宋_GBK" w:cs="Times New Roman"/>
          <w:lang w:eastAsia="zh-CN"/>
        </w:rPr>
        <w:t>23</w:t>
      </w:r>
      <w:r>
        <w:rPr>
          <w:rFonts w:ascii="Times New Roman" w:hAnsi="Times New Roman" w:eastAsia="仿宋_GB2312" w:cs="Times New Roman"/>
          <w:lang w:eastAsia="zh-CN"/>
        </w:rPr>
        <w:t>微企业和个体工商户所得税优惠政策</w:t>
      </w:r>
      <w:bookmarkEnd w:id="70"/>
    </w:p>
    <w:p w14:paraId="5CDE443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5E0180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小型微利企业和个体工商户</w:t>
      </w:r>
    </w:p>
    <w:p w14:paraId="680913B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635C50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自2021年1月1日至2022年12月31日：对小型微利企业年应纳税所得额不超过100万元的部分，在《财政部 税务总局关于实施小微企业普惠性税收减免政策的通知》（财税〔2019〕13号）第二条规定的优惠政策基础上，再减半征收企业所得税；对个体工商户年应纳税所得额不超过100万元的部分，在现行优惠政策基础上，减半征收个人所得税。</w:t>
      </w:r>
    </w:p>
    <w:p w14:paraId="14642D3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6775E9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税务总局关于实施小微企业和个体工商所得税优惠政策的公告》（财政部 税务总局公告2021年第12号）</w:t>
      </w:r>
    </w:p>
    <w:p w14:paraId="3865C852">
      <w:pPr>
        <w:pStyle w:val="3"/>
        <w:rPr>
          <w:rFonts w:ascii="Times New Roman" w:hAnsi="Times New Roman" w:eastAsia="仿宋_GB2312" w:cs="Times New Roman"/>
          <w:lang w:eastAsia="zh-CN"/>
        </w:rPr>
      </w:pPr>
      <w:bookmarkStart w:id="71" w:name="_Toc106962440"/>
      <w:r>
        <w:rPr>
          <w:rFonts w:hint="eastAsia" w:ascii="Times New Roman" w:hAnsi="Times New Roman" w:eastAsia="方正仿宋_GBK" w:cs="Times New Roman"/>
          <w:lang w:eastAsia="zh-CN"/>
        </w:rPr>
        <w:t>24</w:t>
      </w:r>
      <w:r>
        <w:rPr>
          <w:rFonts w:ascii="Times New Roman" w:hAnsi="Times New Roman" w:eastAsia="仿宋_GB2312" w:cs="Times New Roman"/>
          <w:lang w:eastAsia="zh-CN"/>
        </w:rPr>
        <w:t>造业企业研发费加计扣除比例提高至100%</w:t>
      </w:r>
      <w:bookmarkEnd w:id="71"/>
    </w:p>
    <w:p w14:paraId="2319273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88D9F1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制造业企业</w:t>
      </w:r>
    </w:p>
    <w:p w14:paraId="407E654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3E5440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起，制造业企业开展研发活动中实际发生的研发费用，未形成无形资产计入当期损益的，在按规定据实扣除的基础上，再按照实际发生额的100%在税前加计扣除；形成无形资产的，按照无形资产成本的200%在税前摊销。</w:t>
      </w:r>
    </w:p>
    <w:p w14:paraId="16C5216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48BD9DF">
      <w:pPr>
        <w:spacing w:line="3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《财政部 税务总局</w:t>
      </w:r>
      <w:r>
        <w:rPr>
          <w:rFonts w:ascii="Times New Roman" w:hAnsi="Times New Roman" w:eastAsia="仿宋_GB2312" w:cs="Times New Roman"/>
          <w:bCs/>
          <w:sz w:val="32"/>
          <w:szCs w:val="32"/>
        </w:rPr>
        <w:t>关于进一步完善研发费用税前加计扣除政策的公告</w:t>
      </w:r>
      <w:r>
        <w:rPr>
          <w:rFonts w:ascii="Times New Roman" w:hAnsi="Times New Roman" w:eastAsia="仿宋_GB2312" w:cs="Times New Roman"/>
          <w:sz w:val="32"/>
          <w:szCs w:val="32"/>
        </w:rPr>
        <w:t>》（财政部 税务总局公告2021年第13号）</w:t>
      </w:r>
    </w:p>
    <w:p w14:paraId="5406534B">
      <w:pPr>
        <w:pStyle w:val="3"/>
        <w:rPr>
          <w:rFonts w:ascii="Times New Roman" w:hAnsi="Times New Roman" w:eastAsia="仿宋_GB2312" w:cs="Times New Roman"/>
          <w:lang w:eastAsia="zh-CN"/>
        </w:rPr>
      </w:pPr>
      <w:bookmarkStart w:id="72" w:name="_Toc75786928"/>
      <w:bookmarkStart w:id="73" w:name="_Toc106962441"/>
      <w:r>
        <w:rPr>
          <w:rFonts w:hint="eastAsia" w:ascii="Times New Roman" w:hAnsi="Times New Roman" w:eastAsia="仿宋_GB2312" w:cs="Times New Roman"/>
          <w:lang w:eastAsia="zh-CN"/>
        </w:rPr>
        <w:t>25</w:t>
      </w:r>
      <w:r>
        <w:rPr>
          <w:rFonts w:ascii="Times New Roman" w:hAnsi="Times New Roman" w:eastAsia="仿宋_GB2312" w:cs="Times New Roman"/>
          <w:lang w:eastAsia="zh-CN"/>
        </w:rPr>
        <w:t>低职工养老保险单位缴费比例</w:t>
      </w:r>
      <w:bookmarkEnd w:id="72"/>
      <w:bookmarkEnd w:id="73"/>
    </w:p>
    <w:p w14:paraId="6742579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DE6F25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缴纳职工养老保险的单位</w:t>
      </w:r>
    </w:p>
    <w:p w14:paraId="51455C6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C7E9D7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自2019年5月1日起职工养老保险单位缴费率降至16%；调整缴费基数使用的平均工资口径，由城镇非私营单位就业人员平均工资调整为非私营和私营单位就业人员加权平均工资。</w:t>
      </w:r>
    </w:p>
    <w:p w14:paraId="7FCA518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0AA9E3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《国务院办公厅关于印发降低社会保障费综合方案的通知》（国办发〔2019〕13号）</w:t>
      </w:r>
    </w:p>
    <w:p w14:paraId="5CB5F43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《河北省人民政府办公厅关于印发&lt;河北省降低社会保险费率实施方案&gt;的通知》（冀政办字〔2019〕38号）</w:t>
      </w:r>
    </w:p>
    <w:p w14:paraId="2B245709">
      <w:pPr>
        <w:spacing w:line="360" w:lineRule="exact"/>
        <w:rPr>
          <w:rFonts w:ascii="Times New Roman" w:hAnsi="Times New Roman" w:eastAsia="仿宋_GB2312" w:cs="Times New Roman"/>
          <w:sz w:val="32"/>
          <w:szCs w:val="32"/>
        </w:rPr>
      </w:pPr>
    </w:p>
    <w:p w14:paraId="36FBEDAA">
      <w:pPr>
        <w:pStyle w:val="3"/>
        <w:rPr>
          <w:rFonts w:ascii="Times New Roman" w:hAnsi="Times New Roman" w:eastAsia="仿宋_GB2312" w:cs="Times New Roman"/>
          <w:lang w:eastAsia="zh-CN"/>
        </w:rPr>
      </w:pPr>
      <w:bookmarkStart w:id="74" w:name="_Toc106962442"/>
      <w:r>
        <w:rPr>
          <w:rFonts w:hint="eastAsia" w:ascii="Times New Roman" w:hAnsi="Times New Roman" w:cs="Times New Roman" w:eastAsiaTheme="minorEastAsia"/>
          <w:lang w:eastAsia="zh-CN"/>
        </w:rPr>
        <w:t>26</w:t>
      </w:r>
      <w:r>
        <w:rPr>
          <w:rFonts w:ascii="Times New Roman" w:hAnsi="Times New Roman" w:eastAsia="仿宋_GB2312" w:cs="Times New Roman"/>
          <w:lang w:eastAsia="zh-CN"/>
        </w:rPr>
        <w:t>疾人就业保障金实行阶段性减免政策</w:t>
      </w:r>
      <w:bookmarkEnd w:id="74"/>
    </w:p>
    <w:p w14:paraId="6A36180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7F08F0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符合条件的用人单位</w:t>
      </w:r>
    </w:p>
    <w:p w14:paraId="5749C0C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9C9057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起至2022年12月31日，残疾人就业保障金实行分档减缴政策。其中：用人单位安排残疾人就业比例达到1%（含）以上，但未达到所在地省、自治区、直辖市人民政府规定比例的，按规定应缴费额的50%缴纳残疾人就业保障金；用人单位安排残疾人就业比例在1%以下的，按规定应缴费额的90%缴纳残疾人就业保障金。在职职工人数在30人（含）以下的企业，暂免征收残疾人就业保障金。</w:t>
      </w:r>
    </w:p>
    <w:p w14:paraId="6CF1EC1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DBF50F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《财政部关于调整残疾人就业保障金征收政策的公告》（财政部公告2019第98号）</w:t>
      </w:r>
    </w:p>
    <w:p w14:paraId="7F30C1B2">
      <w:pPr>
        <w:pStyle w:val="3"/>
        <w:rPr>
          <w:rFonts w:ascii="Times New Roman" w:hAnsi="Times New Roman" w:eastAsia="仿宋_GB2312" w:cs="Times New Roman"/>
          <w:lang w:eastAsia="zh-CN"/>
        </w:rPr>
      </w:pPr>
      <w:bookmarkStart w:id="75" w:name="_Toc106962443"/>
      <w:bookmarkStart w:id="76" w:name="_Toc75786952"/>
      <w:r>
        <w:rPr>
          <w:rFonts w:hint="eastAsia" w:ascii="Times New Roman" w:hAnsi="Times New Roman" w:eastAsia="仿宋_GB2312" w:cs="Times New Roman"/>
          <w:lang w:eastAsia="zh-CN"/>
        </w:rPr>
        <w:t>27</w:t>
      </w:r>
      <w:r>
        <w:rPr>
          <w:rFonts w:ascii="Times New Roman" w:hAnsi="Times New Roman" w:eastAsia="仿宋_GB2312" w:cs="Times New Roman"/>
          <w:lang w:eastAsia="zh-CN"/>
        </w:rPr>
        <w:t>免不动产登记费，调整专利收费</w:t>
      </w:r>
      <w:bookmarkEnd w:id="75"/>
      <w:bookmarkEnd w:id="76"/>
    </w:p>
    <w:p w14:paraId="1260F87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6F1A7F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部分行政事业性收</w:t>
      </w:r>
      <w:r>
        <w:rPr>
          <w:rFonts w:ascii="Times New Roman" w:hAnsi="Times New Roman" w:eastAsia="仿宋_GB2312" w:cs="Times New Roman"/>
          <w:color w:val="000000" w:themeColor="text1"/>
          <w:sz w:val="32"/>
          <w:szCs w:val="32"/>
        </w:rPr>
        <w:t>费</w:t>
      </w:r>
      <w:r>
        <w:rPr>
          <w:rFonts w:hint="eastAsia" w:ascii="Times New Roman" w:hAnsi="Times New Roman" w:eastAsia="仿宋_GB2312" w:cs="Times New Roman"/>
          <w:color w:val="000000" w:themeColor="text1"/>
          <w:sz w:val="32"/>
          <w:szCs w:val="32"/>
        </w:rPr>
        <w:t>缴费人</w:t>
      </w:r>
    </w:p>
    <w:p w14:paraId="559607B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6688625">
      <w:pPr>
        <w:spacing w:line="360" w:lineRule="exact"/>
        <w:ind w:firstLine="672" w:firstLineChars="200"/>
        <w:rPr>
          <w:rFonts w:ascii="Times New Roman" w:hAnsi="Times New Roman" w:eastAsia="仿宋_GB2312" w:cs="Times New Roman"/>
          <w:sz w:val="32"/>
          <w:szCs w:val="32"/>
        </w:rPr>
      </w:pPr>
      <w:r>
        <w:rPr>
          <w:rFonts w:ascii="Times New Roman" w:hAnsi="Times New Roman" w:eastAsia="仿宋_GB2312" w:cs="Times New Roman"/>
          <w:color w:val="333333"/>
          <w:spacing w:val="8"/>
          <w:sz w:val="32"/>
          <w:szCs w:val="32"/>
          <w:shd w:val="clear" w:color="auto" w:fill="FFFFFF"/>
        </w:rPr>
        <w:t>自2019年7月1日起，</w:t>
      </w:r>
      <w:r>
        <w:rPr>
          <w:rFonts w:ascii="Times New Roman" w:hAnsi="Times New Roman" w:eastAsia="仿宋_GB2312" w:cs="Times New Roman"/>
          <w:sz w:val="32"/>
          <w:szCs w:val="32"/>
        </w:rPr>
        <w:t>减免不动产登记费，调整专利收费。</w:t>
      </w:r>
    </w:p>
    <w:p w14:paraId="60C9A65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8F01F9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国家发展改革委关于减免部分行政事业性收费有关政策的通知》（财税〔2019〕45号）</w:t>
      </w:r>
    </w:p>
    <w:p w14:paraId="2676495E">
      <w:pPr>
        <w:pStyle w:val="3"/>
        <w:rPr>
          <w:rFonts w:ascii="Times New Roman" w:hAnsi="Times New Roman" w:eastAsia="仿宋_GB2312" w:cs="Times New Roman"/>
          <w:lang w:eastAsia="zh-CN"/>
        </w:rPr>
      </w:pPr>
      <w:bookmarkStart w:id="77" w:name="_Toc106962444"/>
      <w:bookmarkStart w:id="78" w:name="_Toc75786953"/>
      <w:r>
        <w:rPr>
          <w:rFonts w:hint="eastAsia" w:ascii="Times New Roman" w:hAnsi="Times New Roman" w:eastAsia="仿宋_GB2312" w:cs="Times New Roman"/>
          <w:lang w:eastAsia="zh-CN"/>
        </w:rPr>
        <w:t>28</w:t>
      </w:r>
      <w:r>
        <w:rPr>
          <w:rFonts w:ascii="Times New Roman" w:hAnsi="Times New Roman" w:eastAsia="仿宋_GB2312" w:cs="Times New Roman"/>
          <w:lang w:eastAsia="zh-CN"/>
        </w:rPr>
        <w:t>整部分政府性基金</w:t>
      </w:r>
      <w:bookmarkEnd w:id="77"/>
      <w:bookmarkEnd w:id="78"/>
    </w:p>
    <w:p w14:paraId="1FD9A34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A94E8F2">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部分政府性基金</w:t>
      </w:r>
      <w:r>
        <w:rPr>
          <w:rFonts w:hint="eastAsia" w:ascii="Times New Roman" w:hAnsi="Times New Roman" w:eastAsia="仿宋_GB2312" w:cs="Times New Roman"/>
          <w:color w:val="000000" w:themeColor="text1"/>
          <w:sz w:val="32"/>
          <w:szCs w:val="32"/>
        </w:rPr>
        <w:t>缴费人</w:t>
      </w:r>
    </w:p>
    <w:p w14:paraId="42EB36C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30A137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7月1日至2024年12月31日，对归属中央收入的文化事业建设费，按照缴纳义务人应缴费额的50%减征。2019年7月1日起，将国家重大水利工程建设基金征收标准降低50%。自2019年1月1日起，纳入产教融合型企业建设培育范围的试点企业，兴办职业教育的投资符合规定的，可按投资额的30%比例，抵免该企业当年应缴教育费附加和地方教育附加。自2019年7月1日起，将《财政部关于印发〈民航发展基金征收使用管理暂行办法〉的通知》（财综〔2012〕17号）第八条规定的航空公司应缴纳民航发展基金的征收标准降低50%。</w:t>
      </w:r>
    </w:p>
    <w:p w14:paraId="6EBAE5B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40B288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《财政部关于调整部分政府性基金有关政策的通知》（财税〔2019〕46号）</w:t>
      </w:r>
    </w:p>
    <w:p w14:paraId="469E7836">
      <w:pPr>
        <w:pStyle w:val="3"/>
        <w:rPr>
          <w:rFonts w:ascii="Times New Roman" w:hAnsi="Times New Roman" w:eastAsia="仿宋_GB2312" w:cs="Times New Roman"/>
          <w:lang w:eastAsia="zh-CN"/>
        </w:rPr>
      </w:pPr>
      <w:bookmarkStart w:id="79" w:name="_Toc106962445"/>
      <w:bookmarkStart w:id="80" w:name="_Toc75786954"/>
      <w:r>
        <w:rPr>
          <w:rFonts w:hint="eastAsia" w:ascii="Times New Roman" w:hAnsi="Times New Roman" w:eastAsia="仿宋_GB2312" w:cs="Times New Roman"/>
          <w:lang w:eastAsia="zh-CN"/>
        </w:rPr>
        <w:t>29</w:t>
      </w:r>
      <w:r>
        <w:rPr>
          <w:rFonts w:ascii="Times New Roman" w:hAnsi="Times New Roman" w:eastAsia="仿宋_GB2312" w:cs="Times New Roman"/>
          <w:lang w:eastAsia="zh-CN"/>
        </w:rPr>
        <w:t>低无线电频率占用费、出入境证照类收费、商标注册收费等部分行政事业性收费标准</w:t>
      </w:r>
      <w:bookmarkEnd w:id="79"/>
      <w:bookmarkEnd w:id="80"/>
    </w:p>
    <w:p w14:paraId="303ED0A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3C0E450">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部分行政事业性收费</w:t>
      </w:r>
      <w:r>
        <w:rPr>
          <w:rFonts w:hint="eastAsia" w:ascii="Times New Roman" w:hAnsi="Times New Roman" w:eastAsia="仿宋_GB2312" w:cs="Times New Roman"/>
          <w:color w:val="000000" w:themeColor="text1"/>
          <w:sz w:val="32"/>
          <w:szCs w:val="32"/>
        </w:rPr>
        <w:t>缴费人</w:t>
      </w:r>
    </w:p>
    <w:p w14:paraId="3473483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EFE19B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自2019年7月1日起，降低无线电频率占用费、出入境证照类收费、商标注册收费等部分行政事业性收费标准。</w:t>
      </w:r>
    </w:p>
    <w:p w14:paraId="2CF7908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9D2D03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《国家发展改革委 财政部关于降低部分行政事业性收费标准的通知》（发改价格〔2019〕914号）</w:t>
      </w:r>
    </w:p>
    <w:p w14:paraId="178EE636">
      <w:pPr>
        <w:pStyle w:val="3"/>
        <w:ind w:firstLine="161" w:firstLineChars="50"/>
        <w:rPr>
          <w:rFonts w:ascii="Times New Roman" w:hAnsi="Times New Roman" w:eastAsia="仿宋_GB2312" w:cs="Times New Roman"/>
          <w:lang w:eastAsia="zh-CN"/>
        </w:rPr>
      </w:pPr>
    </w:p>
    <w:p w14:paraId="17C0B495">
      <w:pPr>
        <w:pStyle w:val="3"/>
        <w:ind w:firstLine="161" w:firstLineChars="50"/>
        <w:rPr>
          <w:rFonts w:ascii="Times New Roman" w:hAnsi="Times New Roman" w:eastAsia="仿宋_GB2312" w:cs="Times New Roman"/>
          <w:lang w:eastAsia="zh-CN"/>
        </w:rPr>
      </w:pPr>
      <w:bookmarkStart w:id="81" w:name="_Toc106962446"/>
      <w:r>
        <w:rPr>
          <w:rFonts w:ascii="Times New Roman" w:hAnsi="Times New Roman" w:eastAsia="仿宋_GB2312" w:cs="Times New Roman"/>
          <w:lang w:eastAsia="zh-CN"/>
        </w:rPr>
        <w:t>30.取消港口建设费</w:t>
      </w:r>
      <w:bookmarkEnd w:id="81"/>
    </w:p>
    <w:p w14:paraId="4F03A3C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3F1550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港口建设费缴费人</w:t>
      </w:r>
    </w:p>
    <w:p w14:paraId="7D8B15F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73A0BE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自2021年1月1日起取消港口建设费。以前年度欠缴的港口建设费，相关执收单位应当足额征收及时清算，并按照财政部门规定的渠道全额上缴国库。</w:t>
      </w:r>
    </w:p>
    <w:p w14:paraId="02305A4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1A8253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《财政部关于取消港口建设费和调整民航发展基金有关政策的公告》（财政部公告2021年第8号）</w:t>
      </w:r>
    </w:p>
    <w:p w14:paraId="2E42ADB4">
      <w:pPr>
        <w:pStyle w:val="3"/>
        <w:rPr>
          <w:rFonts w:ascii="Times New Roman" w:hAnsi="Times New Roman" w:eastAsia="仿宋_GB2312" w:cs="Times New Roman"/>
          <w:lang w:eastAsia="zh-CN"/>
        </w:rPr>
      </w:pPr>
      <w:bookmarkStart w:id="82" w:name="_Toc67664142"/>
      <w:bookmarkStart w:id="83" w:name="_Toc67905278"/>
      <w:bookmarkStart w:id="84" w:name="_Toc75786973"/>
      <w:bookmarkStart w:id="85" w:name="_Toc106962447"/>
      <w:r>
        <w:rPr>
          <w:rFonts w:ascii="Times New Roman" w:hAnsi="Times New Roman" w:eastAsia="仿宋_GB2312" w:cs="Times New Roman"/>
          <w:lang w:eastAsia="zh-CN"/>
        </w:rPr>
        <w:t>31.调整民航发展基金有关政策</w:t>
      </w:r>
      <w:bookmarkEnd w:id="82"/>
      <w:bookmarkEnd w:id="83"/>
      <w:bookmarkEnd w:id="84"/>
      <w:bookmarkEnd w:id="85"/>
    </w:p>
    <w:p w14:paraId="270312B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E172C9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民航发展基金缴费人</w:t>
      </w:r>
    </w:p>
    <w:p w14:paraId="4C9CB60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C53F4B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自2021年4月1日起，将航空公司应缴纳民航发展基金的征收标准，在按照《财政部关于调整部分政府性基金有关政策的通知》（财税〔2019〕46号）降低50%的基础上，再降低20%。</w:t>
      </w:r>
    </w:p>
    <w:p w14:paraId="5ED14A1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D4D81CF">
      <w:pPr>
        <w:spacing w:line="360" w:lineRule="exact"/>
        <w:ind w:firstLine="640" w:firstLineChars="200"/>
        <w:rPr>
          <w:rFonts w:ascii="Times New Roman" w:hAnsi="Times New Roman" w:eastAsia="仿宋_GB2312" w:cs="Times New Roman"/>
          <w:sz w:val="32"/>
          <w:szCs w:val="32"/>
        </w:rPr>
      </w:pPr>
      <w:bookmarkStart w:id="86" w:name="_Toc67905279"/>
      <w:bookmarkStart w:id="87" w:name="_Toc67664143"/>
      <w:r>
        <w:rPr>
          <w:rFonts w:ascii="Times New Roman" w:hAnsi="Times New Roman" w:eastAsia="仿宋_GB2312" w:cs="Times New Roman"/>
          <w:sz w:val="32"/>
          <w:szCs w:val="32"/>
        </w:rPr>
        <w:t>《财政部关于取消港口建设费和调整民航发展基金有关政策的公告》（财政部公告2021年第8号）</w:t>
      </w:r>
      <w:bookmarkEnd w:id="86"/>
      <w:bookmarkEnd w:id="87"/>
    </w:p>
    <w:p w14:paraId="2D16CEE9">
      <w:pPr>
        <w:pStyle w:val="3"/>
        <w:rPr>
          <w:rFonts w:ascii="Times New Roman" w:hAnsi="Times New Roman" w:eastAsia="方正仿宋_GBK" w:cs="Times New Roman"/>
          <w:lang w:eastAsia="zh-CN"/>
        </w:rPr>
      </w:pPr>
    </w:p>
    <w:p w14:paraId="5F488057">
      <w:pPr>
        <w:pStyle w:val="3"/>
        <w:rPr>
          <w:rFonts w:ascii="Times New Roman" w:hAnsi="Times New Roman" w:eastAsia="方正仿宋_GBK" w:cs="Times New Roman"/>
          <w:lang w:eastAsia="zh-CN"/>
        </w:rPr>
      </w:pPr>
    </w:p>
    <w:p w14:paraId="01EEB147">
      <w:pPr>
        <w:pStyle w:val="3"/>
        <w:rPr>
          <w:rFonts w:ascii="Times New Roman" w:hAnsi="Times New Roman" w:eastAsia="方正仿宋_GBK" w:cs="Times New Roman"/>
          <w:lang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6"/>
    <w:family w:val="auto"/>
    <w:pitch w:val="default"/>
    <w:sig w:usb0="800002A7" w:usb1="28CF4400" w:usb2="00000016" w:usb3="00000000" w:csb0="00100009" w:csb1="00000000"/>
  </w:font>
  <w:font w:name="方正黑体_GBK">
    <w:altName w:val="微软雅黑"/>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286401"/>
    </w:sdtPr>
    <w:sdtContent>
      <w:p w14:paraId="34CA15F9">
        <w:pPr>
          <w:pStyle w:val="6"/>
          <w:jc w:val="center"/>
        </w:pPr>
        <w:r>
          <w:fldChar w:fldCharType="begin"/>
        </w:r>
        <w:r>
          <w:instrText xml:space="preserve">PAGE   \* MERGEFORMAT</w:instrText>
        </w:r>
        <w:r>
          <w:fldChar w:fldCharType="separate"/>
        </w:r>
        <w:r>
          <w:rPr>
            <w:lang w:val="zh-CN"/>
          </w:rPr>
          <w:t>6</w:t>
        </w:r>
        <w:r>
          <w:rPr>
            <w:lang w:val="zh-CN"/>
          </w:rPr>
          <w:fldChar w:fldCharType="end"/>
        </w:r>
      </w:p>
    </w:sdtContent>
  </w:sdt>
  <w:p w14:paraId="1C6CE4A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JkYmIyN2ZmNzkxZTFlODIzMWFjNTE5YmViNGUwNmUifQ=="/>
  </w:docVars>
  <w:rsids>
    <w:rsidRoot w:val="00417BB2"/>
    <w:rsid w:val="00027D6A"/>
    <w:rsid w:val="00040AF8"/>
    <w:rsid w:val="00055047"/>
    <w:rsid w:val="000D38FE"/>
    <w:rsid w:val="000E6229"/>
    <w:rsid w:val="00102A51"/>
    <w:rsid w:val="001229AE"/>
    <w:rsid w:val="001540B7"/>
    <w:rsid w:val="00157F09"/>
    <w:rsid w:val="00174178"/>
    <w:rsid w:val="00187F87"/>
    <w:rsid w:val="001B4D54"/>
    <w:rsid w:val="001C708C"/>
    <w:rsid w:val="001D6C02"/>
    <w:rsid w:val="00212A6A"/>
    <w:rsid w:val="00222E0B"/>
    <w:rsid w:val="00256EDA"/>
    <w:rsid w:val="002857AA"/>
    <w:rsid w:val="003276F0"/>
    <w:rsid w:val="00371BD6"/>
    <w:rsid w:val="00372F1E"/>
    <w:rsid w:val="003C21B5"/>
    <w:rsid w:val="003C4672"/>
    <w:rsid w:val="003D0664"/>
    <w:rsid w:val="003E77DF"/>
    <w:rsid w:val="00417BB2"/>
    <w:rsid w:val="00435753"/>
    <w:rsid w:val="00445148"/>
    <w:rsid w:val="0048260D"/>
    <w:rsid w:val="00484C21"/>
    <w:rsid w:val="00487E9F"/>
    <w:rsid w:val="00494C44"/>
    <w:rsid w:val="004A2C19"/>
    <w:rsid w:val="004E36CE"/>
    <w:rsid w:val="004E3798"/>
    <w:rsid w:val="0050106F"/>
    <w:rsid w:val="00531753"/>
    <w:rsid w:val="00593C34"/>
    <w:rsid w:val="005D02D5"/>
    <w:rsid w:val="005D0D69"/>
    <w:rsid w:val="00622F18"/>
    <w:rsid w:val="0062663C"/>
    <w:rsid w:val="006457DC"/>
    <w:rsid w:val="006545D2"/>
    <w:rsid w:val="0066006B"/>
    <w:rsid w:val="00664EF5"/>
    <w:rsid w:val="00670C47"/>
    <w:rsid w:val="006D0EB8"/>
    <w:rsid w:val="0072565C"/>
    <w:rsid w:val="007C6C05"/>
    <w:rsid w:val="007F3512"/>
    <w:rsid w:val="007F560D"/>
    <w:rsid w:val="0081729E"/>
    <w:rsid w:val="0084542A"/>
    <w:rsid w:val="00895062"/>
    <w:rsid w:val="008D4082"/>
    <w:rsid w:val="008D42DF"/>
    <w:rsid w:val="009048D7"/>
    <w:rsid w:val="0092759D"/>
    <w:rsid w:val="009303A7"/>
    <w:rsid w:val="00962DB4"/>
    <w:rsid w:val="009823B2"/>
    <w:rsid w:val="009850EE"/>
    <w:rsid w:val="00991B77"/>
    <w:rsid w:val="009D4330"/>
    <w:rsid w:val="009F7A50"/>
    <w:rsid w:val="00A0742D"/>
    <w:rsid w:val="00A21284"/>
    <w:rsid w:val="00A43B9D"/>
    <w:rsid w:val="00AB5BE2"/>
    <w:rsid w:val="00AB7FBB"/>
    <w:rsid w:val="00B133A2"/>
    <w:rsid w:val="00B67FBC"/>
    <w:rsid w:val="00B76A08"/>
    <w:rsid w:val="00B864D9"/>
    <w:rsid w:val="00BF1B5B"/>
    <w:rsid w:val="00C11921"/>
    <w:rsid w:val="00C66A99"/>
    <w:rsid w:val="00C7385E"/>
    <w:rsid w:val="00C943CC"/>
    <w:rsid w:val="00D576B7"/>
    <w:rsid w:val="00D6228B"/>
    <w:rsid w:val="00D70083"/>
    <w:rsid w:val="00D84140"/>
    <w:rsid w:val="00DA4D45"/>
    <w:rsid w:val="00DF5165"/>
    <w:rsid w:val="00E14752"/>
    <w:rsid w:val="00E1575A"/>
    <w:rsid w:val="00E404C8"/>
    <w:rsid w:val="00E42642"/>
    <w:rsid w:val="00E5596C"/>
    <w:rsid w:val="00EA66B8"/>
    <w:rsid w:val="00EB2EF0"/>
    <w:rsid w:val="00EF0AAC"/>
    <w:rsid w:val="00EF77F8"/>
    <w:rsid w:val="00F50C3F"/>
    <w:rsid w:val="00F632B0"/>
    <w:rsid w:val="00F77D81"/>
    <w:rsid w:val="00F93168"/>
    <w:rsid w:val="0354612A"/>
    <w:rsid w:val="042570E3"/>
    <w:rsid w:val="049634B5"/>
    <w:rsid w:val="04B73C89"/>
    <w:rsid w:val="04E012B7"/>
    <w:rsid w:val="06CC3281"/>
    <w:rsid w:val="074F57EB"/>
    <w:rsid w:val="0873195C"/>
    <w:rsid w:val="08E72C8B"/>
    <w:rsid w:val="0A827904"/>
    <w:rsid w:val="0ACD3D47"/>
    <w:rsid w:val="0CB2305C"/>
    <w:rsid w:val="0CDA273C"/>
    <w:rsid w:val="0D026276"/>
    <w:rsid w:val="0D0A42EA"/>
    <w:rsid w:val="0D4E0E32"/>
    <w:rsid w:val="0DB253D3"/>
    <w:rsid w:val="0F237A99"/>
    <w:rsid w:val="0FD71793"/>
    <w:rsid w:val="14017AF7"/>
    <w:rsid w:val="14186248"/>
    <w:rsid w:val="145B4183"/>
    <w:rsid w:val="14743A21"/>
    <w:rsid w:val="14BE69C9"/>
    <w:rsid w:val="15682972"/>
    <w:rsid w:val="1B301DAD"/>
    <w:rsid w:val="1D0E0B3D"/>
    <w:rsid w:val="1E2B37B9"/>
    <w:rsid w:val="1E577992"/>
    <w:rsid w:val="21081C82"/>
    <w:rsid w:val="21357167"/>
    <w:rsid w:val="22E86772"/>
    <w:rsid w:val="232D672A"/>
    <w:rsid w:val="234B3A86"/>
    <w:rsid w:val="23F03301"/>
    <w:rsid w:val="244C2B20"/>
    <w:rsid w:val="27861A07"/>
    <w:rsid w:val="27C27BDB"/>
    <w:rsid w:val="2814480D"/>
    <w:rsid w:val="28FB1573"/>
    <w:rsid w:val="2A3B29F1"/>
    <w:rsid w:val="2A674F5F"/>
    <w:rsid w:val="2AB81371"/>
    <w:rsid w:val="2CE92E65"/>
    <w:rsid w:val="2D5D0A2F"/>
    <w:rsid w:val="2D87288B"/>
    <w:rsid w:val="2DA0195A"/>
    <w:rsid w:val="2DEE36E0"/>
    <w:rsid w:val="2E3629A5"/>
    <w:rsid w:val="2ED05D2D"/>
    <w:rsid w:val="30461DC8"/>
    <w:rsid w:val="307D1637"/>
    <w:rsid w:val="31E72AE2"/>
    <w:rsid w:val="33324860"/>
    <w:rsid w:val="333538D6"/>
    <w:rsid w:val="338B0AD1"/>
    <w:rsid w:val="33BD5861"/>
    <w:rsid w:val="33CF5909"/>
    <w:rsid w:val="349B6423"/>
    <w:rsid w:val="35A4444C"/>
    <w:rsid w:val="375D4641"/>
    <w:rsid w:val="3803425C"/>
    <w:rsid w:val="380E226E"/>
    <w:rsid w:val="39123926"/>
    <w:rsid w:val="393376A4"/>
    <w:rsid w:val="39AE37D2"/>
    <w:rsid w:val="3B640DE1"/>
    <w:rsid w:val="3B952C81"/>
    <w:rsid w:val="3E48356C"/>
    <w:rsid w:val="3E4A1CDA"/>
    <w:rsid w:val="3E640F74"/>
    <w:rsid w:val="4012614F"/>
    <w:rsid w:val="40256D1A"/>
    <w:rsid w:val="419653FE"/>
    <w:rsid w:val="439D54C4"/>
    <w:rsid w:val="43F26907"/>
    <w:rsid w:val="455D599D"/>
    <w:rsid w:val="47336F60"/>
    <w:rsid w:val="4888518E"/>
    <w:rsid w:val="48994072"/>
    <w:rsid w:val="497279B8"/>
    <w:rsid w:val="499829E2"/>
    <w:rsid w:val="49DD05F2"/>
    <w:rsid w:val="4A4377DC"/>
    <w:rsid w:val="4A61223A"/>
    <w:rsid w:val="4B8A52F3"/>
    <w:rsid w:val="4C7E7DF6"/>
    <w:rsid w:val="4D436945"/>
    <w:rsid w:val="4ED46AA9"/>
    <w:rsid w:val="4F0E2822"/>
    <w:rsid w:val="4F44153C"/>
    <w:rsid w:val="4F447F53"/>
    <w:rsid w:val="50DF1705"/>
    <w:rsid w:val="50E725DB"/>
    <w:rsid w:val="51B32412"/>
    <w:rsid w:val="52390F80"/>
    <w:rsid w:val="52FC756A"/>
    <w:rsid w:val="55995BC4"/>
    <w:rsid w:val="57283913"/>
    <w:rsid w:val="57705ADC"/>
    <w:rsid w:val="578D51EA"/>
    <w:rsid w:val="589776BA"/>
    <w:rsid w:val="59394B7B"/>
    <w:rsid w:val="594B2132"/>
    <w:rsid w:val="5CC8731D"/>
    <w:rsid w:val="5D3519DB"/>
    <w:rsid w:val="5DCD5F34"/>
    <w:rsid w:val="5EAC70CD"/>
    <w:rsid w:val="5FC97E8F"/>
    <w:rsid w:val="607D0FB8"/>
    <w:rsid w:val="61654C55"/>
    <w:rsid w:val="617A6A35"/>
    <w:rsid w:val="61F84CD7"/>
    <w:rsid w:val="62953825"/>
    <w:rsid w:val="6307003B"/>
    <w:rsid w:val="642E7A57"/>
    <w:rsid w:val="65773B65"/>
    <w:rsid w:val="662110EA"/>
    <w:rsid w:val="67C013C5"/>
    <w:rsid w:val="68F070E9"/>
    <w:rsid w:val="69F639D5"/>
    <w:rsid w:val="6A6953F9"/>
    <w:rsid w:val="6B5C58A1"/>
    <w:rsid w:val="6C33671C"/>
    <w:rsid w:val="6C4B7C32"/>
    <w:rsid w:val="6C6137FF"/>
    <w:rsid w:val="6D6257B7"/>
    <w:rsid w:val="6F5D671C"/>
    <w:rsid w:val="6F620187"/>
    <w:rsid w:val="6F957D87"/>
    <w:rsid w:val="6FE117A6"/>
    <w:rsid w:val="70C830F9"/>
    <w:rsid w:val="70E96CF7"/>
    <w:rsid w:val="71DF7243"/>
    <w:rsid w:val="732C69BE"/>
    <w:rsid w:val="74613400"/>
    <w:rsid w:val="74D43A68"/>
    <w:rsid w:val="76E12097"/>
    <w:rsid w:val="772C2ABB"/>
    <w:rsid w:val="789F2E95"/>
    <w:rsid w:val="78C51A46"/>
    <w:rsid w:val="790742B5"/>
    <w:rsid w:val="790D3F98"/>
    <w:rsid w:val="79270CB5"/>
    <w:rsid w:val="7AEA6D25"/>
    <w:rsid w:val="7CAB631F"/>
    <w:rsid w:val="7D4555D5"/>
    <w:rsid w:val="7D791D23"/>
    <w:rsid w:val="7F032BCF"/>
    <w:rsid w:val="7F872797"/>
    <w:rsid w:val="7FBE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3"/>
    <w:unhideWhenUsed/>
    <w:qFormat/>
    <w:uiPriority w:val="9"/>
    <w:pPr>
      <w:keepNext/>
      <w:keepLines/>
      <w:spacing w:before="260" w:after="260" w:line="415" w:lineRule="auto"/>
      <w:jc w:val="left"/>
      <w:outlineLvl w:val="2"/>
    </w:pPr>
    <w:rPr>
      <w:rFonts w:ascii="Microsoft JhengHei Light" w:hAnsi="Microsoft JhengHei Light" w:eastAsia="Microsoft JhengHei Light" w:cs="Microsoft JhengHei Light"/>
      <w:b/>
      <w:bCs/>
      <w:color w:val="000000"/>
      <w:kern w:val="0"/>
      <w:sz w:val="32"/>
      <w:szCs w:val="32"/>
      <w:lang w:eastAsia="en-US"/>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toc 3"/>
    <w:basedOn w:val="1"/>
    <w:next w:val="1"/>
    <w:unhideWhenUsed/>
    <w:qFormat/>
    <w:uiPriority w:val="39"/>
    <w:pPr>
      <w:ind w:left="840" w:leftChars="400"/>
    </w:pPr>
  </w:style>
  <w:style w:type="paragraph" w:styleId="5">
    <w:name w:val="Balloon Text"/>
    <w:basedOn w:val="1"/>
    <w:link w:val="18"/>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pPr>
    <w:rPr>
      <w:rFonts w:ascii="方正黑体_GBK" w:eastAsia="方正黑体_GBK"/>
      <w:sz w:val="32"/>
      <w:szCs w:val="32"/>
    </w:rPr>
  </w:style>
  <w:style w:type="character" w:styleId="11">
    <w:name w:val="Hyperlink"/>
    <w:basedOn w:val="10"/>
    <w:unhideWhenUsed/>
    <w:qFormat/>
    <w:uiPriority w:val="99"/>
    <w:rPr>
      <w:color w:val="0000FF" w:themeColor="hyperlink"/>
      <w:u w:val="single"/>
    </w:rPr>
  </w:style>
  <w:style w:type="character" w:customStyle="1" w:styleId="12">
    <w:name w:val="标题 1 Char"/>
    <w:basedOn w:val="10"/>
    <w:link w:val="2"/>
    <w:qFormat/>
    <w:uiPriority w:val="9"/>
    <w:rPr>
      <w:b/>
      <w:bCs/>
      <w:kern w:val="44"/>
      <w:sz w:val="44"/>
      <w:szCs w:val="44"/>
    </w:rPr>
  </w:style>
  <w:style w:type="character" w:customStyle="1" w:styleId="13">
    <w:name w:val="标题 3 Char"/>
    <w:basedOn w:val="10"/>
    <w:link w:val="3"/>
    <w:qFormat/>
    <w:uiPriority w:val="9"/>
    <w:rPr>
      <w:rFonts w:ascii="Microsoft JhengHei Light" w:hAnsi="Microsoft JhengHei Light" w:eastAsia="Microsoft JhengHei Light" w:cs="Microsoft JhengHei Light"/>
      <w:b/>
      <w:bCs/>
      <w:color w:val="000000"/>
      <w:kern w:val="0"/>
      <w:sz w:val="32"/>
      <w:szCs w:val="32"/>
      <w:lang w:eastAsia="en-US"/>
    </w:rPr>
  </w:style>
  <w:style w:type="paragraph" w:customStyle="1" w:styleId="14">
    <w:name w:val="列出段落1"/>
    <w:basedOn w:val="1"/>
    <w:qFormat/>
    <w:uiPriority w:val="34"/>
    <w:pPr>
      <w:ind w:firstLine="420" w:firstLineChars="200"/>
    </w:pPr>
  </w:style>
  <w:style w:type="character" w:customStyle="1" w:styleId="15">
    <w:name w:val="页眉 Char"/>
    <w:basedOn w:val="10"/>
    <w:link w:val="7"/>
    <w:uiPriority w:val="99"/>
    <w:rPr>
      <w:sz w:val="18"/>
      <w:szCs w:val="18"/>
    </w:rPr>
  </w:style>
  <w:style w:type="character" w:customStyle="1" w:styleId="16">
    <w:name w:val="页脚 Char"/>
    <w:basedOn w:val="10"/>
    <w:link w:val="6"/>
    <w:qFormat/>
    <w:uiPriority w:val="99"/>
    <w:rPr>
      <w:sz w:val="18"/>
      <w:szCs w:val="18"/>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8">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F35D3-5F36-492C-91B9-6EBCA458D08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32</Pages>
  <Words>2197</Words>
  <Characters>2412</Characters>
  <Lines>166</Lines>
  <Paragraphs>46</Paragraphs>
  <TotalTime>74</TotalTime>
  <ScaleCrop>false</ScaleCrop>
  <LinksUpToDate>false</LinksUpToDate>
  <CharactersWithSpaces>2641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2021-08-05T09:21:00Z</dcterms:created>
  <dc:creator>user</dc:creator>
  <cp:lastModifiedBy>勇敢编辑部</cp:lastModifiedBy>
  <cp:lastPrinted>2022-05-19T07:38:00Z</cp:lastPrinted>
  <dcterms:modified xsi:type="dcterms:W3CDTF">2025-02-19T07:45:35Z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B91A4D9E0FED40278EF4CF49EA174D74_12</vt:lpwstr>
  </property>
  <property fmtid="{D5CDD505-2E9C-101B-9397-08002B2CF9AE}" pid="4" name="KSOTemplateDocerSaveRecord">
    <vt:lpwstr>eyJoZGlkIjoiMWZhOWFkNjBiNzczM2ZkNWJlMmFkMGI2YmI1ZWNmNGIiLCJ1c2VySWQiOiIxNjU1MzMyOTYxIn0=</vt:lpwstr>
  </property>
</Properties>
</file>