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94CB0">
      <w:pPr>
        <w:ind w:left="-19" w:leftChars="-9" w:firstLine="18" w:firstLineChars="5"/>
        <w:rPr>
          <w:rFonts w:ascii="仿宋_GB2312" w:hAnsi="仿宋_GB2312" w:eastAsia="仿宋_GB2312" w:cs="仿宋_GB2312"/>
          <w:sz w:val="36"/>
          <w:szCs w:val="36"/>
          <w:highlight w:val="none"/>
        </w:rPr>
      </w:pPr>
      <w:bookmarkStart w:id="3" w:name="_GoBack"/>
      <w:bookmarkEnd w:id="3"/>
    </w:p>
    <w:p w14:paraId="3899CA11">
      <w:pPr>
        <w:rPr>
          <w:rFonts w:ascii="仿宋_GB2312" w:hAnsi="仿宋_GB2312" w:eastAsia="仿宋_GB2312" w:cs="仿宋_GB2312"/>
          <w:sz w:val="36"/>
          <w:szCs w:val="36"/>
          <w:highlight w:val="none"/>
        </w:rPr>
      </w:pPr>
    </w:p>
    <w:p w14:paraId="2184DEA7">
      <w:pPr>
        <w:rPr>
          <w:rFonts w:ascii="仿宋_GB2312" w:hAnsi="仿宋_GB2312" w:eastAsia="仿宋_GB2312" w:cs="仿宋_GB2312"/>
          <w:sz w:val="36"/>
          <w:szCs w:val="36"/>
          <w:highlight w:val="none"/>
        </w:rPr>
      </w:pPr>
    </w:p>
    <w:p w14:paraId="1D14969F">
      <w:pPr>
        <w:rPr>
          <w:rFonts w:ascii="仿宋_GB2312" w:hAnsi="仿宋_GB2312" w:eastAsia="仿宋_GB2312" w:cs="仿宋_GB2312"/>
          <w:sz w:val="36"/>
          <w:szCs w:val="36"/>
          <w:highlight w:val="none"/>
        </w:rPr>
      </w:pPr>
    </w:p>
    <w:p w14:paraId="00EE0D88">
      <w:pPr>
        <w:rPr>
          <w:rFonts w:hint="eastAsia" w:ascii="仿宋_GB2312" w:hAnsi="仿宋_GB2312" w:eastAsia="仿宋_GB2312" w:cs="仿宋_GB2312"/>
          <w:sz w:val="36"/>
          <w:szCs w:val="36"/>
          <w:highlight w:val="none"/>
        </w:rPr>
      </w:pPr>
    </w:p>
    <w:p w14:paraId="5E5F3BBD">
      <w:pPr>
        <w:adjustRightInd w:val="0"/>
        <w:snapToGrid w:val="0"/>
        <w:jc w:val="center"/>
        <w:outlineLvl w:val="0"/>
        <w:rPr>
          <w:rFonts w:hint="eastAsia" w:ascii="方正小标宋_GBK" w:eastAsia="方正小标宋_GBK"/>
          <w:bCs/>
          <w:sz w:val="72"/>
          <w:szCs w:val="72"/>
          <w:highlight w:val="none"/>
        </w:rPr>
      </w:pPr>
      <w:r>
        <w:rPr>
          <w:rFonts w:hint="eastAsia" w:ascii="方正小标宋_GBK" w:eastAsia="方正小标宋_GBK"/>
          <w:bCs/>
          <w:sz w:val="72"/>
          <w:szCs w:val="72"/>
          <w:highlight w:val="none"/>
        </w:rPr>
        <w:t>建设项目环境影响报告表</w:t>
      </w:r>
    </w:p>
    <w:p w14:paraId="7F01E41B">
      <w:pPr>
        <w:adjustRightInd w:val="0"/>
        <w:snapToGrid w:val="0"/>
        <w:spacing w:before="192" w:beforeLines="80"/>
        <w:jc w:val="center"/>
        <w:rPr>
          <w:rFonts w:hint="eastAsia" w:ascii="楷体_GB2312" w:eastAsia="楷体_GB2312"/>
          <w:bCs/>
          <w:sz w:val="48"/>
          <w:szCs w:val="48"/>
          <w:highlight w:val="none"/>
        </w:rPr>
      </w:pPr>
      <w:r>
        <w:rPr>
          <w:rFonts w:hint="eastAsia" w:ascii="楷体_GB2312" w:eastAsia="楷体_GB2312"/>
          <w:bCs/>
          <w:sz w:val="48"/>
          <w:szCs w:val="48"/>
          <w:highlight w:val="none"/>
        </w:rPr>
        <w:t>（污染影响类）</w:t>
      </w:r>
    </w:p>
    <w:p w14:paraId="6C86326F">
      <w:pPr>
        <w:adjustRightInd w:val="0"/>
        <w:snapToGrid w:val="0"/>
        <w:spacing w:line="288" w:lineRule="auto"/>
        <w:jc w:val="center"/>
        <w:outlineLvl w:val="0"/>
        <w:rPr>
          <w:rFonts w:ascii="华文仿宋" w:hAnsi="华文仿宋" w:eastAsia="华文仿宋" w:cs="华文仿宋"/>
          <w:color w:val="000000"/>
          <w:kern w:val="44"/>
          <w:sz w:val="44"/>
          <w:szCs w:val="44"/>
          <w:highlight w:val="none"/>
        </w:rPr>
      </w:pPr>
    </w:p>
    <w:p w14:paraId="6F99B341">
      <w:pPr>
        <w:jc w:val="center"/>
        <w:rPr>
          <w:rFonts w:eastAsia="仿宋"/>
          <w:sz w:val="52"/>
          <w:szCs w:val="52"/>
          <w:highlight w:val="none"/>
        </w:rPr>
      </w:pPr>
    </w:p>
    <w:p w14:paraId="54893BDB">
      <w:pPr>
        <w:ind w:firstLine="1040"/>
        <w:rPr>
          <w:rFonts w:eastAsia="仿宋"/>
          <w:sz w:val="44"/>
          <w:szCs w:val="44"/>
          <w:highlight w:val="none"/>
        </w:rPr>
      </w:pPr>
    </w:p>
    <w:p w14:paraId="630F4D33">
      <w:pPr>
        <w:ind w:firstLine="1040"/>
        <w:rPr>
          <w:rFonts w:eastAsia="仿宋"/>
          <w:sz w:val="44"/>
          <w:szCs w:val="44"/>
          <w:highlight w:val="none"/>
        </w:rPr>
      </w:pPr>
    </w:p>
    <w:p w14:paraId="3DE7AF5A">
      <w:pPr>
        <w:ind w:firstLine="1040"/>
        <w:rPr>
          <w:rFonts w:eastAsia="仿宋"/>
          <w:sz w:val="44"/>
          <w:szCs w:val="44"/>
          <w:highlight w:val="none"/>
        </w:rPr>
      </w:pPr>
    </w:p>
    <w:p w14:paraId="5283262E">
      <w:pPr>
        <w:adjustRightInd w:val="0"/>
        <w:snapToGrid w:val="0"/>
        <w:spacing w:line="288" w:lineRule="auto"/>
        <w:ind w:left="0" w:leftChars="0" w:firstLine="417" w:firstLineChars="116"/>
        <w:rPr>
          <w:rFonts w:hint="eastAsia" w:ascii="仿宋_GB2312" w:eastAsia="仿宋_GB2312"/>
          <w:sz w:val="36"/>
          <w:szCs w:val="36"/>
          <w:highlight w:val="none"/>
          <w:u w:val="single"/>
        </w:rPr>
      </w:pPr>
      <w:r>
        <w:rPr>
          <w:rFonts w:hint="eastAsia" w:ascii="仿宋_GB2312" w:eastAsia="仿宋_GB2312"/>
          <w:sz w:val="36"/>
          <w:szCs w:val="36"/>
          <w:highlight w:val="none"/>
        </w:rPr>
        <w:t xml:space="preserve">项目名称： </w:t>
      </w:r>
      <w:r>
        <w:rPr>
          <w:rFonts w:hint="eastAsia" w:ascii="仿宋_GB2312" w:eastAsia="仿宋_GB2312"/>
          <w:sz w:val="36"/>
          <w:szCs w:val="36"/>
          <w:highlight w:val="none"/>
          <w:u w:val="single"/>
        </w:rPr>
        <w:t xml:space="preserve"> </w:t>
      </w:r>
      <w:r>
        <w:rPr>
          <w:rFonts w:hint="eastAsia" w:ascii="仿宋_GB2312" w:eastAsia="仿宋_GB2312"/>
          <w:sz w:val="36"/>
          <w:szCs w:val="36"/>
          <w:highlight w:val="none"/>
          <w:u w:val="single"/>
          <w:lang w:val="en-US" w:eastAsia="zh-CN"/>
        </w:rPr>
        <w:t xml:space="preserve"> 年产20万平方米一体板扩建项目</w:t>
      </w:r>
      <w:r>
        <w:rPr>
          <w:rFonts w:hint="eastAsia" w:ascii="仿宋_GB2312" w:eastAsia="仿宋_GB2312"/>
          <w:sz w:val="36"/>
          <w:szCs w:val="36"/>
          <w:highlight w:val="none"/>
          <w:u w:val="single"/>
        </w:rPr>
        <w:t xml:space="preserve">  </w:t>
      </w:r>
      <w:r>
        <w:rPr>
          <w:rFonts w:hint="eastAsia" w:ascii="仿宋_GB2312" w:eastAsia="仿宋_GB2312"/>
          <w:sz w:val="36"/>
          <w:szCs w:val="36"/>
          <w:highlight w:val="none"/>
          <w:u w:val="none"/>
        </w:rPr>
        <w:t xml:space="preserve">      </w:t>
      </w:r>
    </w:p>
    <w:p w14:paraId="4F466FA1">
      <w:pPr>
        <w:adjustRightInd w:val="0"/>
        <w:snapToGrid w:val="0"/>
        <w:spacing w:line="288" w:lineRule="auto"/>
        <w:ind w:left="0" w:leftChars="0" w:firstLine="417" w:firstLineChars="116"/>
        <w:rPr>
          <w:rFonts w:hint="default" w:ascii="仿宋_GB2312" w:eastAsia="仿宋_GB2312"/>
          <w:sz w:val="36"/>
          <w:szCs w:val="36"/>
          <w:highlight w:val="none"/>
          <w:u w:val="single"/>
          <w:lang w:val="en-US" w:eastAsia="zh-CN"/>
        </w:rPr>
      </w:pPr>
      <w:r>
        <w:rPr>
          <w:rFonts w:hint="eastAsia" w:ascii="仿宋_GB2312" w:eastAsia="仿宋_GB2312"/>
          <w:sz w:val="36"/>
          <w:szCs w:val="36"/>
          <w:highlight w:val="none"/>
        </w:rPr>
        <w:t>建设单位（盖章）：</w:t>
      </w:r>
      <w:r>
        <w:rPr>
          <w:rFonts w:hint="eastAsia" w:ascii="仿宋_GB2312" w:eastAsia="仿宋_GB2312"/>
          <w:sz w:val="36"/>
          <w:szCs w:val="36"/>
          <w:highlight w:val="none"/>
          <w:u w:val="single"/>
          <w:lang w:val="en-US" w:eastAsia="zh-CN"/>
        </w:rPr>
        <w:t xml:space="preserve"> 唐山市宝鼎建材有限公司   </w:t>
      </w:r>
    </w:p>
    <w:p w14:paraId="6B928044">
      <w:pPr>
        <w:adjustRightInd w:val="0"/>
        <w:snapToGrid w:val="0"/>
        <w:spacing w:line="288" w:lineRule="auto"/>
        <w:ind w:left="0" w:leftChars="0" w:firstLine="417" w:firstLineChars="116"/>
        <w:rPr>
          <w:rFonts w:hint="eastAsia" w:ascii="仿宋_GB2312" w:eastAsia="仿宋_GB2312"/>
          <w:sz w:val="36"/>
          <w:szCs w:val="36"/>
          <w:highlight w:val="none"/>
          <w:u w:val="single"/>
        </w:rPr>
      </w:pPr>
      <w:r>
        <w:rPr>
          <w:rFonts w:hint="eastAsia" w:ascii="仿宋_GB2312" w:eastAsia="仿宋_GB2312"/>
          <w:sz w:val="36"/>
          <w:szCs w:val="36"/>
          <w:highlight w:val="none"/>
        </w:rPr>
        <w:t>编制日期：</w:t>
      </w:r>
      <w:r>
        <w:rPr>
          <w:rFonts w:hint="eastAsia" w:ascii="仿宋_GB2312" w:eastAsia="仿宋_GB2312"/>
          <w:sz w:val="36"/>
          <w:szCs w:val="36"/>
          <w:highlight w:val="none"/>
          <w:u w:val="single"/>
        </w:rPr>
        <w:t xml:space="preserve"> </w:t>
      </w:r>
      <w:r>
        <w:rPr>
          <w:rFonts w:ascii="仿宋_GB2312" w:eastAsia="仿宋_GB2312"/>
          <w:sz w:val="36"/>
          <w:szCs w:val="36"/>
          <w:highlight w:val="none"/>
          <w:u w:val="single"/>
        </w:rPr>
        <w:t xml:space="preserve">           </w:t>
      </w:r>
      <w:r>
        <w:rPr>
          <w:rFonts w:hint="eastAsia" w:ascii="仿宋_GB2312" w:eastAsia="仿宋_GB2312"/>
          <w:sz w:val="36"/>
          <w:szCs w:val="36"/>
          <w:highlight w:val="none"/>
          <w:u w:val="single"/>
          <w:lang w:val="en-US" w:eastAsia="zh-CN"/>
        </w:rPr>
        <w:t xml:space="preserve"> 2022年1月</w:t>
      </w:r>
      <w:r>
        <w:rPr>
          <w:rFonts w:ascii="仿宋_GB2312" w:eastAsia="仿宋_GB2312"/>
          <w:sz w:val="36"/>
          <w:szCs w:val="36"/>
          <w:highlight w:val="none"/>
          <w:u w:val="single"/>
        </w:rPr>
        <w:t xml:space="preserve"> </w:t>
      </w:r>
      <w:r>
        <w:rPr>
          <w:rFonts w:hint="eastAsia" w:ascii="仿宋_GB2312" w:eastAsia="仿宋_GB2312"/>
          <w:sz w:val="36"/>
          <w:szCs w:val="36"/>
          <w:highlight w:val="none"/>
          <w:u w:val="single"/>
          <w:lang w:val="en-US" w:eastAsia="zh-CN"/>
        </w:rPr>
        <w:t xml:space="preserve"> </w:t>
      </w:r>
      <w:r>
        <w:rPr>
          <w:rFonts w:ascii="仿宋_GB2312" w:eastAsia="仿宋_GB2312"/>
          <w:sz w:val="36"/>
          <w:szCs w:val="36"/>
          <w:highlight w:val="none"/>
          <w:u w:val="single"/>
        </w:rPr>
        <w:t xml:space="preserve">      </w:t>
      </w:r>
      <w:r>
        <w:rPr>
          <w:rFonts w:hint="eastAsia" w:ascii="仿宋_GB2312" w:eastAsia="仿宋_GB2312"/>
          <w:sz w:val="36"/>
          <w:szCs w:val="36"/>
          <w:highlight w:val="none"/>
          <w:u w:val="single"/>
          <w:lang w:val="en-US" w:eastAsia="zh-CN"/>
        </w:rPr>
        <w:t xml:space="preserve"> </w:t>
      </w:r>
      <w:r>
        <w:rPr>
          <w:rFonts w:ascii="仿宋_GB2312" w:eastAsia="仿宋_GB2312"/>
          <w:sz w:val="36"/>
          <w:szCs w:val="36"/>
          <w:highlight w:val="none"/>
          <w:u w:val="none"/>
        </w:rPr>
        <w:t xml:space="preserve">  </w:t>
      </w:r>
      <w:r>
        <w:rPr>
          <w:rFonts w:hint="eastAsia" w:ascii="仿宋_GB2312" w:eastAsia="仿宋_GB2312"/>
          <w:sz w:val="36"/>
          <w:szCs w:val="36"/>
          <w:highlight w:val="none"/>
          <w:u w:val="none"/>
        </w:rPr>
        <w:t xml:space="preserve"> </w:t>
      </w:r>
    </w:p>
    <w:p w14:paraId="442DB01D">
      <w:pPr>
        <w:adjustRightInd w:val="0"/>
        <w:snapToGrid w:val="0"/>
        <w:spacing w:line="288" w:lineRule="auto"/>
        <w:ind w:firstLine="1040"/>
        <w:rPr>
          <w:rFonts w:ascii="仿宋_GB2312" w:eastAsia="仿宋_GB2312"/>
          <w:sz w:val="36"/>
          <w:szCs w:val="36"/>
          <w:highlight w:val="none"/>
          <w:u w:val="single"/>
        </w:rPr>
      </w:pPr>
      <w:bookmarkStart w:id="0" w:name="_Hlk57884087"/>
    </w:p>
    <w:p w14:paraId="7FF428BE">
      <w:pPr>
        <w:adjustRightInd w:val="0"/>
        <w:snapToGrid w:val="0"/>
        <w:spacing w:line="288" w:lineRule="auto"/>
        <w:ind w:firstLine="1040"/>
        <w:rPr>
          <w:rFonts w:ascii="仿宋_GB2312" w:eastAsia="仿宋_GB2312"/>
          <w:sz w:val="36"/>
          <w:szCs w:val="36"/>
          <w:highlight w:val="none"/>
        </w:rPr>
      </w:pPr>
    </w:p>
    <w:p w14:paraId="3E763441">
      <w:pPr>
        <w:adjustRightInd w:val="0"/>
        <w:snapToGrid w:val="0"/>
        <w:spacing w:line="288" w:lineRule="auto"/>
        <w:ind w:firstLine="1040"/>
        <w:rPr>
          <w:rFonts w:ascii="仿宋_GB2312" w:eastAsia="仿宋_GB2312"/>
          <w:sz w:val="36"/>
          <w:szCs w:val="36"/>
          <w:highlight w:val="none"/>
        </w:rPr>
      </w:pPr>
    </w:p>
    <w:p w14:paraId="7126925C">
      <w:pPr>
        <w:adjustRightInd w:val="0"/>
        <w:snapToGrid w:val="0"/>
        <w:spacing w:line="288" w:lineRule="auto"/>
        <w:ind w:firstLine="1040"/>
        <w:rPr>
          <w:rFonts w:hint="eastAsia" w:ascii="仿宋_GB2312" w:eastAsia="仿宋_GB2312"/>
          <w:sz w:val="36"/>
          <w:szCs w:val="36"/>
          <w:highlight w:val="none"/>
        </w:rPr>
      </w:pPr>
    </w:p>
    <w:p w14:paraId="7598E536">
      <w:pPr>
        <w:adjustRightInd w:val="0"/>
        <w:snapToGrid w:val="0"/>
        <w:spacing w:line="288" w:lineRule="auto"/>
        <w:ind w:firstLine="1040"/>
        <w:rPr>
          <w:rFonts w:hint="eastAsia" w:ascii="仿宋_GB2312" w:eastAsia="仿宋_GB2312"/>
          <w:sz w:val="36"/>
          <w:szCs w:val="36"/>
          <w:highlight w:val="none"/>
        </w:rPr>
      </w:pPr>
    </w:p>
    <w:bookmarkEnd w:id="0"/>
    <w:p w14:paraId="2AA5A19D">
      <w:pPr>
        <w:adjustRightInd w:val="0"/>
        <w:snapToGrid w:val="0"/>
        <w:spacing w:line="288" w:lineRule="auto"/>
        <w:jc w:val="center"/>
        <w:rPr>
          <w:rFonts w:hint="eastAsia" w:ascii="楷体_GB2312" w:eastAsia="楷体_GB2312"/>
          <w:sz w:val="36"/>
          <w:szCs w:val="36"/>
          <w:highlight w:val="none"/>
        </w:rPr>
      </w:pPr>
      <w:r>
        <w:rPr>
          <w:rFonts w:hint="eastAsia" w:ascii="楷体_GB2312" w:eastAsia="楷体_GB2312"/>
          <w:sz w:val="36"/>
          <w:szCs w:val="36"/>
          <w:highlight w:val="none"/>
        </w:rPr>
        <w:t>中华人民共和国生态环境部制</w:t>
      </w:r>
    </w:p>
    <w:p w14:paraId="0CF131FB">
      <w:pPr>
        <w:adjustRightInd w:val="0"/>
        <w:snapToGrid w:val="0"/>
        <w:spacing w:line="288" w:lineRule="auto"/>
        <w:ind w:firstLine="1040"/>
        <w:rPr>
          <w:rFonts w:ascii="仿宋_GB2312" w:eastAsia="仿宋_GB2312"/>
          <w:sz w:val="36"/>
          <w:szCs w:val="36"/>
          <w:highlight w:val="none"/>
        </w:rPr>
        <w:sectPr>
          <w:footerReference r:id="rId3" w:type="default"/>
          <w:footerReference r:id="rId4" w:type="even"/>
          <w:pgSz w:w="11906" w:h="16838"/>
          <w:pgMar w:top="1701" w:right="1417" w:bottom="1701" w:left="1417" w:header="851" w:footer="1077" w:gutter="0"/>
          <w:pgBorders>
            <w:top w:val="none" w:sz="0" w:space="0"/>
            <w:left w:val="none" w:sz="0" w:space="0"/>
            <w:bottom w:val="none" w:sz="0" w:space="0"/>
            <w:right w:val="none" w:sz="0" w:space="0"/>
          </w:pgBorders>
          <w:pgNumType w:start="3"/>
          <w:cols w:space="0" w:num="1"/>
          <w:rtlGutter w:val="0"/>
          <w:docGrid w:linePitch="312" w:charSpace="0"/>
        </w:sectPr>
      </w:pPr>
    </w:p>
    <w:p w14:paraId="04356DDD">
      <w:pPr>
        <w:pStyle w:val="16"/>
        <w:ind w:left="-840" w:leftChars="-400" w:firstLine="0" w:firstLineChars="0"/>
        <w:jc w:val="center"/>
        <w:outlineLvl w:val="0"/>
        <w:rPr>
          <w:rFonts w:hint="eastAsia" w:ascii="黑体" w:hAnsi="黑体" w:eastAsia="黑体"/>
          <w:snapToGrid w:val="0"/>
          <w:sz w:val="30"/>
          <w:szCs w:val="30"/>
          <w:highlight w:val="none"/>
        </w:rPr>
      </w:pPr>
      <w:r>
        <w:rPr>
          <w:rFonts w:hint="eastAsia" w:ascii="黑体" w:hAnsi="黑体" w:eastAsia="黑体"/>
          <w:snapToGrid w:val="0"/>
          <w:sz w:val="30"/>
          <w:szCs w:val="30"/>
          <w:highlight w:val="none"/>
        </w:rPr>
        <w:t>一、建设项目基本情况</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148"/>
        <w:gridCol w:w="1871"/>
        <w:gridCol w:w="2074"/>
        <w:gridCol w:w="2777"/>
      </w:tblGrid>
      <w:tr w14:paraId="0AD429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8" w:type="dxa"/>
            <w:noWrap w:val="0"/>
            <w:tcMar>
              <w:top w:w="16" w:type="dxa"/>
              <w:left w:w="16" w:type="dxa"/>
              <w:right w:w="16" w:type="dxa"/>
            </w:tcMar>
            <w:vAlign w:val="center"/>
          </w:tcPr>
          <w:p w14:paraId="327E6C66">
            <w:pPr>
              <w:adjustRightInd w:val="0"/>
              <w:snapToGrid w:val="0"/>
              <w:jc w:val="center"/>
              <w:rPr>
                <w:rFonts w:ascii="宋体" w:hAnsi="宋体" w:cs="宋体"/>
                <w:szCs w:val="21"/>
                <w:highlight w:val="none"/>
              </w:rPr>
            </w:pPr>
            <w:r>
              <w:rPr>
                <w:rFonts w:hint="eastAsia" w:ascii="宋体" w:hAnsi="宋体" w:cs="宋体"/>
                <w:szCs w:val="21"/>
                <w:highlight w:val="none"/>
              </w:rPr>
              <w:t>建设项目名称</w:t>
            </w:r>
          </w:p>
        </w:tc>
        <w:tc>
          <w:tcPr>
            <w:tcW w:w="6722" w:type="dxa"/>
            <w:gridSpan w:val="3"/>
            <w:noWrap w:val="0"/>
            <w:vAlign w:val="center"/>
          </w:tcPr>
          <w:p w14:paraId="303F17A1">
            <w:pPr>
              <w:adjustRightInd w:val="0"/>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年产20万平方米一体板扩建项目</w:t>
            </w:r>
          </w:p>
        </w:tc>
      </w:tr>
      <w:tr w14:paraId="5D436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8" w:type="dxa"/>
            <w:noWrap w:val="0"/>
            <w:tcMar>
              <w:top w:w="16" w:type="dxa"/>
              <w:left w:w="16" w:type="dxa"/>
              <w:right w:w="16" w:type="dxa"/>
            </w:tcMar>
            <w:vAlign w:val="center"/>
          </w:tcPr>
          <w:p w14:paraId="446BD445">
            <w:pPr>
              <w:adjustRightInd w:val="0"/>
              <w:snapToGrid w:val="0"/>
              <w:jc w:val="center"/>
              <w:rPr>
                <w:rFonts w:ascii="宋体" w:hAnsi="宋体" w:cs="宋体"/>
                <w:szCs w:val="21"/>
                <w:highlight w:val="none"/>
              </w:rPr>
            </w:pPr>
            <w:r>
              <w:rPr>
                <w:rFonts w:hint="eastAsia" w:ascii="宋体" w:hAnsi="宋体" w:cs="宋体"/>
                <w:szCs w:val="21"/>
                <w:highlight w:val="none"/>
              </w:rPr>
              <w:t>项目代码</w:t>
            </w:r>
          </w:p>
        </w:tc>
        <w:tc>
          <w:tcPr>
            <w:tcW w:w="6722" w:type="dxa"/>
            <w:gridSpan w:val="3"/>
            <w:noWrap w:val="0"/>
            <w:vAlign w:val="center"/>
          </w:tcPr>
          <w:p w14:paraId="4D61A184">
            <w:pPr>
              <w:adjustRightInd w:val="0"/>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2111-130273-89-05-187447</w:t>
            </w:r>
          </w:p>
        </w:tc>
      </w:tr>
      <w:tr w14:paraId="25394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8" w:type="dxa"/>
            <w:noWrap w:val="0"/>
            <w:tcMar>
              <w:top w:w="16" w:type="dxa"/>
              <w:left w:w="16" w:type="dxa"/>
              <w:right w:w="16" w:type="dxa"/>
            </w:tcMar>
            <w:vAlign w:val="center"/>
          </w:tcPr>
          <w:p w14:paraId="01C30C57">
            <w:pPr>
              <w:adjustRightInd w:val="0"/>
              <w:snapToGrid w:val="0"/>
              <w:jc w:val="center"/>
              <w:rPr>
                <w:rFonts w:hint="eastAsia" w:ascii="宋体" w:hAnsi="宋体" w:cs="宋体"/>
                <w:szCs w:val="21"/>
                <w:highlight w:val="none"/>
              </w:rPr>
            </w:pPr>
            <w:r>
              <w:rPr>
                <w:rFonts w:hint="eastAsia" w:ascii="宋体" w:hAnsi="宋体" w:cs="宋体"/>
                <w:szCs w:val="21"/>
                <w:highlight w:val="none"/>
              </w:rPr>
              <w:t>建设单位联系人</w:t>
            </w:r>
          </w:p>
        </w:tc>
        <w:tc>
          <w:tcPr>
            <w:tcW w:w="1871" w:type="dxa"/>
            <w:noWrap w:val="0"/>
            <w:vAlign w:val="center"/>
          </w:tcPr>
          <w:p w14:paraId="30FAEAD9">
            <w:pPr>
              <w:adjustRightInd w:val="0"/>
              <w:snapToGrid w:val="0"/>
              <w:jc w:val="center"/>
              <w:rPr>
                <w:rFonts w:hint="default" w:ascii="宋体" w:hAnsi="宋体" w:eastAsia="宋体" w:cs="宋体"/>
                <w:szCs w:val="21"/>
                <w:highlight w:val="none"/>
                <w:lang w:val="en-US" w:eastAsia="zh-CN"/>
              </w:rPr>
            </w:pPr>
            <w:r>
              <w:rPr>
                <w:rFonts w:hint="default" w:ascii="Times New Roman" w:hAnsi="Times New Roman" w:cs="Times New Roman"/>
                <w:color w:val="auto"/>
                <w:sz w:val="21"/>
                <w:szCs w:val="21"/>
                <w:highlight w:val="none"/>
                <w:lang w:val="en-US" w:eastAsia="zh-CN"/>
              </w:rPr>
              <w:t>郑希烨</w:t>
            </w:r>
          </w:p>
        </w:tc>
        <w:tc>
          <w:tcPr>
            <w:tcW w:w="2074" w:type="dxa"/>
            <w:noWrap w:val="0"/>
            <w:vAlign w:val="center"/>
          </w:tcPr>
          <w:p w14:paraId="5C3CBD3B">
            <w:pPr>
              <w:adjustRightInd w:val="0"/>
              <w:snapToGrid w:val="0"/>
              <w:jc w:val="center"/>
              <w:rPr>
                <w:rFonts w:ascii="宋体" w:hAnsi="宋体" w:cs="宋体"/>
                <w:szCs w:val="21"/>
                <w:highlight w:val="none"/>
              </w:rPr>
            </w:pPr>
            <w:r>
              <w:rPr>
                <w:rFonts w:hint="eastAsia" w:ascii="宋体" w:hAnsi="宋体" w:cs="宋体"/>
                <w:szCs w:val="21"/>
                <w:highlight w:val="none"/>
              </w:rPr>
              <w:t>联系方式</w:t>
            </w:r>
          </w:p>
        </w:tc>
        <w:tc>
          <w:tcPr>
            <w:tcW w:w="2777" w:type="dxa"/>
            <w:noWrap w:val="0"/>
            <w:vAlign w:val="center"/>
          </w:tcPr>
          <w:p w14:paraId="2FAF91D9">
            <w:pPr>
              <w:adjustRightInd w:val="0"/>
              <w:snapToGrid w:val="0"/>
              <w:jc w:val="center"/>
              <w:rPr>
                <w:rFonts w:hint="default" w:ascii="宋体" w:hAnsi="宋体" w:eastAsia="宋体" w:cs="宋体"/>
                <w:szCs w:val="21"/>
                <w:highlight w:val="none"/>
                <w:lang w:val="en-US" w:eastAsia="zh-CN"/>
              </w:rPr>
            </w:pPr>
            <w:r>
              <w:rPr>
                <w:rFonts w:hint="default" w:ascii="Times New Roman" w:hAnsi="Times New Roman" w:cs="Times New Roman"/>
                <w:color w:val="auto"/>
                <w:sz w:val="21"/>
                <w:szCs w:val="21"/>
                <w:highlight w:val="none"/>
                <w:lang w:val="en-US" w:eastAsia="zh-CN"/>
              </w:rPr>
              <w:t>17332572774</w:t>
            </w:r>
          </w:p>
        </w:tc>
      </w:tr>
      <w:tr w14:paraId="2AD59D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06" w:hRule="atLeast"/>
          <w:jc w:val="center"/>
        </w:trPr>
        <w:tc>
          <w:tcPr>
            <w:tcW w:w="2148" w:type="dxa"/>
            <w:noWrap w:val="0"/>
            <w:tcMar>
              <w:top w:w="16" w:type="dxa"/>
              <w:left w:w="16" w:type="dxa"/>
              <w:right w:w="16" w:type="dxa"/>
            </w:tcMar>
            <w:vAlign w:val="center"/>
          </w:tcPr>
          <w:p w14:paraId="55082F69">
            <w:pPr>
              <w:adjustRightInd w:val="0"/>
              <w:snapToGrid w:val="0"/>
              <w:jc w:val="center"/>
              <w:rPr>
                <w:rFonts w:ascii="宋体" w:hAnsi="宋体" w:cs="宋体"/>
                <w:szCs w:val="21"/>
                <w:highlight w:val="none"/>
              </w:rPr>
            </w:pPr>
            <w:r>
              <w:rPr>
                <w:rFonts w:hint="eastAsia" w:ascii="宋体" w:hAnsi="宋体" w:cs="宋体"/>
                <w:szCs w:val="21"/>
                <w:highlight w:val="none"/>
              </w:rPr>
              <w:t>建设地点</w:t>
            </w:r>
          </w:p>
        </w:tc>
        <w:tc>
          <w:tcPr>
            <w:tcW w:w="6722" w:type="dxa"/>
            <w:gridSpan w:val="3"/>
            <w:noWrap w:val="0"/>
            <w:vAlign w:val="center"/>
          </w:tcPr>
          <w:p w14:paraId="2A32E783">
            <w:pPr>
              <w:adjustRightInd w:val="0"/>
              <w:snapToGrid w:val="0"/>
              <w:jc w:val="center"/>
              <w:rPr>
                <w:rFonts w:ascii="宋体" w:hAnsi="宋体" w:cs="宋体"/>
                <w:szCs w:val="21"/>
                <w:highlight w:val="none"/>
              </w:rPr>
            </w:pP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河北</w:t>
            </w:r>
            <w:r>
              <w:rPr>
                <w:rFonts w:ascii="宋体" w:hAnsi="宋体" w:cs="宋体"/>
                <w:szCs w:val="21"/>
                <w:highlight w:val="none"/>
                <w:u w:val="single"/>
              </w:rPr>
              <w:t xml:space="preserve">  </w:t>
            </w:r>
            <w:r>
              <w:rPr>
                <w:rFonts w:hint="eastAsia" w:ascii="宋体" w:hAnsi="宋体" w:cs="宋体"/>
                <w:szCs w:val="21"/>
                <w:highlight w:val="none"/>
              </w:rPr>
              <w:t>省（自治区）</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唐山</w:t>
            </w:r>
            <w:r>
              <w:rPr>
                <w:rFonts w:ascii="宋体" w:hAnsi="宋体" w:cs="宋体"/>
                <w:szCs w:val="21"/>
                <w:highlight w:val="none"/>
                <w:u w:val="single"/>
              </w:rPr>
              <w:t xml:space="preserve">  </w:t>
            </w:r>
            <w:r>
              <w:rPr>
                <w:rFonts w:hint="eastAsia" w:ascii="宋体" w:hAnsi="宋体" w:cs="宋体"/>
                <w:szCs w:val="21"/>
                <w:highlight w:val="none"/>
              </w:rPr>
              <w:t>市</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高新技术产业开发区</w:t>
            </w:r>
            <w:r>
              <w:rPr>
                <w:rFonts w:ascii="宋体" w:hAnsi="宋体" w:cs="宋体"/>
                <w:szCs w:val="21"/>
                <w:highlight w:val="none"/>
                <w:u w:val="single"/>
              </w:rPr>
              <w:t xml:space="preserve">  </w:t>
            </w:r>
            <w:r>
              <w:rPr>
                <w:rFonts w:hint="eastAsia" w:ascii="宋体" w:hAnsi="宋体" w:cs="宋体"/>
                <w:szCs w:val="21"/>
                <w:highlight w:val="none"/>
              </w:rPr>
              <w:t>县（区）</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老庄子</w:t>
            </w:r>
            <w:r>
              <w:rPr>
                <w:rFonts w:ascii="宋体" w:hAnsi="宋体" w:cs="宋体"/>
                <w:szCs w:val="21"/>
                <w:highlight w:val="none"/>
                <w:u w:val="single"/>
              </w:rPr>
              <w:t xml:space="preserve">  </w:t>
            </w:r>
            <w:r>
              <w:rPr>
                <w:rFonts w:hint="eastAsia" w:ascii="宋体" w:hAnsi="宋体" w:cs="宋体"/>
                <w:szCs w:val="21"/>
                <w:highlight w:val="none"/>
                <w:lang w:val="en-US" w:eastAsia="zh-CN"/>
              </w:rPr>
              <w:t>镇</w:t>
            </w:r>
            <w:r>
              <w:rPr>
                <w:rFonts w:hint="eastAsia" w:ascii="宋体" w:hAnsi="宋体" w:cs="宋体"/>
                <w:szCs w:val="21"/>
                <w:highlight w:val="none"/>
              </w:rPr>
              <w:t>（街道）</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李官屯村东  </w:t>
            </w:r>
            <w:r>
              <w:rPr>
                <w:rFonts w:hint="eastAsia" w:ascii="宋体" w:hAnsi="宋体" w:cs="宋体"/>
                <w:szCs w:val="21"/>
                <w:highlight w:val="none"/>
              </w:rPr>
              <w:t>（具体地址）</w:t>
            </w:r>
          </w:p>
        </w:tc>
      </w:tr>
      <w:tr w14:paraId="682EE9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8" w:type="dxa"/>
            <w:noWrap w:val="0"/>
            <w:tcMar>
              <w:top w:w="16" w:type="dxa"/>
              <w:left w:w="16" w:type="dxa"/>
              <w:right w:w="16" w:type="dxa"/>
            </w:tcMar>
            <w:vAlign w:val="center"/>
          </w:tcPr>
          <w:p w14:paraId="1610E32F">
            <w:pPr>
              <w:adjustRightInd w:val="0"/>
              <w:snapToGrid w:val="0"/>
              <w:jc w:val="center"/>
              <w:rPr>
                <w:rFonts w:ascii="宋体" w:hAnsi="宋体" w:cs="宋体"/>
                <w:szCs w:val="21"/>
                <w:highlight w:val="none"/>
              </w:rPr>
            </w:pPr>
            <w:r>
              <w:rPr>
                <w:rFonts w:hint="eastAsia" w:ascii="宋体" w:hAnsi="宋体" w:cs="宋体"/>
                <w:szCs w:val="21"/>
                <w:highlight w:val="none"/>
              </w:rPr>
              <w:t>地理坐标</w:t>
            </w:r>
          </w:p>
        </w:tc>
        <w:tc>
          <w:tcPr>
            <w:tcW w:w="6722" w:type="dxa"/>
            <w:gridSpan w:val="3"/>
            <w:noWrap w:val="0"/>
            <w:vAlign w:val="center"/>
          </w:tcPr>
          <w:p w14:paraId="497C4DBE">
            <w:pPr>
              <w:jc w:val="center"/>
              <w:rPr>
                <w:rFonts w:hint="eastAsia" w:ascii="宋体" w:hAnsi="宋体" w:cs="宋体"/>
                <w:szCs w:val="21"/>
                <w:highlight w:val="none"/>
              </w:rPr>
            </w:pPr>
            <w:r>
              <w:rPr>
                <w:rFonts w:hint="eastAsia" w:ascii="宋体" w:hAnsi="宋体" w:cs="宋体"/>
                <w:szCs w:val="21"/>
                <w:highlight w:val="none"/>
              </w:rPr>
              <w:t>（</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39</w:t>
            </w:r>
            <w:r>
              <w:rPr>
                <w:rFonts w:ascii="宋体" w:hAnsi="宋体" w:cs="宋体"/>
                <w:szCs w:val="21"/>
                <w:highlight w:val="none"/>
                <w:u w:val="single"/>
              </w:rPr>
              <w:t xml:space="preserve">  </w:t>
            </w:r>
            <w:r>
              <w:rPr>
                <w:rFonts w:hint="eastAsia" w:ascii="宋体" w:hAnsi="宋体" w:cs="宋体"/>
                <w:szCs w:val="21"/>
                <w:highlight w:val="none"/>
              </w:rPr>
              <w:t>度</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40 </w:t>
            </w:r>
            <w:r>
              <w:rPr>
                <w:rFonts w:ascii="宋体" w:hAnsi="宋体" w:cs="宋体"/>
                <w:szCs w:val="21"/>
                <w:highlight w:val="none"/>
                <w:u w:val="single"/>
              </w:rPr>
              <w:t xml:space="preserve"> </w:t>
            </w:r>
            <w:r>
              <w:rPr>
                <w:rFonts w:hint="eastAsia" w:ascii="宋体" w:hAnsi="宋体" w:cs="宋体"/>
                <w:szCs w:val="21"/>
                <w:highlight w:val="none"/>
              </w:rPr>
              <w:t>分</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47.769</w:t>
            </w:r>
            <w:r>
              <w:rPr>
                <w:rFonts w:ascii="宋体" w:hAnsi="宋体" w:cs="宋体"/>
                <w:szCs w:val="21"/>
                <w:highlight w:val="none"/>
                <w:u w:val="single"/>
              </w:rPr>
              <w:t xml:space="preserve"> </w:t>
            </w:r>
            <w:r>
              <w:rPr>
                <w:rFonts w:hint="eastAsia" w:ascii="宋体" w:hAnsi="宋体" w:cs="宋体"/>
                <w:szCs w:val="21"/>
                <w:highlight w:val="none"/>
              </w:rPr>
              <w:t>秒，</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118</w:t>
            </w:r>
            <w:r>
              <w:rPr>
                <w:rFonts w:ascii="宋体" w:hAnsi="宋体" w:cs="宋体"/>
                <w:szCs w:val="21"/>
                <w:highlight w:val="none"/>
                <w:u w:val="single"/>
              </w:rPr>
              <w:t xml:space="preserve">  </w:t>
            </w:r>
            <w:r>
              <w:rPr>
                <w:rFonts w:hint="eastAsia" w:ascii="宋体" w:hAnsi="宋体" w:cs="宋体"/>
                <w:szCs w:val="21"/>
                <w:highlight w:val="none"/>
              </w:rPr>
              <w:t>度</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4</w:t>
            </w:r>
            <w:r>
              <w:rPr>
                <w:rFonts w:ascii="宋体" w:hAnsi="宋体" w:cs="宋体"/>
                <w:szCs w:val="21"/>
                <w:highlight w:val="none"/>
                <w:u w:val="single"/>
              </w:rPr>
              <w:t xml:space="preserve">  </w:t>
            </w:r>
            <w:r>
              <w:rPr>
                <w:rFonts w:hint="eastAsia" w:ascii="宋体" w:hAnsi="宋体" w:cs="宋体"/>
                <w:szCs w:val="21"/>
                <w:highlight w:val="none"/>
              </w:rPr>
              <w:t>分</w:t>
            </w:r>
            <w:r>
              <w:rPr>
                <w:rFonts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16.482</w:t>
            </w:r>
            <w:r>
              <w:rPr>
                <w:rFonts w:ascii="宋体" w:hAnsi="宋体" w:cs="宋体"/>
                <w:szCs w:val="21"/>
                <w:highlight w:val="none"/>
                <w:u w:val="single"/>
              </w:rPr>
              <w:t xml:space="preserve">  </w:t>
            </w:r>
            <w:r>
              <w:rPr>
                <w:rFonts w:hint="eastAsia" w:ascii="宋体" w:hAnsi="宋体" w:cs="宋体"/>
                <w:szCs w:val="21"/>
                <w:highlight w:val="none"/>
              </w:rPr>
              <w:t>秒）</w:t>
            </w:r>
          </w:p>
        </w:tc>
      </w:tr>
      <w:tr w14:paraId="7BED4C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148" w:type="dxa"/>
            <w:noWrap w:val="0"/>
            <w:tcMar>
              <w:top w:w="16" w:type="dxa"/>
              <w:left w:w="16" w:type="dxa"/>
              <w:right w:w="16" w:type="dxa"/>
            </w:tcMar>
            <w:vAlign w:val="center"/>
          </w:tcPr>
          <w:p w14:paraId="733A4A4C">
            <w:pPr>
              <w:adjustRightInd w:val="0"/>
              <w:snapToGrid w:val="0"/>
              <w:jc w:val="center"/>
              <w:rPr>
                <w:rFonts w:hint="eastAsia" w:ascii="宋体" w:hAnsi="宋体" w:cs="宋体"/>
                <w:szCs w:val="21"/>
                <w:highlight w:val="none"/>
              </w:rPr>
            </w:pPr>
            <w:r>
              <w:rPr>
                <w:rFonts w:hint="eastAsia" w:ascii="宋体" w:hAnsi="宋体" w:cs="宋体"/>
                <w:szCs w:val="21"/>
                <w:highlight w:val="none"/>
              </w:rPr>
              <w:t>国民经济</w:t>
            </w:r>
          </w:p>
          <w:p w14:paraId="5D5B8A97">
            <w:pPr>
              <w:adjustRightInd w:val="0"/>
              <w:snapToGrid w:val="0"/>
              <w:jc w:val="center"/>
              <w:rPr>
                <w:rFonts w:ascii="宋体" w:hAnsi="宋体" w:cs="宋体"/>
                <w:szCs w:val="21"/>
                <w:highlight w:val="none"/>
              </w:rPr>
            </w:pPr>
            <w:r>
              <w:rPr>
                <w:rFonts w:hint="eastAsia" w:ascii="宋体" w:hAnsi="宋体" w:cs="宋体"/>
                <w:szCs w:val="21"/>
                <w:highlight w:val="none"/>
              </w:rPr>
              <w:t>行业类别</w:t>
            </w:r>
          </w:p>
        </w:tc>
        <w:tc>
          <w:tcPr>
            <w:tcW w:w="1871" w:type="dxa"/>
            <w:noWrap w:val="0"/>
            <w:vAlign w:val="center"/>
          </w:tcPr>
          <w:p w14:paraId="0579123F">
            <w:pPr>
              <w:adjustRightInd w:val="0"/>
              <w:snapToGrid w:val="0"/>
              <w:jc w:val="center"/>
              <w:rPr>
                <w:rFonts w:hint="default" w:ascii="宋体" w:hAnsi="宋体" w:cs="宋体"/>
                <w:szCs w:val="21"/>
                <w:highlight w:val="none"/>
                <w:lang w:val="en-US"/>
              </w:rPr>
            </w:pPr>
            <w:r>
              <w:rPr>
                <w:rFonts w:hint="eastAsia" w:ascii="宋体" w:hAnsi="宋体" w:cs="宋体"/>
                <w:szCs w:val="21"/>
                <w:highlight w:val="none"/>
                <w:lang w:val="en-US" w:eastAsia="zh-CN"/>
              </w:rPr>
              <w:t>C3029其他水泥类似制品制造</w:t>
            </w:r>
          </w:p>
        </w:tc>
        <w:tc>
          <w:tcPr>
            <w:tcW w:w="2074" w:type="dxa"/>
            <w:noWrap w:val="0"/>
            <w:vAlign w:val="center"/>
          </w:tcPr>
          <w:p w14:paraId="2FF1F3C1">
            <w:pPr>
              <w:adjustRightInd w:val="0"/>
              <w:snapToGrid w:val="0"/>
              <w:jc w:val="center"/>
              <w:rPr>
                <w:rFonts w:ascii="宋体" w:hAnsi="宋体" w:cs="宋体"/>
                <w:szCs w:val="21"/>
                <w:highlight w:val="none"/>
              </w:rPr>
            </w:pPr>
            <w:bookmarkStart w:id="1" w:name="_Hlk49843745"/>
            <w:r>
              <w:rPr>
                <w:rFonts w:hint="eastAsia" w:ascii="宋体" w:hAnsi="宋体" w:cs="宋体"/>
                <w:szCs w:val="21"/>
                <w:highlight w:val="none"/>
              </w:rPr>
              <w:t>建设项目</w:t>
            </w:r>
          </w:p>
          <w:p w14:paraId="5A305182">
            <w:pPr>
              <w:adjustRightInd w:val="0"/>
              <w:snapToGrid w:val="0"/>
              <w:jc w:val="center"/>
              <w:rPr>
                <w:rFonts w:ascii="宋体" w:hAnsi="宋体" w:cs="宋体"/>
                <w:szCs w:val="21"/>
                <w:highlight w:val="none"/>
              </w:rPr>
            </w:pPr>
            <w:r>
              <w:rPr>
                <w:rFonts w:hint="eastAsia" w:ascii="宋体" w:hAnsi="宋体" w:cs="宋体"/>
                <w:szCs w:val="21"/>
                <w:highlight w:val="none"/>
              </w:rPr>
              <w:t>行业类别</w:t>
            </w:r>
            <w:bookmarkEnd w:id="1"/>
          </w:p>
        </w:tc>
        <w:tc>
          <w:tcPr>
            <w:tcW w:w="2777" w:type="dxa"/>
            <w:noWrap w:val="0"/>
            <w:vAlign w:val="center"/>
          </w:tcPr>
          <w:p w14:paraId="39CC233D">
            <w:pPr>
              <w:adjustRightInd w:val="0"/>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302石膏、水泥制品及类似制品制造</w:t>
            </w:r>
          </w:p>
        </w:tc>
      </w:tr>
      <w:tr w14:paraId="3D1C4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148" w:type="dxa"/>
            <w:noWrap w:val="0"/>
            <w:tcMar>
              <w:top w:w="16" w:type="dxa"/>
              <w:left w:w="16" w:type="dxa"/>
              <w:right w:w="16" w:type="dxa"/>
            </w:tcMar>
            <w:vAlign w:val="center"/>
          </w:tcPr>
          <w:p w14:paraId="0CE96F95">
            <w:pPr>
              <w:adjustRightInd w:val="0"/>
              <w:snapToGrid w:val="0"/>
              <w:jc w:val="center"/>
              <w:rPr>
                <w:rFonts w:ascii="宋体" w:hAnsi="宋体" w:cs="宋体"/>
                <w:szCs w:val="21"/>
                <w:highlight w:val="none"/>
              </w:rPr>
            </w:pPr>
            <w:r>
              <w:rPr>
                <w:rFonts w:hint="eastAsia" w:ascii="宋体" w:hAnsi="宋体" w:cs="宋体"/>
                <w:szCs w:val="21"/>
                <w:highlight w:val="none"/>
              </w:rPr>
              <w:t>建设性质</w:t>
            </w:r>
          </w:p>
        </w:tc>
        <w:tc>
          <w:tcPr>
            <w:tcW w:w="1871" w:type="dxa"/>
            <w:noWrap w:val="0"/>
            <w:vAlign w:val="center"/>
          </w:tcPr>
          <w:p w14:paraId="026CCAB6">
            <w:pPr>
              <w:jc w:val="left"/>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新建（迁建）</w:t>
            </w:r>
          </w:p>
          <w:p w14:paraId="402C1226">
            <w:pPr>
              <w:jc w:val="left"/>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改建</w:t>
            </w:r>
          </w:p>
          <w:p w14:paraId="005712E2">
            <w:pPr>
              <w:jc w:val="left"/>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扩建</w:t>
            </w:r>
          </w:p>
          <w:p w14:paraId="1B530DDC">
            <w:pPr>
              <w:jc w:val="left"/>
              <w:rPr>
                <w:rFonts w:ascii="宋体" w:hAnsi="宋体" w:cs="宋体"/>
                <w:szCs w:val="21"/>
                <w:highlight w:val="none"/>
              </w:rPr>
            </w:pPr>
            <w:r>
              <w:rPr>
                <w:rFonts w:hint="eastAsia" w:ascii="宋体" w:hAnsi="宋体" w:cs="宋体"/>
                <w:szCs w:val="21"/>
                <w:highlight w:val="none"/>
              </w:rPr>
              <w:t>□技术改造</w:t>
            </w:r>
          </w:p>
        </w:tc>
        <w:tc>
          <w:tcPr>
            <w:tcW w:w="2074" w:type="dxa"/>
            <w:noWrap w:val="0"/>
            <w:vAlign w:val="center"/>
          </w:tcPr>
          <w:p w14:paraId="0B062B9C">
            <w:pPr>
              <w:adjustRightInd w:val="0"/>
              <w:snapToGrid w:val="0"/>
              <w:jc w:val="center"/>
              <w:rPr>
                <w:rFonts w:hint="eastAsia" w:ascii="宋体" w:hAnsi="宋体" w:cs="宋体"/>
                <w:szCs w:val="21"/>
                <w:highlight w:val="none"/>
              </w:rPr>
            </w:pPr>
            <w:r>
              <w:rPr>
                <w:rFonts w:hint="eastAsia" w:ascii="宋体" w:hAnsi="宋体" w:cs="宋体"/>
                <w:szCs w:val="21"/>
                <w:highlight w:val="none"/>
              </w:rPr>
              <w:t>建设项目</w:t>
            </w:r>
          </w:p>
          <w:p w14:paraId="6BDA9A68">
            <w:pPr>
              <w:adjustRightInd w:val="0"/>
              <w:snapToGrid w:val="0"/>
              <w:jc w:val="center"/>
              <w:rPr>
                <w:rFonts w:ascii="宋体" w:hAnsi="宋体" w:cs="宋体"/>
                <w:szCs w:val="21"/>
                <w:highlight w:val="none"/>
              </w:rPr>
            </w:pPr>
            <w:r>
              <w:rPr>
                <w:rFonts w:hint="eastAsia" w:ascii="宋体" w:hAnsi="宋体" w:cs="宋体"/>
                <w:szCs w:val="21"/>
                <w:highlight w:val="none"/>
              </w:rPr>
              <w:t>申报情形</w:t>
            </w:r>
          </w:p>
        </w:tc>
        <w:tc>
          <w:tcPr>
            <w:tcW w:w="2777" w:type="dxa"/>
            <w:noWrap w:val="0"/>
            <w:vAlign w:val="center"/>
          </w:tcPr>
          <w:p w14:paraId="66033194">
            <w:pPr>
              <w:jc w:val="left"/>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首次申报项目</w:t>
            </w:r>
            <w:r>
              <w:rPr>
                <w:rFonts w:ascii="宋体" w:hAnsi="宋体" w:cs="宋体"/>
                <w:szCs w:val="21"/>
                <w:highlight w:val="none"/>
              </w:rPr>
              <w:t xml:space="preserve">             </w:t>
            </w:r>
          </w:p>
          <w:p w14:paraId="5D5347C9">
            <w:pPr>
              <w:jc w:val="left"/>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不予批准后再次申报项目</w:t>
            </w:r>
          </w:p>
          <w:p w14:paraId="6AE2A32E">
            <w:pPr>
              <w:jc w:val="left"/>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超五年重新审核项目</w:t>
            </w:r>
            <w:r>
              <w:rPr>
                <w:rFonts w:ascii="宋体" w:hAnsi="宋体" w:cs="宋体"/>
                <w:szCs w:val="21"/>
                <w:highlight w:val="none"/>
              </w:rPr>
              <w:t xml:space="preserve">     </w:t>
            </w:r>
          </w:p>
          <w:p w14:paraId="291903FC">
            <w:pPr>
              <w:jc w:val="left"/>
              <w:rPr>
                <w:rFonts w:ascii="宋体" w:hAnsi="宋体" w:cs="宋体"/>
                <w:szCs w:val="21"/>
                <w:highlight w:val="none"/>
              </w:rPr>
            </w:pPr>
            <w:r>
              <w:rPr>
                <w:rFonts w:hint="eastAsia" w:ascii="宋体" w:hAnsi="宋体" w:cs="宋体"/>
                <w:szCs w:val="21"/>
                <w:highlight w:val="none"/>
              </w:rPr>
              <w:t>□重大变动重新报批项目</w:t>
            </w:r>
          </w:p>
        </w:tc>
      </w:tr>
      <w:tr w14:paraId="3C2549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148" w:type="dxa"/>
            <w:noWrap w:val="0"/>
            <w:tcMar>
              <w:top w:w="16" w:type="dxa"/>
              <w:left w:w="16" w:type="dxa"/>
              <w:right w:w="16" w:type="dxa"/>
            </w:tcMar>
            <w:vAlign w:val="center"/>
          </w:tcPr>
          <w:p w14:paraId="4A03B1EB">
            <w:pPr>
              <w:adjustRightInd w:val="0"/>
              <w:snapToGrid w:val="0"/>
              <w:jc w:val="center"/>
              <w:rPr>
                <w:rFonts w:hint="eastAsia" w:ascii="宋体" w:hAnsi="宋体" w:cs="宋体"/>
                <w:szCs w:val="21"/>
                <w:highlight w:val="none"/>
              </w:rPr>
            </w:pPr>
            <w:r>
              <w:rPr>
                <w:rFonts w:hint="eastAsia" w:ascii="宋体" w:hAnsi="宋体" w:cs="宋体"/>
                <w:szCs w:val="21"/>
                <w:highlight w:val="none"/>
              </w:rPr>
              <w:t>项目审批（核准</w:t>
            </w:r>
            <w:r>
              <w:rPr>
                <w:rFonts w:ascii="宋体" w:hAnsi="宋体" w:cs="宋体"/>
                <w:szCs w:val="21"/>
                <w:highlight w:val="none"/>
              </w:rPr>
              <w:t>/</w:t>
            </w:r>
          </w:p>
          <w:p w14:paraId="275A999D">
            <w:pPr>
              <w:adjustRightInd w:val="0"/>
              <w:snapToGrid w:val="0"/>
              <w:jc w:val="center"/>
              <w:rPr>
                <w:rFonts w:ascii="宋体" w:hAnsi="宋体" w:cs="宋体"/>
                <w:szCs w:val="21"/>
                <w:highlight w:val="none"/>
              </w:rPr>
            </w:pPr>
            <w:r>
              <w:rPr>
                <w:rFonts w:hint="eastAsia" w:ascii="宋体" w:hAnsi="宋体" w:cs="宋体"/>
                <w:szCs w:val="21"/>
                <w:highlight w:val="none"/>
              </w:rPr>
              <w:t>备案）部门（选填）</w:t>
            </w:r>
          </w:p>
        </w:tc>
        <w:tc>
          <w:tcPr>
            <w:tcW w:w="1871" w:type="dxa"/>
            <w:noWrap w:val="0"/>
            <w:vAlign w:val="center"/>
          </w:tcPr>
          <w:p w14:paraId="306DFDAF">
            <w:pPr>
              <w:adjustRightInd w:val="0"/>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唐山高新技术产业开发区行政审批局</w:t>
            </w:r>
          </w:p>
        </w:tc>
        <w:tc>
          <w:tcPr>
            <w:tcW w:w="2074" w:type="dxa"/>
            <w:noWrap w:val="0"/>
            <w:vAlign w:val="center"/>
          </w:tcPr>
          <w:p w14:paraId="6C57884F">
            <w:pPr>
              <w:adjustRightInd w:val="0"/>
              <w:snapToGrid w:val="0"/>
              <w:jc w:val="center"/>
              <w:rPr>
                <w:rFonts w:hint="eastAsia" w:ascii="宋体" w:hAnsi="宋体" w:cs="宋体"/>
                <w:szCs w:val="21"/>
                <w:highlight w:val="none"/>
              </w:rPr>
            </w:pPr>
            <w:r>
              <w:rPr>
                <w:rFonts w:hint="eastAsia" w:ascii="宋体" w:hAnsi="宋体" w:cs="宋体"/>
                <w:szCs w:val="21"/>
                <w:highlight w:val="none"/>
              </w:rPr>
              <w:t>项目审批（核准</w:t>
            </w:r>
            <w:r>
              <w:rPr>
                <w:rFonts w:ascii="宋体" w:hAnsi="宋体" w:cs="宋体"/>
                <w:szCs w:val="21"/>
                <w:highlight w:val="none"/>
              </w:rPr>
              <w:t>/</w:t>
            </w:r>
          </w:p>
          <w:p w14:paraId="7816CF78">
            <w:pPr>
              <w:adjustRightInd w:val="0"/>
              <w:snapToGrid w:val="0"/>
              <w:jc w:val="center"/>
              <w:rPr>
                <w:rFonts w:hint="eastAsia" w:ascii="宋体" w:hAnsi="宋体" w:cs="宋体"/>
                <w:szCs w:val="21"/>
                <w:highlight w:val="none"/>
              </w:rPr>
            </w:pPr>
            <w:r>
              <w:rPr>
                <w:rFonts w:hint="eastAsia" w:ascii="宋体" w:hAnsi="宋体" w:cs="宋体"/>
                <w:szCs w:val="21"/>
                <w:highlight w:val="none"/>
              </w:rPr>
              <w:t>备案）文号（选填）</w:t>
            </w:r>
          </w:p>
        </w:tc>
        <w:tc>
          <w:tcPr>
            <w:tcW w:w="2777" w:type="dxa"/>
            <w:noWrap w:val="0"/>
            <w:vAlign w:val="center"/>
          </w:tcPr>
          <w:p w14:paraId="2BCABFC9">
            <w:pPr>
              <w:adjustRightInd w:val="0"/>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rPr>
              <w:t>唐高备字〔202</w:t>
            </w:r>
            <w:r>
              <w:rPr>
                <w:rFonts w:hint="eastAsia" w:ascii="宋体" w:hAnsi="宋体" w:cs="宋体"/>
                <w:szCs w:val="21"/>
                <w:highlight w:val="none"/>
                <w:lang w:val="en-US" w:eastAsia="zh-CN"/>
              </w:rPr>
              <w:t>1</w:t>
            </w:r>
            <w:r>
              <w:rPr>
                <w:rFonts w:hint="eastAsia" w:ascii="宋体" w:hAnsi="宋体" w:cs="宋体"/>
                <w:szCs w:val="21"/>
                <w:highlight w:val="none"/>
              </w:rPr>
              <w:t>〕125号</w:t>
            </w:r>
          </w:p>
        </w:tc>
      </w:tr>
      <w:tr w14:paraId="40BDCF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8" w:type="dxa"/>
            <w:noWrap w:val="0"/>
            <w:tcMar>
              <w:top w:w="16" w:type="dxa"/>
              <w:left w:w="16" w:type="dxa"/>
              <w:right w:w="16" w:type="dxa"/>
            </w:tcMar>
            <w:vAlign w:val="center"/>
          </w:tcPr>
          <w:p w14:paraId="3C159620">
            <w:pPr>
              <w:adjustRightInd w:val="0"/>
              <w:snapToGrid w:val="0"/>
              <w:jc w:val="center"/>
              <w:rPr>
                <w:rFonts w:ascii="宋体" w:hAnsi="宋体" w:cs="宋体"/>
                <w:szCs w:val="21"/>
                <w:highlight w:val="none"/>
              </w:rPr>
            </w:pPr>
            <w:r>
              <w:rPr>
                <w:rFonts w:hint="eastAsia" w:ascii="宋体" w:hAnsi="宋体" w:cs="宋体"/>
                <w:szCs w:val="21"/>
                <w:highlight w:val="none"/>
              </w:rPr>
              <w:t>总投资（万元）</w:t>
            </w:r>
          </w:p>
        </w:tc>
        <w:tc>
          <w:tcPr>
            <w:tcW w:w="1871" w:type="dxa"/>
            <w:noWrap w:val="0"/>
            <w:vAlign w:val="center"/>
          </w:tcPr>
          <w:p w14:paraId="7B635B92">
            <w:pPr>
              <w:adjustRightInd w:val="0"/>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96</w:t>
            </w:r>
          </w:p>
        </w:tc>
        <w:tc>
          <w:tcPr>
            <w:tcW w:w="2074" w:type="dxa"/>
            <w:noWrap w:val="0"/>
            <w:tcMar>
              <w:top w:w="16" w:type="dxa"/>
              <w:left w:w="16" w:type="dxa"/>
              <w:right w:w="16" w:type="dxa"/>
            </w:tcMar>
            <w:vAlign w:val="center"/>
          </w:tcPr>
          <w:p w14:paraId="5B78C61D">
            <w:pPr>
              <w:adjustRightInd w:val="0"/>
              <w:snapToGrid w:val="0"/>
              <w:jc w:val="center"/>
              <w:rPr>
                <w:rFonts w:ascii="宋体" w:hAnsi="宋体" w:cs="宋体"/>
                <w:szCs w:val="21"/>
                <w:highlight w:val="none"/>
              </w:rPr>
            </w:pPr>
            <w:r>
              <w:rPr>
                <w:rFonts w:hint="eastAsia" w:ascii="宋体" w:hAnsi="宋体" w:cs="宋体"/>
                <w:szCs w:val="21"/>
                <w:highlight w:val="none"/>
              </w:rPr>
              <w:t>环保投资（万元）</w:t>
            </w:r>
          </w:p>
        </w:tc>
        <w:tc>
          <w:tcPr>
            <w:tcW w:w="2777" w:type="dxa"/>
            <w:noWrap w:val="0"/>
            <w:vAlign w:val="center"/>
          </w:tcPr>
          <w:p w14:paraId="1B9025C0">
            <w:pPr>
              <w:adjustRightInd w:val="0"/>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w:t>
            </w:r>
          </w:p>
        </w:tc>
      </w:tr>
      <w:tr w14:paraId="3C0D3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8" w:type="dxa"/>
            <w:noWrap w:val="0"/>
            <w:tcMar>
              <w:top w:w="16" w:type="dxa"/>
              <w:left w:w="16" w:type="dxa"/>
              <w:right w:w="16" w:type="dxa"/>
            </w:tcMar>
            <w:vAlign w:val="center"/>
          </w:tcPr>
          <w:p w14:paraId="178F1811">
            <w:pPr>
              <w:adjustRightInd w:val="0"/>
              <w:snapToGrid w:val="0"/>
              <w:jc w:val="center"/>
              <w:rPr>
                <w:rFonts w:ascii="宋体" w:hAnsi="宋体" w:cs="宋体"/>
                <w:szCs w:val="21"/>
                <w:highlight w:val="none"/>
              </w:rPr>
            </w:pPr>
            <w:r>
              <w:rPr>
                <w:rFonts w:hint="eastAsia" w:ascii="宋体" w:hAnsi="宋体" w:cs="宋体"/>
                <w:szCs w:val="21"/>
                <w:highlight w:val="none"/>
              </w:rPr>
              <w:t>环保投资占比（</w:t>
            </w:r>
            <w:r>
              <w:rPr>
                <w:rFonts w:ascii="宋体" w:hAnsi="宋体" w:cs="宋体"/>
                <w:szCs w:val="21"/>
                <w:highlight w:val="none"/>
              </w:rPr>
              <w:t>%</w:t>
            </w:r>
            <w:r>
              <w:rPr>
                <w:rFonts w:hint="eastAsia" w:ascii="宋体" w:hAnsi="宋体" w:cs="宋体"/>
                <w:szCs w:val="21"/>
                <w:highlight w:val="none"/>
              </w:rPr>
              <w:t>）</w:t>
            </w:r>
          </w:p>
        </w:tc>
        <w:tc>
          <w:tcPr>
            <w:tcW w:w="1871" w:type="dxa"/>
            <w:noWrap w:val="0"/>
            <w:vAlign w:val="center"/>
          </w:tcPr>
          <w:p w14:paraId="27BECA9F">
            <w:pPr>
              <w:adjustRightInd w:val="0"/>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6.25%</w:t>
            </w:r>
          </w:p>
        </w:tc>
        <w:tc>
          <w:tcPr>
            <w:tcW w:w="2074" w:type="dxa"/>
            <w:noWrap w:val="0"/>
            <w:tcMar>
              <w:top w:w="16" w:type="dxa"/>
              <w:left w:w="16" w:type="dxa"/>
              <w:right w:w="16" w:type="dxa"/>
            </w:tcMar>
            <w:vAlign w:val="center"/>
          </w:tcPr>
          <w:p w14:paraId="1978AD87">
            <w:pPr>
              <w:adjustRightInd w:val="0"/>
              <w:snapToGrid w:val="0"/>
              <w:jc w:val="center"/>
              <w:rPr>
                <w:rFonts w:ascii="宋体" w:hAnsi="宋体" w:cs="宋体"/>
                <w:szCs w:val="21"/>
                <w:highlight w:val="none"/>
              </w:rPr>
            </w:pPr>
            <w:r>
              <w:rPr>
                <w:rFonts w:hint="eastAsia" w:ascii="宋体" w:hAnsi="宋体" w:cs="宋体"/>
                <w:szCs w:val="21"/>
                <w:highlight w:val="none"/>
              </w:rPr>
              <w:t>施工工期</w:t>
            </w:r>
          </w:p>
        </w:tc>
        <w:tc>
          <w:tcPr>
            <w:tcW w:w="2777" w:type="dxa"/>
            <w:noWrap w:val="0"/>
            <w:vAlign w:val="center"/>
          </w:tcPr>
          <w:p w14:paraId="776AD964">
            <w:pPr>
              <w:adjustRightInd w:val="0"/>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1个月</w:t>
            </w:r>
          </w:p>
        </w:tc>
      </w:tr>
      <w:tr w14:paraId="7C169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48" w:type="dxa"/>
            <w:noWrap w:val="0"/>
            <w:tcMar>
              <w:top w:w="16" w:type="dxa"/>
              <w:left w:w="16" w:type="dxa"/>
              <w:right w:w="16" w:type="dxa"/>
            </w:tcMar>
            <w:vAlign w:val="center"/>
          </w:tcPr>
          <w:p w14:paraId="2473D2E8">
            <w:pPr>
              <w:adjustRightInd w:val="0"/>
              <w:snapToGrid w:val="0"/>
              <w:jc w:val="center"/>
              <w:rPr>
                <w:rFonts w:hint="eastAsia" w:ascii="宋体" w:hAnsi="宋体" w:cs="宋体"/>
                <w:szCs w:val="21"/>
                <w:highlight w:val="none"/>
              </w:rPr>
            </w:pPr>
            <w:r>
              <w:rPr>
                <w:rFonts w:hint="eastAsia" w:ascii="宋体" w:hAnsi="宋体" w:cs="宋体"/>
                <w:szCs w:val="21"/>
                <w:highlight w:val="none"/>
              </w:rPr>
              <w:t>是否开工建设</w:t>
            </w:r>
          </w:p>
        </w:tc>
        <w:tc>
          <w:tcPr>
            <w:tcW w:w="1871" w:type="dxa"/>
            <w:noWrap w:val="0"/>
            <w:vAlign w:val="center"/>
          </w:tcPr>
          <w:p w14:paraId="2CE7F791">
            <w:pPr>
              <w:adjustRightInd w:val="0"/>
              <w:snapToGrid w:val="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rPr>
              <w:t>否</w:t>
            </w:r>
          </w:p>
          <w:p w14:paraId="36CF1388">
            <w:pPr>
              <w:adjustRightInd w:val="0"/>
              <w:snapToGrid w:val="0"/>
              <w:rPr>
                <w:rFonts w:ascii="宋体" w:hAnsi="宋体" w:cs="宋体"/>
                <w:szCs w:val="21"/>
                <w:highlight w:val="none"/>
              </w:rPr>
            </w:pPr>
            <w:r>
              <w:rPr>
                <w:rFonts w:hint="eastAsia" w:ascii="宋体" w:hAnsi="宋体" w:cs="宋体"/>
                <w:szCs w:val="21"/>
                <w:highlight w:val="none"/>
              </w:rPr>
              <w:t>□是：</w:t>
            </w:r>
            <w:r>
              <w:rPr>
                <w:rFonts w:hint="eastAsia" w:ascii="宋体" w:hAnsi="宋体" w:cs="宋体"/>
                <w:szCs w:val="21"/>
                <w:highlight w:val="none"/>
                <w:u w:val="single"/>
              </w:rPr>
              <w:t xml:space="preserve">             </w:t>
            </w:r>
          </w:p>
        </w:tc>
        <w:tc>
          <w:tcPr>
            <w:tcW w:w="2074" w:type="dxa"/>
            <w:noWrap w:val="0"/>
            <w:tcMar>
              <w:top w:w="16" w:type="dxa"/>
              <w:left w:w="16" w:type="dxa"/>
              <w:right w:w="16" w:type="dxa"/>
            </w:tcMar>
            <w:vAlign w:val="center"/>
          </w:tcPr>
          <w:p w14:paraId="7925C6B6">
            <w:pPr>
              <w:adjustRightInd w:val="0"/>
              <w:snapToGrid w:val="0"/>
              <w:jc w:val="center"/>
              <w:rPr>
                <w:rFonts w:ascii="宋体" w:hAnsi="宋体" w:cs="宋体"/>
                <w:spacing w:val="-6"/>
                <w:szCs w:val="21"/>
                <w:highlight w:val="none"/>
              </w:rPr>
            </w:pPr>
            <w:r>
              <w:rPr>
                <w:rFonts w:hint="eastAsia" w:ascii="宋体" w:hAnsi="宋体" w:cs="宋体"/>
                <w:spacing w:val="-6"/>
                <w:szCs w:val="21"/>
                <w:highlight w:val="none"/>
              </w:rPr>
              <w:t>用地（用海）</w:t>
            </w:r>
          </w:p>
          <w:p w14:paraId="22E58EC7">
            <w:pPr>
              <w:adjustRightInd w:val="0"/>
              <w:snapToGrid w:val="0"/>
              <w:jc w:val="center"/>
              <w:rPr>
                <w:rFonts w:hint="eastAsia" w:ascii="宋体" w:hAnsi="宋体" w:cs="宋体"/>
                <w:szCs w:val="21"/>
                <w:highlight w:val="none"/>
              </w:rPr>
            </w:pPr>
            <w:r>
              <w:rPr>
                <w:rFonts w:hint="eastAsia" w:ascii="宋体" w:hAnsi="宋体" w:cs="宋体"/>
                <w:spacing w:val="-6"/>
                <w:szCs w:val="21"/>
                <w:highlight w:val="none"/>
              </w:rPr>
              <w:t>面积（</w:t>
            </w:r>
            <w:r>
              <w:rPr>
                <w:rFonts w:ascii="宋体" w:hAnsi="宋体" w:cs="宋体"/>
                <w:spacing w:val="-6"/>
                <w:szCs w:val="21"/>
                <w:highlight w:val="none"/>
              </w:rPr>
              <w:t>m</w:t>
            </w:r>
            <w:r>
              <w:rPr>
                <w:rFonts w:ascii="宋体" w:hAnsi="宋体" w:cs="宋体"/>
                <w:spacing w:val="-6"/>
                <w:szCs w:val="21"/>
                <w:highlight w:val="none"/>
                <w:vertAlign w:val="superscript"/>
              </w:rPr>
              <w:t>2</w:t>
            </w:r>
            <w:r>
              <w:rPr>
                <w:rFonts w:hint="eastAsia" w:ascii="宋体" w:hAnsi="宋体" w:cs="宋体"/>
                <w:spacing w:val="-6"/>
                <w:szCs w:val="21"/>
                <w:highlight w:val="none"/>
              </w:rPr>
              <w:t>）</w:t>
            </w:r>
          </w:p>
        </w:tc>
        <w:tc>
          <w:tcPr>
            <w:tcW w:w="2777" w:type="dxa"/>
            <w:noWrap w:val="0"/>
            <w:vAlign w:val="center"/>
          </w:tcPr>
          <w:p w14:paraId="77508229">
            <w:pPr>
              <w:adjustRightInd w:val="0"/>
              <w:snapToGrid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1350</w:t>
            </w:r>
          </w:p>
        </w:tc>
      </w:tr>
      <w:tr w14:paraId="6D30DA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48" w:type="dxa"/>
            <w:noWrap w:val="0"/>
            <w:vAlign w:val="center"/>
          </w:tcPr>
          <w:p w14:paraId="028BDE36">
            <w:pPr>
              <w:autoSpaceDE w:val="0"/>
              <w:autoSpaceDN w:val="0"/>
              <w:adjustRightInd w:val="0"/>
              <w:snapToGrid w:val="0"/>
              <w:jc w:val="center"/>
              <w:rPr>
                <w:rFonts w:ascii="宋体" w:hAnsi="宋体" w:cs="宋体"/>
                <w:kern w:val="0"/>
                <w:szCs w:val="21"/>
                <w:highlight w:val="none"/>
              </w:rPr>
            </w:pPr>
            <w:r>
              <w:rPr>
                <w:rFonts w:hint="eastAsia" w:ascii="宋体" w:hAnsi="宋体" w:cs="宋体"/>
                <w:kern w:val="0"/>
                <w:szCs w:val="21"/>
                <w:highlight w:val="none"/>
              </w:rPr>
              <w:t>专项评价设置情况</w:t>
            </w:r>
          </w:p>
        </w:tc>
        <w:tc>
          <w:tcPr>
            <w:tcW w:w="6722" w:type="dxa"/>
            <w:gridSpan w:val="3"/>
            <w:noWrap w:val="0"/>
            <w:vAlign w:val="center"/>
          </w:tcPr>
          <w:p w14:paraId="23CF829C">
            <w:pPr>
              <w:autoSpaceDE w:val="0"/>
              <w:autoSpaceDN w:val="0"/>
              <w:adjustRightInd w:val="0"/>
              <w:snapToGrid w:val="0"/>
              <w:jc w:val="center"/>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无</w:t>
            </w:r>
          </w:p>
        </w:tc>
      </w:tr>
      <w:tr w14:paraId="56615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48" w:type="dxa"/>
            <w:noWrap w:val="0"/>
            <w:vAlign w:val="center"/>
          </w:tcPr>
          <w:p w14:paraId="2F4E684B">
            <w:pPr>
              <w:autoSpaceDE w:val="0"/>
              <w:autoSpaceDN w:val="0"/>
              <w:adjustRightInd w:val="0"/>
              <w:snapToGrid w:val="0"/>
              <w:jc w:val="center"/>
              <w:rPr>
                <w:rFonts w:hint="eastAsia" w:ascii="宋体" w:hAnsi="宋体" w:cs="宋体"/>
                <w:kern w:val="0"/>
                <w:szCs w:val="21"/>
                <w:highlight w:val="none"/>
              </w:rPr>
            </w:pPr>
            <w:r>
              <w:rPr>
                <w:rFonts w:hint="eastAsia" w:ascii="宋体" w:hAnsi="宋体" w:cs="宋体"/>
                <w:szCs w:val="21"/>
                <w:highlight w:val="none"/>
              </w:rPr>
              <w:t>规划情况</w:t>
            </w:r>
          </w:p>
        </w:tc>
        <w:tc>
          <w:tcPr>
            <w:tcW w:w="6722" w:type="dxa"/>
            <w:gridSpan w:val="3"/>
            <w:noWrap w:val="0"/>
            <w:vAlign w:val="center"/>
          </w:tcPr>
          <w:p w14:paraId="521F05AE">
            <w:pPr>
              <w:autoSpaceDE w:val="0"/>
              <w:autoSpaceDN w:val="0"/>
              <w:adjustRightInd w:val="0"/>
              <w:snapToGrid w:val="0"/>
              <w:spacing w:line="360" w:lineRule="auto"/>
              <w:jc w:val="center"/>
              <w:rPr>
                <w:rFonts w:ascii="宋体" w:hAnsi="宋体" w:cs="宋体"/>
                <w:kern w:val="0"/>
                <w:szCs w:val="21"/>
                <w:highlight w:val="none"/>
              </w:rPr>
            </w:pPr>
            <w:r>
              <w:rPr>
                <w:rFonts w:hint="eastAsia" w:ascii="Times New Roman" w:hAnsi="Times New Roman" w:eastAsia="宋体" w:cs="Times New Roman"/>
                <w:color w:val="auto"/>
                <w:highlight w:val="none"/>
                <w:lang w:val="en-US" w:eastAsia="zh-CN"/>
              </w:rPr>
              <w:t>无</w:t>
            </w:r>
          </w:p>
        </w:tc>
      </w:tr>
      <w:tr w14:paraId="46DA8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2148" w:type="dxa"/>
            <w:noWrap w:val="0"/>
            <w:vAlign w:val="center"/>
          </w:tcPr>
          <w:p w14:paraId="487227E4">
            <w:pPr>
              <w:adjustRightInd w:val="0"/>
              <w:snapToGrid w:val="0"/>
              <w:jc w:val="center"/>
              <w:rPr>
                <w:rFonts w:ascii="宋体" w:hAnsi="宋体" w:cs="宋体"/>
                <w:szCs w:val="21"/>
                <w:highlight w:val="none"/>
              </w:rPr>
            </w:pPr>
            <w:r>
              <w:rPr>
                <w:rFonts w:hint="eastAsia" w:ascii="宋体" w:hAnsi="宋体" w:cs="宋体"/>
                <w:szCs w:val="21"/>
                <w:highlight w:val="none"/>
              </w:rPr>
              <w:t>规划环境影响</w:t>
            </w:r>
          </w:p>
          <w:p w14:paraId="0E162CA5">
            <w:pPr>
              <w:adjustRightInd w:val="0"/>
              <w:snapToGrid w:val="0"/>
              <w:jc w:val="center"/>
              <w:rPr>
                <w:rFonts w:hint="eastAsia" w:ascii="宋体" w:hAnsi="宋体" w:cs="宋体"/>
                <w:kern w:val="0"/>
                <w:szCs w:val="21"/>
                <w:highlight w:val="none"/>
              </w:rPr>
            </w:pPr>
            <w:r>
              <w:rPr>
                <w:rFonts w:hint="eastAsia" w:ascii="宋体" w:hAnsi="宋体" w:cs="宋体"/>
                <w:szCs w:val="21"/>
                <w:highlight w:val="none"/>
              </w:rPr>
              <w:t>评价情况</w:t>
            </w:r>
          </w:p>
        </w:tc>
        <w:tc>
          <w:tcPr>
            <w:tcW w:w="6722" w:type="dxa"/>
            <w:gridSpan w:val="3"/>
            <w:noWrap w:val="0"/>
            <w:vAlign w:val="center"/>
          </w:tcPr>
          <w:p w14:paraId="0675845B">
            <w:pPr>
              <w:keepNext w:val="0"/>
              <w:keepLines w:val="0"/>
              <w:pageBreakBefore w:val="0"/>
              <w:widowControl w:val="0"/>
              <w:kinsoku/>
              <w:wordWrap/>
              <w:overflowPunct/>
              <w:topLinePunct w:val="0"/>
              <w:bidi w:val="0"/>
              <w:adjustRightInd/>
              <w:snapToGrid/>
              <w:spacing w:before="0" w:line="360" w:lineRule="auto"/>
              <w:ind w:right="0"/>
              <w:jc w:val="center"/>
              <w:textAlignment w:val="auto"/>
              <w:rPr>
                <w:rFonts w:hint="eastAsia"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无</w:t>
            </w:r>
          </w:p>
        </w:tc>
      </w:tr>
      <w:tr w14:paraId="621CD2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2148" w:type="dxa"/>
            <w:noWrap w:val="0"/>
            <w:vAlign w:val="center"/>
          </w:tcPr>
          <w:p w14:paraId="516C6C39">
            <w:pPr>
              <w:autoSpaceDE w:val="0"/>
              <w:autoSpaceDN w:val="0"/>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规划及规划环境</w:t>
            </w:r>
          </w:p>
          <w:p w14:paraId="7802AA91">
            <w:pPr>
              <w:autoSpaceDE w:val="0"/>
              <w:autoSpaceDN w:val="0"/>
              <w:adjustRightInd w:val="0"/>
              <w:snapToGrid w:val="0"/>
              <w:jc w:val="center"/>
              <w:rPr>
                <w:rFonts w:ascii="宋体" w:hAnsi="宋体" w:cs="宋体"/>
                <w:kern w:val="0"/>
                <w:szCs w:val="21"/>
                <w:highlight w:val="none"/>
              </w:rPr>
            </w:pPr>
            <w:r>
              <w:rPr>
                <w:rFonts w:hint="eastAsia" w:ascii="宋体" w:hAnsi="宋体" w:cs="宋体"/>
                <w:kern w:val="0"/>
                <w:szCs w:val="21"/>
                <w:highlight w:val="none"/>
              </w:rPr>
              <w:t>影响评价符合性分析</w:t>
            </w:r>
          </w:p>
        </w:tc>
        <w:tc>
          <w:tcPr>
            <w:tcW w:w="6722" w:type="dxa"/>
            <w:gridSpan w:val="3"/>
            <w:noWrap w:val="0"/>
            <w:vAlign w:val="center"/>
          </w:tcPr>
          <w:p w14:paraId="3D3CA894">
            <w:pPr>
              <w:autoSpaceDE w:val="0"/>
              <w:autoSpaceDN w:val="0"/>
              <w:adjustRightInd w:val="0"/>
              <w:snapToGrid w:val="0"/>
              <w:spacing w:line="360" w:lineRule="auto"/>
              <w:jc w:val="center"/>
              <w:rPr>
                <w:rFonts w:hint="eastAsia" w:ascii="Times New Roman" w:hAnsi="Times New Roman" w:eastAsia="宋体" w:cs="Times New Roman"/>
                <w:color w:val="auto"/>
                <w:sz w:val="21"/>
                <w:highlight w:val="none"/>
                <w:lang w:val="en-US" w:eastAsia="zh-CN"/>
              </w:rPr>
            </w:pPr>
          </w:p>
          <w:p w14:paraId="520C0638">
            <w:pPr>
              <w:autoSpaceDE w:val="0"/>
              <w:autoSpaceDN w:val="0"/>
              <w:adjustRightInd w:val="0"/>
              <w:snapToGrid w:val="0"/>
              <w:spacing w:line="360" w:lineRule="auto"/>
              <w:ind w:left="0" w:leftChars="0" w:firstLine="0" w:firstLineChars="0"/>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sz w:val="21"/>
                <w:szCs w:val="21"/>
                <w:highlight w:val="none"/>
                <w:lang w:val="en-US" w:eastAsia="zh-CN"/>
              </w:rPr>
              <w:t>无</w:t>
            </w:r>
          </w:p>
          <w:p w14:paraId="454970B9">
            <w:pPr>
              <w:autoSpaceDE w:val="0"/>
              <w:autoSpaceDN w:val="0"/>
              <w:adjustRightInd w:val="0"/>
              <w:snapToGrid w:val="0"/>
              <w:jc w:val="center"/>
              <w:rPr>
                <w:rFonts w:ascii="宋体" w:hAnsi="宋体" w:cs="宋体"/>
                <w:kern w:val="0"/>
                <w:szCs w:val="21"/>
                <w:highlight w:val="none"/>
              </w:rPr>
            </w:pPr>
          </w:p>
        </w:tc>
      </w:tr>
      <w:tr w14:paraId="4A98CD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9" w:hRule="atLeast"/>
          <w:jc w:val="center"/>
        </w:trPr>
        <w:tc>
          <w:tcPr>
            <w:tcW w:w="2148" w:type="dxa"/>
            <w:noWrap w:val="0"/>
            <w:vAlign w:val="center"/>
          </w:tcPr>
          <w:p w14:paraId="7A764060">
            <w:pPr>
              <w:autoSpaceDE w:val="0"/>
              <w:autoSpaceDN w:val="0"/>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其他符合性分析</w:t>
            </w:r>
          </w:p>
        </w:tc>
        <w:tc>
          <w:tcPr>
            <w:tcW w:w="6722" w:type="dxa"/>
            <w:gridSpan w:val="3"/>
            <w:noWrap w:val="0"/>
            <w:vAlign w:val="center"/>
          </w:tcPr>
          <w:p w14:paraId="611B12F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1、“三线一单”符合性分析</w:t>
            </w:r>
          </w:p>
          <w:p w14:paraId="62C3FBC5">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color w:val="auto"/>
                <w:highlight w:val="none"/>
                <w:lang w:val="en-US" w:eastAsia="zh-CN"/>
              </w:rPr>
            </w:pPr>
            <w:r>
              <w:rPr>
                <w:rFonts w:hint="default"/>
                <w:color w:val="auto"/>
                <w:highlight w:val="none"/>
                <w:lang w:val="en-US" w:eastAsia="zh-CN"/>
              </w:rPr>
              <w:t>根据《关于以改善环境质量为核心加强环境影响评价管理的通知》（环环评【2016】150号）</w:t>
            </w:r>
            <w:r>
              <w:rPr>
                <w:rFonts w:hint="eastAsia"/>
                <w:color w:val="auto"/>
                <w:highlight w:val="none"/>
                <w:lang w:val="en-US" w:eastAsia="zh-CN"/>
              </w:rPr>
              <w:t>、《河北省人民政府关于加快实施“三线一单”生态环境分区管控的意见》（冀政字[2021]71号）、《唐山市人民政府关于实施“三线一单”生态环境分区管控的意见》（唐政字[2021]48号），</w:t>
            </w:r>
            <w:r>
              <w:rPr>
                <w:rFonts w:hint="default"/>
                <w:color w:val="auto"/>
                <w:highlight w:val="none"/>
                <w:lang w:val="en-US" w:eastAsia="zh-CN"/>
              </w:rPr>
              <w:t>要求以生态保护红线、环境质量底线、资源利用上线和环境准入负面清单（以下简称“三线一单”）为手段，强化空间、总量和准入环境管理。</w:t>
            </w:r>
          </w:p>
          <w:p w14:paraId="7A70A631">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color w:val="auto"/>
                <w:highlight w:val="none"/>
                <w:lang w:val="en-US" w:eastAsia="zh-CN"/>
              </w:rPr>
            </w:pPr>
            <w:r>
              <w:rPr>
                <w:rFonts w:hint="default"/>
                <w:color w:val="auto"/>
                <w:highlight w:val="none"/>
                <w:lang w:val="en-US" w:eastAsia="zh-CN"/>
              </w:rPr>
              <w:t>（1）生态保护红线</w:t>
            </w:r>
          </w:p>
          <w:p w14:paraId="4A5B2DC9">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color w:val="auto"/>
                <w:highlight w:val="none"/>
                <w:lang w:val="en-US" w:eastAsia="zh-CN"/>
              </w:rPr>
            </w:pPr>
            <w:r>
              <w:rPr>
                <w:rFonts w:hint="eastAsia"/>
                <w:color w:val="auto"/>
                <w:highlight w:val="none"/>
                <w:lang w:val="en-US" w:eastAsia="zh-CN"/>
              </w:rPr>
              <w:t>本项目位于唐山市高新技术产业开发区老庄子镇李官屯村东，项目中心坐标东经</w:t>
            </w:r>
            <w:r>
              <w:rPr>
                <w:rFonts w:hint="default"/>
                <w:color w:val="auto"/>
                <w:highlight w:val="none"/>
                <w:lang w:val="en-US" w:eastAsia="zh-CN"/>
              </w:rPr>
              <w:t>118°4′16.482″，北纬39°40′47.769″</w:t>
            </w:r>
            <w:r>
              <w:rPr>
                <w:rFonts w:hint="eastAsia"/>
                <w:color w:val="auto"/>
                <w:highlight w:val="none"/>
                <w:lang w:val="en-US" w:eastAsia="zh-CN"/>
              </w:rPr>
              <w:t>。根据唐山市生态保护红线图可知，</w:t>
            </w:r>
            <w:r>
              <w:rPr>
                <w:rFonts w:hint="eastAsia" w:ascii="Times New Roman" w:hAnsi="Times New Roman" w:cs="Times New Roman"/>
                <w:color w:val="auto"/>
                <w:sz w:val="24"/>
                <w:szCs w:val="24"/>
                <w:highlight w:val="none"/>
                <w:lang w:val="en-US" w:eastAsia="zh-CN"/>
              </w:rPr>
              <w:t>本项目</w:t>
            </w:r>
            <w:r>
              <w:rPr>
                <w:rFonts w:hint="default"/>
                <w:highlight w:val="none"/>
                <w:lang w:val="zh-CN"/>
              </w:rPr>
              <w:t>距离生态保护红线最近的位置是位于项目</w:t>
            </w:r>
            <w:r>
              <w:rPr>
                <w:rFonts w:hint="eastAsia"/>
                <w:highlight w:val="none"/>
                <w:lang w:val="en-US" w:eastAsia="zh-CN"/>
              </w:rPr>
              <w:t>东侧</w:t>
            </w:r>
            <w:r>
              <w:rPr>
                <w:rFonts w:hint="default"/>
                <w:highlight w:val="none"/>
                <w:lang w:val="zh-CN"/>
              </w:rPr>
              <w:t>的</w:t>
            </w:r>
            <w:r>
              <w:rPr>
                <w:rFonts w:hint="default"/>
                <w:highlight w:val="none"/>
              </w:rPr>
              <w:t>陡河</w:t>
            </w:r>
            <w:r>
              <w:rPr>
                <w:rFonts w:hint="eastAsia"/>
                <w:highlight w:val="none"/>
                <w:lang w:eastAsia="zh-CN"/>
              </w:rPr>
              <w:t>，</w:t>
            </w:r>
            <w:r>
              <w:rPr>
                <w:rFonts w:hint="eastAsia"/>
                <w:highlight w:val="none"/>
                <w:lang w:val="en-US" w:eastAsia="zh-CN"/>
              </w:rPr>
              <w:t>距离约10.7km，</w:t>
            </w:r>
            <w:r>
              <w:rPr>
                <w:rFonts w:hint="default"/>
                <w:highlight w:val="none"/>
                <w:lang w:val="zh-CN"/>
              </w:rPr>
              <w:t>满足生态保护红线要求</w:t>
            </w:r>
            <w:r>
              <w:rPr>
                <w:rFonts w:hint="default" w:ascii="Times New Roman" w:hAnsi="Times New Roman" w:eastAsia="宋体" w:cs="Times New Roman"/>
                <w:color w:val="auto"/>
                <w:sz w:val="24"/>
                <w:szCs w:val="24"/>
                <w:highlight w:val="none"/>
              </w:rPr>
              <w:t>。</w:t>
            </w:r>
          </w:p>
          <w:p w14:paraId="26040B7D">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（2）环境质量底线</w:t>
            </w:r>
          </w:p>
          <w:p w14:paraId="15D01FB6">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本项目位于唐山市高新技术产业开发区老庄子镇，所在区域环境空气属于《环境空气质量标准》(GB3095-2012）及其修改单二类区；区域地下水主要适用于集中式饮用水水源地保护区，根据《地下水质量标准》（GB/T14848-2017），区域地下水质量执行</w:t>
            </w:r>
            <w:r>
              <w:rPr>
                <w:rFonts w:hint="default"/>
                <w:color w:val="auto"/>
                <w:highlight w:val="none"/>
                <w:lang w:val="en-US" w:eastAsia="zh-CN"/>
              </w:rPr>
              <w:t>Ⅲ</w:t>
            </w:r>
            <w:r>
              <w:rPr>
                <w:rFonts w:hint="eastAsia"/>
                <w:color w:val="auto"/>
                <w:highlight w:val="none"/>
                <w:lang w:val="en-US" w:eastAsia="zh-CN"/>
              </w:rPr>
              <w:t>类标准；项目所在地区东、西、南、北厂界执行《声环境质量标准》（GB3096-2008)中的2类功能区标准。</w:t>
            </w:r>
          </w:p>
          <w:p w14:paraId="56DAF007">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 xml:space="preserve"> 本项目采取了完善的污染治理措施，各项废气污染物能够实现达</w:t>
            </w:r>
          </w:p>
          <w:p w14:paraId="50D3BB54">
            <w:pPr>
              <w:keepNext w:val="0"/>
              <w:keepLines w:val="0"/>
              <w:pageBreakBefore w:val="0"/>
              <w:widowControl/>
              <w:kinsoku/>
              <w:wordWrap/>
              <w:overflowPunct/>
              <w:topLinePunct w:val="0"/>
              <w:autoSpaceDE/>
              <w:autoSpaceDN/>
              <w:bidi w:val="0"/>
              <w:adjustRightInd w:val="0"/>
              <w:snapToGrid w:val="0"/>
              <w:spacing w:line="400" w:lineRule="exact"/>
              <w:textAlignment w:val="auto"/>
              <w:outlineLvl w:val="9"/>
              <w:rPr>
                <w:rFonts w:hint="default"/>
                <w:color w:val="auto"/>
                <w:highlight w:val="none"/>
                <w:lang w:val="en-US" w:eastAsia="zh-CN"/>
              </w:rPr>
            </w:pPr>
            <w:r>
              <w:rPr>
                <w:rFonts w:hint="eastAsia"/>
                <w:color w:val="auto"/>
                <w:highlight w:val="none"/>
                <w:lang w:val="en-US" w:eastAsia="zh-CN"/>
              </w:rPr>
              <w:t xml:space="preserve">标排放；本项目厂区地面全部硬化，做了防渗处理，不会对区域地下水造成污染；产噪设备采取基础减振、厂房隔音等措施后，再经过距离衰减，东、西、南、北厂界外1m处噪声预测值可满《工业企业厂界环境噪声排放标准》（GB12348-2008）2类声环境功能区标准，对周围声环境影响较小；固体废物均得到合理处置。 </w:t>
            </w:r>
          </w:p>
          <w:p w14:paraId="743990D6">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color w:val="auto"/>
                <w:highlight w:val="none"/>
                <w:lang w:val="en-US" w:eastAsia="zh-CN"/>
              </w:rPr>
            </w:pPr>
            <w:r>
              <w:rPr>
                <w:rFonts w:hint="eastAsia"/>
                <w:color w:val="auto"/>
                <w:highlight w:val="none"/>
                <w:lang w:val="en-US" w:eastAsia="zh-CN"/>
              </w:rPr>
              <w:t>因此，再严格落实废气、废水、噪声、固废等污染防治措施前提下，项目的实施不会对周围环境产生明显影响，不会改变区域的环境质量功能类别。</w:t>
            </w:r>
          </w:p>
          <w:p w14:paraId="2AC466C6">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资源利用上线</w:t>
            </w:r>
          </w:p>
          <w:p w14:paraId="64B93709">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本项目建设投产后，运营期生产过程主要为原料搅拌用水和裁切、打孔、切割过程喷洒一体板用水。因此，不会导致水资源利用突破上限。每年用电量2.6</w:t>
            </w:r>
            <w:r>
              <w:rPr>
                <w:rFonts w:hint="default"/>
                <w:color w:val="auto"/>
                <w:highlight w:val="none"/>
                <w:lang w:val="en-US" w:eastAsia="zh-CN"/>
              </w:rPr>
              <w:t>万kWh</w:t>
            </w:r>
            <w:r>
              <w:rPr>
                <w:rFonts w:hint="eastAsia"/>
                <w:color w:val="auto"/>
                <w:highlight w:val="none"/>
                <w:lang w:val="en-US" w:eastAsia="zh-CN"/>
              </w:rPr>
              <w:t>，由地方电网提供，不会导致电资源利用突破上限。因此，项目资源利用满足需求。</w:t>
            </w:r>
          </w:p>
          <w:p w14:paraId="71FEDE8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（4）环境准入负面清单</w:t>
            </w:r>
          </w:p>
          <w:p w14:paraId="66C70D17">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color w:val="auto"/>
                <w:highlight w:val="none"/>
                <w:lang w:val="en-US" w:eastAsia="zh-CN"/>
              </w:rPr>
            </w:pPr>
            <w:r>
              <w:rPr>
                <w:rFonts w:hint="default"/>
                <w:color w:val="auto"/>
                <w:highlight w:val="none"/>
                <w:lang w:val="en-US" w:eastAsia="zh-CN"/>
              </w:rPr>
              <w:t>环境准入负面清单是基于生态保护红线、环境质量底线和资源利用上线，以清单方式列出的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p w14:paraId="7539A723">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eastAsia"/>
                <w:color w:val="auto"/>
                <w:highlight w:val="none"/>
                <w:lang w:val="en-US" w:eastAsia="zh-CN"/>
              </w:rPr>
            </w:pPr>
            <w:r>
              <w:rPr>
                <w:rFonts w:hint="eastAsia"/>
                <w:color w:val="auto"/>
                <w:highlight w:val="none"/>
                <w:lang w:val="en-US" w:eastAsia="zh-CN"/>
              </w:rPr>
              <w:t>与《唐山市人民政府关于实施“三线一单”生态环境分区管控的意见》符合性分析</w:t>
            </w:r>
          </w:p>
          <w:p w14:paraId="3C124C4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rPr>
            </w:pPr>
            <w:r>
              <w:rPr>
                <w:rFonts w:hint="eastAsia"/>
                <w:color w:val="auto"/>
                <w:highlight w:val="none"/>
                <w:lang w:val="en-US" w:eastAsia="zh-CN"/>
              </w:rPr>
              <w:t>据《唐山市人民政府关于实施“三线一单”生态环境分区管控的意见》（唐政字[2021]48号），本项目所在区域生态环境管控要求如下表</w:t>
            </w:r>
            <w:r>
              <w:rPr>
                <w:rFonts w:hint="eastAsia" w:ascii="Times New Roman" w:hAnsi="Times New Roman" w:cs="Times New Roman"/>
                <w:highlight w:val="none"/>
                <w:lang w:val="en-US" w:eastAsia="zh-CN"/>
              </w:rPr>
              <w:t>。</w:t>
            </w:r>
          </w:p>
          <w:p w14:paraId="3D10E852">
            <w:pPr>
              <w:pStyle w:val="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ighlight w:val="none"/>
                <w:lang w:val="en-US" w:eastAsia="zh-CN"/>
              </w:rPr>
            </w:pPr>
            <w:r>
              <w:rPr>
                <w:rFonts w:hint="default"/>
                <w:b/>
                <w:bCs/>
                <w:highlight w:val="none"/>
                <w:lang w:val="zh-CN"/>
              </w:rPr>
              <w:t>表</w:t>
            </w:r>
            <w:r>
              <w:rPr>
                <w:rFonts w:hint="eastAsia"/>
                <w:b/>
                <w:bCs/>
                <w:highlight w:val="none"/>
                <w:lang w:val="en-US" w:eastAsia="zh-CN"/>
              </w:rPr>
              <w:t xml:space="preserve">1-1 </w:t>
            </w:r>
            <w:r>
              <w:rPr>
                <w:rFonts w:hint="default"/>
                <w:b/>
                <w:bCs/>
                <w:highlight w:val="none"/>
              </w:rPr>
              <w:t xml:space="preserve"> </w:t>
            </w:r>
            <w:r>
              <w:rPr>
                <w:rFonts w:hint="default"/>
                <w:b/>
                <w:bCs/>
                <w:highlight w:val="none"/>
                <w:lang w:val="en-US" w:eastAsia="zh-CN"/>
              </w:rPr>
              <w:t>唐山市生态环境准入清单</w:t>
            </w:r>
          </w:p>
          <w:tbl>
            <w:tblPr>
              <w:tblStyle w:val="21"/>
              <w:tblW w:w="64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3114"/>
              <w:gridCol w:w="2040"/>
              <w:gridCol w:w="750"/>
            </w:tblGrid>
            <w:tr w14:paraId="7296F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top w:val="single" w:color="auto" w:sz="12" w:space="0"/>
                  </w:tcBorders>
                  <w:vAlign w:val="center"/>
                </w:tcPr>
                <w:p w14:paraId="50745191">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highlight w:val="none"/>
                      <w:lang w:val="en-US" w:eastAsia="zh-CN"/>
                    </w:rPr>
                  </w:pPr>
                  <w:r>
                    <w:rPr>
                      <w:rFonts w:hint="default"/>
                      <w:highlight w:val="none"/>
                    </w:rPr>
                    <w:t>分类</w:t>
                  </w:r>
                </w:p>
              </w:tc>
              <w:tc>
                <w:tcPr>
                  <w:tcW w:w="3114" w:type="dxa"/>
                  <w:tcBorders>
                    <w:top w:val="single" w:color="auto" w:sz="12" w:space="0"/>
                  </w:tcBorders>
                  <w:vAlign w:val="center"/>
                </w:tcPr>
                <w:p w14:paraId="37462382">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highlight w:val="none"/>
                      <w:lang w:val="en-US" w:eastAsia="zh-CN"/>
                    </w:rPr>
                  </w:pPr>
                  <w:r>
                    <w:rPr>
                      <w:rFonts w:hint="default"/>
                      <w:highlight w:val="none"/>
                    </w:rPr>
                    <w:t>管控要求</w:t>
                  </w:r>
                </w:p>
              </w:tc>
              <w:tc>
                <w:tcPr>
                  <w:tcW w:w="2040" w:type="dxa"/>
                  <w:tcBorders>
                    <w:top w:val="single" w:color="auto" w:sz="12" w:space="0"/>
                  </w:tcBorders>
                  <w:vAlign w:val="center"/>
                </w:tcPr>
                <w:p w14:paraId="0648AAD8">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highlight w:val="none"/>
                      <w:lang w:val="en-US" w:eastAsia="zh-CN"/>
                    </w:rPr>
                  </w:pPr>
                  <w:r>
                    <w:rPr>
                      <w:rFonts w:hint="default"/>
                      <w:highlight w:val="none"/>
                      <w:lang w:val="en-US" w:eastAsia="zh-CN"/>
                    </w:rPr>
                    <w:t>本项目情况</w:t>
                  </w:r>
                </w:p>
              </w:tc>
              <w:tc>
                <w:tcPr>
                  <w:tcW w:w="750" w:type="dxa"/>
                  <w:tcBorders>
                    <w:top w:val="single" w:color="auto" w:sz="12" w:space="0"/>
                    <w:right w:val="single" w:color="auto" w:sz="12" w:space="0"/>
                  </w:tcBorders>
                  <w:vAlign w:val="center"/>
                </w:tcPr>
                <w:p w14:paraId="7F7260FE">
                  <w:pPr>
                    <w:keepNext w:val="0"/>
                    <w:keepLines w:val="0"/>
                    <w:pageBreakBefore w:val="0"/>
                    <w:widowControl w:val="0"/>
                    <w:kinsoku/>
                    <w:wordWrap/>
                    <w:overflowPunct/>
                    <w:topLinePunct w:val="0"/>
                    <w:autoSpaceDE/>
                    <w:autoSpaceDN/>
                    <w:bidi w:val="0"/>
                    <w:adjustRightInd w:val="0"/>
                    <w:snapToGrid/>
                    <w:spacing w:line="360" w:lineRule="exact"/>
                    <w:jc w:val="center"/>
                    <w:textAlignment w:val="baseline"/>
                    <w:rPr>
                      <w:rFonts w:hint="default"/>
                      <w:highlight w:val="none"/>
                      <w:lang w:val="en-US" w:eastAsia="zh-CN"/>
                    </w:rPr>
                  </w:pPr>
                  <w:r>
                    <w:rPr>
                      <w:rFonts w:hint="default"/>
                      <w:highlight w:val="none"/>
                      <w:lang w:val="en-US" w:eastAsia="zh-CN"/>
                    </w:rPr>
                    <w:t>符合性</w:t>
                  </w:r>
                </w:p>
              </w:tc>
            </w:tr>
            <w:tr w14:paraId="007EE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583" w:type="dxa"/>
                  <w:tcBorders>
                    <w:left w:val="single" w:color="auto" w:sz="4" w:space="0"/>
                  </w:tcBorders>
                  <w:vAlign w:val="center"/>
                </w:tcPr>
                <w:p w14:paraId="2D1BD39A">
                  <w:pPr>
                    <w:keepNext w:val="0"/>
                    <w:keepLines w:val="0"/>
                    <w:pageBreakBefore w:val="0"/>
                    <w:widowControl w:val="0"/>
                    <w:kinsoku/>
                    <w:wordWrap/>
                    <w:overflowPunct/>
                    <w:topLinePunct w:val="0"/>
                    <w:autoSpaceDE/>
                    <w:autoSpaceDN/>
                    <w:bidi w:val="0"/>
                    <w:snapToGrid/>
                    <w:spacing w:line="360" w:lineRule="exact"/>
                    <w:jc w:val="center"/>
                    <w:rPr>
                      <w:rFonts w:hint="default"/>
                      <w:highlight w:val="none"/>
                      <w:lang w:val="en-US" w:eastAsia="zh-CN"/>
                    </w:rPr>
                  </w:pPr>
                  <w:r>
                    <w:rPr>
                      <w:rFonts w:hint="eastAsia"/>
                      <w:highlight w:val="none"/>
                      <w:lang w:val="en-US" w:eastAsia="zh-CN"/>
                    </w:rPr>
                    <w:t>空间布局约束</w:t>
                  </w:r>
                </w:p>
              </w:tc>
              <w:tc>
                <w:tcPr>
                  <w:tcW w:w="3114" w:type="dxa"/>
                  <w:vAlign w:val="center"/>
                </w:tcPr>
                <w:p w14:paraId="598AB1B7">
                  <w:pPr>
                    <w:keepNext w:val="0"/>
                    <w:keepLines w:val="0"/>
                    <w:pageBreakBefore w:val="0"/>
                    <w:widowControl w:val="0"/>
                    <w:numPr>
                      <w:ilvl w:val="0"/>
                      <w:numId w:val="1"/>
                    </w:numPr>
                    <w:kinsoku/>
                    <w:wordWrap/>
                    <w:overflowPunct/>
                    <w:topLinePunct w:val="0"/>
                    <w:autoSpaceDE/>
                    <w:autoSpaceDN/>
                    <w:bidi w:val="0"/>
                    <w:adjustRightInd w:val="0"/>
                    <w:snapToGrid/>
                    <w:spacing w:line="360" w:lineRule="exact"/>
                    <w:jc w:val="left"/>
                    <w:textAlignment w:val="baseline"/>
                    <w:rPr>
                      <w:rFonts w:hint="eastAsia"/>
                      <w:highlight w:val="none"/>
                      <w:lang w:val="en-US" w:eastAsia="zh-CN"/>
                    </w:rPr>
                  </w:pPr>
                  <w:r>
                    <w:rPr>
                      <w:rFonts w:hint="eastAsia"/>
                      <w:highlight w:val="none"/>
                      <w:lang w:val="en-US" w:eastAsia="zh-CN"/>
                    </w:rPr>
                    <w:t>市核心区禁止布局废品收购站，经营性印刷、铁艺加工等涉VOCs排放行业企业，涉喷漆工序汽修行业二类以下企业。</w:t>
                  </w:r>
                </w:p>
                <w:p w14:paraId="34795514">
                  <w:pPr>
                    <w:keepNext w:val="0"/>
                    <w:keepLines w:val="0"/>
                    <w:pageBreakBefore w:val="0"/>
                    <w:widowControl w:val="0"/>
                    <w:numPr>
                      <w:ilvl w:val="0"/>
                      <w:numId w:val="0"/>
                    </w:numPr>
                    <w:kinsoku/>
                    <w:wordWrap/>
                    <w:overflowPunct/>
                    <w:topLinePunct w:val="0"/>
                    <w:autoSpaceDE/>
                    <w:autoSpaceDN/>
                    <w:bidi w:val="0"/>
                    <w:adjustRightInd w:val="0"/>
                    <w:snapToGrid/>
                    <w:spacing w:line="360" w:lineRule="exact"/>
                    <w:jc w:val="left"/>
                    <w:textAlignment w:val="baseline"/>
                    <w:rPr>
                      <w:rFonts w:hint="default"/>
                      <w:highlight w:val="none"/>
                      <w:lang w:val="en-US" w:eastAsia="zh-CN"/>
                    </w:rPr>
                  </w:pPr>
                  <w:r>
                    <w:rPr>
                      <w:rFonts w:hint="eastAsia"/>
                      <w:highlight w:val="none"/>
                      <w:lang w:val="en-US" w:eastAsia="zh-CN"/>
                    </w:rPr>
                    <w:t>2、环线以内禁止布局搅拌站、沥青拌合站。二环线内，禁止新建铸造、轧钢、石灰窑、砖瓦窑、家具制造（涉VOCs)、化工行业企业；严禁国IV及以下排放标准柴油货车驶入。</w:t>
                  </w:r>
                </w:p>
              </w:tc>
              <w:tc>
                <w:tcPr>
                  <w:tcW w:w="2040" w:type="dxa"/>
                  <w:vAlign w:val="center"/>
                </w:tcPr>
                <w:p w14:paraId="77A24562">
                  <w:pPr>
                    <w:keepNext w:val="0"/>
                    <w:keepLines w:val="0"/>
                    <w:pageBreakBefore w:val="0"/>
                    <w:widowControl w:val="0"/>
                    <w:kinsoku/>
                    <w:wordWrap/>
                    <w:overflowPunct/>
                    <w:topLinePunct w:val="0"/>
                    <w:autoSpaceDE/>
                    <w:autoSpaceDN/>
                    <w:bidi w:val="0"/>
                    <w:adjustRightInd w:val="0"/>
                    <w:snapToGrid/>
                    <w:spacing w:line="360" w:lineRule="exact"/>
                    <w:jc w:val="left"/>
                    <w:textAlignment w:val="baseline"/>
                    <w:rPr>
                      <w:rFonts w:hint="eastAsia"/>
                      <w:highlight w:val="none"/>
                      <w:lang w:val="en-US" w:eastAsia="zh-CN"/>
                    </w:rPr>
                  </w:pPr>
                  <w:r>
                    <w:rPr>
                      <w:rFonts w:hint="eastAsia"/>
                      <w:highlight w:val="none"/>
                      <w:lang w:val="en-US" w:eastAsia="zh-CN"/>
                    </w:rPr>
                    <w:t>1、本项目只有少量的颗粒物排放，不涉及VOCs排放；</w:t>
                  </w:r>
                </w:p>
                <w:p w14:paraId="43DC8A2A">
                  <w:pPr>
                    <w:keepNext w:val="0"/>
                    <w:keepLines w:val="0"/>
                    <w:pageBreakBefore w:val="0"/>
                    <w:widowControl w:val="0"/>
                    <w:kinsoku/>
                    <w:wordWrap/>
                    <w:overflowPunct/>
                    <w:topLinePunct w:val="0"/>
                    <w:autoSpaceDE/>
                    <w:autoSpaceDN/>
                    <w:bidi w:val="0"/>
                    <w:adjustRightInd w:val="0"/>
                    <w:snapToGrid/>
                    <w:spacing w:line="360" w:lineRule="exact"/>
                    <w:jc w:val="left"/>
                    <w:textAlignment w:val="baseline"/>
                    <w:rPr>
                      <w:rFonts w:hint="default"/>
                      <w:highlight w:val="none"/>
                      <w:lang w:val="en-US" w:eastAsia="zh-CN"/>
                    </w:rPr>
                  </w:pPr>
                  <w:r>
                    <w:rPr>
                      <w:rFonts w:hint="eastAsia"/>
                      <w:highlight w:val="none"/>
                      <w:lang w:val="en-US" w:eastAsia="zh-CN"/>
                    </w:rPr>
                    <w:t>2、本项目为生产一体板扩建项目，不涉及VOCs排放，且无国IV及以下排放标准柴油货车驶入厂区。</w:t>
                  </w:r>
                </w:p>
              </w:tc>
              <w:tc>
                <w:tcPr>
                  <w:tcW w:w="750" w:type="dxa"/>
                  <w:tcBorders>
                    <w:right w:val="single" w:color="auto" w:sz="12" w:space="0"/>
                  </w:tcBorders>
                  <w:vAlign w:val="center"/>
                </w:tcPr>
                <w:p w14:paraId="11C59E61">
                  <w:pPr>
                    <w:keepNext w:val="0"/>
                    <w:keepLines w:val="0"/>
                    <w:pageBreakBefore w:val="0"/>
                    <w:widowControl w:val="0"/>
                    <w:kinsoku/>
                    <w:wordWrap/>
                    <w:overflowPunct/>
                    <w:topLinePunct w:val="0"/>
                    <w:autoSpaceDE/>
                    <w:autoSpaceDN/>
                    <w:bidi w:val="0"/>
                    <w:snapToGrid/>
                    <w:spacing w:line="360" w:lineRule="exact"/>
                    <w:jc w:val="center"/>
                    <w:rPr>
                      <w:rFonts w:hint="default"/>
                      <w:highlight w:val="none"/>
                      <w:lang w:val="en-US" w:eastAsia="zh-CN"/>
                    </w:rPr>
                  </w:pPr>
                  <w:r>
                    <w:rPr>
                      <w:rFonts w:hint="eastAsia"/>
                      <w:highlight w:val="none"/>
                      <w:lang w:val="en-US" w:eastAsia="zh-CN"/>
                    </w:rPr>
                    <w:t>符合</w:t>
                  </w:r>
                </w:p>
              </w:tc>
            </w:tr>
            <w:tr w14:paraId="0F6A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583" w:type="dxa"/>
                  <w:tcBorders>
                    <w:left w:val="single" w:color="auto" w:sz="4" w:space="0"/>
                  </w:tcBorders>
                  <w:vAlign w:val="center"/>
                </w:tcPr>
                <w:p w14:paraId="397A76F7">
                  <w:pPr>
                    <w:keepNext w:val="0"/>
                    <w:keepLines w:val="0"/>
                    <w:pageBreakBefore w:val="0"/>
                    <w:widowControl w:val="0"/>
                    <w:kinsoku/>
                    <w:wordWrap/>
                    <w:overflowPunct/>
                    <w:topLinePunct w:val="0"/>
                    <w:autoSpaceDE/>
                    <w:autoSpaceDN/>
                    <w:bidi w:val="0"/>
                    <w:snapToGrid/>
                    <w:spacing w:line="360" w:lineRule="exact"/>
                    <w:jc w:val="center"/>
                    <w:rPr>
                      <w:rFonts w:hint="eastAsia" w:ascii="Times New Roman" w:hAnsi="Times New Roman" w:eastAsia="宋体" w:cs="Times New Roman"/>
                      <w:kern w:val="2"/>
                      <w:sz w:val="21"/>
                      <w:szCs w:val="24"/>
                      <w:highlight w:val="none"/>
                      <w:lang w:val="en-US" w:eastAsia="zh-CN" w:bidi="ar-SA"/>
                    </w:rPr>
                  </w:pPr>
                  <w:r>
                    <w:rPr>
                      <w:rFonts w:hint="default"/>
                      <w:highlight w:val="none"/>
                      <w:lang w:val="en-US" w:eastAsia="zh-CN"/>
                    </w:rPr>
                    <w:t>污染物排放管控</w:t>
                  </w:r>
                </w:p>
              </w:tc>
              <w:tc>
                <w:tcPr>
                  <w:tcW w:w="3114" w:type="dxa"/>
                  <w:vAlign w:val="center"/>
                </w:tcPr>
                <w:p w14:paraId="2CB81365">
                  <w:pPr>
                    <w:keepNext w:val="0"/>
                    <w:keepLines w:val="0"/>
                    <w:pageBreakBefore w:val="0"/>
                    <w:widowControl w:val="0"/>
                    <w:numPr>
                      <w:ilvl w:val="0"/>
                      <w:numId w:val="2"/>
                    </w:numPr>
                    <w:kinsoku/>
                    <w:wordWrap/>
                    <w:overflowPunct/>
                    <w:topLinePunct w:val="0"/>
                    <w:autoSpaceDE/>
                    <w:autoSpaceDN/>
                    <w:bidi w:val="0"/>
                    <w:adjustRightInd w:val="0"/>
                    <w:snapToGrid/>
                    <w:spacing w:line="360" w:lineRule="exact"/>
                    <w:jc w:val="left"/>
                    <w:textAlignment w:val="baseline"/>
                    <w:rPr>
                      <w:rFonts w:hint="eastAsia"/>
                      <w:highlight w:val="none"/>
                      <w:lang w:val="en-US" w:eastAsia="zh-CN"/>
                    </w:rPr>
                  </w:pPr>
                  <w:r>
                    <w:rPr>
                      <w:rFonts w:hint="eastAsia"/>
                      <w:highlight w:val="none"/>
                      <w:lang w:val="en-US" w:eastAsia="zh-CN"/>
                    </w:rPr>
                    <w:t>禁止生产、销售、使用国家明令禁止的农业投入品，推进农业投入品包装废弃物和农用薄膜回收及无害化处理。鼓励使用低毒、低残留农药以及先进喷施技术；使用符合标准的有机肥、高效肥：采用生物防治等病虫害绿色防控技术：使用生物可降解农用薄膜；综合利用秸秆、移出高富集污染物秸秆。</w:t>
                  </w:r>
                </w:p>
                <w:p w14:paraId="6C0EDC3E">
                  <w:pPr>
                    <w:keepNext w:val="0"/>
                    <w:keepLines w:val="0"/>
                    <w:pageBreakBefore w:val="0"/>
                    <w:widowControl w:val="0"/>
                    <w:numPr>
                      <w:ilvl w:val="0"/>
                      <w:numId w:val="0"/>
                    </w:numPr>
                    <w:kinsoku/>
                    <w:wordWrap/>
                    <w:overflowPunct/>
                    <w:topLinePunct w:val="0"/>
                    <w:autoSpaceDE/>
                    <w:autoSpaceDN/>
                    <w:bidi w:val="0"/>
                    <w:adjustRightInd w:val="0"/>
                    <w:snapToGrid/>
                    <w:spacing w:line="360" w:lineRule="exact"/>
                    <w:ind w:left="0" w:leftChars="0" w:firstLine="0" w:firstLineChars="0"/>
                    <w:jc w:val="left"/>
                    <w:textAlignment w:val="baseline"/>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2、合理使用农药、兽药、肥料、饲料、农用薄膜等农业投入品，控制农药、兽药、化肥等的使用量。鼓励采取有利于防止土壤污染的种养结合、轮作休耕等农业耕作措施；支持采取土壤改良、土壤肥力提升等有利于土壤养护和培育的措施；支持畜禽粪便处理、利用设施的建设。</w:t>
                  </w:r>
                </w:p>
              </w:tc>
              <w:tc>
                <w:tcPr>
                  <w:tcW w:w="2040" w:type="dxa"/>
                  <w:vAlign w:val="center"/>
                </w:tcPr>
                <w:p w14:paraId="202A5871">
                  <w:pPr>
                    <w:keepNext w:val="0"/>
                    <w:keepLines w:val="0"/>
                    <w:pageBreakBefore w:val="0"/>
                    <w:widowControl w:val="0"/>
                    <w:kinsoku/>
                    <w:wordWrap/>
                    <w:overflowPunct/>
                    <w:topLinePunct w:val="0"/>
                    <w:autoSpaceDE/>
                    <w:autoSpaceDN/>
                    <w:bidi w:val="0"/>
                    <w:adjustRightInd w:val="0"/>
                    <w:snapToGrid/>
                    <w:spacing w:line="360" w:lineRule="exact"/>
                    <w:jc w:val="left"/>
                    <w:textAlignment w:val="baseline"/>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本项目主要生产一体板，</w:t>
                  </w:r>
                  <w:r>
                    <w:rPr>
                      <w:rFonts w:hint="eastAsia" w:ascii="Times New Roman" w:hAnsi="Times New Roman" w:cs="Times New Roman"/>
                      <w:highlight w:val="none"/>
                      <w:lang w:val="en-US" w:eastAsia="zh-CN"/>
                    </w:rPr>
                    <w:t>属于“</w:t>
                  </w:r>
                  <w:r>
                    <w:rPr>
                      <w:rFonts w:hint="eastAsia" w:ascii="宋体" w:hAnsi="宋体" w:cs="宋体"/>
                      <w:szCs w:val="21"/>
                      <w:highlight w:val="none"/>
                      <w:lang w:val="en-US" w:eastAsia="zh-CN"/>
                    </w:rPr>
                    <w:t>C3029其他水泥类似制品制造</w:t>
                  </w:r>
                  <w:r>
                    <w:rPr>
                      <w:rFonts w:hint="eastAsia" w:ascii="Times New Roman" w:hAnsi="Times New Roman" w:cs="Times New Roman"/>
                      <w:highlight w:val="none"/>
                      <w:lang w:val="en-US" w:eastAsia="zh-CN"/>
                    </w:rPr>
                    <w:t>”，</w:t>
                  </w:r>
                  <w:r>
                    <w:rPr>
                      <w:rFonts w:hint="eastAsia"/>
                      <w:highlight w:val="none"/>
                      <w:lang w:val="en-US" w:eastAsia="zh-CN"/>
                    </w:rPr>
                    <w:t>不涉及农业、农产品、农药、养殖类等领域。</w:t>
                  </w:r>
                </w:p>
              </w:tc>
              <w:tc>
                <w:tcPr>
                  <w:tcW w:w="750" w:type="dxa"/>
                  <w:tcBorders>
                    <w:right w:val="single" w:color="auto" w:sz="12" w:space="0"/>
                  </w:tcBorders>
                  <w:vAlign w:val="center"/>
                </w:tcPr>
                <w:p w14:paraId="4FDF159D">
                  <w:pPr>
                    <w:keepNext w:val="0"/>
                    <w:keepLines w:val="0"/>
                    <w:pageBreakBefore w:val="0"/>
                    <w:widowControl w:val="0"/>
                    <w:kinsoku/>
                    <w:wordWrap/>
                    <w:overflowPunct/>
                    <w:topLinePunct w:val="0"/>
                    <w:autoSpaceDE/>
                    <w:autoSpaceDN/>
                    <w:bidi w:val="0"/>
                    <w:snapToGrid/>
                    <w:spacing w:line="360" w:lineRule="exact"/>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符合</w:t>
                  </w:r>
                </w:p>
              </w:tc>
            </w:tr>
            <w:tr w14:paraId="3B80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trPr>
              <w:tc>
                <w:tcPr>
                  <w:tcW w:w="583" w:type="dxa"/>
                  <w:tcBorders>
                    <w:left w:val="single" w:color="auto" w:sz="4" w:space="0"/>
                  </w:tcBorders>
                  <w:vAlign w:val="center"/>
                </w:tcPr>
                <w:p w14:paraId="14D4F25C">
                  <w:pPr>
                    <w:keepNext w:val="0"/>
                    <w:keepLines w:val="0"/>
                    <w:pageBreakBefore w:val="0"/>
                    <w:widowControl w:val="0"/>
                    <w:kinsoku/>
                    <w:wordWrap/>
                    <w:overflowPunct/>
                    <w:topLinePunct w:val="0"/>
                    <w:autoSpaceDE/>
                    <w:autoSpaceDN/>
                    <w:bidi w:val="0"/>
                    <w:snapToGrid/>
                    <w:spacing w:line="360" w:lineRule="exact"/>
                    <w:jc w:val="center"/>
                    <w:rPr>
                      <w:rFonts w:hint="default"/>
                      <w:highlight w:val="none"/>
                      <w:lang w:val="en-US" w:eastAsia="zh-CN"/>
                    </w:rPr>
                  </w:pPr>
                  <w:r>
                    <w:rPr>
                      <w:rFonts w:hint="default"/>
                      <w:highlight w:val="none"/>
                      <w:lang w:val="en-US" w:eastAsia="zh-CN"/>
                    </w:rPr>
                    <w:t>环境风险防控</w:t>
                  </w:r>
                </w:p>
              </w:tc>
              <w:tc>
                <w:tcPr>
                  <w:tcW w:w="3114" w:type="dxa"/>
                  <w:shd w:val="clear" w:color="auto" w:fill="auto"/>
                  <w:vAlign w:val="center"/>
                </w:tcPr>
                <w:p w14:paraId="7E49DDCC">
                  <w:pPr>
                    <w:keepNext w:val="0"/>
                    <w:keepLines w:val="0"/>
                    <w:pageBreakBefore w:val="0"/>
                    <w:widowControl w:val="0"/>
                    <w:numPr>
                      <w:ilvl w:val="0"/>
                      <w:numId w:val="3"/>
                    </w:numPr>
                    <w:kinsoku/>
                    <w:wordWrap/>
                    <w:overflowPunct/>
                    <w:topLinePunct w:val="0"/>
                    <w:autoSpaceDE/>
                    <w:autoSpaceDN/>
                    <w:bidi w:val="0"/>
                    <w:adjustRightInd w:val="0"/>
                    <w:snapToGrid/>
                    <w:spacing w:line="360" w:lineRule="exact"/>
                    <w:ind w:left="0" w:leftChars="0" w:firstLine="0" w:firstLineChars="0"/>
                    <w:jc w:val="left"/>
                    <w:textAlignment w:val="baseline"/>
                    <w:rPr>
                      <w:rFonts w:hint="eastAsia"/>
                      <w:highlight w:val="none"/>
                      <w:lang w:val="en-US" w:eastAsia="zh-CN"/>
                    </w:rPr>
                  </w:pPr>
                  <w:r>
                    <w:rPr>
                      <w:rFonts w:hint="eastAsia"/>
                      <w:highlight w:val="none"/>
                      <w:lang w:val="en-US" w:eastAsia="zh-CN"/>
                    </w:rPr>
                    <w:t>完善农村生活垃圾市化保洁机制，排查整治非正规垃圾堆放点，巩固农村生活垃圾收运体系长效机制。</w:t>
                  </w:r>
                </w:p>
                <w:p w14:paraId="6573F299">
                  <w:pPr>
                    <w:keepNext w:val="0"/>
                    <w:keepLines w:val="0"/>
                    <w:pageBreakBefore w:val="0"/>
                    <w:widowControl w:val="0"/>
                    <w:numPr>
                      <w:ilvl w:val="0"/>
                      <w:numId w:val="0"/>
                    </w:numPr>
                    <w:kinsoku/>
                    <w:wordWrap/>
                    <w:overflowPunct/>
                    <w:topLinePunct w:val="0"/>
                    <w:autoSpaceDE/>
                    <w:autoSpaceDN/>
                    <w:bidi w:val="0"/>
                    <w:adjustRightInd w:val="0"/>
                    <w:snapToGrid/>
                    <w:spacing w:line="360" w:lineRule="exact"/>
                    <w:ind w:leftChars="0"/>
                    <w:jc w:val="left"/>
                    <w:textAlignment w:val="baseline"/>
                    <w:rPr>
                      <w:rFonts w:hint="default"/>
                      <w:highlight w:val="none"/>
                      <w:lang w:val="en-US" w:eastAsia="zh-CN"/>
                    </w:rPr>
                  </w:pPr>
                  <w:r>
                    <w:rPr>
                      <w:rFonts w:hint="eastAsia"/>
                      <w:highlight w:val="none"/>
                      <w:lang w:val="en-US" w:eastAsia="zh-CN"/>
                    </w:rPr>
                    <w:t>2、建立农村生活污水治理运行与管控长效机制，推进村庄生活污水优先就近纳入城市、县城和乡（镇）污水收集管网集中统一处理；在城镇排污管网未覆盖的乡（镇）应当有计划地组织建设乡（镇）污水处理站和分散式污水净化设施，防止污染地下水。</w:t>
                  </w:r>
                </w:p>
              </w:tc>
              <w:tc>
                <w:tcPr>
                  <w:tcW w:w="2040" w:type="dxa"/>
                  <w:shd w:val="clear" w:color="auto" w:fill="auto"/>
                  <w:vAlign w:val="center"/>
                </w:tcPr>
                <w:p w14:paraId="7F494F6F">
                  <w:pPr>
                    <w:keepNext w:val="0"/>
                    <w:keepLines w:val="0"/>
                    <w:pageBreakBefore w:val="0"/>
                    <w:widowControl w:val="0"/>
                    <w:kinsoku/>
                    <w:wordWrap/>
                    <w:overflowPunct/>
                    <w:topLinePunct w:val="0"/>
                    <w:autoSpaceDE/>
                    <w:autoSpaceDN/>
                    <w:bidi w:val="0"/>
                    <w:adjustRightInd w:val="0"/>
                    <w:snapToGrid/>
                    <w:spacing w:line="360" w:lineRule="exact"/>
                    <w:jc w:val="left"/>
                    <w:textAlignment w:val="baseline"/>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1、本项目为扩建项目，</w:t>
                  </w:r>
                  <w:r>
                    <w:rPr>
                      <w:rFonts w:hint="eastAsia" w:cs="Times New Roman"/>
                      <w:highlight w:val="none"/>
                      <w:lang w:val="en-US" w:eastAsia="zh-CN"/>
                    </w:rPr>
                    <w:t>不新增劳动定员</w:t>
                  </w:r>
                  <w:r>
                    <w:rPr>
                      <w:rFonts w:hint="eastAsia" w:ascii="Times New Roman" w:hAnsi="Times New Roman" w:cs="Times New Roman"/>
                      <w:highlight w:val="none"/>
                      <w:lang w:val="en-US" w:eastAsia="zh-CN"/>
                    </w:rPr>
                    <w:t>不新</w:t>
                  </w:r>
                  <w:r>
                    <w:rPr>
                      <w:rFonts w:hint="eastAsia" w:cs="Times New Roman"/>
                      <w:highlight w:val="none"/>
                      <w:lang w:val="en-US" w:eastAsia="zh-CN"/>
                    </w:rPr>
                    <w:t>增</w:t>
                  </w:r>
                  <w:r>
                    <w:rPr>
                      <w:rFonts w:hint="eastAsia" w:ascii="Times New Roman" w:hAnsi="Times New Roman" w:cs="Times New Roman"/>
                      <w:highlight w:val="none"/>
                      <w:lang w:val="en-US" w:eastAsia="zh-CN"/>
                    </w:rPr>
                    <w:t>生活垃圾</w:t>
                  </w:r>
                  <w:r>
                    <w:rPr>
                      <w:rFonts w:hint="eastAsia" w:cs="Times New Roman"/>
                      <w:highlight w:val="none"/>
                      <w:lang w:val="en-US" w:eastAsia="zh-CN"/>
                    </w:rPr>
                    <w:t>。</w:t>
                  </w:r>
                </w:p>
                <w:p w14:paraId="79847612">
                  <w:pPr>
                    <w:keepNext w:val="0"/>
                    <w:keepLines w:val="0"/>
                    <w:pageBreakBefore w:val="0"/>
                    <w:widowControl w:val="0"/>
                    <w:kinsoku/>
                    <w:wordWrap/>
                    <w:overflowPunct/>
                    <w:topLinePunct w:val="0"/>
                    <w:autoSpaceDE/>
                    <w:autoSpaceDN/>
                    <w:bidi w:val="0"/>
                    <w:adjustRightInd w:val="0"/>
                    <w:snapToGrid/>
                    <w:spacing w:line="360" w:lineRule="exact"/>
                    <w:jc w:val="left"/>
                    <w:textAlignment w:val="baseline"/>
                    <w:rPr>
                      <w:rFonts w:hint="default"/>
                      <w:highlight w:val="none"/>
                      <w:lang w:val="en-US" w:eastAsia="zh-CN"/>
                    </w:rPr>
                  </w:pPr>
                  <w:r>
                    <w:rPr>
                      <w:rFonts w:hint="eastAsia" w:ascii="Times New Roman" w:hAnsi="Times New Roman" w:cs="Times New Roman"/>
                      <w:highlight w:val="none"/>
                      <w:lang w:val="en-US" w:eastAsia="zh-CN"/>
                    </w:rPr>
                    <w:t>2、本项目为扩建项目，</w:t>
                  </w:r>
                  <w:r>
                    <w:rPr>
                      <w:rFonts w:hint="eastAsia"/>
                      <w:highlight w:val="none"/>
                      <w:lang w:val="en-US" w:eastAsia="zh-CN"/>
                    </w:rPr>
                    <w:t>生产废水主要为裁切、打孔、切割过程喷洒一体板产生的废水，排入沉淀池，循环使用，不外排。员工由厂内调剂，不新增劳动定员，不新增生活废水。</w:t>
                  </w:r>
                </w:p>
              </w:tc>
              <w:tc>
                <w:tcPr>
                  <w:tcW w:w="750" w:type="dxa"/>
                  <w:tcBorders>
                    <w:right w:val="single" w:color="auto" w:sz="12" w:space="0"/>
                  </w:tcBorders>
                  <w:vAlign w:val="center"/>
                </w:tcPr>
                <w:p w14:paraId="3CA2716E">
                  <w:pPr>
                    <w:keepNext w:val="0"/>
                    <w:keepLines w:val="0"/>
                    <w:pageBreakBefore w:val="0"/>
                    <w:widowControl w:val="0"/>
                    <w:kinsoku/>
                    <w:wordWrap/>
                    <w:overflowPunct/>
                    <w:topLinePunct w:val="0"/>
                    <w:autoSpaceDE/>
                    <w:autoSpaceDN/>
                    <w:bidi w:val="0"/>
                    <w:snapToGrid/>
                    <w:spacing w:line="360" w:lineRule="exact"/>
                    <w:jc w:val="center"/>
                    <w:rPr>
                      <w:rFonts w:hint="default"/>
                      <w:highlight w:val="none"/>
                      <w:lang w:val="en-US" w:eastAsia="zh-CN"/>
                    </w:rPr>
                  </w:pPr>
                  <w:r>
                    <w:rPr>
                      <w:rFonts w:hint="eastAsia"/>
                      <w:highlight w:val="none"/>
                      <w:lang w:val="en-US" w:eastAsia="zh-CN"/>
                    </w:rPr>
                    <w:t>符合</w:t>
                  </w:r>
                </w:p>
              </w:tc>
            </w:tr>
            <w:tr w14:paraId="6721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 w:type="dxa"/>
                  <w:tcBorders>
                    <w:left w:val="single" w:color="auto" w:sz="4" w:space="0"/>
                    <w:bottom w:val="single" w:color="auto" w:sz="12" w:space="0"/>
                  </w:tcBorders>
                  <w:vAlign w:val="center"/>
                </w:tcPr>
                <w:p w14:paraId="5816F695">
                  <w:pPr>
                    <w:keepNext w:val="0"/>
                    <w:keepLines w:val="0"/>
                    <w:pageBreakBefore w:val="0"/>
                    <w:widowControl w:val="0"/>
                    <w:kinsoku/>
                    <w:wordWrap/>
                    <w:overflowPunct/>
                    <w:topLinePunct w:val="0"/>
                    <w:autoSpaceDE/>
                    <w:autoSpaceDN/>
                    <w:bidi w:val="0"/>
                    <w:snapToGrid/>
                    <w:spacing w:line="360" w:lineRule="exact"/>
                    <w:jc w:val="center"/>
                    <w:rPr>
                      <w:rFonts w:hint="default"/>
                      <w:highlight w:val="none"/>
                      <w:lang w:val="en-US" w:eastAsia="zh-CN"/>
                    </w:rPr>
                  </w:pPr>
                  <w:r>
                    <w:rPr>
                      <w:rFonts w:hint="default"/>
                      <w:highlight w:val="none"/>
                      <w:lang w:val="en-US" w:eastAsia="zh-CN"/>
                    </w:rPr>
                    <w:t>资源利用效率要求</w:t>
                  </w:r>
                </w:p>
              </w:tc>
              <w:tc>
                <w:tcPr>
                  <w:tcW w:w="3114" w:type="dxa"/>
                  <w:tcBorders>
                    <w:bottom w:val="single" w:color="auto" w:sz="12" w:space="0"/>
                  </w:tcBorders>
                  <w:vAlign w:val="center"/>
                </w:tcPr>
                <w:p w14:paraId="274147E4">
                  <w:pPr>
                    <w:keepNext w:val="0"/>
                    <w:keepLines w:val="0"/>
                    <w:pageBreakBefore w:val="0"/>
                    <w:widowControl w:val="0"/>
                    <w:numPr>
                      <w:ilvl w:val="0"/>
                      <w:numId w:val="4"/>
                    </w:numPr>
                    <w:kinsoku/>
                    <w:wordWrap/>
                    <w:overflowPunct/>
                    <w:topLinePunct w:val="0"/>
                    <w:autoSpaceDE/>
                    <w:autoSpaceDN/>
                    <w:bidi w:val="0"/>
                    <w:adjustRightInd w:val="0"/>
                    <w:snapToGrid/>
                    <w:spacing w:line="360" w:lineRule="exact"/>
                    <w:jc w:val="left"/>
                    <w:textAlignment w:val="baseline"/>
                    <w:rPr>
                      <w:rFonts w:hint="eastAsia"/>
                      <w:highlight w:val="none"/>
                      <w:lang w:val="en-US" w:eastAsia="zh-CN"/>
                    </w:rPr>
                  </w:pPr>
                  <w:r>
                    <w:rPr>
                      <w:rFonts w:hint="eastAsia"/>
                      <w:highlight w:val="none"/>
                      <w:lang w:val="en-US" w:eastAsia="zh-CN"/>
                    </w:rPr>
                    <w:t>老庄子镇为浅层地下水限采区，一般不得开凿新的取水井。确需取用地下水的，应当由省人民政府水行政主管部门统筹安排，按照总量控制原则通过按比例核减其他取水单位的地下水取水量和年度用水计划，进行合理配置。</w:t>
                  </w:r>
                </w:p>
                <w:p w14:paraId="1E5B70F8">
                  <w:pPr>
                    <w:keepNext w:val="0"/>
                    <w:keepLines w:val="0"/>
                    <w:pageBreakBefore w:val="0"/>
                    <w:widowControl w:val="0"/>
                    <w:numPr>
                      <w:ilvl w:val="0"/>
                      <w:numId w:val="0"/>
                    </w:numPr>
                    <w:kinsoku/>
                    <w:wordWrap/>
                    <w:overflowPunct/>
                    <w:topLinePunct w:val="0"/>
                    <w:autoSpaceDE/>
                    <w:autoSpaceDN/>
                    <w:bidi w:val="0"/>
                    <w:adjustRightInd w:val="0"/>
                    <w:snapToGrid/>
                    <w:spacing w:line="360" w:lineRule="exact"/>
                    <w:jc w:val="left"/>
                    <w:textAlignment w:val="baseline"/>
                    <w:rPr>
                      <w:rFonts w:hint="default"/>
                      <w:highlight w:val="none"/>
                      <w:lang w:val="en-US" w:eastAsia="zh-CN"/>
                    </w:rPr>
                  </w:pPr>
                  <w:r>
                    <w:rPr>
                      <w:rFonts w:hint="eastAsia"/>
                      <w:highlight w:val="none"/>
                      <w:lang w:val="en-US" w:eastAsia="zh-CN"/>
                    </w:rPr>
                    <w:t>2、严格执行国家土地管理政策，先补后占，实现占补平衡，杜绝耕地数量的减少。</w:t>
                  </w:r>
                </w:p>
              </w:tc>
              <w:tc>
                <w:tcPr>
                  <w:tcW w:w="2040" w:type="dxa"/>
                  <w:tcBorders>
                    <w:bottom w:val="single" w:color="auto" w:sz="12" w:space="0"/>
                  </w:tcBorders>
                  <w:vAlign w:val="center"/>
                </w:tcPr>
                <w:p w14:paraId="7ED2F5D3">
                  <w:pPr>
                    <w:pStyle w:val="26"/>
                    <w:keepNext w:val="0"/>
                    <w:keepLines w:val="0"/>
                    <w:pageBreakBefore w:val="0"/>
                    <w:widowControl w:val="0"/>
                    <w:kinsoku/>
                    <w:wordWrap/>
                    <w:overflowPunct/>
                    <w:topLinePunct w:val="0"/>
                    <w:autoSpaceDE/>
                    <w:autoSpaceDN/>
                    <w:bidi w:val="0"/>
                    <w:adjustRightInd w:val="0"/>
                    <w:snapToGrid w:val="0"/>
                    <w:spacing w:beforeLines="0" w:afterLines="0" w:line="360" w:lineRule="exact"/>
                    <w:textAlignment w:val="auto"/>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1、本项目采用项目自备水井</w:t>
                  </w:r>
                  <w:r>
                    <w:rPr>
                      <w:rFonts w:hint="eastAsia"/>
                      <w:highlight w:val="none"/>
                      <w:lang w:val="en-US" w:eastAsia="zh-CN"/>
                    </w:rPr>
                    <w:t>(老的取水证2021年8月16日已过期，新的取水证正在申领中）</w:t>
                  </w:r>
                  <w:r>
                    <w:rPr>
                      <w:rFonts w:hint="eastAsia" w:ascii="Times New Roman" w:hAnsi="Times New Roman" w:eastAsia="宋体" w:cs="Times New Roman"/>
                      <w:kern w:val="2"/>
                      <w:sz w:val="21"/>
                      <w:szCs w:val="24"/>
                      <w:highlight w:val="none"/>
                      <w:lang w:val="en-US" w:eastAsia="zh-CN" w:bidi="ar-SA"/>
                    </w:rPr>
                    <w:t>，不新开凿取水井；</w:t>
                  </w:r>
                </w:p>
                <w:p w14:paraId="257F7D32">
                  <w:pPr>
                    <w:pStyle w:val="26"/>
                    <w:keepNext w:val="0"/>
                    <w:keepLines w:val="0"/>
                    <w:pageBreakBefore w:val="0"/>
                    <w:widowControl w:val="0"/>
                    <w:kinsoku/>
                    <w:wordWrap/>
                    <w:overflowPunct/>
                    <w:topLinePunct w:val="0"/>
                    <w:autoSpaceDE/>
                    <w:autoSpaceDN/>
                    <w:bidi w:val="0"/>
                    <w:adjustRightInd w:val="0"/>
                    <w:snapToGrid w:val="0"/>
                    <w:spacing w:beforeLines="0" w:afterLines="0" w:line="360" w:lineRule="exact"/>
                    <w:textAlignment w:val="auto"/>
                    <w:rPr>
                      <w:rFonts w:hint="default"/>
                      <w:highlight w:val="none"/>
                      <w:lang w:val="en-US" w:eastAsia="zh-CN"/>
                    </w:rPr>
                  </w:pPr>
                  <w:r>
                    <w:rPr>
                      <w:rFonts w:hint="eastAsia" w:ascii="Times New Roman" w:hAnsi="Times New Roman" w:eastAsia="宋体" w:cs="Times New Roman"/>
                      <w:kern w:val="2"/>
                      <w:sz w:val="21"/>
                      <w:szCs w:val="24"/>
                      <w:highlight w:val="none"/>
                      <w:lang w:val="en-US" w:eastAsia="zh-CN" w:bidi="ar-SA"/>
                    </w:rPr>
                    <w:t>本项利用自有厂房，无新增占地。</w:t>
                  </w:r>
                </w:p>
              </w:tc>
              <w:tc>
                <w:tcPr>
                  <w:tcW w:w="750" w:type="dxa"/>
                  <w:tcBorders>
                    <w:bottom w:val="single" w:color="auto" w:sz="12" w:space="0"/>
                    <w:right w:val="single" w:color="auto" w:sz="12" w:space="0"/>
                  </w:tcBorders>
                  <w:vAlign w:val="center"/>
                </w:tcPr>
                <w:p w14:paraId="3350720C">
                  <w:pPr>
                    <w:keepNext w:val="0"/>
                    <w:keepLines w:val="0"/>
                    <w:pageBreakBefore w:val="0"/>
                    <w:widowControl w:val="0"/>
                    <w:kinsoku/>
                    <w:wordWrap/>
                    <w:overflowPunct/>
                    <w:topLinePunct w:val="0"/>
                    <w:autoSpaceDE/>
                    <w:autoSpaceDN/>
                    <w:bidi w:val="0"/>
                    <w:snapToGrid/>
                    <w:spacing w:line="360" w:lineRule="exact"/>
                    <w:jc w:val="center"/>
                    <w:rPr>
                      <w:rFonts w:hint="default"/>
                      <w:highlight w:val="none"/>
                      <w:lang w:val="en-US" w:eastAsia="zh-CN"/>
                    </w:rPr>
                  </w:pPr>
                  <w:r>
                    <w:rPr>
                      <w:rFonts w:hint="eastAsia"/>
                      <w:highlight w:val="none"/>
                      <w:lang w:val="en-US" w:eastAsia="zh-CN"/>
                    </w:rPr>
                    <w:t>符合</w:t>
                  </w:r>
                </w:p>
              </w:tc>
            </w:tr>
          </w:tbl>
          <w:p w14:paraId="2E9F0C3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default" w:ascii="Times New Roman" w:hAnsi="Times New Roman" w:eastAsia="宋体" w:cs="Times New Roman"/>
                <w:color w:val="auto"/>
                <w:sz w:val="21"/>
                <w:szCs w:val="21"/>
                <w:highlight w:val="none"/>
                <w:shd w:val="clear" w:color="auto" w:fill="auto"/>
                <w:lang w:val="en-US" w:eastAsia="zh-CN"/>
              </w:rPr>
            </w:pPr>
            <w:r>
              <w:rPr>
                <w:rFonts w:hint="default" w:ascii="Times New Roman" w:hAnsi="Times New Roman" w:eastAsia="宋体" w:cs="Times New Roman"/>
                <w:color w:val="auto"/>
                <w:sz w:val="21"/>
                <w:szCs w:val="21"/>
                <w:highlight w:val="none"/>
                <w:shd w:val="clear" w:color="auto" w:fill="auto"/>
                <w:lang w:val="zh-CN" w:eastAsia="zh-CN"/>
              </w:rPr>
              <w:t>由上表可知，本项目</w:t>
            </w:r>
            <w:r>
              <w:rPr>
                <w:rFonts w:hint="default" w:ascii="Times New Roman" w:hAnsi="Times New Roman" w:eastAsia="宋体" w:cs="Times New Roman"/>
                <w:color w:val="auto"/>
                <w:sz w:val="21"/>
                <w:szCs w:val="21"/>
                <w:highlight w:val="none"/>
                <w:shd w:val="clear" w:color="auto" w:fill="auto"/>
                <w:lang w:val="en-US" w:eastAsia="zh-CN"/>
              </w:rPr>
              <w:t>符合唐山市生态环境准入清单要求。</w:t>
            </w:r>
          </w:p>
          <w:p w14:paraId="78A391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rPr>
            </w:pPr>
            <w:r>
              <w:rPr>
                <w:rFonts w:hint="default"/>
                <w:highlight w:val="none"/>
              </w:rPr>
              <w:t>综上分析，本项目符合“三线一单”的要求。</w:t>
            </w:r>
          </w:p>
          <w:p w14:paraId="61EAF5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eastAsia="zh-CN"/>
              </w:rPr>
            </w:pPr>
            <w:r>
              <w:rPr>
                <w:rFonts w:hint="eastAsia"/>
                <w:highlight w:val="none"/>
                <w:lang w:val="en-US" w:eastAsia="zh-CN"/>
              </w:rPr>
              <w:t>2、其它符合性分析</w:t>
            </w:r>
          </w:p>
          <w:p w14:paraId="2901723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①产业政策符合性</w:t>
            </w:r>
          </w:p>
          <w:p w14:paraId="483CDA41">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highlight w:val="none"/>
                <w:lang w:val="en-US" w:eastAsia="zh-CN"/>
              </w:rPr>
            </w:pPr>
            <w:r>
              <w:rPr>
                <w:rFonts w:hint="eastAsia"/>
                <w:highlight w:val="none"/>
                <w:lang w:val="en-US" w:eastAsia="zh-CN"/>
              </w:rPr>
              <w:t>本项目</w:t>
            </w:r>
            <w:r>
              <w:rPr>
                <w:rFonts w:hint="eastAsia" w:ascii="Times New Roman" w:hAnsi="Times New Roman" w:cs="Times New Roman"/>
                <w:highlight w:val="none"/>
                <w:lang w:val="en-US" w:eastAsia="zh-CN"/>
              </w:rPr>
              <w:t>属于《产业结构调整指导目录》（2019年本）中的“第一类鼓励类 - 十二、建材- 3、保温、装饰等功能一体化复合板材”；</w:t>
            </w:r>
            <w:r>
              <w:rPr>
                <w:rFonts w:hint="eastAsia"/>
                <w:highlight w:val="none"/>
                <w:lang w:val="en-US" w:eastAsia="zh-CN"/>
              </w:rPr>
              <w:t>不属于《河北省禁止投资的产业目录（2014年版）》中禁止投资的产业项目；不属于《市场准入负面清单（2020年版）》中禁止类项目；同时不在《河北省新增限制和淘汰类产业目录》之内，并且本项目具有唐山高新技术产业开发区行政审批局出具的备案信息（唐高备字〔2021〕125号），因此，本项目的建设符合国家及地方产业政策。</w:t>
            </w:r>
          </w:p>
          <w:p w14:paraId="0A2C1DDB">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highlight w:val="none"/>
                <w:lang w:val="en-US" w:eastAsia="zh-CN"/>
              </w:rPr>
            </w:pPr>
            <w:r>
              <w:rPr>
                <w:rFonts w:hint="eastAsia"/>
                <w:highlight w:val="none"/>
                <w:lang w:val="en-US" w:eastAsia="zh-CN"/>
              </w:rPr>
              <w:t>②项目选址合理性分析</w:t>
            </w:r>
          </w:p>
          <w:p w14:paraId="30119EE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根据建设单位提供的租赁协议及</w:t>
            </w:r>
            <w:r>
              <w:rPr>
                <w:rFonts w:hint="eastAsia" w:ascii="Times New Roman" w:hAnsi="Times New Roman" w:eastAsia="宋体" w:cs="Times New Roman"/>
                <w:kern w:val="2"/>
                <w:sz w:val="21"/>
                <w:szCs w:val="24"/>
                <w:highlight w:val="none"/>
                <w:lang w:val="en-US" w:eastAsia="zh-CN" w:bidi="ar-SA"/>
              </w:rPr>
              <w:t>老庄子国土资源所出具的土地证明</w:t>
            </w:r>
            <w:r>
              <w:rPr>
                <w:rFonts w:hint="default" w:ascii="Times New Roman" w:hAnsi="Times New Roman" w:eastAsia="宋体" w:cs="Times New Roman"/>
                <w:kern w:val="2"/>
                <w:sz w:val="21"/>
                <w:szCs w:val="24"/>
                <w:highlight w:val="none"/>
                <w:lang w:val="en-US" w:eastAsia="zh-CN" w:bidi="ar-SA"/>
              </w:rPr>
              <w:t>可知，项目用地属于建设用地</w:t>
            </w:r>
            <w:r>
              <w:rPr>
                <w:rFonts w:hint="eastAsia" w:ascii="Times New Roman" w:hAnsi="Times New Roman" w:eastAsia="宋体" w:cs="Times New Roman"/>
                <w:kern w:val="2"/>
                <w:sz w:val="21"/>
                <w:szCs w:val="24"/>
                <w:highlight w:val="none"/>
                <w:lang w:val="en-US" w:eastAsia="zh-CN" w:bidi="ar-SA"/>
              </w:rPr>
              <w:t>。</w:t>
            </w:r>
          </w:p>
          <w:p w14:paraId="76286CB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highlight w:val="none"/>
              </w:rPr>
            </w:pPr>
            <w:r>
              <w:rPr>
                <w:rFonts w:hint="default" w:ascii="Times New Roman" w:hAnsi="Times New Roman" w:eastAsia="宋体" w:cs="Times New Roman"/>
                <w:kern w:val="2"/>
                <w:sz w:val="21"/>
                <w:szCs w:val="24"/>
                <w:highlight w:val="none"/>
                <w:lang w:val="en-US" w:eastAsia="zh-CN" w:bidi="ar-SA"/>
              </w:rPr>
              <w:t>本项目位于</w:t>
            </w:r>
            <w:r>
              <w:rPr>
                <w:rFonts w:hint="eastAsia"/>
                <w:highlight w:val="none"/>
                <w:lang w:val="en-US" w:eastAsia="zh-CN"/>
              </w:rPr>
              <w:t>大张刘庄集中式饮用水水源地一级保护区</w:t>
            </w:r>
            <w:r>
              <w:rPr>
                <w:rFonts w:hint="default" w:ascii="Times New Roman" w:hAnsi="Times New Roman" w:eastAsia="宋体" w:cs="Times New Roman"/>
                <w:kern w:val="2"/>
                <w:sz w:val="21"/>
                <w:szCs w:val="24"/>
                <w:highlight w:val="none"/>
                <w:lang w:val="en-US" w:eastAsia="zh-CN" w:bidi="ar-SA"/>
              </w:rPr>
              <w:t>的</w:t>
            </w:r>
            <w:r>
              <w:rPr>
                <w:rFonts w:hint="eastAsia" w:ascii="Times New Roman" w:hAnsi="Times New Roman" w:eastAsia="宋体" w:cs="Times New Roman"/>
                <w:kern w:val="2"/>
                <w:sz w:val="21"/>
                <w:szCs w:val="24"/>
                <w:highlight w:val="none"/>
                <w:lang w:val="en-US" w:eastAsia="zh-CN" w:bidi="ar-SA"/>
              </w:rPr>
              <w:t>北</w:t>
            </w:r>
            <w:r>
              <w:rPr>
                <w:rFonts w:hint="default" w:ascii="Times New Roman" w:hAnsi="Times New Roman" w:eastAsia="宋体" w:cs="Times New Roman"/>
                <w:kern w:val="2"/>
                <w:sz w:val="21"/>
                <w:szCs w:val="24"/>
                <w:highlight w:val="none"/>
                <w:lang w:val="en-US" w:eastAsia="zh-CN" w:bidi="ar-SA"/>
              </w:rPr>
              <w:t>侧，距离该水源地准保护区</w:t>
            </w:r>
            <w:r>
              <w:rPr>
                <w:rFonts w:hint="eastAsia" w:ascii="Times New Roman" w:hAnsi="Times New Roman" w:eastAsia="宋体" w:cs="Times New Roman"/>
                <w:kern w:val="2"/>
                <w:sz w:val="21"/>
                <w:szCs w:val="24"/>
                <w:highlight w:val="none"/>
                <w:lang w:val="en-US" w:eastAsia="zh-CN" w:bidi="ar-SA"/>
              </w:rPr>
              <w:t>360</w:t>
            </w:r>
            <w:r>
              <w:rPr>
                <w:rFonts w:hint="default" w:ascii="Times New Roman" w:hAnsi="Times New Roman" w:eastAsia="宋体" w:cs="Times New Roman"/>
                <w:kern w:val="2"/>
                <w:sz w:val="21"/>
                <w:szCs w:val="24"/>
                <w:highlight w:val="none"/>
                <w:lang w:val="en-US" w:eastAsia="zh-CN" w:bidi="ar-SA"/>
              </w:rPr>
              <w:t>m，本项目与</w:t>
            </w:r>
            <w:r>
              <w:rPr>
                <w:rFonts w:hint="eastAsia"/>
                <w:highlight w:val="none"/>
                <w:lang w:val="en-US" w:eastAsia="zh-CN"/>
              </w:rPr>
              <w:t>大张刘庄集中式饮用水水源地一级保护区</w:t>
            </w:r>
            <w:r>
              <w:rPr>
                <w:rFonts w:hint="default" w:ascii="Times New Roman" w:hAnsi="Times New Roman" w:eastAsia="宋体" w:cs="Times New Roman"/>
                <w:kern w:val="2"/>
                <w:sz w:val="21"/>
                <w:szCs w:val="24"/>
                <w:highlight w:val="none"/>
                <w:lang w:val="en-US" w:eastAsia="zh-CN" w:bidi="ar-SA"/>
              </w:rPr>
              <w:t>距离方位关系见附图。本项目生产用水</w:t>
            </w:r>
            <w:r>
              <w:rPr>
                <w:rFonts w:hint="eastAsia" w:cs="Times New Roman"/>
                <w:kern w:val="2"/>
                <w:sz w:val="21"/>
                <w:szCs w:val="24"/>
                <w:highlight w:val="none"/>
                <w:lang w:val="en-US" w:eastAsia="zh-CN" w:bidi="ar-SA"/>
              </w:rPr>
              <w:t>为</w:t>
            </w:r>
            <w:r>
              <w:rPr>
                <w:rFonts w:hint="eastAsia"/>
                <w:highlight w:val="none"/>
                <w:lang w:val="en-US" w:eastAsia="zh-CN"/>
              </w:rPr>
              <w:t>原料搅拌用水和裁切、打孔、切割过程喷洒一体板用水</w:t>
            </w:r>
            <w:r>
              <w:rPr>
                <w:rFonts w:hint="eastAsia" w:ascii="Times New Roman" w:hAnsi="Times New Roman" w:eastAsia="宋体" w:cs="Times New Roman"/>
                <w:kern w:val="2"/>
                <w:sz w:val="21"/>
                <w:szCs w:val="24"/>
                <w:highlight w:val="none"/>
                <w:lang w:val="en-US" w:eastAsia="zh-CN" w:bidi="ar-SA"/>
              </w:rPr>
              <w:t>，由厂内自备水井提供</w:t>
            </w:r>
            <w:r>
              <w:rPr>
                <w:rFonts w:hint="default" w:ascii="Times New Roman" w:hAnsi="Times New Roman" w:eastAsia="宋体" w:cs="Times New Roman"/>
                <w:kern w:val="2"/>
                <w:sz w:val="21"/>
                <w:szCs w:val="24"/>
                <w:highlight w:val="none"/>
                <w:lang w:val="en-US" w:eastAsia="zh-CN" w:bidi="ar-SA"/>
              </w:rPr>
              <w:t>。</w:t>
            </w:r>
            <w:r>
              <w:rPr>
                <w:rFonts w:hint="eastAsia"/>
                <w:highlight w:val="none"/>
                <w:lang w:val="en-US" w:eastAsia="zh-CN"/>
              </w:rPr>
              <w:t>生产废水主要包括裁切养护、打孔切割工序裁切、打孔、切割过程喷洒一体板产生的废水，排入沉淀池循环使用，不外排。员工由厂内调剂，不新增劳动定员，不新增生活废水。</w:t>
            </w:r>
            <w:r>
              <w:rPr>
                <w:rFonts w:hint="eastAsia" w:ascii="Times New Roman" w:hAnsi="Times New Roman" w:eastAsia="宋体" w:cs="Times New Roman"/>
                <w:kern w:val="2"/>
                <w:sz w:val="21"/>
                <w:szCs w:val="24"/>
                <w:highlight w:val="none"/>
                <w:lang w:val="en-US" w:eastAsia="zh-CN" w:bidi="ar-SA"/>
              </w:rPr>
              <w:t>项目生产产生的废气采取相应废气处理措施后，达标排放。</w:t>
            </w:r>
            <w:r>
              <w:rPr>
                <w:rFonts w:hint="default" w:ascii="Times New Roman" w:hAnsi="Times New Roman" w:eastAsia="宋体" w:cs="Times New Roman"/>
                <w:kern w:val="2"/>
                <w:sz w:val="21"/>
                <w:szCs w:val="24"/>
                <w:highlight w:val="none"/>
                <w:lang w:val="en-US" w:eastAsia="zh-CN" w:bidi="ar-SA"/>
              </w:rPr>
              <w:t>项目选址合理。</w:t>
            </w:r>
          </w:p>
        </w:tc>
      </w:tr>
    </w:tbl>
    <w:p w14:paraId="1C5A7BD4">
      <w:pPr>
        <w:spacing w:line="360" w:lineRule="auto"/>
        <w:outlineLvl w:val="0"/>
        <w:rPr>
          <w:rFonts w:eastAsia="黑体"/>
          <w:sz w:val="30"/>
          <w:highlight w:val="none"/>
        </w:rPr>
        <w:sectPr>
          <w:footerReference r:id="rId5" w:type="default"/>
          <w:pgSz w:w="11906" w:h="16838"/>
          <w:pgMar w:top="1701" w:right="1417" w:bottom="1701" w:left="1417" w:header="851" w:footer="1077" w:gutter="0"/>
          <w:pgBorders>
            <w:top w:val="none" w:sz="0" w:space="0"/>
            <w:left w:val="none" w:sz="0" w:space="0"/>
            <w:bottom w:val="none" w:sz="0" w:space="0"/>
            <w:right w:val="none" w:sz="0" w:space="0"/>
          </w:pgBorders>
          <w:pgNumType w:fmt="decimal" w:start="1"/>
          <w:cols w:space="0" w:num="1"/>
          <w:rtlGutter w:val="0"/>
          <w:docGrid w:linePitch="312" w:charSpace="0"/>
        </w:sectPr>
      </w:pPr>
    </w:p>
    <w:p w14:paraId="15D9FC10">
      <w:pPr>
        <w:pStyle w:val="16"/>
        <w:ind w:left="-840" w:leftChars="-400" w:firstLine="837" w:firstLineChars="279"/>
        <w:jc w:val="center"/>
        <w:outlineLvl w:val="0"/>
        <w:rPr>
          <w:rFonts w:ascii="黑体" w:hAnsi="黑体" w:eastAsia="黑体"/>
          <w:snapToGrid w:val="0"/>
          <w:sz w:val="30"/>
          <w:szCs w:val="30"/>
          <w:highlight w:val="none"/>
          <w:vertAlign w:val="baseline"/>
        </w:rPr>
      </w:pPr>
      <w:r>
        <w:rPr>
          <w:rFonts w:hint="eastAsia" w:ascii="黑体" w:hAnsi="黑体" w:eastAsia="黑体"/>
          <w:snapToGrid w:val="0"/>
          <w:sz w:val="30"/>
          <w:szCs w:val="30"/>
          <w:highlight w:val="none"/>
        </w:rPr>
        <w:t>二、建设项目工程分析</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8451"/>
      </w:tblGrid>
      <w:tr w14:paraId="54DD2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7" w:hRule="atLeast"/>
        </w:trPr>
        <w:tc>
          <w:tcPr>
            <w:tcW w:w="992" w:type="dxa"/>
            <w:vAlign w:val="center"/>
          </w:tcPr>
          <w:p w14:paraId="33BC5A94">
            <w:pPr>
              <w:pStyle w:val="16"/>
              <w:jc w:val="center"/>
              <w:outlineLvl w:val="0"/>
              <w:rPr>
                <w:rFonts w:ascii="黑体" w:hAnsi="黑体" w:eastAsia="黑体"/>
                <w:snapToGrid w:val="0"/>
                <w:sz w:val="30"/>
                <w:szCs w:val="30"/>
                <w:highlight w:val="none"/>
                <w:vertAlign w:val="baseline"/>
              </w:rPr>
            </w:pPr>
            <w:r>
              <w:rPr>
                <w:rFonts w:hint="eastAsia" w:cs="宋体"/>
                <w:sz w:val="21"/>
                <w:szCs w:val="21"/>
                <w:highlight w:val="none"/>
              </w:rPr>
              <w:t>建设内容</w:t>
            </w:r>
          </w:p>
        </w:tc>
        <w:tc>
          <w:tcPr>
            <w:tcW w:w="8296" w:type="dxa"/>
          </w:tcPr>
          <w:p w14:paraId="1BE647C3">
            <w:pPr>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jc w:val="left"/>
              <w:textAlignment w:val="auto"/>
              <w:rPr>
                <w:rFonts w:hint="eastAsia"/>
                <w:highlight w:val="none"/>
                <w:lang w:val="en-US" w:eastAsia="zh-CN"/>
              </w:rPr>
            </w:pPr>
            <w:r>
              <w:rPr>
                <w:rFonts w:hint="eastAsia"/>
                <w:highlight w:val="none"/>
                <w:lang w:val="en-US" w:eastAsia="zh-CN"/>
              </w:rPr>
              <w:t>项目由来</w:t>
            </w:r>
          </w:p>
          <w:p w14:paraId="5311827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jc w:val="left"/>
              <w:textAlignment w:val="auto"/>
              <w:rPr>
                <w:rFonts w:hint="eastAsia"/>
                <w:highlight w:val="none"/>
                <w:lang w:val="en-US" w:eastAsia="zh-CN"/>
              </w:rPr>
            </w:pPr>
            <w:r>
              <w:rPr>
                <w:rFonts w:hint="eastAsia"/>
                <w:highlight w:val="none"/>
                <w:lang w:val="en-US" w:eastAsia="zh-CN"/>
              </w:rPr>
              <w:t>一体板产品轻质而强度高，无放射性元素，节能环保，具有良好保温、防火阻燃性能，实用性强，经久耐用，耐腐蚀，耐老化，抗风压，抗冲击。</w:t>
            </w:r>
          </w:p>
          <w:p w14:paraId="3CAF8C1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jc w:val="left"/>
              <w:textAlignment w:val="auto"/>
              <w:rPr>
                <w:rFonts w:hint="eastAsia"/>
                <w:highlight w:val="none"/>
                <w:lang w:val="en-US" w:eastAsia="zh-CN"/>
              </w:rPr>
            </w:pPr>
            <w:r>
              <w:rPr>
                <w:rFonts w:hint="eastAsia"/>
                <w:highlight w:val="none"/>
                <w:lang w:eastAsia="zh-CN"/>
              </w:rPr>
              <w:t>唐山市宝鼎建材有限公司</w:t>
            </w:r>
            <w:r>
              <w:rPr>
                <w:rFonts w:hint="eastAsia"/>
                <w:highlight w:val="none"/>
                <w:lang w:val="en-US" w:eastAsia="zh-CN"/>
              </w:rPr>
              <w:t>位于唐山市高新技术产业开发区老庄子镇李官屯村东，拟投资96万元，占地约1350平方米，生产出的一体板用于建筑外墙保温。本项目已经在唐山高新技术产业开发区行政审批局备案（备案编号：唐高备字〔2021〕125号）。</w:t>
            </w:r>
          </w:p>
          <w:p w14:paraId="50058FE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jc w:val="left"/>
              <w:textAlignment w:val="auto"/>
              <w:rPr>
                <w:rFonts w:hint="eastAsia"/>
                <w:highlight w:val="none"/>
                <w:lang w:val="en-US" w:eastAsia="zh-CN"/>
              </w:rPr>
            </w:pPr>
            <w:r>
              <w:rPr>
                <w:rFonts w:hint="default"/>
                <w:highlight w:val="none"/>
                <w:lang w:val="en-US" w:eastAsia="zh-CN"/>
              </w:rPr>
              <w:t>根据《中华人民共和国环境保护法》、《中华人民共和国环境影响评价法》、《建设项目环境保护管理条例》（国务院</w:t>
            </w:r>
            <w:r>
              <w:rPr>
                <w:rFonts w:hint="eastAsia"/>
                <w:highlight w:val="none"/>
                <w:lang w:val="en-US" w:eastAsia="zh-CN"/>
              </w:rPr>
              <w:t>第</w:t>
            </w:r>
            <w:r>
              <w:rPr>
                <w:rFonts w:hint="default"/>
                <w:highlight w:val="none"/>
                <w:lang w:val="en-US" w:eastAsia="zh-CN"/>
              </w:rPr>
              <w:t>682号令）的要求，</w:t>
            </w:r>
            <w:r>
              <w:rPr>
                <w:rFonts w:hint="eastAsia"/>
                <w:highlight w:val="none"/>
                <w:lang w:val="en-US" w:eastAsia="zh-CN"/>
              </w:rPr>
              <w:t>以及</w:t>
            </w:r>
            <w:r>
              <w:rPr>
                <w:rFonts w:hint="default"/>
                <w:highlight w:val="none"/>
                <w:lang w:val="en-US" w:eastAsia="zh-CN"/>
              </w:rPr>
              <w:t>《建设项目环境影响评价分类管理名录》（2021年版）（部令第16号）等环保法律法规的相关规定</w:t>
            </w:r>
            <w:r>
              <w:rPr>
                <w:rFonts w:hint="eastAsia"/>
                <w:highlight w:val="none"/>
                <w:lang w:val="en-US" w:eastAsia="zh-CN"/>
              </w:rPr>
              <w:t>，</w:t>
            </w:r>
            <w:r>
              <w:rPr>
                <w:rFonts w:hint="default"/>
                <w:highlight w:val="none"/>
                <w:lang w:val="en-US" w:eastAsia="zh-CN"/>
              </w:rPr>
              <w:t>该项目属于</w:t>
            </w:r>
            <w:r>
              <w:rPr>
                <w:rFonts w:hint="eastAsia"/>
                <w:highlight w:val="none"/>
                <w:lang w:val="en-US" w:eastAsia="zh-CN"/>
              </w:rPr>
              <w:t>“二十七、非金属矿物制品业”中“石膏、水泥制品及类似制品制造302”，本项目主要以聚合物粘接砂浆、聚合物保温砂浆、聚合物抗裂砂浆、XPS挤塑板、网格布、聚苯乙烯颗粒、水作为原料，生产一体板，</w:t>
            </w:r>
            <w:r>
              <w:rPr>
                <w:rFonts w:hint="default"/>
                <w:highlight w:val="none"/>
                <w:lang w:val="en-US" w:eastAsia="zh-CN"/>
              </w:rPr>
              <w:t>应编制环境影响报告表。</w:t>
            </w:r>
            <w:r>
              <w:rPr>
                <w:rFonts w:hint="eastAsia"/>
                <w:highlight w:val="none"/>
                <w:lang w:eastAsia="zh-CN"/>
              </w:rPr>
              <w:t>唐山市宝鼎建材有限公司</w:t>
            </w:r>
            <w:r>
              <w:rPr>
                <w:rFonts w:hint="default"/>
                <w:highlight w:val="none"/>
                <w:lang w:val="en-US" w:eastAsia="zh-CN"/>
              </w:rPr>
              <w:t>委托我公司承担该项目的环境影响报告表的编制工作，接受委托后，我单位立即开展了现场踏勘、资料收集等工作，</w:t>
            </w:r>
            <w:r>
              <w:rPr>
                <w:rFonts w:hint="eastAsia"/>
                <w:highlight w:val="none"/>
                <w:lang w:val="en-US" w:eastAsia="zh-CN"/>
              </w:rPr>
              <w:t>并</w:t>
            </w:r>
            <w:r>
              <w:rPr>
                <w:rFonts w:hint="default"/>
                <w:highlight w:val="none"/>
                <w:lang w:val="en-US" w:eastAsia="zh-CN"/>
              </w:rPr>
              <w:t>根据国家、省、市有关环保政策、法规及</w:t>
            </w:r>
            <w:r>
              <w:rPr>
                <w:rFonts w:hint="eastAsia"/>
                <w:highlight w:val="none"/>
                <w:lang w:val="en-US" w:eastAsia="zh-CN"/>
              </w:rPr>
              <w:t>唐山高新技术产业开发区行政审批局、</w:t>
            </w:r>
            <w:r>
              <w:rPr>
                <w:rFonts w:hint="eastAsia"/>
                <w:highlight w:val="none"/>
                <w:lang w:eastAsia="zh-CN"/>
              </w:rPr>
              <w:t>唐山市生态环境局高新技术产业开发区分局</w:t>
            </w:r>
            <w:r>
              <w:rPr>
                <w:rFonts w:hint="default"/>
                <w:highlight w:val="none"/>
                <w:lang w:val="en-US" w:eastAsia="zh-CN"/>
              </w:rPr>
              <w:t>要求，从本项目及周边环境实际出发，分析项目建设与运营对环境的影响，</w:t>
            </w:r>
            <w:r>
              <w:rPr>
                <w:rFonts w:hint="eastAsia"/>
                <w:highlight w:val="none"/>
                <w:lang w:val="en-US" w:eastAsia="zh-CN"/>
              </w:rPr>
              <w:t>编制完成了</w:t>
            </w:r>
            <w:r>
              <w:rPr>
                <w:rFonts w:hint="default"/>
                <w:highlight w:val="none"/>
                <w:lang w:val="en-US" w:eastAsia="zh-CN"/>
              </w:rPr>
              <w:t>本项目环境影响报告表。</w:t>
            </w:r>
          </w:p>
          <w:p w14:paraId="3EC961DC">
            <w:pPr>
              <w:keepNext w:val="0"/>
              <w:keepLines w:val="0"/>
              <w:pageBreakBefore w:val="0"/>
              <w:widowControl w:val="0"/>
              <w:numPr>
                <w:ilvl w:val="0"/>
                <w:numId w:val="5"/>
              </w:numPr>
              <w:kinsoku/>
              <w:wordWrap/>
              <w:overflowPunct/>
              <w:topLinePunct w:val="0"/>
              <w:autoSpaceDE/>
              <w:autoSpaceDN/>
              <w:bidi w:val="0"/>
              <w:adjustRightInd w:val="0"/>
              <w:snapToGrid w:val="0"/>
              <w:spacing w:line="400" w:lineRule="exact"/>
              <w:ind w:left="0" w:leftChars="0" w:firstLine="0" w:firstLineChars="0"/>
              <w:jc w:val="left"/>
              <w:textAlignment w:val="auto"/>
              <w:rPr>
                <w:rFonts w:hint="eastAsia"/>
                <w:highlight w:val="none"/>
                <w:lang w:val="en-US" w:eastAsia="zh-CN"/>
              </w:rPr>
            </w:pPr>
            <w:r>
              <w:rPr>
                <w:rFonts w:hint="eastAsia"/>
                <w:highlight w:val="none"/>
                <w:lang w:val="en-US" w:eastAsia="zh-CN"/>
              </w:rPr>
              <w:t>本项目基本情况</w:t>
            </w:r>
          </w:p>
          <w:p w14:paraId="5397CC64">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jc w:val="left"/>
              <w:textAlignment w:val="auto"/>
              <w:rPr>
                <w:rFonts w:hint="default"/>
                <w:highlight w:val="none"/>
                <w:lang w:val="en-US" w:eastAsia="zh-CN"/>
              </w:rPr>
            </w:pPr>
            <w:r>
              <w:rPr>
                <w:rFonts w:hint="eastAsia"/>
                <w:highlight w:val="none"/>
                <w:lang w:val="en-US" w:eastAsia="zh-CN"/>
              </w:rPr>
              <w:t>（1）项目名称：年产20万平方米一体板扩建项目</w:t>
            </w:r>
          </w:p>
          <w:p w14:paraId="61D15EE6">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jc w:val="left"/>
              <w:textAlignment w:val="auto"/>
              <w:rPr>
                <w:rFonts w:hint="eastAsia"/>
                <w:highlight w:val="none"/>
                <w:lang w:val="en-US" w:eastAsia="zh-CN"/>
              </w:rPr>
            </w:pPr>
            <w:r>
              <w:rPr>
                <w:rFonts w:hint="eastAsia"/>
                <w:highlight w:val="none"/>
                <w:lang w:val="en-US" w:eastAsia="zh-CN"/>
              </w:rPr>
              <w:t>（2）建设单位：</w:t>
            </w:r>
            <w:r>
              <w:rPr>
                <w:rFonts w:hint="eastAsia"/>
                <w:highlight w:val="none"/>
                <w:lang w:eastAsia="zh-CN"/>
              </w:rPr>
              <w:t>唐山市宝鼎建材有限公司</w:t>
            </w:r>
          </w:p>
          <w:p w14:paraId="47D878F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jc w:val="left"/>
              <w:textAlignment w:val="auto"/>
              <w:rPr>
                <w:rFonts w:hint="eastAsia"/>
                <w:highlight w:val="none"/>
                <w:lang w:val="en-US" w:eastAsia="zh-CN"/>
              </w:rPr>
            </w:pPr>
            <w:r>
              <w:rPr>
                <w:rFonts w:hint="eastAsia"/>
                <w:highlight w:val="none"/>
                <w:lang w:val="en-US" w:eastAsia="zh-CN"/>
              </w:rPr>
              <w:t>（3）建设性质：扩建</w:t>
            </w:r>
          </w:p>
          <w:p w14:paraId="2A1BA48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leftChars="0" w:firstLine="420" w:firstLineChars="200"/>
              <w:jc w:val="left"/>
              <w:textAlignment w:val="auto"/>
              <w:rPr>
                <w:rFonts w:hint="eastAsia"/>
                <w:highlight w:val="none"/>
                <w:lang w:val="en-US" w:eastAsia="zh-CN"/>
              </w:rPr>
            </w:pPr>
            <w:r>
              <w:rPr>
                <w:highlight w:val="none"/>
              </w:rPr>
              <mc:AlternateContent>
                <mc:Choice Requires="wps">
                  <w:drawing>
                    <wp:anchor distT="0" distB="0" distL="114300" distR="114300" simplePos="0" relativeHeight="251670528" behindDoc="0" locked="0" layoutInCell="1" allowOverlap="1">
                      <wp:simplePos x="0" y="0"/>
                      <wp:positionH relativeFrom="column">
                        <wp:posOffset>1256665</wp:posOffset>
                      </wp:positionH>
                      <wp:positionV relativeFrom="paragraph">
                        <wp:posOffset>1030605</wp:posOffset>
                      </wp:positionV>
                      <wp:extent cx="2809875" cy="294640"/>
                      <wp:effectExtent l="0" t="0" r="9525" b="10160"/>
                      <wp:wrapNone/>
                      <wp:docPr id="3" name="文本框 3"/>
                      <wp:cNvGraphicFramePr/>
                      <a:graphic xmlns:a="http://schemas.openxmlformats.org/drawingml/2006/main">
                        <a:graphicData uri="http://schemas.microsoft.com/office/word/2010/wordprocessingShape">
                          <wps:wsp>
                            <wps:cNvSpPr txBox="1"/>
                            <wps:spPr>
                              <a:xfrm>
                                <a:off x="2689860" y="7743190"/>
                                <a:ext cx="2809875" cy="2946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261F7AD">
                                  <w:pPr>
                                    <w:pStyle w:val="17"/>
                                    <w:ind w:left="0" w:leftChars="0" w:firstLine="0" w:firstLineChars="0"/>
                                    <w:jc w:val="center"/>
                                    <w:rPr>
                                      <w:rFonts w:hint="default"/>
                                      <w:b/>
                                      <w:bCs/>
                                      <w:highlight w:val="none"/>
                                      <w:lang w:val="en-US" w:eastAsia="zh-CN"/>
                                    </w:rPr>
                                  </w:pPr>
                                  <w:r>
                                    <w:rPr>
                                      <w:rFonts w:hint="eastAsia"/>
                                      <w:b/>
                                      <w:bCs/>
                                      <w:highlight w:val="none"/>
                                      <w:lang w:val="en-US" w:eastAsia="zh-CN"/>
                                    </w:rPr>
                                    <w:t>表2-1  本项目工程组成情况</w:t>
                                  </w:r>
                                </w:p>
                                <w:p w14:paraId="40E2CE0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95pt;margin-top:81.15pt;height:23.2pt;width:221.25pt;z-index:251670528;mso-width-relative:page;mso-height-relative:page;" fillcolor="#FFFFFF [3201]" filled="t" stroked="f" coordsize="21600,21600" o:gfxdata="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Pu+&#10;C2nXAAAACwEAAA8AAAAAAAAAAQAgAAAAIgAAAGRycy9kb3ducmV2LnhtbFBLAQIUABQAAAAIAIdO&#10;4kBIXTiaXQIAAJsEAAAOAAAAAAAAAAEAIAAAACYBAABkcnMvZTJvRG9jLnhtbFBLBQYAAAAABgAG&#10;AFkBAAD1BQAAAAA=&#10;">
                      <v:fill on="t" focussize="0,0"/>
                      <v:stroke on="f" weight="0.5pt"/>
                      <v:imagedata o:title=""/>
                      <o:lock v:ext="edit" aspectratio="f"/>
                      <v:textbox>
                        <w:txbxContent>
                          <w:p w14:paraId="0261F7AD">
                            <w:pPr>
                              <w:pStyle w:val="17"/>
                              <w:ind w:left="0" w:leftChars="0" w:firstLine="0" w:firstLineChars="0"/>
                              <w:jc w:val="center"/>
                              <w:rPr>
                                <w:rFonts w:hint="default"/>
                                <w:b/>
                                <w:bCs/>
                                <w:highlight w:val="none"/>
                                <w:lang w:val="en-US" w:eastAsia="zh-CN"/>
                              </w:rPr>
                            </w:pPr>
                            <w:r>
                              <w:rPr>
                                <w:rFonts w:hint="eastAsia"/>
                                <w:b/>
                                <w:bCs/>
                                <w:highlight w:val="none"/>
                                <w:lang w:val="en-US" w:eastAsia="zh-CN"/>
                              </w:rPr>
                              <w:t>表2-1  本项目工程组成情况</w:t>
                            </w:r>
                          </w:p>
                          <w:p w14:paraId="40E2CE04"/>
                        </w:txbxContent>
                      </v:textbox>
                    </v:shape>
                  </w:pict>
                </mc:Fallback>
              </mc:AlternateContent>
            </w:r>
            <w:r>
              <w:rPr>
                <w:rFonts w:hint="eastAsia"/>
                <w:highlight w:val="none"/>
                <w:lang w:val="en-US" w:eastAsia="zh-CN"/>
              </w:rPr>
              <w:t>（4）建设内容：项目利用自有厂房1350平方米，购置斗式提升机1台、搅拌机6个，计量仓6个、裁切机1台、翻转机1台、自动打孔机1台、纵向切割机1台、横向切割机1台、码垛机1台等相关生产设备和治理设备建设一体板生产线一条，用于建筑外墙保温。年产一体板20万平方米，产值500万。本项目工程组成情况见表2-1。</w:t>
            </w:r>
          </w:p>
          <w:tbl>
            <w:tblPr>
              <w:tblStyle w:val="21"/>
              <w:tblpPr w:leftFromText="180" w:rightFromText="180" w:vertAnchor="text" w:horzAnchor="page" w:tblpX="104" w:tblpY="518"/>
              <w:tblOverlap w:val="never"/>
              <w:tblW w:w="8198"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690"/>
              <w:gridCol w:w="1050"/>
              <w:gridCol w:w="6458"/>
            </w:tblGrid>
            <w:tr w14:paraId="1C4D02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740" w:type="dxa"/>
                  <w:gridSpan w:val="2"/>
                  <w:tcBorders>
                    <w:tl2br w:val="nil"/>
                    <w:tr2bl w:val="nil"/>
                  </w:tcBorders>
                  <w:vAlign w:val="center"/>
                </w:tcPr>
                <w:p w14:paraId="2A2DA566">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r>
                    <w:rPr>
                      <w:rFonts w:hint="default"/>
                      <w:highlight w:val="none"/>
                    </w:rPr>
                    <w:t>类别</w:t>
                  </w:r>
                </w:p>
              </w:tc>
              <w:tc>
                <w:tcPr>
                  <w:tcW w:w="6458" w:type="dxa"/>
                  <w:tcBorders>
                    <w:tl2br w:val="nil"/>
                    <w:tr2bl w:val="nil"/>
                  </w:tcBorders>
                  <w:vAlign w:val="center"/>
                </w:tcPr>
                <w:p w14:paraId="505F30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default"/>
                      <w:highlight w:val="none"/>
                      <w:lang w:val="en-US" w:eastAsia="zh-CN"/>
                    </w:rPr>
                  </w:pPr>
                  <w:r>
                    <w:rPr>
                      <w:rFonts w:hint="default"/>
                      <w:highlight w:val="none"/>
                    </w:rPr>
                    <w:t>建设内容</w:t>
                  </w:r>
                </w:p>
              </w:tc>
            </w:tr>
            <w:tr w14:paraId="45996E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90" w:type="dxa"/>
                  <w:vMerge w:val="restart"/>
                  <w:tcBorders>
                    <w:tl2br w:val="nil"/>
                    <w:tr2bl w:val="nil"/>
                  </w:tcBorders>
                  <w:vAlign w:val="center"/>
                </w:tcPr>
                <w:p w14:paraId="777E9448">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r>
                    <w:rPr>
                      <w:rFonts w:hint="default"/>
                      <w:highlight w:val="none"/>
                    </w:rPr>
                    <w:t>主体工程</w:t>
                  </w:r>
                </w:p>
              </w:tc>
              <w:tc>
                <w:tcPr>
                  <w:tcW w:w="1050" w:type="dxa"/>
                  <w:tcBorders>
                    <w:tl2br w:val="nil"/>
                    <w:tr2bl w:val="nil"/>
                  </w:tcBorders>
                  <w:vAlign w:val="center"/>
                </w:tcPr>
                <w:p w14:paraId="5399CB95">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r>
                    <w:rPr>
                      <w:rFonts w:hint="eastAsia"/>
                      <w:highlight w:val="none"/>
                      <w:lang w:val="en-US" w:eastAsia="zh-CN"/>
                    </w:rPr>
                    <w:t>一体板1#车间</w:t>
                  </w:r>
                </w:p>
              </w:tc>
              <w:tc>
                <w:tcPr>
                  <w:tcW w:w="6458" w:type="dxa"/>
                  <w:tcBorders>
                    <w:tl2br w:val="nil"/>
                    <w:tr2bl w:val="nil"/>
                  </w:tcBorders>
                  <w:vAlign w:val="center"/>
                </w:tcPr>
                <w:p w14:paraId="128CFD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default"/>
                      <w:highlight w:val="none"/>
                      <w:lang w:val="en-US" w:eastAsia="zh-CN"/>
                    </w:rPr>
                  </w:pPr>
                  <w:r>
                    <w:rPr>
                      <w:rFonts w:hint="eastAsia"/>
                      <w:highlight w:val="none"/>
                      <w:lang w:val="en-US" w:eastAsia="zh-CN"/>
                    </w:rPr>
                    <w:t>购置斗式提升机1台、料仓3个、搅拌机6台、计量仓6个、裁切机1台等相关生产设备，此车间占地面积900㎡，钢结构1层，建筑高度7m</w:t>
                  </w:r>
                  <w:r>
                    <w:rPr>
                      <w:rFonts w:hint="eastAsia"/>
                      <w:highlight w:val="none"/>
                      <w:vertAlign w:val="baseline"/>
                      <w:lang w:eastAsia="zh-CN"/>
                    </w:rPr>
                    <w:t>。</w:t>
                  </w:r>
                </w:p>
              </w:tc>
            </w:tr>
            <w:tr w14:paraId="6E5BAC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90" w:type="dxa"/>
                  <w:vMerge w:val="continue"/>
                  <w:tcBorders>
                    <w:tl2br w:val="nil"/>
                    <w:tr2bl w:val="nil"/>
                  </w:tcBorders>
                  <w:vAlign w:val="center"/>
                </w:tcPr>
                <w:p w14:paraId="26877725">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rPr>
                  </w:pPr>
                </w:p>
              </w:tc>
              <w:tc>
                <w:tcPr>
                  <w:tcW w:w="1050" w:type="dxa"/>
                  <w:tcBorders>
                    <w:tl2br w:val="nil"/>
                    <w:tr2bl w:val="nil"/>
                  </w:tcBorders>
                  <w:vAlign w:val="center"/>
                </w:tcPr>
                <w:p w14:paraId="0157679E">
                  <w:pPr>
                    <w:keepNext w:val="0"/>
                    <w:keepLines w:val="0"/>
                    <w:pageBreakBefore w:val="0"/>
                    <w:widowControl w:val="0"/>
                    <w:kinsoku/>
                    <w:wordWrap/>
                    <w:overflowPunct/>
                    <w:topLinePunct w:val="0"/>
                    <w:autoSpaceDE/>
                    <w:autoSpaceDN/>
                    <w:bidi w:val="0"/>
                    <w:spacing w:line="360" w:lineRule="exact"/>
                    <w:jc w:val="center"/>
                    <w:textAlignment w:val="auto"/>
                    <w:rPr>
                      <w:rFonts w:hint="eastAsia"/>
                      <w:highlight w:val="none"/>
                      <w:lang w:val="en-US" w:eastAsia="zh-CN"/>
                    </w:rPr>
                  </w:pPr>
                  <w:r>
                    <w:rPr>
                      <w:rFonts w:hint="eastAsia"/>
                      <w:highlight w:val="none"/>
                      <w:lang w:val="en-US" w:eastAsia="zh-CN"/>
                    </w:rPr>
                    <w:t>一体板2#车间</w:t>
                  </w:r>
                </w:p>
              </w:tc>
              <w:tc>
                <w:tcPr>
                  <w:tcW w:w="6458" w:type="dxa"/>
                  <w:tcBorders>
                    <w:tl2br w:val="nil"/>
                    <w:tr2bl w:val="nil"/>
                  </w:tcBorders>
                  <w:vAlign w:val="center"/>
                </w:tcPr>
                <w:p w14:paraId="4122B3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eastAsia"/>
                      <w:highlight w:val="none"/>
                      <w:lang w:val="en-US" w:eastAsia="zh-CN"/>
                    </w:rPr>
                  </w:pPr>
                  <w:r>
                    <w:rPr>
                      <w:rFonts w:hint="eastAsia"/>
                      <w:highlight w:val="none"/>
                      <w:lang w:val="en-US" w:eastAsia="zh-CN"/>
                    </w:rPr>
                    <w:t>购置打孔机1台、纵向切割机1台、横向切割机1台、码垛机1台等相关生产设备，此车间占地面积450</w:t>
                  </w:r>
                  <w:r>
                    <w:rPr>
                      <w:rFonts w:hint="default"/>
                      <w:highlight w:val="none"/>
                    </w:rPr>
                    <w:t>m</w:t>
                  </w:r>
                  <w:r>
                    <w:rPr>
                      <w:rFonts w:hint="default"/>
                      <w:highlight w:val="none"/>
                      <w:vertAlign w:val="superscript"/>
                    </w:rPr>
                    <w:t>2</w:t>
                  </w:r>
                  <w:r>
                    <w:rPr>
                      <w:rFonts w:hint="eastAsia"/>
                      <w:highlight w:val="none"/>
                      <w:lang w:val="en-US" w:eastAsia="zh-CN"/>
                    </w:rPr>
                    <w:t>，钢结构1层，建筑高度7m</w:t>
                  </w:r>
                  <w:r>
                    <w:rPr>
                      <w:rFonts w:hint="eastAsia"/>
                      <w:highlight w:val="none"/>
                      <w:vertAlign w:val="baseline"/>
                      <w:lang w:eastAsia="zh-CN"/>
                    </w:rPr>
                    <w:t>。</w:t>
                  </w:r>
                </w:p>
              </w:tc>
            </w:tr>
            <w:tr w14:paraId="0C1E20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90" w:type="dxa"/>
                  <w:tcBorders>
                    <w:tl2br w:val="nil"/>
                    <w:tr2bl w:val="nil"/>
                  </w:tcBorders>
                  <w:vAlign w:val="center"/>
                </w:tcPr>
                <w:p w14:paraId="628AD750">
                  <w:pPr>
                    <w:keepNext w:val="0"/>
                    <w:keepLines w:val="0"/>
                    <w:pageBreakBefore w:val="0"/>
                    <w:widowControl w:val="0"/>
                    <w:kinsoku/>
                    <w:wordWrap/>
                    <w:overflowPunct/>
                    <w:topLinePunct w:val="0"/>
                    <w:autoSpaceDE/>
                    <w:autoSpaceDN/>
                    <w:bidi w:val="0"/>
                    <w:spacing w:line="360" w:lineRule="exact"/>
                    <w:jc w:val="center"/>
                    <w:textAlignment w:val="auto"/>
                    <w:rPr>
                      <w:rFonts w:hint="eastAsia"/>
                      <w:highlight w:val="none"/>
                      <w:lang w:val="en-US" w:eastAsia="zh-CN"/>
                    </w:rPr>
                  </w:pPr>
                  <w:r>
                    <w:rPr>
                      <w:rFonts w:hint="eastAsia"/>
                      <w:highlight w:val="none"/>
                      <w:lang w:val="en-US" w:eastAsia="zh-CN"/>
                    </w:rPr>
                    <w:t>辅助工程</w:t>
                  </w:r>
                </w:p>
              </w:tc>
              <w:tc>
                <w:tcPr>
                  <w:tcW w:w="1050" w:type="dxa"/>
                  <w:tcBorders>
                    <w:tl2br w:val="nil"/>
                    <w:tr2bl w:val="nil"/>
                  </w:tcBorders>
                  <w:vAlign w:val="center"/>
                </w:tcPr>
                <w:p w14:paraId="0C2F6131">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r>
                    <w:rPr>
                      <w:rFonts w:hint="eastAsia"/>
                      <w:highlight w:val="none"/>
                      <w:lang w:val="en-US" w:eastAsia="zh-CN"/>
                    </w:rPr>
                    <w:t>办公区</w:t>
                  </w:r>
                </w:p>
              </w:tc>
              <w:tc>
                <w:tcPr>
                  <w:tcW w:w="6458" w:type="dxa"/>
                  <w:tcBorders>
                    <w:tl2br w:val="nil"/>
                    <w:tr2bl w:val="nil"/>
                  </w:tcBorders>
                  <w:vAlign w:val="center"/>
                </w:tcPr>
                <w:p w14:paraId="55ABC2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eastAsia" w:eastAsia="宋体"/>
                      <w:highlight w:val="none"/>
                      <w:lang w:val="en-US" w:eastAsia="zh-CN"/>
                    </w:rPr>
                  </w:pPr>
                  <w:r>
                    <w:rPr>
                      <w:rFonts w:hint="eastAsia"/>
                      <w:highlight w:val="none"/>
                      <w:lang w:val="en-US" w:eastAsia="zh-CN"/>
                    </w:rPr>
                    <w:t>依托现有工程办公室1座，</w:t>
                  </w:r>
                  <w:r>
                    <w:rPr>
                      <w:rFonts w:hint="default"/>
                      <w:highlight w:val="none"/>
                    </w:rPr>
                    <w:t>总建筑面积</w:t>
                  </w:r>
                  <w:r>
                    <w:rPr>
                      <w:rFonts w:hint="eastAsia"/>
                      <w:highlight w:val="none"/>
                      <w:lang w:val="en-US" w:eastAsia="zh-CN"/>
                    </w:rPr>
                    <w:t>24</w:t>
                  </w:r>
                  <w:r>
                    <w:rPr>
                      <w:rFonts w:hint="default"/>
                      <w:highlight w:val="none"/>
                    </w:rPr>
                    <w:t>m</w:t>
                  </w:r>
                  <w:r>
                    <w:rPr>
                      <w:rFonts w:hint="default"/>
                      <w:highlight w:val="none"/>
                      <w:vertAlign w:val="superscript"/>
                    </w:rPr>
                    <w:t>2</w:t>
                  </w:r>
                  <w:r>
                    <w:rPr>
                      <w:rFonts w:hint="eastAsia"/>
                      <w:highlight w:val="none"/>
                      <w:vertAlign w:val="baseline"/>
                      <w:lang w:eastAsia="zh-CN"/>
                    </w:rPr>
                    <w:t>。</w:t>
                  </w:r>
                </w:p>
              </w:tc>
            </w:tr>
            <w:tr w14:paraId="2F1710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85" w:hRule="atLeast"/>
              </w:trPr>
              <w:tc>
                <w:tcPr>
                  <w:tcW w:w="690" w:type="dxa"/>
                  <w:vMerge w:val="restart"/>
                  <w:tcBorders>
                    <w:tl2br w:val="nil"/>
                    <w:tr2bl w:val="nil"/>
                  </w:tcBorders>
                  <w:vAlign w:val="center"/>
                </w:tcPr>
                <w:p w14:paraId="070A9C39">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r>
                    <w:rPr>
                      <w:rFonts w:hint="default"/>
                      <w:highlight w:val="none"/>
                    </w:rPr>
                    <w:t>公用工程</w:t>
                  </w:r>
                </w:p>
              </w:tc>
              <w:tc>
                <w:tcPr>
                  <w:tcW w:w="1050" w:type="dxa"/>
                  <w:tcBorders>
                    <w:tl2br w:val="nil"/>
                    <w:tr2bl w:val="nil"/>
                  </w:tcBorders>
                  <w:vAlign w:val="center"/>
                </w:tcPr>
                <w:p w14:paraId="51222275">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r>
                    <w:rPr>
                      <w:rFonts w:hint="default"/>
                      <w:highlight w:val="none"/>
                    </w:rPr>
                    <w:t>供水</w:t>
                  </w:r>
                </w:p>
              </w:tc>
              <w:tc>
                <w:tcPr>
                  <w:tcW w:w="6458" w:type="dxa"/>
                  <w:tcBorders>
                    <w:tl2br w:val="nil"/>
                    <w:tr2bl w:val="nil"/>
                  </w:tcBorders>
                  <w:vAlign w:val="center"/>
                </w:tcPr>
                <w:p w14:paraId="62789242">
                  <w:pPr>
                    <w:pStyle w:val="7"/>
                    <w:keepNext w:val="0"/>
                    <w:keepLines w:val="0"/>
                    <w:pageBreakBefore w:val="0"/>
                    <w:widowControl w:val="0"/>
                    <w:kinsoku/>
                    <w:wordWrap/>
                    <w:overflowPunct/>
                    <w:topLinePunct w:val="0"/>
                    <w:autoSpaceDE/>
                    <w:autoSpaceDN/>
                    <w:bidi w:val="0"/>
                    <w:spacing w:line="360" w:lineRule="exact"/>
                    <w:jc w:val="center"/>
                    <w:textAlignment w:val="auto"/>
                    <w:rPr>
                      <w:rFonts w:hint="eastAsia"/>
                      <w:highlight w:val="none"/>
                      <w:lang w:val="en-US" w:eastAsia="zh-CN"/>
                    </w:rPr>
                  </w:pPr>
                  <w:r>
                    <w:rPr>
                      <w:rFonts w:hint="eastAsia"/>
                      <w:sz w:val="21"/>
                      <w:szCs w:val="21"/>
                      <w:highlight w:val="none"/>
                      <w:lang w:val="en-US" w:eastAsia="zh-CN"/>
                    </w:rPr>
                    <w:t>本项目用水主要原料搅拌和裁切、打孔、切割过程喷洒一体板用水，由厂内自备水井提供</w:t>
                  </w:r>
                  <w:r>
                    <w:rPr>
                      <w:rFonts w:hint="default"/>
                      <w:sz w:val="21"/>
                      <w:szCs w:val="21"/>
                      <w:highlight w:val="none"/>
                      <w:lang w:val="en-US" w:eastAsia="zh-CN"/>
                    </w:rPr>
                    <w:t>，</w:t>
                  </w:r>
                  <w:r>
                    <w:rPr>
                      <w:rFonts w:hint="eastAsia"/>
                      <w:sz w:val="21"/>
                      <w:szCs w:val="21"/>
                      <w:highlight w:val="none"/>
                      <w:lang w:val="en-US" w:eastAsia="zh-CN"/>
                    </w:rPr>
                    <w:t>总用水量</w:t>
                  </w:r>
                  <w:r>
                    <w:rPr>
                      <w:rFonts w:hint="default"/>
                      <w:sz w:val="21"/>
                      <w:szCs w:val="21"/>
                      <w:highlight w:val="none"/>
                      <w:lang w:val="en-US" w:eastAsia="zh-CN"/>
                    </w:rPr>
                    <w:t>为</w:t>
                  </w:r>
                  <w:r>
                    <w:rPr>
                      <w:rFonts w:hint="eastAsia"/>
                      <w:sz w:val="21"/>
                      <w:szCs w:val="21"/>
                      <w:highlight w:val="none"/>
                      <w:lang w:val="en-US" w:eastAsia="zh-CN"/>
                    </w:rPr>
                    <w:t>708t/a</w:t>
                  </w:r>
                  <w:r>
                    <w:rPr>
                      <w:rFonts w:hint="default"/>
                      <w:sz w:val="21"/>
                      <w:szCs w:val="21"/>
                      <w:highlight w:val="none"/>
                      <w:lang w:val="en-US" w:eastAsia="zh-CN"/>
                    </w:rPr>
                    <w:t>。</w:t>
                  </w:r>
                </w:p>
              </w:tc>
            </w:tr>
            <w:tr w14:paraId="620E3F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90" w:type="dxa"/>
                  <w:vMerge w:val="continue"/>
                  <w:tcBorders>
                    <w:tl2br w:val="nil"/>
                    <w:tr2bl w:val="nil"/>
                  </w:tcBorders>
                  <w:vAlign w:val="center"/>
                </w:tcPr>
                <w:p w14:paraId="75637789">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p>
              </w:tc>
              <w:tc>
                <w:tcPr>
                  <w:tcW w:w="1050" w:type="dxa"/>
                  <w:tcBorders>
                    <w:tl2br w:val="nil"/>
                    <w:tr2bl w:val="nil"/>
                  </w:tcBorders>
                  <w:vAlign w:val="center"/>
                </w:tcPr>
                <w:p w14:paraId="4F200C49">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r>
                    <w:rPr>
                      <w:rFonts w:hint="default"/>
                      <w:highlight w:val="none"/>
                    </w:rPr>
                    <w:t>供暖</w:t>
                  </w:r>
                </w:p>
              </w:tc>
              <w:tc>
                <w:tcPr>
                  <w:tcW w:w="6458" w:type="dxa"/>
                  <w:tcBorders>
                    <w:tl2br w:val="nil"/>
                    <w:tr2bl w:val="nil"/>
                  </w:tcBorders>
                  <w:vAlign w:val="center"/>
                </w:tcPr>
                <w:p w14:paraId="1E9EE4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default"/>
                      <w:highlight w:val="none"/>
                      <w:lang w:val="en-US" w:eastAsia="zh-CN"/>
                    </w:rPr>
                  </w:pPr>
                  <w:r>
                    <w:rPr>
                      <w:rFonts w:hint="default"/>
                      <w:highlight w:val="none"/>
                    </w:rPr>
                    <w:t>生产车间无需设置采暖设施。</w:t>
                  </w:r>
                </w:p>
              </w:tc>
            </w:tr>
            <w:tr w14:paraId="7F15B39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90" w:type="dxa"/>
                  <w:vMerge w:val="continue"/>
                  <w:tcBorders>
                    <w:tl2br w:val="nil"/>
                    <w:tr2bl w:val="nil"/>
                  </w:tcBorders>
                  <w:vAlign w:val="center"/>
                </w:tcPr>
                <w:p w14:paraId="125A7755">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p>
              </w:tc>
              <w:tc>
                <w:tcPr>
                  <w:tcW w:w="1050" w:type="dxa"/>
                  <w:tcBorders>
                    <w:tl2br w:val="nil"/>
                    <w:tr2bl w:val="nil"/>
                  </w:tcBorders>
                  <w:vAlign w:val="center"/>
                </w:tcPr>
                <w:p w14:paraId="7B791C98">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r>
                    <w:rPr>
                      <w:rFonts w:hint="default"/>
                      <w:highlight w:val="none"/>
                    </w:rPr>
                    <w:t>供电</w:t>
                  </w:r>
                </w:p>
              </w:tc>
              <w:tc>
                <w:tcPr>
                  <w:tcW w:w="6458" w:type="dxa"/>
                  <w:tcBorders>
                    <w:tl2br w:val="nil"/>
                    <w:tr2bl w:val="nil"/>
                  </w:tcBorders>
                  <w:vAlign w:val="center"/>
                </w:tcPr>
                <w:p w14:paraId="5145CB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default"/>
                      <w:highlight w:val="none"/>
                      <w:lang w:val="en-US" w:eastAsia="zh-CN"/>
                    </w:rPr>
                  </w:pPr>
                  <w:r>
                    <w:rPr>
                      <w:rFonts w:hint="default"/>
                      <w:highlight w:val="none"/>
                    </w:rPr>
                    <w:t>由本地电网提供，年用电量</w:t>
                  </w:r>
                  <w:r>
                    <w:rPr>
                      <w:rFonts w:hint="eastAsia"/>
                      <w:highlight w:val="none"/>
                      <w:lang w:val="en-US" w:eastAsia="zh-CN"/>
                    </w:rPr>
                    <w:t>2.6</w:t>
                  </w:r>
                  <w:r>
                    <w:rPr>
                      <w:rFonts w:hint="default"/>
                      <w:highlight w:val="none"/>
                    </w:rPr>
                    <w:t>万kWh。</w:t>
                  </w:r>
                </w:p>
              </w:tc>
            </w:tr>
            <w:tr w14:paraId="5558E6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90" w:type="dxa"/>
                  <w:vMerge w:val="restart"/>
                  <w:tcBorders>
                    <w:tl2br w:val="nil"/>
                    <w:tr2bl w:val="nil"/>
                  </w:tcBorders>
                  <w:vAlign w:val="center"/>
                </w:tcPr>
                <w:p w14:paraId="148AB944">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r>
                    <w:rPr>
                      <w:rFonts w:hint="default"/>
                      <w:highlight w:val="none"/>
                    </w:rPr>
                    <w:t>环保工程</w:t>
                  </w:r>
                </w:p>
              </w:tc>
              <w:tc>
                <w:tcPr>
                  <w:tcW w:w="1050" w:type="dxa"/>
                  <w:tcBorders>
                    <w:tl2br w:val="nil"/>
                    <w:tr2bl w:val="nil"/>
                  </w:tcBorders>
                  <w:vAlign w:val="center"/>
                </w:tcPr>
                <w:p w14:paraId="578E700C">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r>
                    <w:rPr>
                      <w:rFonts w:hint="default"/>
                      <w:highlight w:val="none"/>
                    </w:rPr>
                    <w:t>废气</w:t>
                  </w:r>
                </w:p>
              </w:tc>
              <w:tc>
                <w:tcPr>
                  <w:tcW w:w="6458" w:type="dxa"/>
                  <w:tcBorders>
                    <w:tl2br w:val="nil"/>
                    <w:tr2bl w:val="nil"/>
                  </w:tcBorders>
                  <w:vAlign w:val="center"/>
                </w:tcPr>
                <w:p w14:paraId="563C5E5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default"/>
                      <w:highlight w:val="none"/>
                      <w:lang w:val="en-US" w:eastAsia="zh-CN"/>
                    </w:rPr>
                  </w:pPr>
                  <w:r>
                    <w:rPr>
                      <w:rFonts w:hint="eastAsia"/>
                      <w:highlight w:val="none"/>
                      <w:lang w:val="en-US" w:eastAsia="zh-CN"/>
                    </w:rPr>
                    <w:t>上料、搅拌、打孔切割过程产生的颗粒物由1台脉冲布袋除尘处理后经15m排气筒排放</w:t>
                  </w:r>
                  <w:r>
                    <w:rPr>
                      <w:rFonts w:hint="default"/>
                      <w:highlight w:val="none"/>
                      <w:lang w:val="en-US" w:eastAsia="zh-CN"/>
                    </w:rPr>
                    <w:t>。</w:t>
                  </w:r>
                </w:p>
              </w:tc>
            </w:tr>
            <w:tr w14:paraId="2F74BD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45" w:hRule="atLeast"/>
              </w:trPr>
              <w:tc>
                <w:tcPr>
                  <w:tcW w:w="690" w:type="dxa"/>
                  <w:vMerge w:val="continue"/>
                  <w:tcBorders>
                    <w:tl2br w:val="nil"/>
                    <w:tr2bl w:val="nil"/>
                  </w:tcBorders>
                  <w:vAlign w:val="center"/>
                </w:tcPr>
                <w:p w14:paraId="089BB66E">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p>
              </w:tc>
              <w:tc>
                <w:tcPr>
                  <w:tcW w:w="1050" w:type="dxa"/>
                  <w:tcBorders>
                    <w:tl2br w:val="nil"/>
                    <w:tr2bl w:val="nil"/>
                  </w:tcBorders>
                  <w:vAlign w:val="center"/>
                </w:tcPr>
                <w:p w14:paraId="4332B480">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r>
                    <w:rPr>
                      <w:rFonts w:hint="default"/>
                      <w:highlight w:val="none"/>
                    </w:rPr>
                    <w:t>废水</w:t>
                  </w:r>
                </w:p>
              </w:tc>
              <w:tc>
                <w:tcPr>
                  <w:tcW w:w="6458" w:type="dxa"/>
                  <w:tcBorders>
                    <w:tl2br w:val="nil"/>
                    <w:tr2bl w:val="nil"/>
                  </w:tcBorders>
                  <w:vAlign w:val="center"/>
                </w:tcPr>
                <w:p w14:paraId="61D6B9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default"/>
                      <w:highlight w:val="none"/>
                      <w:lang w:val="en-US" w:eastAsia="zh-CN"/>
                    </w:rPr>
                  </w:pPr>
                  <w:r>
                    <w:rPr>
                      <w:rFonts w:hint="eastAsia"/>
                      <w:highlight w:val="none"/>
                      <w:lang w:val="en-US" w:eastAsia="zh-CN"/>
                    </w:rPr>
                    <w:t>生产废水主要裁切、打孔、切割过程喷洒一体板产生的废水，排入沉淀池，循环使用。员工由厂内调剂，不新增劳动定员，不新增生活废水。</w:t>
                  </w:r>
                </w:p>
              </w:tc>
            </w:tr>
            <w:tr w14:paraId="15EA48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90" w:type="dxa"/>
                  <w:vMerge w:val="continue"/>
                  <w:tcBorders>
                    <w:tl2br w:val="nil"/>
                    <w:tr2bl w:val="nil"/>
                  </w:tcBorders>
                  <w:vAlign w:val="center"/>
                </w:tcPr>
                <w:p w14:paraId="0E860114">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p>
              </w:tc>
              <w:tc>
                <w:tcPr>
                  <w:tcW w:w="1050" w:type="dxa"/>
                  <w:tcBorders>
                    <w:tl2br w:val="nil"/>
                    <w:tr2bl w:val="nil"/>
                  </w:tcBorders>
                  <w:vAlign w:val="center"/>
                </w:tcPr>
                <w:p w14:paraId="5538DE79">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r>
                    <w:rPr>
                      <w:rFonts w:hint="default"/>
                      <w:highlight w:val="none"/>
                    </w:rPr>
                    <w:t>噪声</w:t>
                  </w:r>
                </w:p>
              </w:tc>
              <w:tc>
                <w:tcPr>
                  <w:tcW w:w="6458" w:type="dxa"/>
                  <w:tcBorders>
                    <w:tl2br w:val="nil"/>
                    <w:tr2bl w:val="nil"/>
                  </w:tcBorders>
                  <w:vAlign w:val="center"/>
                </w:tcPr>
                <w:p w14:paraId="5F34EBF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default"/>
                      <w:highlight w:val="none"/>
                      <w:lang w:val="en-US" w:eastAsia="zh-CN"/>
                    </w:rPr>
                  </w:pPr>
                  <w:r>
                    <w:rPr>
                      <w:rFonts w:hint="eastAsia"/>
                      <w:highlight w:val="none"/>
                      <w:lang w:val="en-US" w:eastAsia="zh-CN"/>
                    </w:rPr>
                    <w:t>厂房隔音+</w:t>
                  </w:r>
                  <w:r>
                    <w:rPr>
                      <w:rFonts w:hint="default"/>
                      <w:highlight w:val="none"/>
                      <w:lang w:val="en-US" w:eastAsia="zh-CN"/>
                    </w:rPr>
                    <w:t>基础</w:t>
                  </w:r>
                  <w:r>
                    <w:rPr>
                      <w:rFonts w:hint="eastAsia"/>
                      <w:highlight w:val="none"/>
                      <w:lang w:val="en-US" w:eastAsia="zh-CN"/>
                    </w:rPr>
                    <w:t>减振</w:t>
                  </w:r>
                  <w:r>
                    <w:rPr>
                      <w:rFonts w:hint="default"/>
                      <w:highlight w:val="none"/>
                      <w:lang w:val="en-US" w:eastAsia="zh-CN"/>
                    </w:rPr>
                    <w:t>。</w:t>
                  </w:r>
                </w:p>
              </w:tc>
            </w:tr>
            <w:tr w14:paraId="4B496D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45" w:hRule="atLeast"/>
              </w:trPr>
              <w:tc>
                <w:tcPr>
                  <w:tcW w:w="690" w:type="dxa"/>
                  <w:vMerge w:val="continue"/>
                  <w:tcBorders>
                    <w:tl2br w:val="nil"/>
                    <w:tr2bl w:val="nil"/>
                  </w:tcBorders>
                  <w:vAlign w:val="center"/>
                </w:tcPr>
                <w:p w14:paraId="1AF9A681">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p>
              </w:tc>
              <w:tc>
                <w:tcPr>
                  <w:tcW w:w="1050" w:type="dxa"/>
                  <w:tcBorders>
                    <w:tl2br w:val="nil"/>
                    <w:tr2bl w:val="nil"/>
                  </w:tcBorders>
                  <w:vAlign w:val="center"/>
                </w:tcPr>
                <w:p w14:paraId="2B8473E2">
                  <w:pPr>
                    <w:keepNext w:val="0"/>
                    <w:keepLines w:val="0"/>
                    <w:pageBreakBefore w:val="0"/>
                    <w:widowControl w:val="0"/>
                    <w:kinsoku/>
                    <w:wordWrap/>
                    <w:overflowPunct/>
                    <w:topLinePunct w:val="0"/>
                    <w:autoSpaceDE/>
                    <w:autoSpaceDN/>
                    <w:bidi w:val="0"/>
                    <w:spacing w:line="360" w:lineRule="exact"/>
                    <w:jc w:val="center"/>
                    <w:textAlignment w:val="auto"/>
                    <w:rPr>
                      <w:rFonts w:hint="default"/>
                      <w:highlight w:val="none"/>
                      <w:lang w:val="en-US" w:eastAsia="zh-CN"/>
                    </w:rPr>
                  </w:pPr>
                  <w:r>
                    <w:rPr>
                      <w:rFonts w:hint="default"/>
                      <w:highlight w:val="none"/>
                    </w:rPr>
                    <w:t>固体废物</w:t>
                  </w:r>
                </w:p>
              </w:tc>
              <w:tc>
                <w:tcPr>
                  <w:tcW w:w="6458" w:type="dxa"/>
                  <w:tcBorders>
                    <w:tl2br w:val="nil"/>
                    <w:tr2bl w:val="nil"/>
                  </w:tcBorders>
                  <w:vAlign w:val="center"/>
                </w:tcPr>
                <w:p w14:paraId="2A6874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default"/>
                      <w:highlight w:val="none"/>
                      <w:lang w:val="en-US" w:eastAsia="zh-CN"/>
                    </w:rPr>
                  </w:pPr>
                  <w:r>
                    <w:rPr>
                      <w:rFonts w:hint="eastAsia"/>
                      <w:highlight w:val="none"/>
                      <w:lang w:val="en-US" w:eastAsia="zh-CN"/>
                    </w:rPr>
                    <w:t>上料工序产生的包装袋循环使用，废包装袋集中收集，外卖废品回收站；复合板材工序产生的废砂浆，用铁铲及时收集再利用于复合板材加工中；复合板材产生的凝固砂浆废料和裁切、打孔、切割过程产生的废下脚料收集于吨包袋内，外卖于保温板生产厂；除尘器产生的除尘灰用于回用砂浆生产中；沉淀池产生的凝固砂浆废料定期清掏，收集于吨包袋内，外卖于保温板生产厂；沉淀池产生的悬浮挤塑板下脚料，收集于吨包袋内，由环卫部门统一处理；</w:t>
                  </w:r>
                  <w:r>
                    <w:rPr>
                      <w:rFonts w:hint="default"/>
                      <w:highlight w:val="none"/>
                    </w:rPr>
                    <w:t>废润滑油</w:t>
                  </w:r>
                  <w:r>
                    <w:rPr>
                      <w:rFonts w:hint="eastAsia"/>
                      <w:highlight w:val="none"/>
                      <w:lang w:eastAsia="zh-CN"/>
                    </w:rPr>
                    <w:t>、废油桶，暂存于危废间，定期交有资质的单位处理</w:t>
                  </w:r>
                  <w:r>
                    <w:rPr>
                      <w:rFonts w:hint="eastAsia"/>
                      <w:highlight w:val="none"/>
                      <w:lang w:val="en-US" w:eastAsia="zh-CN"/>
                    </w:rPr>
                    <w:t>。</w:t>
                  </w:r>
                </w:p>
              </w:tc>
            </w:tr>
          </w:tbl>
          <w:p w14:paraId="003558CC">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jc w:val="left"/>
              <w:textAlignment w:val="auto"/>
              <w:rPr>
                <w:rFonts w:hint="default"/>
                <w:highlight w:val="none"/>
                <w:lang w:val="en-US" w:eastAsia="zh-CN"/>
              </w:rPr>
            </w:pPr>
            <w:r>
              <w:rPr>
                <w:rFonts w:hint="eastAsia"/>
                <w:highlight w:val="none"/>
                <w:lang w:val="en-US" w:eastAsia="zh-CN"/>
              </w:rPr>
              <w:t>（5）</w:t>
            </w:r>
            <w:r>
              <w:rPr>
                <w:rFonts w:hint="default"/>
                <w:highlight w:val="none"/>
                <w:lang w:val="en-US" w:eastAsia="zh-CN"/>
              </w:rPr>
              <w:t>主要产品及产能</w:t>
            </w:r>
          </w:p>
          <w:p w14:paraId="66B1C727">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jc w:val="left"/>
              <w:textAlignment w:val="auto"/>
              <w:rPr>
                <w:rFonts w:hint="eastAsia"/>
                <w:highlight w:val="none"/>
                <w:lang w:val="en-US" w:eastAsia="zh-CN"/>
              </w:rPr>
            </w:pPr>
            <w:r>
              <w:rPr>
                <w:rFonts w:hint="eastAsia"/>
                <w:highlight w:val="none"/>
                <w:lang w:val="en-US" w:eastAsia="zh-CN"/>
              </w:rPr>
              <w:t>项目现有生产产能不变，利用现有产品砂浆、XPS挤塑板，生产本项目产品一体板。现有项目砂浆产量为5万t/a，XPS挤塑板产量为5万m³/a，本项目生产20万m</w:t>
            </w:r>
            <w:r>
              <w:rPr>
                <w:rFonts w:hint="eastAsia"/>
                <w:highlight w:val="none"/>
                <w:vertAlign w:val="superscript"/>
                <w:lang w:val="en-US" w:eastAsia="zh-CN"/>
              </w:rPr>
              <w:t>2</w:t>
            </w:r>
            <w:r>
              <w:rPr>
                <w:rFonts w:hint="eastAsia"/>
                <w:highlight w:val="none"/>
                <w:lang w:val="en-US" w:eastAsia="zh-CN"/>
              </w:rPr>
              <w:t>/a一体板所用干混砂浆共计4000t/a、XPS挤塑板共计2万m³/a，现有项目产能能满足本项目需求。</w:t>
            </w:r>
          </w:p>
          <w:p w14:paraId="7C9AA7AB">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b/>
                <w:bCs/>
                <w:highlight w:val="none"/>
                <w:lang w:val="en-US" w:eastAsia="zh-CN"/>
              </w:rPr>
            </w:pPr>
            <w:r>
              <w:rPr>
                <w:rFonts w:hint="eastAsia"/>
                <w:b/>
                <w:bCs/>
                <w:highlight w:val="none"/>
                <w:lang w:val="en-US" w:eastAsia="zh-CN"/>
              </w:rPr>
              <w:t>表2-2  本项目</w:t>
            </w:r>
            <w:r>
              <w:rPr>
                <w:rFonts w:hint="default"/>
                <w:b/>
                <w:bCs/>
                <w:highlight w:val="none"/>
              </w:rPr>
              <w:t>项目主要</w:t>
            </w:r>
            <w:r>
              <w:rPr>
                <w:rFonts w:hint="eastAsia"/>
                <w:b/>
                <w:bCs/>
                <w:highlight w:val="none"/>
                <w:lang w:val="en-US" w:eastAsia="zh-CN"/>
              </w:rPr>
              <w:t>产品及产能</w:t>
            </w:r>
            <w:r>
              <w:rPr>
                <w:rFonts w:hint="default"/>
                <w:b/>
                <w:bCs/>
                <w:highlight w:val="none"/>
              </w:rPr>
              <w:t>一览表</w:t>
            </w:r>
          </w:p>
          <w:tbl>
            <w:tblPr>
              <w:tblStyle w:val="21"/>
              <w:tblW w:w="82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975"/>
              <w:gridCol w:w="1301"/>
              <w:gridCol w:w="3802"/>
              <w:gridCol w:w="1463"/>
            </w:tblGrid>
            <w:tr w14:paraId="7E63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4" w:type="dxa"/>
                  <w:tcBorders>
                    <w:top w:val="single" w:color="auto" w:sz="12" w:space="0"/>
                    <w:right w:val="single" w:color="auto" w:sz="4" w:space="0"/>
                  </w:tcBorders>
                  <w:vAlign w:val="center"/>
                </w:tcPr>
                <w:p w14:paraId="2B4446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default"/>
                      <w:highlight w:val="none"/>
                      <w:lang w:val="en-US" w:eastAsia="zh-CN"/>
                    </w:rPr>
                  </w:pPr>
                  <w:r>
                    <w:rPr>
                      <w:rFonts w:hint="eastAsia"/>
                      <w:highlight w:val="none"/>
                      <w:lang w:val="en-US" w:eastAsia="zh-CN"/>
                    </w:rPr>
                    <w:t>序号</w:t>
                  </w:r>
                </w:p>
              </w:tc>
              <w:tc>
                <w:tcPr>
                  <w:tcW w:w="975" w:type="dxa"/>
                  <w:tcBorders>
                    <w:top w:val="single" w:color="auto" w:sz="12" w:space="0"/>
                    <w:left w:val="single" w:color="auto" w:sz="4" w:space="0"/>
                    <w:right w:val="single" w:color="auto" w:sz="4" w:space="0"/>
                  </w:tcBorders>
                  <w:vAlign w:val="center"/>
                </w:tcPr>
                <w:p w14:paraId="10F1D9E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default"/>
                      <w:highlight w:val="none"/>
                      <w:lang w:val="en-US" w:eastAsia="zh-CN"/>
                    </w:rPr>
                  </w:pPr>
                  <w:r>
                    <w:rPr>
                      <w:rFonts w:hint="eastAsia"/>
                      <w:highlight w:val="none"/>
                      <w:lang w:val="en-US" w:eastAsia="zh-CN"/>
                    </w:rPr>
                    <w:t>名称</w:t>
                  </w:r>
                </w:p>
              </w:tc>
              <w:tc>
                <w:tcPr>
                  <w:tcW w:w="1301" w:type="dxa"/>
                  <w:tcBorders>
                    <w:top w:val="single" w:color="auto" w:sz="12" w:space="0"/>
                    <w:left w:val="single" w:color="auto" w:sz="4" w:space="0"/>
                    <w:right w:val="single" w:color="auto" w:sz="4" w:space="0"/>
                  </w:tcBorders>
                  <w:vAlign w:val="center"/>
                </w:tcPr>
                <w:p w14:paraId="41AEF0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default"/>
                      <w:highlight w:val="none"/>
                      <w:lang w:val="en-US" w:eastAsia="zh-CN"/>
                    </w:rPr>
                  </w:pPr>
                  <w:r>
                    <w:rPr>
                      <w:rFonts w:hint="eastAsia"/>
                      <w:highlight w:val="none"/>
                      <w:lang w:val="en-US" w:eastAsia="zh-CN"/>
                    </w:rPr>
                    <w:t>产能</w:t>
                  </w:r>
                </w:p>
              </w:tc>
              <w:tc>
                <w:tcPr>
                  <w:tcW w:w="3802" w:type="dxa"/>
                  <w:tcBorders>
                    <w:top w:val="single" w:color="auto" w:sz="12" w:space="0"/>
                    <w:left w:val="single" w:color="auto" w:sz="4" w:space="0"/>
                    <w:right w:val="single" w:color="auto" w:sz="4" w:space="0"/>
                  </w:tcBorders>
                  <w:vAlign w:val="center"/>
                </w:tcPr>
                <w:p w14:paraId="6F3396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default"/>
                      <w:highlight w:val="none"/>
                      <w:lang w:val="en-US" w:eastAsia="zh-CN"/>
                    </w:rPr>
                  </w:pPr>
                  <w:r>
                    <w:rPr>
                      <w:rFonts w:hint="eastAsia"/>
                      <w:highlight w:val="none"/>
                      <w:lang w:val="en-US" w:eastAsia="zh-CN"/>
                    </w:rPr>
                    <w:t>规格</w:t>
                  </w:r>
                </w:p>
              </w:tc>
              <w:tc>
                <w:tcPr>
                  <w:tcW w:w="1463" w:type="dxa"/>
                  <w:tcBorders>
                    <w:top w:val="single" w:color="auto" w:sz="12" w:space="0"/>
                    <w:left w:val="single" w:color="auto" w:sz="4" w:space="0"/>
                    <w:right w:val="single" w:color="auto" w:sz="12" w:space="0"/>
                  </w:tcBorders>
                  <w:vAlign w:val="center"/>
                </w:tcPr>
                <w:p w14:paraId="46FF8FF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highlight w:val="none"/>
                      <w:lang w:val="en-US" w:eastAsia="zh-CN"/>
                    </w:rPr>
                  </w:pPr>
                  <w:r>
                    <w:rPr>
                      <w:rFonts w:hint="eastAsia"/>
                      <w:highlight w:val="none"/>
                      <w:lang w:val="en-US" w:eastAsia="zh-CN"/>
                    </w:rPr>
                    <w:t>备注</w:t>
                  </w:r>
                </w:p>
              </w:tc>
            </w:tr>
            <w:tr w14:paraId="438A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84" w:type="dxa"/>
                  <w:tcBorders>
                    <w:left w:val="single" w:color="auto" w:sz="4" w:space="0"/>
                    <w:bottom w:val="single" w:color="auto" w:sz="12" w:space="0"/>
                    <w:right w:val="single" w:color="auto" w:sz="4" w:space="0"/>
                  </w:tcBorders>
                  <w:vAlign w:val="center"/>
                </w:tcPr>
                <w:p w14:paraId="47F299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default"/>
                      <w:highlight w:val="none"/>
                      <w:lang w:val="en-US" w:eastAsia="zh-CN"/>
                    </w:rPr>
                  </w:pPr>
                  <w:r>
                    <w:rPr>
                      <w:rFonts w:hint="eastAsia"/>
                      <w:highlight w:val="none"/>
                      <w:lang w:val="en-US" w:eastAsia="zh-CN"/>
                    </w:rPr>
                    <w:t>1</w:t>
                  </w:r>
                </w:p>
              </w:tc>
              <w:tc>
                <w:tcPr>
                  <w:tcW w:w="975" w:type="dxa"/>
                  <w:tcBorders>
                    <w:left w:val="single" w:color="auto" w:sz="4" w:space="0"/>
                    <w:bottom w:val="single" w:color="auto" w:sz="12" w:space="0"/>
                    <w:right w:val="single" w:color="auto" w:sz="4" w:space="0"/>
                  </w:tcBorders>
                  <w:vAlign w:val="center"/>
                </w:tcPr>
                <w:p w14:paraId="0312E6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default"/>
                      <w:highlight w:val="none"/>
                      <w:lang w:val="en-US" w:eastAsia="zh-CN"/>
                    </w:rPr>
                  </w:pPr>
                  <w:r>
                    <w:rPr>
                      <w:rFonts w:hint="eastAsia"/>
                      <w:highlight w:val="none"/>
                      <w:lang w:val="en-US" w:eastAsia="zh-CN"/>
                    </w:rPr>
                    <w:t>一体板</w:t>
                  </w:r>
                </w:p>
              </w:tc>
              <w:tc>
                <w:tcPr>
                  <w:tcW w:w="1301" w:type="dxa"/>
                  <w:tcBorders>
                    <w:left w:val="single" w:color="auto" w:sz="4" w:space="0"/>
                    <w:bottom w:val="single" w:color="auto" w:sz="12" w:space="0"/>
                    <w:right w:val="single" w:color="auto" w:sz="4" w:space="0"/>
                  </w:tcBorders>
                  <w:vAlign w:val="center"/>
                </w:tcPr>
                <w:p w14:paraId="1C09E43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default"/>
                      <w:highlight w:val="none"/>
                      <w:lang w:val="en-US" w:eastAsia="zh-CN"/>
                    </w:rPr>
                  </w:pPr>
                  <w:r>
                    <w:rPr>
                      <w:rFonts w:hint="eastAsia"/>
                      <w:highlight w:val="none"/>
                      <w:lang w:val="en-US" w:eastAsia="zh-CN"/>
                    </w:rPr>
                    <w:t>20万㎡/a</w:t>
                  </w:r>
                </w:p>
              </w:tc>
              <w:tc>
                <w:tcPr>
                  <w:tcW w:w="3802" w:type="dxa"/>
                  <w:tcBorders>
                    <w:left w:val="single" w:color="auto" w:sz="4" w:space="0"/>
                    <w:bottom w:val="single" w:color="auto" w:sz="12" w:space="0"/>
                    <w:right w:val="single" w:color="auto" w:sz="4" w:space="0"/>
                  </w:tcBorders>
                  <w:vAlign w:val="center"/>
                </w:tcPr>
                <w:p w14:paraId="38241D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default"/>
                      <w:highlight w:val="none"/>
                      <w:lang w:val="en-US" w:eastAsia="zh-CN"/>
                    </w:rPr>
                  </w:pPr>
                  <w:r>
                    <w:rPr>
                      <w:rFonts w:hint="eastAsia"/>
                      <w:highlight w:val="none"/>
                      <w:lang w:val="en-US" w:eastAsia="zh-CN"/>
                    </w:rPr>
                    <w:t>宽600mm，长2700-3000mm，厚度50-120mm(根据客户要求定制长度和厚度，重量约30kg/块）</w:t>
                  </w:r>
                </w:p>
              </w:tc>
              <w:tc>
                <w:tcPr>
                  <w:tcW w:w="1463" w:type="dxa"/>
                  <w:tcBorders>
                    <w:left w:val="single" w:color="auto" w:sz="4" w:space="0"/>
                    <w:bottom w:val="single" w:color="auto" w:sz="12" w:space="0"/>
                    <w:right w:val="single" w:color="auto" w:sz="12" w:space="0"/>
                  </w:tcBorders>
                  <w:vAlign w:val="center"/>
                </w:tcPr>
                <w:p w14:paraId="6763FA3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highlight w:val="none"/>
                      <w:lang w:val="en-US" w:eastAsia="zh-CN"/>
                    </w:rPr>
                  </w:pPr>
                  <w:r>
                    <w:rPr>
                      <w:rFonts w:hint="eastAsia"/>
                      <w:highlight w:val="none"/>
                      <w:lang w:val="en-US" w:eastAsia="zh-CN"/>
                    </w:rPr>
                    <w:t>用于建筑外墙保温</w:t>
                  </w:r>
                </w:p>
              </w:tc>
            </w:tr>
          </w:tbl>
          <w:p w14:paraId="4E3530D1">
            <w:pPr>
              <w:keepNext w:val="0"/>
              <w:keepLines w:val="0"/>
              <w:pageBreakBefore w:val="0"/>
              <w:numPr>
                <w:ilvl w:val="0"/>
                <w:numId w:val="0"/>
              </w:numPr>
              <w:kinsoku/>
              <w:wordWrap/>
              <w:overflowPunct/>
              <w:topLinePunct w:val="0"/>
              <w:bidi w:val="0"/>
              <w:adjustRightInd w:val="0"/>
              <w:snapToGrid w:val="0"/>
              <w:spacing w:line="400" w:lineRule="exact"/>
              <w:ind w:firstLine="420"/>
              <w:jc w:val="left"/>
              <w:rPr>
                <w:rFonts w:hint="default"/>
                <w:highlight w:val="none"/>
                <w:lang w:val="en-US" w:eastAsia="zh-CN"/>
              </w:rPr>
            </w:pPr>
            <w:r>
              <w:rPr>
                <w:rFonts w:hint="eastAsia"/>
                <w:highlight w:val="none"/>
                <w:lang w:val="en-US" w:eastAsia="zh-CN"/>
              </w:rPr>
              <w:t>（6）</w:t>
            </w:r>
            <w:r>
              <w:rPr>
                <w:rFonts w:hint="default"/>
                <w:highlight w:val="none"/>
                <w:lang w:val="en-US" w:eastAsia="zh-CN"/>
              </w:rPr>
              <w:t>主要</w:t>
            </w:r>
            <w:r>
              <w:rPr>
                <w:rFonts w:hint="eastAsia"/>
                <w:highlight w:val="none"/>
                <w:lang w:val="en-US" w:eastAsia="zh-CN"/>
              </w:rPr>
              <w:t>建构筑物</w:t>
            </w:r>
          </w:p>
          <w:p w14:paraId="17746C89">
            <w:pPr>
              <w:keepNext w:val="0"/>
              <w:keepLines w:val="0"/>
              <w:pageBreakBefore w:val="0"/>
              <w:numPr>
                <w:ilvl w:val="0"/>
                <w:numId w:val="0"/>
              </w:numPr>
              <w:kinsoku/>
              <w:wordWrap/>
              <w:overflowPunct/>
              <w:topLinePunct w:val="0"/>
              <w:bidi w:val="0"/>
              <w:adjustRightInd w:val="0"/>
              <w:snapToGrid w:val="0"/>
              <w:spacing w:line="400" w:lineRule="exact"/>
              <w:ind w:firstLine="420"/>
              <w:jc w:val="left"/>
              <w:rPr>
                <w:rFonts w:hint="eastAsia"/>
                <w:highlight w:val="none"/>
                <w:lang w:val="en-US" w:eastAsia="zh-CN"/>
              </w:rPr>
            </w:pPr>
            <w:r>
              <w:rPr>
                <w:rFonts w:hint="default"/>
                <w:highlight w:val="none"/>
                <w:lang w:val="en-US" w:eastAsia="zh-CN"/>
              </w:rPr>
              <w:t>本项目</w:t>
            </w:r>
            <w:r>
              <w:rPr>
                <w:rFonts w:hint="eastAsia"/>
                <w:highlight w:val="none"/>
                <w:lang w:val="en-US" w:eastAsia="zh-CN"/>
              </w:rPr>
              <w:t>新增建构筑物情况如下表2-3。</w:t>
            </w:r>
          </w:p>
          <w:p w14:paraId="12970AED">
            <w:pPr>
              <w:pStyle w:val="16"/>
              <w:jc w:val="center"/>
              <w:outlineLvl w:val="0"/>
              <w:rPr>
                <w:rFonts w:ascii="黑体" w:hAnsi="黑体" w:eastAsia="黑体"/>
                <w:snapToGrid w:val="0"/>
                <w:sz w:val="30"/>
                <w:szCs w:val="30"/>
                <w:highlight w:val="none"/>
                <w:vertAlign w:val="baseline"/>
              </w:rPr>
            </w:pPr>
          </w:p>
        </w:tc>
      </w:tr>
    </w:tbl>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14:paraId="390B44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48" w:hRule="atLeast"/>
          <w:jc w:val="center"/>
        </w:trPr>
        <w:tc>
          <w:tcPr>
            <w:tcW w:w="823" w:type="dxa"/>
            <w:noWrap w:val="0"/>
            <w:vAlign w:val="center"/>
          </w:tcPr>
          <w:p w14:paraId="6761A3A7">
            <w:pPr>
              <w:pStyle w:val="16"/>
              <w:adjustRightInd w:val="0"/>
              <w:snapToGrid w:val="0"/>
              <w:spacing w:before="0" w:beforeAutospacing="0" w:after="0" w:afterAutospacing="0"/>
              <w:jc w:val="center"/>
              <w:rPr>
                <w:rFonts w:cs="宋体"/>
                <w:sz w:val="21"/>
                <w:szCs w:val="21"/>
                <w:highlight w:val="none"/>
              </w:rPr>
            </w:pPr>
            <w:r>
              <w:rPr>
                <w:rFonts w:hint="eastAsia" w:cs="宋体"/>
                <w:sz w:val="21"/>
                <w:szCs w:val="21"/>
                <w:highlight w:val="none"/>
              </w:rPr>
              <w:t>建设内容</w:t>
            </w:r>
          </w:p>
        </w:tc>
        <w:tc>
          <w:tcPr>
            <w:tcW w:w="8161" w:type="dxa"/>
            <w:noWrap w:val="0"/>
            <w:vAlign w:val="top"/>
          </w:tcPr>
          <w:p w14:paraId="36CF3072">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b/>
                <w:bCs/>
                <w:highlight w:val="none"/>
              </w:rPr>
            </w:pPr>
            <w:r>
              <w:rPr>
                <w:rFonts w:hint="eastAsia"/>
                <w:b/>
                <w:bCs/>
                <w:highlight w:val="none"/>
                <w:lang w:val="en-US" w:eastAsia="zh-CN"/>
              </w:rPr>
              <w:t>表2-3 本项目主要建构筑物</w:t>
            </w:r>
            <w:r>
              <w:rPr>
                <w:rFonts w:hint="default"/>
                <w:b/>
                <w:bCs/>
                <w:highlight w:val="none"/>
              </w:rPr>
              <w:t>一览表</w:t>
            </w:r>
          </w:p>
          <w:tbl>
            <w:tblPr>
              <w:tblStyle w:val="20"/>
              <w:tblW w:w="79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234"/>
              <w:gridCol w:w="911"/>
              <w:gridCol w:w="975"/>
              <w:gridCol w:w="1530"/>
              <w:gridCol w:w="2652"/>
            </w:tblGrid>
            <w:tr w14:paraId="3022B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67" w:type="dxa"/>
                  <w:noWrap w:val="0"/>
                  <w:vAlign w:val="center"/>
                </w:tcPr>
                <w:p w14:paraId="372EE1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序号</w:t>
                  </w:r>
                </w:p>
              </w:tc>
              <w:tc>
                <w:tcPr>
                  <w:tcW w:w="1234" w:type="dxa"/>
                  <w:noWrap w:val="0"/>
                  <w:vAlign w:val="center"/>
                </w:tcPr>
                <w:p w14:paraId="6433BC2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建构筑物名称</w:t>
                  </w:r>
                </w:p>
              </w:tc>
              <w:tc>
                <w:tcPr>
                  <w:tcW w:w="911" w:type="dxa"/>
                  <w:noWrap w:val="0"/>
                  <w:vAlign w:val="center"/>
                </w:tcPr>
                <w:p w14:paraId="005D87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eastAsia="zh-CN"/>
                    </w:rPr>
                  </w:pPr>
                  <w:r>
                    <w:rPr>
                      <w:rFonts w:hint="eastAsia"/>
                      <w:highlight w:val="none"/>
                      <w:lang w:val="en-US" w:eastAsia="zh-CN"/>
                    </w:rPr>
                    <w:t>占地面积</w:t>
                  </w:r>
                  <w:r>
                    <w:rPr>
                      <w:rFonts w:hint="default"/>
                      <w:highlight w:val="none"/>
                      <w:lang w:val="en-US" w:eastAsia="zh-CN"/>
                    </w:rPr>
                    <w:t>（㎡）</w:t>
                  </w:r>
                </w:p>
              </w:tc>
              <w:tc>
                <w:tcPr>
                  <w:tcW w:w="975" w:type="dxa"/>
                  <w:noWrap w:val="0"/>
                  <w:vAlign w:val="center"/>
                </w:tcPr>
                <w:p w14:paraId="4675B82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rPr>
                  </w:pPr>
                  <w:r>
                    <w:rPr>
                      <w:rFonts w:hint="eastAsia"/>
                      <w:highlight w:val="none"/>
                      <w:lang w:val="en-US" w:eastAsia="zh-CN"/>
                    </w:rPr>
                    <w:t>建筑面积</w:t>
                  </w:r>
                  <w:r>
                    <w:rPr>
                      <w:rFonts w:hint="default"/>
                      <w:highlight w:val="none"/>
                      <w:lang w:val="en-US" w:eastAsia="zh-CN"/>
                    </w:rPr>
                    <w:t>（㎡）</w:t>
                  </w:r>
                </w:p>
              </w:tc>
              <w:tc>
                <w:tcPr>
                  <w:tcW w:w="1530" w:type="dxa"/>
                  <w:noWrap w:val="0"/>
                  <w:vAlign w:val="center"/>
                </w:tcPr>
                <w:p w14:paraId="5BBA3CC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建筑规格</w:t>
                  </w:r>
                </w:p>
              </w:tc>
              <w:tc>
                <w:tcPr>
                  <w:tcW w:w="2652" w:type="dxa"/>
                  <w:noWrap w:val="0"/>
                  <w:vAlign w:val="center"/>
                </w:tcPr>
                <w:p w14:paraId="322FE7C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备注</w:t>
                  </w:r>
                </w:p>
              </w:tc>
            </w:tr>
            <w:tr w14:paraId="21F96F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67" w:type="dxa"/>
                  <w:noWrap w:val="0"/>
                  <w:vAlign w:val="center"/>
                </w:tcPr>
                <w:p w14:paraId="38695C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default"/>
                      <w:highlight w:val="none"/>
                      <w:lang w:val="en-US" w:eastAsia="zh-CN"/>
                    </w:rPr>
                    <w:t>1</w:t>
                  </w:r>
                </w:p>
              </w:tc>
              <w:tc>
                <w:tcPr>
                  <w:tcW w:w="1234" w:type="dxa"/>
                  <w:noWrap w:val="0"/>
                  <w:vAlign w:val="center"/>
                </w:tcPr>
                <w:p w14:paraId="1BE7DEA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一体板1#车间</w:t>
                  </w:r>
                </w:p>
              </w:tc>
              <w:tc>
                <w:tcPr>
                  <w:tcW w:w="911" w:type="dxa"/>
                  <w:noWrap w:val="0"/>
                  <w:vAlign w:val="center"/>
                </w:tcPr>
                <w:p w14:paraId="3DBAF8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900</w:t>
                  </w:r>
                </w:p>
              </w:tc>
              <w:tc>
                <w:tcPr>
                  <w:tcW w:w="975" w:type="dxa"/>
                  <w:noWrap w:val="0"/>
                  <w:vAlign w:val="center"/>
                </w:tcPr>
                <w:p w14:paraId="2A71788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900</w:t>
                  </w:r>
                </w:p>
              </w:tc>
              <w:tc>
                <w:tcPr>
                  <w:tcW w:w="1530" w:type="dxa"/>
                  <w:noWrap w:val="0"/>
                  <w:vAlign w:val="center"/>
                </w:tcPr>
                <w:p w14:paraId="4644E39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default"/>
                      <w:highlight w:val="none"/>
                    </w:rPr>
                    <w:t>单层</w:t>
                  </w:r>
                  <w:r>
                    <w:rPr>
                      <w:rFonts w:hint="eastAsia"/>
                      <w:highlight w:val="none"/>
                      <w:lang w:val="en-US" w:eastAsia="zh-CN"/>
                    </w:rPr>
                    <w:t>钢结构1层，高7米</w:t>
                  </w:r>
                </w:p>
              </w:tc>
              <w:tc>
                <w:tcPr>
                  <w:tcW w:w="2652" w:type="dxa"/>
                  <w:noWrap w:val="0"/>
                  <w:vAlign w:val="center"/>
                </w:tcPr>
                <w:p w14:paraId="697D79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default"/>
                      <w:highlight w:val="none"/>
                    </w:rPr>
                    <w:t>依托</w:t>
                  </w:r>
                  <w:r>
                    <w:rPr>
                      <w:rFonts w:hint="eastAsia"/>
                      <w:highlight w:val="none"/>
                      <w:lang w:eastAsia="zh-CN"/>
                    </w:rPr>
                    <w:t>，</w:t>
                  </w:r>
                  <w:r>
                    <w:rPr>
                      <w:rFonts w:hint="eastAsia"/>
                      <w:highlight w:val="none"/>
                      <w:lang w:val="en-US" w:eastAsia="zh-CN"/>
                    </w:rPr>
                    <w:t>钢结构（主要用于上料、搅拌、复合板材、裁切养护工序）</w:t>
                  </w:r>
                </w:p>
              </w:tc>
            </w:tr>
            <w:tr w14:paraId="78293D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67" w:type="dxa"/>
                  <w:noWrap w:val="0"/>
                  <w:vAlign w:val="center"/>
                </w:tcPr>
                <w:p w14:paraId="791AAF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2</w:t>
                  </w:r>
                </w:p>
              </w:tc>
              <w:tc>
                <w:tcPr>
                  <w:tcW w:w="1234" w:type="dxa"/>
                  <w:noWrap w:val="0"/>
                  <w:vAlign w:val="center"/>
                </w:tcPr>
                <w:p w14:paraId="099B25E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一体板2#车间</w:t>
                  </w:r>
                </w:p>
              </w:tc>
              <w:tc>
                <w:tcPr>
                  <w:tcW w:w="911" w:type="dxa"/>
                  <w:noWrap w:val="0"/>
                  <w:vAlign w:val="center"/>
                </w:tcPr>
                <w:p w14:paraId="74681A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450</w:t>
                  </w:r>
                </w:p>
              </w:tc>
              <w:tc>
                <w:tcPr>
                  <w:tcW w:w="975" w:type="dxa"/>
                  <w:noWrap w:val="0"/>
                  <w:vAlign w:val="center"/>
                </w:tcPr>
                <w:p w14:paraId="18996EB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450</w:t>
                  </w:r>
                </w:p>
              </w:tc>
              <w:tc>
                <w:tcPr>
                  <w:tcW w:w="1530" w:type="dxa"/>
                  <w:noWrap w:val="0"/>
                  <w:vAlign w:val="center"/>
                </w:tcPr>
                <w:p w14:paraId="456E62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单层</w:t>
                  </w:r>
                  <w:r>
                    <w:rPr>
                      <w:rFonts w:hint="eastAsia"/>
                      <w:highlight w:val="none"/>
                      <w:lang w:val="en-US" w:eastAsia="zh-CN"/>
                    </w:rPr>
                    <w:t>钢结构1层，高7米</w:t>
                  </w:r>
                </w:p>
              </w:tc>
              <w:tc>
                <w:tcPr>
                  <w:tcW w:w="2652" w:type="dxa"/>
                  <w:noWrap w:val="0"/>
                  <w:vAlign w:val="center"/>
                </w:tcPr>
                <w:p w14:paraId="66C79C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依托</w:t>
                  </w:r>
                  <w:r>
                    <w:rPr>
                      <w:rFonts w:hint="eastAsia"/>
                      <w:highlight w:val="none"/>
                      <w:lang w:eastAsia="zh-CN"/>
                    </w:rPr>
                    <w:t>，</w:t>
                  </w:r>
                  <w:r>
                    <w:rPr>
                      <w:rFonts w:hint="eastAsia"/>
                      <w:highlight w:val="none"/>
                      <w:lang w:val="en-US" w:eastAsia="zh-CN"/>
                    </w:rPr>
                    <w:t>钢结构（主要用于打孔切割、打包装入库工序）</w:t>
                  </w:r>
                </w:p>
              </w:tc>
            </w:tr>
            <w:tr w14:paraId="3CB69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67" w:type="dxa"/>
                  <w:noWrap w:val="0"/>
                  <w:vAlign w:val="center"/>
                </w:tcPr>
                <w:p w14:paraId="4C1330C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3</w:t>
                  </w:r>
                </w:p>
              </w:tc>
              <w:tc>
                <w:tcPr>
                  <w:tcW w:w="1234" w:type="dxa"/>
                  <w:noWrap w:val="0"/>
                  <w:vAlign w:val="center"/>
                </w:tcPr>
                <w:p w14:paraId="144CDAA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办公室</w:t>
                  </w:r>
                </w:p>
              </w:tc>
              <w:tc>
                <w:tcPr>
                  <w:tcW w:w="911" w:type="dxa"/>
                  <w:noWrap w:val="0"/>
                  <w:vAlign w:val="center"/>
                </w:tcPr>
                <w:p w14:paraId="17B9AA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24</w:t>
                  </w:r>
                </w:p>
              </w:tc>
              <w:tc>
                <w:tcPr>
                  <w:tcW w:w="975" w:type="dxa"/>
                  <w:noWrap w:val="0"/>
                  <w:vAlign w:val="center"/>
                </w:tcPr>
                <w:p w14:paraId="6CBC385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24</w:t>
                  </w:r>
                </w:p>
              </w:tc>
              <w:tc>
                <w:tcPr>
                  <w:tcW w:w="1530" w:type="dxa"/>
                  <w:noWrap w:val="0"/>
                  <w:vAlign w:val="center"/>
                </w:tcPr>
                <w:p w14:paraId="2CDEEBA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砖混结构，3.5米高</w:t>
                  </w:r>
                </w:p>
              </w:tc>
              <w:tc>
                <w:tcPr>
                  <w:tcW w:w="2652" w:type="dxa"/>
                  <w:noWrap w:val="0"/>
                  <w:vAlign w:val="center"/>
                </w:tcPr>
                <w:p w14:paraId="562C4BA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default"/>
                      <w:highlight w:val="none"/>
                    </w:rPr>
                    <w:t>依托</w:t>
                  </w:r>
                  <w:r>
                    <w:rPr>
                      <w:rFonts w:hint="eastAsia"/>
                      <w:highlight w:val="none"/>
                      <w:lang w:eastAsia="zh-CN"/>
                    </w:rPr>
                    <w:t>，</w:t>
                  </w:r>
                  <w:r>
                    <w:rPr>
                      <w:rFonts w:hint="eastAsia"/>
                      <w:highlight w:val="none"/>
                      <w:lang w:val="en-US" w:eastAsia="zh-CN"/>
                    </w:rPr>
                    <w:t>钢砼结构</w:t>
                  </w:r>
                </w:p>
              </w:tc>
            </w:tr>
            <w:tr w14:paraId="167E46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667" w:type="dxa"/>
                  <w:noWrap w:val="0"/>
                  <w:vAlign w:val="center"/>
                </w:tcPr>
                <w:p w14:paraId="0D1376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4</w:t>
                  </w:r>
                </w:p>
              </w:tc>
              <w:tc>
                <w:tcPr>
                  <w:tcW w:w="1234" w:type="dxa"/>
                  <w:noWrap w:val="0"/>
                  <w:vAlign w:val="center"/>
                </w:tcPr>
                <w:p w14:paraId="7936DAE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危废间</w:t>
                  </w:r>
                </w:p>
              </w:tc>
              <w:tc>
                <w:tcPr>
                  <w:tcW w:w="911" w:type="dxa"/>
                  <w:noWrap w:val="0"/>
                  <w:vAlign w:val="center"/>
                </w:tcPr>
                <w:p w14:paraId="419E562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12</w:t>
                  </w:r>
                </w:p>
              </w:tc>
              <w:tc>
                <w:tcPr>
                  <w:tcW w:w="975" w:type="dxa"/>
                  <w:noWrap w:val="0"/>
                  <w:vAlign w:val="center"/>
                </w:tcPr>
                <w:p w14:paraId="605CC7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12</w:t>
                  </w:r>
                </w:p>
              </w:tc>
              <w:tc>
                <w:tcPr>
                  <w:tcW w:w="1530" w:type="dxa"/>
                  <w:noWrap w:val="0"/>
                  <w:vAlign w:val="center"/>
                </w:tcPr>
                <w:p w14:paraId="7FFA0D2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钢结构1层，高3米</w:t>
                  </w:r>
                </w:p>
              </w:tc>
              <w:tc>
                <w:tcPr>
                  <w:tcW w:w="2652" w:type="dxa"/>
                  <w:noWrap w:val="0"/>
                  <w:vAlign w:val="center"/>
                </w:tcPr>
                <w:p w14:paraId="614A9F5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依托</w:t>
                  </w:r>
                  <w:r>
                    <w:rPr>
                      <w:rFonts w:hint="eastAsia"/>
                      <w:highlight w:val="none"/>
                      <w:lang w:eastAsia="zh-CN"/>
                    </w:rPr>
                    <w:t>，</w:t>
                  </w:r>
                  <w:r>
                    <w:rPr>
                      <w:rFonts w:hint="eastAsia"/>
                      <w:highlight w:val="none"/>
                      <w:lang w:val="en-US" w:eastAsia="zh-CN"/>
                    </w:rPr>
                    <w:t>钢结构</w:t>
                  </w:r>
                </w:p>
              </w:tc>
            </w:tr>
          </w:tbl>
          <w:p w14:paraId="2D69CDA4">
            <w:pPr>
              <w:keepNext w:val="0"/>
              <w:keepLines w:val="0"/>
              <w:pageBreakBefore w:val="0"/>
              <w:numPr>
                <w:ilvl w:val="0"/>
                <w:numId w:val="0"/>
              </w:numPr>
              <w:kinsoku/>
              <w:wordWrap/>
              <w:overflowPunct/>
              <w:topLinePunct w:val="0"/>
              <w:bidi w:val="0"/>
              <w:adjustRightInd w:val="0"/>
              <w:snapToGrid w:val="0"/>
              <w:spacing w:line="400" w:lineRule="exact"/>
              <w:ind w:firstLine="420"/>
              <w:jc w:val="left"/>
              <w:rPr>
                <w:rFonts w:hint="default"/>
                <w:highlight w:val="none"/>
                <w:lang w:val="en-US" w:eastAsia="zh-CN"/>
              </w:rPr>
            </w:pPr>
            <w:r>
              <w:rPr>
                <w:rFonts w:hint="eastAsia"/>
                <w:highlight w:val="none"/>
                <w:lang w:val="en-US" w:eastAsia="zh-CN"/>
              </w:rPr>
              <w:t>（7）</w:t>
            </w:r>
            <w:r>
              <w:rPr>
                <w:rFonts w:hint="default"/>
                <w:highlight w:val="none"/>
                <w:lang w:val="en-US" w:eastAsia="zh-CN"/>
              </w:rPr>
              <w:t>主要</w:t>
            </w:r>
            <w:r>
              <w:rPr>
                <w:rFonts w:hint="eastAsia"/>
                <w:highlight w:val="none"/>
                <w:lang w:val="en-US" w:eastAsia="zh-CN"/>
              </w:rPr>
              <w:t>工艺概述</w:t>
            </w:r>
          </w:p>
          <w:p w14:paraId="4BB7FF98">
            <w:pPr>
              <w:keepNext w:val="0"/>
              <w:keepLines w:val="0"/>
              <w:pageBreakBefore w:val="0"/>
              <w:numPr>
                <w:ilvl w:val="0"/>
                <w:numId w:val="0"/>
              </w:numPr>
              <w:kinsoku/>
              <w:wordWrap/>
              <w:overflowPunct/>
              <w:topLinePunct w:val="0"/>
              <w:bidi w:val="0"/>
              <w:adjustRightInd w:val="0"/>
              <w:snapToGrid w:val="0"/>
              <w:spacing w:line="400" w:lineRule="exact"/>
              <w:ind w:firstLine="420"/>
              <w:jc w:val="left"/>
              <w:rPr>
                <w:rFonts w:hint="eastAsia"/>
                <w:highlight w:val="none"/>
                <w:lang w:val="en-US" w:eastAsia="zh-CN"/>
              </w:rPr>
            </w:pPr>
            <w:r>
              <w:rPr>
                <w:rFonts w:hint="eastAsia"/>
                <w:highlight w:val="none"/>
                <w:lang w:val="en-US" w:eastAsia="zh-CN"/>
              </w:rPr>
              <w:t>一体板主要生产工艺为上料→搅拌→复合板材→裁切养护→打孔切割→打包装入库。</w:t>
            </w:r>
          </w:p>
          <w:p w14:paraId="726671C7">
            <w:pPr>
              <w:keepNext w:val="0"/>
              <w:keepLines w:val="0"/>
              <w:pageBreakBefore w:val="0"/>
              <w:numPr>
                <w:ilvl w:val="0"/>
                <w:numId w:val="0"/>
              </w:numPr>
              <w:kinsoku/>
              <w:wordWrap/>
              <w:overflowPunct/>
              <w:topLinePunct w:val="0"/>
              <w:bidi w:val="0"/>
              <w:adjustRightInd w:val="0"/>
              <w:snapToGrid w:val="0"/>
              <w:spacing w:line="400" w:lineRule="exact"/>
              <w:ind w:firstLine="420"/>
              <w:jc w:val="left"/>
              <w:rPr>
                <w:rFonts w:hint="eastAsia"/>
                <w:highlight w:val="none"/>
                <w:lang w:val="en-US" w:eastAsia="zh-CN"/>
              </w:rPr>
            </w:pPr>
            <w:r>
              <w:rPr>
                <w:rFonts w:hint="eastAsia"/>
                <w:highlight w:val="none"/>
                <w:lang w:val="en-US" w:eastAsia="zh-CN"/>
              </w:rPr>
              <w:t>（8）本项目主要生产设备、设施情况见表2-4。</w:t>
            </w:r>
          </w:p>
          <w:p w14:paraId="14C83BA9">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default"/>
                <w:b/>
                <w:bCs/>
                <w:highlight w:val="none"/>
              </w:rPr>
            </w:pPr>
            <w:r>
              <w:rPr>
                <w:rFonts w:hint="eastAsia"/>
                <w:b/>
                <w:bCs/>
                <w:highlight w:val="none"/>
                <w:lang w:val="en-US" w:eastAsia="zh-CN"/>
              </w:rPr>
              <w:t xml:space="preserve"> </w:t>
            </w:r>
            <w:r>
              <w:rPr>
                <w:rFonts w:hint="default"/>
                <w:b/>
                <w:bCs/>
                <w:highlight w:val="none"/>
              </w:rPr>
              <w:t>表</w:t>
            </w:r>
            <w:r>
              <w:rPr>
                <w:rFonts w:hint="eastAsia"/>
                <w:b/>
                <w:bCs/>
                <w:highlight w:val="none"/>
                <w:lang w:val="en-US" w:eastAsia="zh-CN"/>
              </w:rPr>
              <w:t>2-4</w:t>
            </w:r>
            <w:r>
              <w:rPr>
                <w:rFonts w:hint="default"/>
                <w:b/>
                <w:bCs/>
                <w:highlight w:val="none"/>
              </w:rPr>
              <w:t xml:space="preserve"> </w:t>
            </w:r>
            <w:r>
              <w:rPr>
                <w:rFonts w:hint="eastAsia"/>
                <w:b/>
                <w:bCs/>
                <w:highlight w:val="none"/>
                <w:lang w:val="en-US" w:eastAsia="zh-CN"/>
              </w:rPr>
              <w:t xml:space="preserve">  本</w:t>
            </w:r>
            <w:r>
              <w:rPr>
                <w:rFonts w:hint="default"/>
                <w:b/>
                <w:bCs/>
                <w:highlight w:val="none"/>
              </w:rPr>
              <w:t>项目主要生产设备及设施一览表</w:t>
            </w:r>
          </w:p>
          <w:tbl>
            <w:tblPr>
              <w:tblStyle w:val="20"/>
              <w:tblW w:w="792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82"/>
              <w:gridCol w:w="1725"/>
              <w:gridCol w:w="675"/>
              <w:gridCol w:w="1204"/>
              <w:gridCol w:w="716"/>
              <w:gridCol w:w="566"/>
              <w:gridCol w:w="4"/>
              <w:gridCol w:w="1234"/>
              <w:gridCol w:w="1221"/>
            </w:tblGrid>
            <w:tr w14:paraId="73684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6F96A213">
                  <w:pPr>
                    <w:keepNext w:val="0"/>
                    <w:keepLines w:val="0"/>
                    <w:pageBreakBefore w:val="0"/>
                    <w:kinsoku/>
                    <w:wordWrap/>
                    <w:overflowPunct/>
                    <w:topLinePunct w:val="0"/>
                    <w:bidi w:val="0"/>
                    <w:spacing w:line="240" w:lineRule="auto"/>
                    <w:jc w:val="center"/>
                    <w:rPr>
                      <w:rFonts w:hint="default"/>
                      <w:highlight w:val="none"/>
                    </w:rPr>
                  </w:pPr>
                  <w:r>
                    <w:rPr>
                      <w:rFonts w:hint="default"/>
                      <w:highlight w:val="none"/>
                    </w:rPr>
                    <w:t>序号</w:t>
                  </w:r>
                </w:p>
              </w:tc>
              <w:tc>
                <w:tcPr>
                  <w:tcW w:w="1725" w:type="dxa"/>
                  <w:noWrap w:val="0"/>
                  <w:vAlign w:val="center"/>
                </w:tcPr>
                <w:p w14:paraId="03E03BAD">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名称</w:t>
                  </w:r>
                </w:p>
              </w:tc>
              <w:tc>
                <w:tcPr>
                  <w:tcW w:w="675" w:type="dxa"/>
                  <w:noWrap w:val="0"/>
                  <w:vAlign w:val="center"/>
                </w:tcPr>
                <w:p w14:paraId="4A4ED9ED">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型号</w:t>
                  </w:r>
                </w:p>
              </w:tc>
              <w:tc>
                <w:tcPr>
                  <w:tcW w:w="1204" w:type="dxa"/>
                  <w:noWrap w:val="0"/>
                  <w:vAlign w:val="center"/>
                </w:tcPr>
                <w:p w14:paraId="0D4BA3F4">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default"/>
                      <w:highlight w:val="none"/>
                    </w:rPr>
                    <w:t>规格</w:t>
                  </w:r>
                </w:p>
              </w:tc>
              <w:tc>
                <w:tcPr>
                  <w:tcW w:w="716" w:type="dxa"/>
                  <w:noWrap w:val="0"/>
                  <w:vAlign w:val="center"/>
                </w:tcPr>
                <w:p w14:paraId="3D2C4B6F">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default"/>
                      <w:highlight w:val="none"/>
                    </w:rPr>
                    <w:t>数量</w:t>
                  </w:r>
                </w:p>
              </w:tc>
              <w:tc>
                <w:tcPr>
                  <w:tcW w:w="570" w:type="dxa"/>
                  <w:gridSpan w:val="2"/>
                  <w:noWrap w:val="0"/>
                  <w:vAlign w:val="center"/>
                </w:tcPr>
                <w:p w14:paraId="0A480434">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default"/>
                      <w:highlight w:val="none"/>
                    </w:rPr>
                    <w:t>单位</w:t>
                  </w:r>
                </w:p>
              </w:tc>
              <w:tc>
                <w:tcPr>
                  <w:tcW w:w="1234" w:type="dxa"/>
                  <w:noWrap w:val="0"/>
                  <w:vAlign w:val="center"/>
                </w:tcPr>
                <w:p w14:paraId="3A5601D5">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运行能力</w:t>
                  </w:r>
                </w:p>
              </w:tc>
              <w:tc>
                <w:tcPr>
                  <w:tcW w:w="1221" w:type="dxa"/>
                  <w:noWrap w:val="0"/>
                  <w:vAlign w:val="center"/>
                </w:tcPr>
                <w:p w14:paraId="49164CC9">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有效工作时间</w:t>
                  </w:r>
                </w:p>
              </w:tc>
            </w:tr>
            <w:tr w14:paraId="3FE4D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27" w:type="dxa"/>
                  <w:gridSpan w:val="9"/>
                  <w:noWrap w:val="0"/>
                  <w:vAlign w:val="center"/>
                </w:tcPr>
                <w:p w14:paraId="456419BC">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砂浆上料系统</w:t>
                  </w:r>
                </w:p>
              </w:tc>
            </w:tr>
            <w:tr w14:paraId="5ADA12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0EFC5AC9">
                  <w:pPr>
                    <w:keepNext w:val="0"/>
                    <w:keepLines w:val="0"/>
                    <w:pageBreakBefore w:val="0"/>
                    <w:kinsoku/>
                    <w:wordWrap/>
                    <w:overflowPunct/>
                    <w:topLinePunct w:val="0"/>
                    <w:bidi w:val="0"/>
                    <w:spacing w:line="240" w:lineRule="auto"/>
                    <w:jc w:val="center"/>
                    <w:rPr>
                      <w:rFonts w:hint="default"/>
                      <w:highlight w:val="none"/>
                    </w:rPr>
                  </w:pPr>
                  <w:r>
                    <w:rPr>
                      <w:rFonts w:hint="default"/>
                      <w:highlight w:val="none"/>
                    </w:rPr>
                    <w:t>1</w:t>
                  </w:r>
                </w:p>
              </w:tc>
              <w:tc>
                <w:tcPr>
                  <w:tcW w:w="1725" w:type="dxa"/>
                  <w:noWrap w:val="0"/>
                  <w:vAlign w:val="center"/>
                </w:tcPr>
                <w:p w14:paraId="244064D9">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斗式提升机</w:t>
                  </w:r>
                </w:p>
              </w:tc>
              <w:tc>
                <w:tcPr>
                  <w:tcW w:w="675" w:type="dxa"/>
                  <w:vMerge w:val="restart"/>
                  <w:noWrap w:val="0"/>
                  <w:vAlign w:val="center"/>
                </w:tcPr>
                <w:p w14:paraId="781AF84C">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七星QX-1200</w:t>
                  </w:r>
                </w:p>
              </w:tc>
              <w:tc>
                <w:tcPr>
                  <w:tcW w:w="1204" w:type="dxa"/>
                  <w:noWrap w:val="0"/>
                  <w:vAlign w:val="center"/>
                </w:tcPr>
                <w:p w14:paraId="7380473B">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TD160-8.5m</w:t>
                  </w:r>
                </w:p>
              </w:tc>
              <w:tc>
                <w:tcPr>
                  <w:tcW w:w="716" w:type="dxa"/>
                  <w:noWrap w:val="0"/>
                  <w:vAlign w:val="center"/>
                </w:tcPr>
                <w:p w14:paraId="077F09B5">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w:t>
                  </w:r>
                </w:p>
              </w:tc>
              <w:tc>
                <w:tcPr>
                  <w:tcW w:w="570" w:type="dxa"/>
                  <w:gridSpan w:val="2"/>
                  <w:noWrap w:val="0"/>
                  <w:vAlign w:val="center"/>
                </w:tcPr>
                <w:p w14:paraId="74A4DAFB">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台</w:t>
                  </w:r>
                </w:p>
              </w:tc>
              <w:tc>
                <w:tcPr>
                  <w:tcW w:w="1234" w:type="dxa"/>
                  <w:vMerge w:val="restart"/>
                  <w:noWrap w:val="0"/>
                  <w:vAlign w:val="center"/>
                </w:tcPr>
                <w:p w14:paraId="05D041D7">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5t/h</w:t>
                  </w:r>
                </w:p>
              </w:tc>
              <w:tc>
                <w:tcPr>
                  <w:tcW w:w="1221" w:type="dxa"/>
                  <w:vMerge w:val="restart"/>
                  <w:noWrap w:val="0"/>
                  <w:vAlign w:val="center"/>
                </w:tcPr>
                <w:p w14:paraId="0BE5DA25">
                  <w:pPr>
                    <w:keepNext w:val="0"/>
                    <w:keepLines w:val="0"/>
                    <w:pageBreakBefore w:val="0"/>
                    <w:tabs>
                      <w:tab w:val="left" w:pos="477"/>
                    </w:tabs>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800h/a</w:t>
                  </w:r>
                </w:p>
              </w:tc>
            </w:tr>
            <w:tr w14:paraId="1458A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599E96DC">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2</w:t>
                  </w:r>
                </w:p>
              </w:tc>
              <w:tc>
                <w:tcPr>
                  <w:tcW w:w="1725" w:type="dxa"/>
                  <w:noWrap w:val="0"/>
                  <w:vAlign w:val="center"/>
                </w:tcPr>
                <w:p w14:paraId="0EF8E934">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螺旋输送机</w:t>
                  </w:r>
                </w:p>
              </w:tc>
              <w:tc>
                <w:tcPr>
                  <w:tcW w:w="675" w:type="dxa"/>
                  <w:vMerge w:val="continue"/>
                  <w:noWrap w:val="0"/>
                  <w:vAlign w:val="center"/>
                </w:tcPr>
                <w:p w14:paraId="6BD3655B">
                  <w:pPr>
                    <w:keepNext w:val="0"/>
                    <w:keepLines w:val="0"/>
                    <w:pageBreakBefore w:val="0"/>
                    <w:kinsoku/>
                    <w:wordWrap/>
                    <w:overflowPunct/>
                    <w:topLinePunct w:val="0"/>
                    <w:bidi w:val="0"/>
                    <w:spacing w:line="240" w:lineRule="auto"/>
                    <w:jc w:val="center"/>
                    <w:rPr>
                      <w:rFonts w:hint="default"/>
                      <w:highlight w:val="none"/>
                      <w:lang w:val="en-US" w:eastAsia="zh-CN"/>
                    </w:rPr>
                  </w:pPr>
                </w:p>
              </w:tc>
              <w:tc>
                <w:tcPr>
                  <w:tcW w:w="1204" w:type="dxa"/>
                  <w:noWrap w:val="0"/>
                  <w:vAlign w:val="center"/>
                </w:tcPr>
                <w:p w14:paraId="5A057381">
                  <w:pPr>
                    <w:keepNext w:val="0"/>
                    <w:keepLines w:val="0"/>
                    <w:pageBreakBefore w:val="0"/>
                    <w:kinsoku/>
                    <w:wordWrap/>
                    <w:overflowPunct/>
                    <w:topLinePunct w:val="0"/>
                    <w:bidi w:val="0"/>
                    <w:spacing w:line="240" w:lineRule="auto"/>
                    <w:jc w:val="center"/>
                    <w:rPr>
                      <w:rFonts w:hint="default"/>
                      <w:highlight w:val="none"/>
                      <w:lang w:val="en-US" w:eastAsia="zh-CN"/>
                    </w:rPr>
                  </w:pPr>
                  <w:r>
                    <w:rPr>
                      <w:highlight w:val="none"/>
                    </w:rPr>
                    <w:t>Φ</w:t>
                  </w:r>
                  <w:r>
                    <w:rPr>
                      <w:rFonts w:hint="eastAsia"/>
                      <w:highlight w:val="none"/>
                      <w:lang w:val="en-US" w:eastAsia="zh-CN"/>
                    </w:rPr>
                    <w:t>219×5.5</w:t>
                  </w:r>
                </w:p>
              </w:tc>
              <w:tc>
                <w:tcPr>
                  <w:tcW w:w="716" w:type="dxa"/>
                  <w:noWrap w:val="0"/>
                  <w:vAlign w:val="center"/>
                </w:tcPr>
                <w:p w14:paraId="3841E671">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2</w:t>
                  </w:r>
                </w:p>
              </w:tc>
              <w:tc>
                <w:tcPr>
                  <w:tcW w:w="570" w:type="dxa"/>
                  <w:gridSpan w:val="2"/>
                  <w:noWrap w:val="0"/>
                  <w:vAlign w:val="center"/>
                </w:tcPr>
                <w:p w14:paraId="20194941">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套</w:t>
                  </w:r>
                </w:p>
              </w:tc>
              <w:tc>
                <w:tcPr>
                  <w:tcW w:w="1234" w:type="dxa"/>
                  <w:vMerge w:val="continue"/>
                  <w:noWrap w:val="0"/>
                  <w:vAlign w:val="center"/>
                </w:tcPr>
                <w:p w14:paraId="65952BCC">
                  <w:pPr>
                    <w:keepNext w:val="0"/>
                    <w:keepLines w:val="0"/>
                    <w:pageBreakBefore w:val="0"/>
                    <w:kinsoku/>
                    <w:wordWrap/>
                    <w:overflowPunct/>
                    <w:topLinePunct w:val="0"/>
                    <w:bidi w:val="0"/>
                    <w:spacing w:line="240" w:lineRule="auto"/>
                    <w:jc w:val="center"/>
                    <w:rPr>
                      <w:rFonts w:hint="eastAsia"/>
                      <w:highlight w:val="none"/>
                      <w:lang w:val="en-US" w:eastAsia="zh-CN"/>
                    </w:rPr>
                  </w:pPr>
                </w:p>
              </w:tc>
              <w:tc>
                <w:tcPr>
                  <w:tcW w:w="1221" w:type="dxa"/>
                  <w:vMerge w:val="continue"/>
                  <w:noWrap w:val="0"/>
                  <w:vAlign w:val="center"/>
                </w:tcPr>
                <w:p w14:paraId="39B8B91B">
                  <w:pPr>
                    <w:keepNext w:val="0"/>
                    <w:keepLines w:val="0"/>
                    <w:pageBreakBefore w:val="0"/>
                    <w:kinsoku/>
                    <w:wordWrap/>
                    <w:overflowPunct/>
                    <w:topLinePunct w:val="0"/>
                    <w:bidi w:val="0"/>
                    <w:spacing w:line="240" w:lineRule="auto"/>
                    <w:jc w:val="center"/>
                    <w:rPr>
                      <w:rFonts w:hint="eastAsia"/>
                      <w:highlight w:val="none"/>
                      <w:lang w:val="en-US" w:eastAsia="zh-CN"/>
                    </w:rPr>
                  </w:pPr>
                </w:p>
              </w:tc>
            </w:tr>
            <w:tr w14:paraId="1B474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27" w:type="dxa"/>
                  <w:gridSpan w:val="9"/>
                  <w:noWrap w:val="0"/>
                  <w:vAlign w:val="center"/>
                </w:tcPr>
                <w:p w14:paraId="77596FEC">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主要生产线系统</w:t>
                  </w:r>
                </w:p>
              </w:tc>
            </w:tr>
            <w:tr w14:paraId="5B3BB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6C2AD38D">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3</w:t>
                  </w:r>
                </w:p>
              </w:tc>
              <w:tc>
                <w:tcPr>
                  <w:tcW w:w="1725" w:type="dxa"/>
                  <w:noWrap w:val="0"/>
                  <w:vAlign w:val="center"/>
                </w:tcPr>
                <w:p w14:paraId="3FD40358">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螺旋输送机</w:t>
                  </w:r>
                </w:p>
              </w:tc>
              <w:tc>
                <w:tcPr>
                  <w:tcW w:w="675" w:type="dxa"/>
                  <w:vMerge w:val="restart"/>
                  <w:noWrap w:val="0"/>
                  <w:vAlign w:val="center"/>
                </w:tcPr>
                <w:p w14:paraId="41E6FAB8">
                  <w:pPr>
                    <w:keepNext w:val="0"/>
                    <w:keepLines w:val="0"/>
                    <w:pageBreakBefore w:val="0"/>
                    <w:kinsoku/>
                    <w:wordWrap/>
                    <w:overflowPunct/>
                    <w:topLinePunct w:val="0"/>
                    <w:bidi w:val="0"/>
                    <w:spacing w:line="240" w:lineRule="auto"/>
                    <w:jc w:val="both"/>
                    <w:rPr>
                      <w:rFonts w:hint="eastAsia"/>
                      <w:highlight w:val="none"/>
                      <w:lang w:val="en-US" w:eastAsia="zh-CN"/>
                    </w:rPr>
                  </w:pPr>
                </w:p>
                <w:p w14:paraId="6EFD5F29">
                  <w:pPr>
                    <w:pStyle w:val="17"/>
                    <w:rPr>
                      <w:rFonts w:hint="eastAsia"/>
                      <w:highlight w:val="none"/>
                      <w:lang w:val="en-US" w:eastAsia="zh-CN"/>
                    </w:rPr>
                  </w:pPr>
                </w:p>
                <w:p w14:paraId="5E6303C2">
                  <w:pPr>
                    <w:keepNext w:val="0"/>
                    <w:keepLines w:val="0"/>
                    <w:pageBreakBefore w:val="0"/>
                    <w:kinsoku/>
                    <w:wordWrap/>
                    <w:overflowPunct/>
                    <w:topLinePunct w:val="0"/>
                    <w:bidi w:val="0"/>
                    <w:spacing w:line="240" w:lineRule="auto"/>
                    <w:jc w:val="center"/>
                    <w:rPr>
                      <w:rFonts w:hint="eastAsia"/>
                      <w:highlight w:val="none"/>
                      <w:lang w:val="en-US" w:eastAsia="zh-CN"/>
                    </w:rPr>
                  </w:pPr>
                </w:p>
                <w:p w14:paraId="4D1E6B37">
                  <w:pPr>
                    <w:pStyle w:val="17"/>
                    <w:rPr>
                      <w:rFonts w:hint="eastAsia"/>
                      <w:highlight w:val="none"/>
                      <w:lang w:val="en-US" w:eastAsia="zh-CN"/>
                    </w:rPr>
                  </w:pPr>
                </w:p>
                <w:p w14:paraId="20BB2E4A">
                  <w:pPr>
                    <w:keepNext w:val="0"/>
                    <w:keepLines w:val="0"/>
                    <w:pageBreakBefore w:val="0"/>
                    <w:kinsoku/>
                    <w:wordWrap/>
                    <w:overflowPunct/>
                    <w:topLinePunct w:val="0"/>
                    <w:bidi w:val="0"/>
                    <w:spacing w:line="240" w:lineRule="auto"/>
                    <w:jc w:val="both"/>
                    <w:rPr>
                      <w:rFonts w:hint="eastAsia"/>
                      <w:highlight w:val="none"/>
                      <w:lang w:val="en-US" w:eastAsia="zh-CN"/>
                    </w:rPr>
                  </w:pPr>
                </w:p>
                <w:p w14:paraId="7AEEF0AE">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七星QX-1200</w:t>
                  </w:r>
                </w:p>
                <w:p w14:paraId="4BDDFBDF">
                  <w:pPr>
                    <w:pStyle w:val="18"/>
                    <w:ind w:left="0" w:leftChars="0" w:firstLine="0" w:firstLineChars="0"/>
                    <w:rPr>
                      <w:rFonts w:hint="eastAsia"/>
                      <w:highlight w:val="none"/>
                      <w:lang w:val="en-US" w:eastAsia="zh-CN"/>
                    </w:rPr>
                  </w:pPr>
                </w:p>
                <w:p w14:paraId="52F58DEE">
                  <w:pPr>
                    <w:pStyle w:val="17"/>
                    <w:jc w:val="center"/>
                    <w:rPr>
                      <w:rFonts w:hint="eastAsia"/>
                      <w:highlight w:val="none"/>
                      <w:lang w:val="en-US" w:eastAsia="zh-CN"/>
                    </w:rPr>
                  </w:pPr>
                </w:p>
                <w:p w14:paraId="5353EB0D">
                  <w:pPr>
                    <w:jc w:val="center"/>
                    <w:rPr>
                      <w:rFonts w:hint="default"/>
                      <w:highlight w:val="none"/>
                      <w:lang w:val="en-US" w:eastAsia="zh-CN"/>
                    </w:rPr>
                  </w:pPr>
                </w:p>
              </w:tc>
              <w:tc>
                <w:tcPr>
                  <w:tcW w:w="1204" w:type="dxa"/>
                  <w:noWrap w:val="0"/>
                  <w:vAlign w:val="center"/>
                </w:tcPr>
                <w:p w14:paraId="3CABC06D">
                  <w:pPr>
                    <w:keepNext w:val="0"/>
                    <w:keepLines w:val="0"/>
                    <w:pageBreakBefore w:val="0"/>
                    <w:kinsoku/>
                    <w:wordWrap/>
                    <w:overflowPunct/>
                    <w:topLinePunct w:val="0"/>
                    <w:bidi w:val="0"/>
                    <w:spacing w:line="240" w:lineRule="auto"/>
                    <w:jc w:val="center"/>
                    <w:rPr>
                      <w:rFonts w:hint="default"/>
                      <w:highlight w:val="none"/>
                      <w:lang w:val="en-US" w:eastAsia="zh-CN"/>
                    </w:rPr>
                  </w:pPr>
                  <w:r>
                    <w:rPr>
                      <w:highlight w:val="none"/>
                    </w:rPr>
                    <w:t>Φ</w:t>
                  </w:r>
                  <w:r>
                    <w:rPr>
                      <w:rFonts w:hint="eastAsia"/>
                      <w:highlight w:val="none"/>
                      <w:lang w:val="en-US" w:eastAsia="zh-CN"/>
                    </w:rPr>
                    <w:t>165×7.2</w:t>
                  </w:r>
                </w:p>
              </w:tc>
              <w:tc>
                <w:tcPr>
                  <w:tcW w:w="716" w:type="dxa"/>
                  <w:noWrap w:val="0"/>
                  <w:vAlign w:val="center"/>
                </w:tcPr>
                <w:p w14:paraId="1F30D6F1">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3</w:t>
                  </w:r>
                </w:p>
              </w:tc>
              <w:tc>
                <w:tcPr>
                  <w:tcW w:w="570" w:type="dxa"/>
                  <w:gridSpan w:val="2"/>
                  <w:noWrap w:val="0"/>
                  <w:vAlign w:val="center"/>
                </w:tcPr>
                <w:p w14:paraId="2B5F8225">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套</w:t>
                  </w:r>
                </w:p>
              </w:tc>
              <w:tc>
                <w:tcPr>
                  <w:tcW w:w="1234" w:type="dxa"/>
                  <w:noWrap w:val="0"/>
                  <w:vAlign w:val="center"/>
                </w:tcPr>
                <w:p w14:paraId="47A9E8E2">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4t/h</w:t>
                  </w:r>
                </w:p>
              </w:tc>
              <w:tc>
                <w:tcPr>
                  <w:tcW w:w="1221" w:type="dxa"/>
                  <w:noWrap w:val="0"/>
                  <w:vAlign w:val="center"/>
                </w:tcPr>
                <w:p w14:paraId="7622802A">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1000h/a</w:t>
                  </w:r>
                </w:p>
              </w:tc>
            </w:tr>
            <w:tr w14:paraId="06DBF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4732F624">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4</w:t>
                  </w:r>
                </w:p>
              </w:tc>
              <w:tc>
                <w:tcPr>
                  <w:tcW w:w="1725" w:type="dxa"/>
                  <w:noWrap w:val="0"/>
                  <w:vAlign w:val="center"/>
                </w:tcPr>
                <w:p w14:paraId="4DDA4C89">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单轴搅拌机</w:t>
                  </w:r>
                </w:p>
              </w:tc>
              <w:tc>
                <w:tcPr>
                  <w:tcW w:w="675" w:type="dxa"/>
                  <w:vMerge w:val="continue"/>
                  <w:noWrap w:val="0"/>
                  <w:vAlign w:val="center"/>
                </w:tcPr>
                <w:p w14:paraId="79413BE6">
                  <w:pPr>
                    <w:keepNext w:val="0"/>
                    <w:keepLines w:val="0"/>
                    <w:pageBreakBefore w:val="0"/>
                    <w:kinsoku/>
                    <w:wordWrap/>
                    <w:overflowPunct/>
                    <w:topLinePunct w:val="0"/>
                    <w:bidi w:val="0"/>
                    <w:spacing w:line="240" w:lineRule="auto"/>
                    <w:jc w:val="center"/>
                    <w:rPr>
                      <w:rFonts w:hint="default"/>
                      <w:highlight w:val="none"/>
                      <w:lang w:val="en-US" w:eastAsia="zh-CN"/>
                    </w:rPr>
                  </w:pPr>
                </w:p>
              </w:tc>
              <w:tc>
                <w:tcPr>
                  <w:tcW w:w="1204" w:type="dxa"/>
                  <w:noWrap w:val="0"/>
                  <w:vAlign w:val="center"/>
                </w:tcPr>
                <w:p w14:paraId="39B9EA40">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1.2m³</w:t>
                  </w:r>
                </w:p>
              </w:tc>
              <w:tc>
                <w:tcPr>
                  <w:tcW w:w="716" w:type="dxa"/>
                  <w:noWrap w:val="0"/>
                  <w:vAlign w:val="center"/>
                </w:tcPr>
                <w:p w14:paraId="25DAB6CF">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2</w:t>
                  </w:r>
                </w:p>
              </w:tc>
              <w:tc>
                <w:tcPr>
                  <w:tcW w:w="570" w:type="dxa"/>
                  <w:gridSpan w:val="2"/>
                  <w:noWrap w:val="0"/>
                  <w:vAlign w:val="center"/>
                </w:tcPr>
                <w:p w14:paraId="5769A9E8">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件</w:t>
                  </w:r>
                </w:p>
              </w:tc>
              <w:tc>
                <w:tcPr>
                  <w:tcW w:w="1234" w:type="dxa"/>
                  <w:vMerge w:val="restart"/>
                  <w:noWrap w:val="0"/>
                  <w:vAlign w:val="center"/>
                </w:tcPr>
                <w:p w14:paraId="4D1A1170">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4t/h</w:t>
                  </w:r>
                </w:p>
              </w:tc>
              <w:tc>
                <w:tcPr>
                  <w:tcW w:w="1221" w:type="dxa"/>
                  <w:vMerge w:val="restart"/>
                  <w:noWrap w:val="0"/>
                  <w:vAlign w:val="center"/>
                </w:tcPr>
                <w:p w14:paraId="71FA4CAC">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1250h/a</w:t>
                  </w:r>
                </w:p>
              </w:tc>
            </w:tr>
            <w:tr w14:paraId="794E72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630E4A7D">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5</w:t>
                  </w:r>
                </w:p>
              </w:tc>
              <w:tc>
                <w:tcPr>
                  <w:tcW w:w="1725" w:type="dxa"/>
                  <w:noWrap w:val="0"/>
                  <w:vAlign w:val="center"/>
                </w:tcPr>
                <w:p w14:paraId="5D093436">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轻集料搅拌机</w:t>
                  </w:r>
                </w:p>
              </w:tc>
              <w:tc>
                <w:tcPr>
                  <w:tcW w:w="675" w:type="dxa"/>
                  <w:vMerge w:val="continue"/>
                  <w:noWrap w:val="0"/>
                  <w:vAlign w:val="center"/>
                </w:tcPr>
                <w:p w14:paraId="406CB514">
                  <w:pPr>
                    <w:keepNext w:val="0"/>
                    <w:keepLines w:val="0"/>
                    <w:pageBreakBefore w:val="0"/>
                    <w:kinsoku/>
                    <w:wordWrap/>
                    <w:overflowPunct/>
                    <w:topLinePunct w:val="0"/>
                    <w:bidi w:val="0"/>
                    <w:spacing w:line="240" w:lineRule="auto"/>
                    <w:jc w:val="center"/>
                    <w:rPr>
                      <w:rFonts w:hint="default"/>
                      <w:highlight w:val="none"/>
                      <w:lang w:val="en-US" w:eastAsia="zh-CN"/>
                    </w:rPr>
                  </w:pPr>
                </w:p>
              </w:tc>
              <w:tc>
                <w:tcPr>
                  <w:tcW w:w="1204" w:type="dxa"/>
                  <w:noWrap w:val="0"/>
                  <w:vAlign w:val="center"/>
                </w:tcPr>
                <w:p w14:paraId="7675CEA2">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3.5m³</w:t>
                  </w:r>
                </w:p>
              </w:tc>
              <w:tc>
                <w:tcPr>
                  <w:tcW w:w="716" w:type="dxa"/>
                  <w:noWrap w:val="0"/>
                  <w:vAlign w:val="center"/>
                </w:tcPr>
                <w:p w14:paraId="6F9D0C82">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w:t>
                  </w:r>
                </w:p>
              </w:tc>
              <w:tc>
                <w:tcPr>
                  <w:tcW w:w="570" w:type="dxa"/>
                  <w:gridSpan w:val="2"/>
                  <w:noWrap w:val="0"/>
                  <w:vAlign w:val="center"/>
                </w:tcPr>
                <w:p w14:paraId="352079E6">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件</w:t>
                  </w:r>
                </w:p>
              </w:tc>
              <w:tc>
                <w:tcPr>
                  <w:tcW w:w="1234" w:type="dxa"/>
                  <w:vMerge w:val="continue"/>
                  <w:noWrap w:val="0"/>
                  <w:vAlign w:val="center"/>
                </w:tcPr>
                <w:p w14:paraId="5D6B5052">
                  <w:pPr>
                    <w:keepNext w:val="0"/>
                    <w:keepLines w:val="0"/>
                    <w:pageBreakBefore w:val="0"/>
                    <w:kinsoku/>
                    <w:wordWrap/>
                    <w:overflowPunct/>
                    <w:topLinePunct w:val="0"/>
                    <w:bidi w:val="0"/>
                    <w:spacing w:line="240" w:lineRule="auto"/>
                    <w:jc w:val="center"/>
                    <w:rPr>
                      <w:rFonts w:hint="eastAsia"/>
                      <w:highlight w:val="none"/>
                      <w:lang w:val="en-US" w:eastAsia="zh-CN"/>
                    </w:rPr>
                  </w:pPr>
                </w:p>
              </w:tc>
              <w:tc>
                <w:tcPr>
                  <w:tcW w:w="1221" w:type="dxa"/>
                  <w:vMerge w:val="continue"/>
                  <w:noWrap w:val="0"/>
                  <w:vAlign w:val="center"/>
                </w:tcPr>
                <w:p w14:paraId="03AA0797">
                  <w:pPr>
                    <w:keepNext w:val="0"/>
                    <w:keepLines w:val="0"/>
                    <w:pageBreakBefore w:val="0"/>
                    <w:kinsoku/>
                    <w:wordWrap/>
                    <w:overflowPunct/>
                    <w:topLinePunct w:val="0"/>
                    <w:bidi w:val="0"/>
                    <w:spacing w:line="240" w:lineRule="auto"/>
                    <w:jc w:val="center"/>
                    <w:rPr>
                      <w:rFonts w:hint="eastAsia"/>
                      <w:highlight w:val="none"/>
                      <w:lang w:val="en-US" w:eastAsia="zh-CN"/>
                    </w:rPr>
                  </w:pPr>
                </w:p>
              </w:tc>
            </w:tr>
            <w:tr w14:paraId="4B8B3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55FF271D">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6</w:t>
                  </w:r>
                </w:p>
              </w:tc>
              <w:tc>
                <w:tcPr>
                  <w:tcW w:w="1725" w:type="dxa"/>
                  <w:noWrap w:val="0"/>
                  <w:vAlign w:val="center"/>
                </w:tcPr>
                <w:p w14:paraId="5C638A13">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二次搅拌机</w:t>
                  </w:r>
                </w:p>
              </w:tc>
              <w:tc>
                <w:tcPr>
                  <w:tcW w:w="675" w:type="dxa"/>
                  <w:vMerge w:val="continue"/>
                  <w:noWrap w:val="0"/>
                  <w:vAlign w:val="center"/>
                </w:tcPr>
                <w:p w14:paraId="1FD9DEF6">
                  <w:pPr>
                    <w:keepNext w:val="0"/>
                    <w:keepLines w:val="0"/>
                    <w:pageBreakBefore w:val="0"/>
                    <w:kinsoku/>
                    <w:wordWrap/>
                    <w:overflowPunct/>
                    <w:topLinePunct w:val="0"/>
                    <w:bidi w:val="0"/>
                    <w:spacing w:line="240" w:lineRule="auto"/>
                    <w:jc w:val="center"/>
                    <w:rPr>
                      <w:rFonts w:hint="default"/>
                      <w:highlight w:val="none"/>
                      <w:lang w:val="en-US" w:eastAsia="zh-CN"/>
                    </w:rPr>
                  </w:pPr>
                </w:p>
              </w:tc>
              <w:tc>
                <w:tcPr>
                  <w:tcW w:w="1204" w:type="dxa"/>
                  <w:noWrap w:val="0"/>
                  <w:vAlign w:val="center"/>
                </w:tcPr>
                <w:p w14:paraId="4825A65A">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1方</w:t>
                  </w:r>
                </w:p>
              </w:tc>
              <w:tc>
                <w:tcPr>
                  <w:tcW w:w="716" w:type="dxa"/>
                  <w:noWrap w:val="0"/>
                  <w:vAlign w:val="center"/>
                </w:tcPr>
                <w:p w14:paraId="59525B52">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2</w:t>
                  </w:r>
                </w:p>
              </w:tc>
              <w:tc>
                <w:tcPr>
                  <w:tcW w:w="570" w:type="dxa"/>
                  <w:gridSpan w:val="2"/>
                  <w:noWrap w:val="0"/>
                  <w:vAlign w:val="center"/>
                </w:tcPr>
                <w:p w14:paraId="55A6F139">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套</w:t>
                  </w:r>
                </w:p>
              </w:tc>
              <w:tc>
                <w:tcPr>
                  <w:tcW w:w="1234" w:type="dxa"/>
                  <w:vMerge w:val="continue"/>
                  <w:noWrap w:val="0"/>
                  <w:vAlign w:val="center"/>
                </w:tcPr>
                <w:p w14:paraId="0144F832">
                  <w:pPr>
                    <w:keepNext w:val="0"/>
                    <w:keepLines w:val="0"/>
                    <w:pageBreakBefore w:val="0"/>
                    <w:kinsoku/>
                    <w:wordWrap/>
                    <w:overflowPunct/>
                    <w:topLinePunct w:val="0"/>
                    <w:bidi w:val="0"/>
                    <w:spacing w:line="240" w:lineRule="auto"/>
                    <w:jc w:val="center"/>
                    <w:rPr>
                      <w:rFonts w:hint="eastAsia"/>
                      <w:highlight w:val="none"/>
                      <w:lang w:val="en-US" w:eastAsia="zh-CN"/>
                    </w:rPr>
                  </w:pPr>
                </w:p>
              </w:tc>
              <w:tc>
                <w:tcPr>
                  <w:tcW w:w="1221" w:type="dxa"/>
                  <w:vMerge w:val="continue"/>
                  <w:noWrap w:val="0"/>
                  <w:vAlign w:val="center"/>
                </w:tcPr>
                <w:p w14:paraId="595F8469">
                  <w:pPr>
                    <w:keepNext w:val="0"/>
                    <w:keepLines w:val="0"/>
                    <w:pageBreakBefore w:val="0"/>
                    <w:kinsoku/>
                    <w:wordWrap/>
                    <w:overflowPunct/>
                    <w:topLinePunct w:val="0"/>
                    <w:bidi w:val="0"/>
                    <w:spacing w:line="240" w:lineRule="auto"/>
                    <w:jc w:val="center"/>
                    <w:rPr>
                      <w:rFonts w:hint="eastAsia"/>
                      <w:highlight w:val="none"/>
                      <w:lang w:val="en-US" w:eastAsia="zh-CN"/>
                    </w:rPr>
                  </w:pPr>
                </w:p>
              </w:tc>
            </w:tr>
            <w:tr w14:paraId="601DE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0E3543AC">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7</w:t>
                  </w:r>
                </w:p>
              </w:tc>
              <w:tc>
                <w:tcPr>
                  <w:tcW w:w="1725" w:type="dxa"/>
                  <w:noWrap w:val="0"/>
                  <w:vAlign w:val="center"/>
                </w:tcPr>
                <w:p w14:paraId="4783C59D">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二次搅拌机</w:t>
                  </w:r>
                </w:p>
              </w:tc>
              <w:tc>
                <w:tcPr>
                  <w:tcW w:w="675" w:type="dxa"/>
                  <w:vMerge w:val="continue"/>
                  <w:noWrap w:val="0"/>
                  <w:vAlign w:val="center"/>
                </w:tcPr>
                <w:p w14:paraId="473D9419">
                  <w:pPr>
                    <w:keepNext w:val="0"/>
                    <w:keepLines w:val="0"/>
                    <w:pageBreakBefore w:val="0"/>
                    <w:kinsoku/>
                    <w:wordWrap/>
                    <w:overflowPunct/>
                    <w:topLinePunct w:val="0"/>
                    <w:bidi w:val="0"/>
                    <w:spacing w:line="240" w:lineRule="auto"/>
                    <w:jc w:val="center"/>
                    <w:rPr>
                      <w:rFonts w:hint="default"/>
                      <w:highlight w:val="none"/>
                      <w:lang w:val="en-US" w:eastAsia="zh-CN"/>
                    </w:rPr>
                  </w:pPr>
                </w:p>
              </w:tc>
              <w:tc>
                <w:tcPr>
                  <w:tcW w:w="1204" w:type="dxa"/>
                  <w:noWrap w:val="0"/>
                  <w:vAlign w:val="center"/>
                </w:tcPr>
                <w:p w14:paraId="3E18F222">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2.8方</w:t>
                  </w:r>
                </w:p>
              </w:tc>
              <w:tc>
                <w:tcPr>
                  <w:tcW w:w="716" w:type="dxa"/>
                  <w:noWrap w:val="0"/>
                  <w:vAlign w:val="center"/>
                </w:tcPr>
                <w:p w14:paraId="7B27BED6">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w:t>
                  </w:r>
                </w:p>
              </w:tc>
              <w:tc>
                <w:tcPr>
                  <w:tcW w:w="570" w:type="dxa"/>
                  <w:gridSpan w:val="2"/>
                  <w:noWrap w:val="0"/>
                  <w:vAlign w:val="center"/>
                </w:tcPr>
                <w:p w14:paraId="2BC95E81">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套</w:t>
                  </w:r>
                </w:p>
              </w:tc>
              <w:tc>
                <w:tcPr>
                  <w:tcW w:w="1234" w:type="dxa"/>
                  <w:vMerge w:val="continue"/>
                  <w:noWrap w:val="0"/>
                  <w:vAlign w:val="center"/>
                </w:tcPr>
                <w:p w14:paraId="62DC7A20">
                  <w:pPr>
                    <w:keepNext w:val="0"/>
                    <w:keepLines w:val="0"/>
                    <w:pageBreakBefore w:val="0"/>
                    <w:kinsoku/>
                    <w:wordWrap/>
                    <w:overflowPunct/>
                    <w:topLinePunct w:val="0"/>
                    <w:bidi w:val="0"/>
                    <w:spacing w:line="240" w:lineRule="auto"/>
                    <w:jc w:val="center"/>
                    <w:rPr>
                      <w:rFonts w:hint="eastAsia"/>
                      <w:highlight w:val="none"/>
                      <w:lang w:val="en-US" w:eastAsia="zh-CN"/>
                    </w:rPr>
                  </w:pPr>
                </w:p>
              </w:tc>
              <w:tc>
                <w:tcPr>
                  <w:tcW w:w="1221" w:type="dxa"/>
                  <w:vMerge w:val="continue"/>
                  <w:noWrap w:val="0"/>
                  <w:vAlign w:val="center"/>
                </w:tcPr>
                <w:p w14:paraId="7411E117">
                  <w:pPr>
                    <w:keepNext w:val="0"/>
                    <w:keepLines w:val="0"/>
                    <w:pageBreakBefore w:val="0"/>
                    <w:kinsoku/>
                    <w:wordWrap/>
                    <w:overflowPunct/>
                    <w:topLinePunct w:val="0"/>
                    <w:bidi w:val="0"/>
                    <w:spacing w:line="240" w:lineRule="auto"/>
                    <w:jc w:val="center"/>
                    <w:rPr>
                      <w:rFonts w:hint="eastAsia"/>
                      <w:highlight w:val="none"/>
                      <w:lang w:val="en-US" w:eastAsia="zh-CN"/>
                    </w:rPr>
                  </w:pPr>
                </w:p>
              </w:tc>
            </w:tr>
            <w:tr w14:paraId="7070A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607858A3">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8</w:t>
                  </w:r>
                </w:p>
              </w:tc>
              <w:tc>
                <w:tcPr>
                  <w:tcW w:w="1725" w:type="dxa"/>
                  <w:noWrap w:val="0"/>
                  <w:vAlign w:val="center"/>
                </w:tcPr>
                <w:p w14:paraId="76223C4A">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水泵</w:t>
                  </w:r>
                </w:p>
              </w:tc>
              <w:tc>
                <w:tcPr>
                  <w:tcW w:w="675" w:type="dxa"/>
                  <w:vMerge w:val="continue"/>
                  <w:noWrap w:val="0"/>
                  <w:vAlign w:val="center"/>
                </w:tcPr>
                <w:p w14:paraId="75A20762">
                  <w:pPr>
                    <w:keepNext w:val="0"/>
                    <w:keepLines w:val="0"/>
                    <w:pageBreakBefore w:val="0"/>
                    <w:kinsoku/>
                    <w:wordWrap/>
                    <w:overflowPunct/>
                    <w:topLinePunct w:val="0"/>
                    <w:bidi w:val="0"/>
                    <w:spacing w:line="240" w:lineRule="auto"/>
                    <w:jc w:val="center"/>
                    <w:rPr>
                      <w:rFonts w:hint="default"/>
                      <w:highlight w:val="none"/>
                      <w:lang w:val="en-US" w:eastAsia="zh-CN"/>
                    </w:rPr>
                  </w:pPr>
                </w:p>
              </w:tc>
              <w:tc>
                <w:tcPr>
                  <w:tcW w:w="1204" w:type="dxa"/>
                  <w:noWrap w:val="0"/>
                  <w:vAlign w:val="center"/>
                </w:tcPr>
                <w:p w14:paraId="2AC22537">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1.5kw</w:t>
                  </w:r>
                </w:p>
              </w:tc>
              <w:tc>
                <w:tcPr>
                  <w:tcW w:w="716" w:type="dxa"/>
                  <w:noWrap w:val="0"/>
                  <w:vAlign w:val="center"/>
                </w:tcPr>
                <w:p w14:paraId="7982BA18">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3</w:t>
                  </w:r>
                </w:p>
              </w:tc>
              <w:tc>
                <w:tcPr>
                  <w:tcW w:w="566" w:type="dxa"/>
                  <w:noWrap w:val="0"/>
                  <w:vAlign w:val="center"/>
                </w:tcPr>
                <w:p w14:paraId="03956A35">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套</w:t>
                  </w:r>
                </w:p>
              </w:tc>
              <w:tc>
                <w:tcPr>
                  <w:tcW w:w="1238" w:type="dxa"/>
                  <w:gridSpan w:val="2"/>
                  <w:noWrap w:val="0"/>
                  <w:vAlign w:val="center"/>
                </w:tcPr>
                <w:p w14:paraId="75B83747">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5m³/h</w:t>
                  </w:r>
                </w:p>
              </w:tc>
              <w:tc>
                <w:tcPr>
                  <w:tcW w:w="1221" w:type="dxa"/>
                  <w:noWrap w:val="0"/>
                  <w:vAlign w:val="center"/>
                </w:tcPr>
                <w:p w14:paraId="7724C3D5">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40h/a</w:t>
                  </w:r>
                </w:p>
              </w:tc>
            </w:tr>
            <w:tr w14:paraId="507A21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61AEE10D">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9</w:t>
                  </w:r>
                </w:p>
              </w:tc>
              <w:tc>
                <w:tcPr>
                  <w:tcW w:w="1725" w:type="dxa"/>
                  <w:noWrap w:val="0"/>
                  <w:vAlign w:val="center"/>
                </w:tcPr>
                <w:p w14:paraId="26CB4E36">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计量仓</w:t>
                  </w:r>
                </w:p>
              </w:tc>
              <w:tc>
                <w:tcPr>
                  <w:tcW w:w="675" w:type="dxa"/>
                  <w:vMerge w:val="continue"/>
                  <w:noWrap w:val="0"/>
                  <w:vAlign w:val="center"/>
                </w:tcPr>
                <w:p w14:paraId="1F559E9C">
                  <w:pPr>
                    <w:keepNext w:val="0"/>
                    <w:keepLines w:val="0"/>
                    <w:pageBreakBefore w:val="0"/>
                    <w:kinsoku/>
                    <w:wordWrap/>
                    <w:overflowPunct/>
                    <w:topLinePunct w:val="0"/>
                    <w:bidi w:val="0"/>
                    <w:spacing w:line="240" w:lineRule="auto"/>
                    <w:jc w:val="center"/>
                    <w:rPr>
                      <w:rFonts w:hint="default"/>
                      <w:highlight w:val="none"/>
                      <w:lang w:val="en-US" w:eastAsia="zh-CN"/>
                    </w:rPr>
                  </w:pPr>
                </w:p>
              </w:tc>
              <w:tc>
                <w:tcPr>
                  <w:tcW w:w="1204" w:type="dxa"/>
                  <w:noWrap w:val="0"/>
                  <w:vAlign w:val="center"/>
                </w:tcPr>
                <w:p w14:paraId="22DEDE5C">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1.0m³</w:t>
                  </w:r>
                </w:p>
              </w:tc>
              <w:tc>
                <w:tcPr>
                  <w:tcW w:w="716" w:type="dxa"/>
                  <w:noWrap w:val="0"/>
                  <w:vAlign w:val="center"/>
                </w:tcPr>
                <w:p w14:paraId="64205237">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3</w:t>
                  </w:r>
                </w:p>
              </w:tc>
              <w:tc>
                <w:tcPr>
                  <w:tcW w:w="566" w:type="dxa"/>
                  <w:noWrap w:val="0"/>
                  <w:vAlign w:val="center"/>
                </w:tcPr>
                <w:p w14:paraId="0E780DEE">
                  <w:pPr>
                    <w:keepNext w:val="0"/>
                    <w:keepLines w:val="0"/>
                    <w:pageBreakBefore w:val="0"/>
                    <w:kinsoku/>
                    <w:wordWrap/>
                    <w:overflowPunct/>
                    <w:topLinePunct w:val="0"/>
                    <w:bidi w:val="0"/>
                    <w:spacing w:line="240" w:lineRule="auto"/>
                    <w:jc w:val="center"/>
                    <w:rPr>
                      <w:rFonts w:hint="eastAsia"/>
                      <w:highlight w:val="none"/>
                      <w:lang w:val="en-US" w:eastAsia="zh-CN"/>
                    </w:rPr>
                  </w:pPr>
                  <w:r>
                    <w:rPr>
                      <w:rFonts w:hint="eastAsia"/>
                      <w:highlight w:val="none"/>
                      <w:lang w:val="en-US" w:eastAsia="zh-CN"/>
                    </w:rPr>
                    <w:t>个</w:t>
                  </w:r>
                </w:p>
              </w:tc>
              <w:tc>
                <w:tcPr>
                  <w:tcW w:w="1238" w:type="dxa"/>
                  <w:gridSpan w:val="2"/>
                  <w:noWrap w:val="0"/>
                  <w:vAlign w:val="center"/>
                </w:tcPr>
                <w:p w14:paraId="7D301999">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w:t>
                  </w:r>
                </w:p>
              </w:tc>
              <w:tc>
                <w:tcPr>
                  <w:tcW w:w="1221" w:type="dxa"/>
                  <w:noWrap w:val="0"/>
                  <w:vAlign w:val="center"/>
                </w:tcPr>
                <w:p w14:paraId="45A26996">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w:t>
                  </w:r>
                </w:p>
              </w:tc>
            </w:tr>
            <w:tr w14:paraId="76952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3F925286">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10</w:t>
                  </w:r>
                </w:p>
              </w:tc>
              <w:tc>
                <w:tcPr>
                  <w:tcW w:w="1725" w:type="dxa"/>
                  <w:noWrap w:val="0"/>
                  <w:vAlign w:val="center"/>
                </w:tcPr>
                <w:p w14:paraId="027A5A56">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水泥刮板组件</w:t>
                  </w:r>
                </w:p>
              </w:tc>
              <w:tc>
                <w:tcPr>
                  <w:tcW w:w="675" w:type="dxa"/>
                  <w:vMerge w:val="continue"/>
                  <w:noWrap w:val="0"/>
                  <w:vAlign w:val="center"/>
                </w:tcPr>
                <w:p w14:paraId="7327844E">
                  <w:pPr>
                    <w:keepNext w:val="0"/>
                    <w:keepLines w:val="0"/>
                    <w:pageBreakBefore w:val="0"/>
                    <w:kinsoku/>
                    <w:wordWrap/>
                    <w:overflowPunct/>
                    <w:topLinePunct w:val="0"/>
                    <w:bidi w:val="0"/>
                    <w:spacing w:line="240" w:lineRule="auto"/>
                    <w:jc w:val="center"/>
                    <w:rPr>
                      <w:rFonts w:hint="default"/>
                      <w:highlight w:val="none"/>
                      <w:lang w:val="en-US" w:eastAsia="zh-CN"/>
                    </w:rPr>
                  </w:pPr>
                </w:p>
              </w:tc>
              <w:tc>
                <w:tcPr>
                  <w:tcW w:w="1204" w:type="dxa"/>
                  <w:noWrap w:val="0"/>
                  <w:vAlign w:val="center"/>
                </w:tcPr>
                <w:p w14:paraId="6F5A323B">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w:t>
                  </w:r>
                </w:p>
              </w:tc>
              <w:tc>
                <w:tcPr>
                  <w:tcW w:w="716" w:type="dxa"/>
                  <w:noWrap w:val="0"/>
                  <w:vAlign w:val="center"/>
                </w:tcPr>
                <w:p w14:paraId="7F6EABAC">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2</w:t>
                  </w:r>
                </w:p>
              </w:tc>
              <w:tc>
                <w:tcPr>
                  <w:tcW w:w="566" w:type="dxa"/>
                  <w:noWrap w:val="0"/>
                  <w:vAlign w:val="center"/>
                </w:tcPr>
                <w:p w14:paraId="6B15E326">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件</w:t>
                  </w:r>
                </w:p>
              </w:tc>
              <w:tc>
                <w:tcPr>
                  <w:tcW w:w="1238" w:type="dxa"/>
                  <w:gridSpan w:val="2"/>
                  <w:noWrap w:val="0"/>
                  <w:vAlign w:val="center"/>
                </w:tcPr>
                <w:p w14:paraId="742BA7EE">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180次/h</w:t>
                  </w:r>
                </w:p>
              </w:tc>
              <w:tc>
                <w:tcPr>
                  <w:tcW w:w="1221" w:type="dxa"/>
                  <w:noWrap w:val="0"/>
                  <w:vAlign w:val="center"/>
                </w:tcPr>
                <w:p w14:paraId="057C3B27">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1000h/a</w:t>
                  </w:r>
                </w:p>
              </w:tc>
            </w:tr>
            <w:tr w14:paraId="01A47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14E3F0EA">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11</w:t>
                  </w:r>
                </w:p>
              </w:tc>
              <w:tc>
                <w:tcPr>
                  <w:tcW w:w="1725" w:type="dxa"/>
                  <w:noWrap w:val="0"/>
                  <w:vAlign w:val="center"/>
                </w:tcPr>
                <w:p w14:paraId="7666F51C">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翻转机</w:t>
                  </w:r>
                </w:p>
              </w:tc>
              <w:tc>
                <w:tcPr>
                  <w:tcW w:w="675" w:type="dxa"/>
                  <w:vMerge w:val="continue"/>
                  <w:noWrap w:val="0"/>
                  <w:vAlign w:val="center"/>
                </w:tcPr>
                <w:p w14:paraId="775CA735">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p>
              </w:tc>
              <w:tc>
                <w:tcPr>
                  <w:tcW w:w="1204" w:type="dxa"/>
                  <w:noWrap w:val="0"/>
                  <w:vAlign w:val="center"/>
                </w:tcPr>
                <w:p w14:paraId="3DC1FCA5">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w:t>
                  </w:r>
                </w:p>
              </w:tc>
              <w:tc>
                <w:tcPr>
                  <w:tcW w:w="716" w:type="dxa"/>
                  <w:noWrap w:val="0"/>
                  <w:vAlign w:val="center"/>
                </w:tcPr>
                <w:p w14:paraId="11E03F9A">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1</w:t>
                  </w:r>
                </w:p>
              </w:tc>
              <w:tc>
                <w:tcPr>
                  <w:tcW w:w="566" w:type="dxa"/>
                  <w:noWrap w:val="0"/>
                  <w:vAlign w:val="center"/>
                </w:tcPr>
                <w:p w14:paraId="05C8AB0E">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件</w:t>
                  </w:r>
                </w:p>
              </w:tc>
              <w:tc>
                <w:tcPr>
                  <w:tcW w:w="1238" w:type="dxa"/>
                  <w:gridSpan w:val="2"/>
                  <w:noWrap w:val="0"/>
                  <w:vAlign w:val="center"/>
                </w:tcPr>
                <w:p w14:paraId="18DB3018">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60次/h</w:t>
                  </w:r>
                </w:p>
              </w:tc>
              <w:tc>
                <w:tcPr>
                  <w:tcW w:w="1221" w:type="dxa"/>
                  <w:noWrap w:val="0"/>
                  <w:vAlign w:val="center"/>
                </w:tcPr>
                <w:p w14:paraId="68D164C5">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1000h/a</w:t>
                  </w:r>
                </w:p>
              </w:tc>
            </w:tr>
            <w:tr w14:paraId="757509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2CDF7449">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12</w:t>
                  </w:r>
                </w:p>
              </w:tc>
              <w:tc>
                <w:tcPr>
                  <w:tcW w:w="1725" w:type="dxa"/>
                  <w:noWrap w:val="0"/>
                  <w:vAlign w:val="center"/>
                </w:tcPr>
                <w:p w14:paraId="361BDDA6">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聚苯颗粒储料仓</w:t>
                  </w:r>
                </w:p>
              </w:tc>
              <w:tc>
                <w:tcPr>
                  <w:tcW w:w="675" w:type="dxa"/>
                  <w:vMerge w:val="continue"/>
                  <w:noWrap w:val="0"/>
                  <w:vAlign w:val="center"/>
                </w:tcPr>
                <w:p w14:paraId="6AD2775B">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p>
              </w:tc>
              <w:tc>
                <w:tcPr>
                  <w:tcW w:w="1204" w:type="dxa"/>
                  <w:noWrap w:val="0"/>
                  <w:vAlign w:val="center"/>
                </w:tcPr>
                <w:p w14:paraId="18D6A30B">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15m³</w:t>
                  </w:r>
                </w:p>
              </w:tc>
              <w:tc>
                <w:tcPr>
                  <w:tcW w:w="716" w:type="dxa"/>
                  <w:noWrap w:val="0"/>
                  <w:vAlign w:val="center"/>
                </w:tcPr>
                <w:p w14:paraId="2BB99040">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1</w:t>
                  </w:r>
                </w:p>
              </w:tc>
              <w:tc>
                <w:tcPr>
                  <w:tcW w:w="566" w:type="dxa"/>
                  <w:noWrap w:val="0"/>
                  <w:vAlign w:val="center"/>
                </w:tcPr>
                <w:p w14:paraId="6C6AD358">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件</w:t>
                  </w:r>
                </w:p>
              </w:tc>
              <w:tc>
                <w:tcPr>
                  <w:tcW w:w="1238" w:type="dxa"/>
                  <w:gridSpan w:val="2"/>
                  <w:noWrap w:val="0"/>
                  <w:vAlign w:val="center"/>
                </w:tcPr>
                <w:p w14:paraId="1BD9B857">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w:t>
                  </w:r>
                </w:p>
              </w:tc>
              <w:tc>
                <w:tcPr>
                  <w:tcW w:w="1221" w:type="dxa"/>
                  <w:noWrap w:val="0"/>
                  <w:vAlign w:val="center"/>
                </w:tcPr>
                <w:p w14:paraId="6AFBCC09">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w:t>
                  </w:r>
                </w:p>
              </w:tc>
            </w:tr>
            <w:tr w14:paraId="75F55C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41A64A77">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13</w:t>
                  </w:r>
                </w:p>
              </w:tc>
              <w:tc>
                <w:tcPr>
                  <w:tcW w:w="1725" w:type="dxa"/>
                  <w:noWrap w:val="0"/>
                  <w:vAlign w:val="center"/>
                </w:tcPr>
                <w:p w14:paraId="55BF9680">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养护架</w:t>
                  </w:r>
                </w:p>
              </w:tc>
              <w:tc>
                <w:tcPr>
                  <w:tcW w:w="675" w:type="dxa"/>
                  <w:vMerge w:val="continue"/>
                  <w:noWrap w:val="0"/>
                  <w:vAlign w:val="center"/>
                </w:tcPr>
                <w:p w14:paraId="6B4830CF">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p>
              </w:tc>
              <w:tc>
                <w:tcPr>
                  <w:tcW w:w="1204" w:type="dxa"/>
                  <w:noWrap w:val="0"/>
                  <w:vAlign w:val="center"/>
                </w:tcPr>
                <w:p w14:paraId="632CE9D4">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w:t>
                  </w:r>
                </w:p>
              </w:tc>
              <w:tc>
                <w:tcPr>
                  <w:tcW w:w="716" w:type="dxa"/>
                  <w:noWrap w:val="0"/>
                  <w:vAlign w:val="center"/>
                </w:tcPr>
                <w:p w14:paraId="631499CF">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1</w:t>
                  </w:r>
                </w:p>
              </w:tc>
              <w:tc>
                <w:tcPr>
                  <w:tcW w:w="566" w:type="dxa"/>
                  <w:noWrap w:val="0"/>
                  <w:vAlign w:val="center"/>
                </w:tcPr>
                <w:p w14:paraId="288526C2">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件</w:t>
                  </w:r>
                </w:p>
              </w:tc>
              <w:tc>
                <w:tcPr>
                  <w:tcW w:w="1238" w:type="dxa"/>
                  <w:gridSpan w:val="2"/>
                  <w:noWrap w:val="0"/>
                  <w:vAlign w:val="center"/>
                </w:tcPr>
                <w:p w14:paraId="1558975E">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w:t>
                  </w:r>
                </w:p>
              </w:tc>
              <w:tc>
                <w:tcPr>
                  <w:tcW w:w="1221" w:type="dxa"/>
                  <w:noWrap w:val="0"/>
                  <w:vAlign w:val="center"/>
                </w:tcPr>
                <w:p w14:paraId="2449017F">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w:t>
                  </w:r>
                </w:p>
              </w:tc>
            </w:tr>
            <w:tr w14:paraId="2763B5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27" w:type="dxa"/>
                  <w:gridSpan w:val="9"/>
                  <w:noWrap w:val="0"/>
                  <w:vAlign w:val="center"/>
                </w:tcPr>
                <w:p w14:paraId="138AC230">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切割系统</w:t>
                  </w:r>
                </w:p>
              </w:tc>
            </w:tr>
            <w:tr w14:paraId="566F58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1F1CC1AA">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14</w:t>
                  </w:r>
                </w:p>
              </w:tc>
              <w:tc>
                <w:tcPr>
                  <w:tcW w:w="1725" w:type="dxa"/>
                  <w:noWrap w:val="0"/>
                  <w:vAlign w:val="center"/>
                </w:tcPr>
                <w:p w14:paraId="7A4DB8AD">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自动打孔机</w:t>
                  </w:r>
                </w:p>
              </w:tc>
              <w:tc>
                <w:tcPr>
                  <w:tcW w:w="675" w:type="dxa"/>
                  <w:vMerge w:val="restart"/>
                  <w:noWrap w:val="0"/>
                  <w:vAlign w:val="center"/>
                </w:tcPr>
                <w:p w14:paraId="7C5CE9D2">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七星QX-1200</w:t>
                  </w:r>
                </w:p>
              </w:tc>
              <w:tc>
                <w:tcPr>
                  <w:tcW w:w="1204" w:type="dxa"/>
                  <w:noWrap w:val="0"/>
                  <w:vAlign w:val="center"/>
                </w:tcPr>
                <w:p w14:paraId="453BE7D6">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4×4kw</w:t>
                  </w:r>
                </w:p>
              </w:tc>
              <w:tc>
                <w:tcPr>
                  <w:tcW w:w="716" w:type="dxa"/>
                  <w:noWrap w:val="0"/>
                  <w:vAlign w:val="center"/>
                </w:tcPr>
                <w:p w14:paraId="7E5132DB">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1</w:t>
                  </w:r>
                </w:p>
              </w:tc>
              <w:tc>
                <w:tcPr>
                  <w:tcW w:w="570" w:type="dxa"/>
                  <w:gridSpan w:val="2"/>
                  <w:noWrap w:val="0"/>
                  <w:vAlign w:val="center"/>
                </w:tcPr>
                <w:p w14:paraId="31AD7DCB">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件</w:t>
                  </w:r>
                </w:p>
              </w:tc>
              <w:tc>
                <w:tcPr>
                  <w:tcW w:w="1234" w:type="dxa"/>
                  <w:noWrap w:val="0"/>
                  <w:vAlign w:val="center"/>
                </w:tcPr>
                <w:p w14:paraId="59F7130B">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180m</w:t>
                  </w:r>
                  <w:r>
                    <w:rPr>
                      <w:rFonts w:hint="eastAsia"/>
                      <w:highlight w:val="none"/>
                      <w:vertAlign w:val="superscript"/>
                      <w:lang w:val="en-US" w:eastAsia="zh-CN"/>
                    </w:rPr>
                    <w:t>2</w:t>
                  </w:r>
                  <w:r>
                    <w:rPr>
                      <w:rFonts w:hint="eastAsia"/>
                      <w:highlight w:val="none"/>
                      <w:lang w:val="en-US" w:eastAsia="zh-CN"/>
                    </w:rPr>
                    <w:t>/h</w:t>
                  </w:r>
                </w:p>
              </w:tc>
              <w:tc>
                <w:tcPr>
                  <w:tcW w:w="1221" w:type="dxa"/>
                  <w:noWrap w:val="0"/>
                  <w:vAlign w:val="center"/>
                </w:tcPr>
                <w:p w14:paraId="271CC74E">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1111h/a</w:t>
                  </w:r>
                </w:p>
              </w:tc>
            </w:tr>
            <w:tr w14:paraId="74FD5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174C86B5">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15</w:t>
                  </w:r>
                </w:p>
              </w:tc>
              <w:tc>
                <w:tcPr>
                  <w:tcW w:w="1725" w:type="dxa"/>
                  <w:noWrap w:val="0"/>
                  <w:vAlign w:val="center"/>
                </w:tcPr>
                <w:p w14:paraId="1F008E10">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纵向切割机</w:t>
                  </w:r>
                </w:p>
              </w:tc>
              <w:tc>
                <w:tcPr>
                  <w:tcW w:w="675" w:type="dxa"/>
                  <w:vMerge w:val="continue"/>
                  <w:noWrap w:val="0"/>
                  <w:vAlign w:val="center"/>
                </w:tcPr>
                <w:p w14:paraId="1B7778DD">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p>
              </w:tc>
              <w:tc>
                <w:tcPr>
                  <w:tcW w:w="1204" w:type="dxa"/>
                  <w:noWrap w:val="0"/>
                  <w:vAlign w:val="center"/>
                </w:tcPr>
                <w:p w14:paraId="55F4EF98">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3kw</w:t>
                  </w:r>
                </w:p>
              </w:tc>
              <w:tc>
                <w:tcPr>
                  <w:tcW w:w="716" w:type="dxa"/>
                  <w:noWrap w:val="0"/>
                  <w:vAlign w:val="center"/>
                </w:tcPr>
                <w:p w14:paraId="0B631F5F">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1</w:t>
                  </w:r>
                </w:p>
              </w:tc>
              <w:tc>
                <w:tcPr>
                  <w:tcW w:w="570" w:type="dxa"/>
                  <w:gridSpan w:val="2"/>
                  <w:noWrap w:val="0"/>
                  <w:vAlign w:val="center"/>
                </w:tcPr>
                <w:p w14:paraId="3E3A36DE">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套</w:t>
                  </w:r>
                </w:p>
              </w:tc>
              <w:tc>
                <w:tcPr>
                  <w:tcW w:w="1234" w:type="dxa"/>
                  <w:noWrap w:val="0"/>
                  <w:vAlign w:val="center"/>
                </w:tcPr>
                <w:p w14:paraId="129DFA88">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1200切割锯组装3套，180m</w:t>
                  </w:r>
                  <w:r>
                    <w:rPr>
                      <w:rFonts w:hint="eastAsia"/>
                      <w:highlight w:val="none"/>
                      <w:vertAlign w:val="superscript"/>
                      <w:lang w:val="en-US" w:eastAsia="zh-CN"/>
                    </w:rPr>
                    <w:t>2</w:t>
                  </w:r>
                  <w:r>
                    <w:rPr>
                      <w:rFonts w:hint="eastAsia"/>
                      <w:highlight w:val="none"/>
                      <w:lang w:val="en-US" w:eastAsia="zh-CN"/>
                    </w:rPr>
                    <w:t>/h</w:t>
                  </w:r>
                </w:p>
              </w:tc>
              <w:tc>
                <w:tcPr>
                  <w:tcW w:w="1221" w:type="dxa"/>
                  <w:noWrap w:val="0"/>
                  <w:vAlign w:val="center"/>
                </w:tcPr>
                <w:p w14:paraId="5B33E2AD">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1111h/a</w:t>
                  </w:r>
                </w:p>
              </w:tc>
            </w:tr>
            <w:tr w14:paraId="2D8836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18F4CCBC">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16</w:t>
                  </w:r>
                </w:p>
              </w:tc>
              <w:tc>
                <w:tcPr>
                  <w:tcW w:w="1725" w:type="dxa"/>
                  <w:noWrap w:val="0"/>
                  <w:vAlign w:val="center"/>
                </w:tcPr>
                <w:p w14:paraId="7938F747">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横向切割机</w:t>
                  </w:r>
                </w:p>
              </w:tc>
              <w:tc>
                <w:tcPr>
                  <w:tcW w:w="675" w:type="dxa"/>
                  <w:vMerge w:val="continue"/>
                  <w:noWrap w:val="0"/>
                  <w:vAlign w:val="center"/>
                </w:tcPr>
                <w:p w14:paraId="26F357FF">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p>
              </w:tc>
              <w:tc>
                <w:tcPr>
                  <w:tcW w:w="1204" w:type="dxa"/>
                  <w:noWrap w:val="0"/>
                  <w:vAlign w:val="center"/>
                </w:tcPr>
                <w:p w14:paraId="5FB8BD1E">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1.5kw</w:t>
                  </w:r>
                </w:p>
              </w:tc>
              <w:tc>
                <w:tcPr>
                  <w:tcW w:w="716" w:type="dxa"/>
                  <w:noWrap w:val="0"/>
                  <w:vAlign w:val="center"/>
                </w:tcPr>
                <w:p w14:paraId="0CB2E41D">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1</w:t>
                  </w:r>
                </w:p>
              </w:tc>
              <w:tc>
                <w:tcPr>
                  <w:tcW w:w="570" w:type="dxa"/>
                  <w:gridSpan w:val="2"/>
                  <w:noWrap w:val="0"/>
                  <w:vAlign w:val="center"/>
                </w:tcPr>
                <w:p w14:paraId="522AA064">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件</w:t>
                  </w:r>
                </w:p>
              </w:tc>
              <w:tc>
                <w:tcPr>
                  <w:tcW w:w="1234" w:type="dxa"/>
                  <w:noWrap w:val="0"/>
                  <w:vAlign w:val="center"/>
                </w:tcPr>
                <w:p w14:paraId="2687416A">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3000切割锯组装2套，180m</w:t>
                  </w:r>
                  <w:r>
                    <w:rPr>
                      <w:rFonts w:hint="eastAsia"/>
                      <w:highlight w:val="none"/>
                      <w:vertAlign w:val="superscript"/>
                      <w:lang w:val="en-US" w:eastAsia="zh-CN"/>
                    </w:rPr>
                    <w:t>2</w:t>
                  </w:r>
                  <w:r>
                    <w:rPr>
                      <w:rFonts w:hint="eastAsia"/>
                      <w:highlight w:val="none"/>
                      <w:lang w:val="en-US" w:eastAsia="zh-CN"/>
                    </w:rPr>
                    <w:t>/h</w:t>
                  </w:r>
                </w:p>
              </w:tc>
              <w:tc>
                <w:tcPr>
                  <w:tcW w:w="1221" w:type="dxa"/>
                  <w:noWrap w:val="0"/>
                  <w:vAlign w:val="center"/>
                </w:tcPr>
                <w:p w14:paraId="647B7467">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1111h/a</w:t>
                  </w:r>
                </w:p>
              </w:tc>
            </w:tr>
            <w:tr w14:paraId="7ABDD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400B3CDC">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17</w:t>
                  </w:r>
                </w:p>
              </w:tc>
              <w:tc>
                <w:tcPr>
                  <w:tcW w:w="1725" w:type="dxa"/>
                  <w:noWrap w:val="0"/>
                  <w:vAlign w:val="center"/>
                </w:tcPr>
                <w:p w14:paraId="6AE3E320">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推送架</w:t>
                  </w:r>
                </w:p>
              </w:tc>
              <w:tc>
                <w:tcPr>
                  <w:tcW w:w="675" w:type="dxa"/>
                  <w:vMerge w:val="continue"/>
                  <w:noWrap w:val="0"/>
                  <w:vAlign w:val="center"/>
                </w:tcPr>
                <w:p w14:paraId="748BC32E">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p>
              </w:tc>
              <w:tc>
                <w:tcPr>
                  <w:tcW w:w="1204" w:type="dxa"/>
                  <w:noWrap w:val="0"/>
                  <w:vAlign w:val="center"/>
                </w:tcPr>
                <w:p w14:paraId="7AFBE92B">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w:t>
                  </w:r>
                </w:p>
              </w:tc>
              <w:tc>
                <w:tcPr>
                  <w:tcW w:w="716" w:type="dxa"/>
                  <w:noWrap w:val="0"/>
                  <w:vAlign w:val="center"/>
                </w:tcPr>
                <w:p w14:paraId="0AB13C00">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1</w:t>
                  </w:r>
                </w:p>
              </w:tc>
              <w:tc>
                <w:tcPr>
                  <w:tcW w:w="570" w:type="dxa"/>
                  <w:gridSpan w:val="2"/>
                  <w:noWrap w:val="0"/>
                  <w:vAlign w:val="center"/>
                </w:tcPr>
                <w:p w14:paraId="6D2D5CDD">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套</w:t>
                  </w:r>
                </w:p>
              </w:tc>
              <w:tc>
                <w:tcPr>
                  <w:tcW w:w="1234" w:type="dxa"/>
                  <w:noWrap w:val="0"/>
                  <w:vAlign w:val="center"/>
                </w:tcPr>
                <w:p w14:paraId="32191A11">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w:t>
                  </w:r>
                </w:p>
              </w:tc>
              <w:tc>
                <w:tcPr>
                  <w:tcW w:w="1221" w:type="dxa"/>
                  <w:noWrap w:val="0"/>
                  <w:vAlign w:val="center"/>
                </w:tcPr>
                <w:p w14:paraId="145997E6">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w:t>
                  </w:r>
                </w:p>
              </w:tc>
            </w:tr>
            <w:tr w14:paraId="66B3B6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2A552428">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18</w:t>
                  </w:r>
                </w:p>
              </w:tc>
              <w:tc>
                <w:tcPr>
                  <w:tcW w:w="1725" w:type="dxa"/>
                  <w:noWrap w:val="0"/>
                  <w:vAlign w:val="center"/>
                </w:tcPr>
                <w:p w14:paraId="5209B01C">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码垛机</w:t>
                  </w:r>
                </w:p>
              </w:tc>
              <w:tc>
                <w:tcPr>
                  <w:tcW w:w="675" w:type="dxa"/>
                  <w:vMerge w:val="continue"/>
                  <w:noWrap w:val="0"/>
                  <w:vAlign w:val="center"/>
                </w:tcPr>
                <w:p w14:paraId="64B0E7EB">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p>
              </w:tc>
              <w:tc>
                <w:tcPr>
                  <w:tcW w:w="1204" w:type="dxa"/>
                  <w:noWrap w:val="0"/>
                  <w:vAlign w:val="center"/>
                </w:tcPr>
                <w:p w14:paraId="01684881">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w:t>
                  </w:r>
                </w:p>
              </w:tc>
              <w:tc>
                <w:tcPr>
                  <w:tcW w:w="716" w:type="dxa"/>
                  <w:noWrap w:val="0"/>
                  <w:vAlign w:val="center"/>
                </w:tcPr>
                <w:p w14:paraId="03F68234">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1</w:t>
                  </w:r>
                </w:p>
              </w:tc>
              <w:tc>
                <w:tcPr>
                  <w:tcW w:w="570" w:type="dxa"/>
                  <w:gridSpan w:val="2"/>
                  <w:noWrap w:val="0"/>
                  <w:vAlign w:val="center"/>
                </w:tcPr>
                <w:p w14:paraId="05A6F9DA">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套</w:t>
                  </w:r>
                </w:p>
              </w:tc>
              <w:tc>
                <w:tcPr>
                  <w:tcW w:w="1234" w:type="dxa"/>
                  <w:noWrap w:val="0"/>
                  <w:vAlign w:val="center"/>
                </w:tcPr>
                <w:p w14:paraId="12DC5D8C">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180m</w:t>
                  </w:r>
                  <w:r>
                    <w:rPr>
                      <w:rFonts w:hint="eastAsia"/>
                      <w:highlight w:val="none"/>
                      <w:vertAlign w:val="superscript"/>
                      <w:lang w:val="en-US" w:eastAsia="zh-CN"/>
                    </w:rPr>
                    <w:t>2</w:t>
                  </w:r>
                  <w:r>
                    <w:rPr>
                      <w:rFonts w:hint="eastAsia"/>
                      <w:highlight w:val="none"/>
                      <w:lang w:val="en-US" w:eastAsia="zh-CN"/>
                    </w:rPr>
                    <w:t>/h</w:t>
                  </w:r>
                </w:p>
              </w:tc>
              <w:tc>
                <w:tcPr>
                  <w:tcW w:w="1221" w:type="dxa"/>
                  <w:noWrap w:val="0"/>
                  <w:vAlign w:val="center"/>
                </w:tcPr>
                <w:p w14:paraId="569D808A">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1111h/a</w:t>
                  </w:r>
                </w:p>
              </w:tc>
            </w:tr>
            <w:tr w14:paraId="63D08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7927" w:type="dxa"/>
                  <w:gridSpan w:val="9"/>
                  <w:noWrap w:val="0"/>
                  <w:vAlign w:val="center"/>
                </w:tcPr>
                <w:p w14:paraId="62A51071">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除尘设施</w:t>
                  </w:r>
                </w:p>
              </w:tc>
            </w:tr>
            <w:tr w14:paraId="4B6FE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582" w:type="dxa"/>
                  <w:noWrap w:val="0"/>
                  <w:vAlign w:val="center"/>
                </w:tcPr>
                <w:p w14:paraId="1726EE5E">
                  <w:pPr>
                    <w:keepNext w:val="0"/>
                    <w:keepLines w:val="0"/>
                    <w:pageBreakBefore w:val="0"/>
                    <w:kinsoku/>
                    <w:wordWrap/>
                    <w:overflowPunct/>
                    <w:topLinePunct w:val="0"/>
                    <w:bidi w:val="0"/>
                    <w:spacing w:line="240" w:lineRule="auto"/>
                    <w:jc w:val="center"/>
                    <w:rPr>
                      <w:rFonts w:hint="default"/>
                      <w:highlight w:val="none"/>
                      <w:lang w:val="en-US" w:eastAsia="zh-CN"/>
                    </w:rPr>
                  </w:pPr>
                  <w:r>
                    <w:rPr>
                      <w:rFonts w:hint="eastAsia"/>
                      <w:highlight w:val="none"/>
                      <w:lang w:val="en-US" w:eastAsia="zh-CN"/>
                    </w:rPr>
                    <w:t>19</w:t>
                  </w:r>
                </w:p>
              </w:tc>
              <w:tc>
                <w:tcPr>
                  <w:tcW w:w="1725" w:type="dxa"/>
                  <w:noWrap w:val="0"/>
                  <w:vAlign w:val="center"/>
                </w:tcPr>
                <w:p w14:paraId="2711293E">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脉冲布袋除尘器</w:t>
                  </w:r>
                </w:p>
              </w:tc>
              <w:tc>
                <w:tcPr>
                  <w:tcW w:w="675" w:type="dxa"/>
                  <w:noWrap w:val="0"/>
                  <w:vAlign w:val="center"/>
                </w:tcPr>
                <w:p w14:paraId="5744B97C">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w:t>
                  </w:r>
                </w:p>
              </w:tc>
              <w:tc>
                <w:tcPr>
                  <w:tcW w:w="1204" w:type="dxa"/>
                  <w:noWrap w:val="0"/>
                  <w:vAlign w:val="center"/>
                </w:tcPr>
                <w:p w14:paraId="5CEB9F9E">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17000</w:t>
                  </w:r>
                  <w:r>
                    <w:rPr>
                      <w:rFonts w:hint="default"/>
                      <w:highlight w:val="none"/>
                    </w:rPr>
                    <w:t>m</w:t>
                  </w:r>
                  <w:r>
                    <w:rPr>
                      <w:rFonts w:hint="default"/>
                      <w:highlight w:val="none"/>
                      <w:vertAlign w:val="superscript"/>
                    </w:rPr>
                    <w:t>3</w:t>
                  </w:r>
                  <w:r>
                    <w:rPr>
                      <w:rFonts w:hint="default"/>
                      <w:highlight w:val="none"/>
                    </w:rPr>
                    <w:t>/h</w:t>
                  </w:r>
                </w:p>
              </w:tc>
              <w:tc>
                <w:tcPr>
                  <w:tcW w:w="716" w:type="dxa"/>
                  <w:noWrap w:val="0"/>
                  <w:vAlign w:val="center"/>
                </w:tcPr>
                <w:p w14:paraId="599393BA">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1</w:t>
                  </w:r>
                </w:p>
              </w:tc>
              <w:tc>
                <w:tcPr>
                  <w:tcW w:w="570" w:type="dxa"/>
                  <w:gridSpan w:val="2"/>
                  <w:noWrap w:val="0"/>
                  <w:vAlign w:val="center"/>
                </w:tcPr>
                <w:p w14:paraId="2EFC6E95">
                  <w:pPr>
                    <w:keepNext w:val="0"/>
                    <w:keepLines w:val="0"/>
                    <w:pageBreakBefore w:val="0"/>
                    <w:kinsoku/>
                    <w:wordWrap/>
                    <w:overflowPunct/>
                    <w:topLinePunct w:val="0"/>
                    <w:autoSpaceDE/>
                    <w:autoSpaceDN/>
                    <w:bidi w:val="0"/>
                    <w:adjustRightInd/>
                    <w:snapToGrid/>
                    <w:spacing w:line="240" w:lineRule="auto"/>
                    <w:jc w:val="center"/>
                    <w:rPr>
                      <w:rFonts w:hint="eastAsia"/>
                      <w:highlight w:val="none"/>
                      <w:lang w:val="en-US" w:eastAsia="zh-CN"/>
                    </w:rPr>
                  </w:pPr>
                  <w:r>
                    <w:rPr>
                      <w:rFonts w:hint="eastAsia"/>
                      <w:highlight w:val="none"/>
                      <w:lang w:val="en-US" w:eastAsia="zh-CN"/>
                    </w:rPr>
                    <w:t>台</w:t>
                  </w:r>
                </w:p>
              </w:tc>
              <w:tc>
                <w:tcPr>
                  <w:tcW w:w="1234" w:type="dxa"/>
                  <w:noWrap w:val="0"/>
                  <w:vAlign w:val="center"/>
                </w:tcPr>
                <w:p w14:paraId="74A381C5">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w:t>
                  </w:r>
                </w:p>
              </w:tc>
              <w:tc>
                <w:tcPr>
                  <w:tcW w:w="1221" w:type="dxa"/>
                  <w:noWrap w:val="0"/>
                  <w:vAlign w:val="center"/>
                </w:tcPr>
                <w:p w14:paraId="2CE7B28B">
                  <w:pPr>
                    <w:keepNext w:val="0"/>
                    <w:keepLines w:val="0"/>
                    <w:pageBreakBefore w:val="0"/>
                    <w:kinsoku/>
                    <w:wordWrap/>
                    <w:overflowPunct/>
                    <w:topLinePunct w:val="0"/>
                    <w:autoSpaceDE/>
                    <w:autoSpaceDN/>
                    <w:bidi w:val="0"/>
                    <w:adjustRightInd/>
                    <w:snapToGrid/>
                    <w:spacing w:line="240" w:lineRule="auto"/>
                    <w:jc w:val="center"/>
                    <w:rPr>
                      <w:rFonts w:hint="default"/>
                      <w:highlight w:val="none"/>
                      <w:lang w:val="en-US" w:eastAsia="zh-CN"/>
                    </w:rPr>
                  </w:pPr>
                  <w:r>
                    <w:rPr>
                      <w:rFonts w:hint="eastAsia"/>
                      <w:highlight w:val="none"/>
                      <w:lang w:val="en-US" w:eastAsia="zh-CN"/>
                    </w:rPr>
                    <w:t>/</w:t>
                  </w:r>
                </w:p>
              </w:tc>
            </w:tr>
          </w:tbl>
          <w:p w14:paraId="554980BC">
            <w:pPr>
              <w:keepNext w:val="0"/>
              <w:keepLines w:val="0"/>
              <w:pageBreakBefore w:val="0"/>
              <w:numPr>
                <w:ilvl w:val="0"/>
                <w:numId w:val="0"/>
              </w:numPr>
              <w:kinsoku/>
              <w:wordWrap/>
              <w:overflowPunct/>
              <w:topLinePunct w:val="0"/>
              <w:bidi w:val="0"/>
              <w:adjustRightInd w:val="0"/>
              <w:snapToGrid w:val="0"/>
              <w:spacing w:line="400" w:lineRule="exact"/>
              <w:ind w:firstLine="420"/>
              <w:jc w:val="left"/>
              <w:rPr>
                <w:rFonts w:hint="eastAsia"/>
                <w:highlight w:val="none"/>
                <w:lang w:val="en-US" w:eastAsia="zh-CN"/>
              </w:rPr>
            </w:pPr>
            <w:r>
              <w:rPr>
                <w:rFonts w:hint="eastAsia"/>
                <w:highlight w:val="none"/>
                <w:lang w:val="en-US" w:eastAsia="zh-CN"/>
              </w:rPr>
              <w:t>（9）主要原辅材料用量及能源消耗情况见表2-5。</w:t>
            </w:r>
          </w:p>
          <w:p w14:paraId="4DC103AA">
            <w:pPr>
              <w:keepNext w:val="0"/>
              <w:keepLines w:val="0"/>
              <w:pageBreakBefore w:val="0"/>
              <w:numPr>
                <w:ilvl w:val="0"/>
                <w:numId w:val="0"/>
              </w:numPr>
              <w:kinsoku/>
              <w:wordWrap/>
              <w:overflowPunct/>
              <w:topLinePunct w:val="0"/>
              <w:bidi w:val="0"/>
              <w:adjustRightInd w:val="0"/>
              <w:snapToGrid w:val="0"/>
              <w:spacing w:line="400" w:lineRule="exact"/>
              <w:ind w:firstLine="420"/>
              <w:jc w:val="center"/>
              <w:rPr>
                <w:rFonts w:hint="default"/>
                <w:b/>
                <w:bCs/>
                <w:highlight w:val="none"/>
                <w:lang w:val="en-US" w:eastAsia="zh-CN"/>
              </w:rPr>
            </w:pPr>
            <w:r>
              <w:rPr>
                <w:rFonts w:hint="eastAsia"/>
                <w:b/>
                <w:bCs/>
                <w:highlight w:val="none"/>
                <w:lang w:val="en-US" w:eastAsia="zh-CN"/>
              </w:rPr>
              <w:t xml:space="preserve">表2-5  </w:t>
            </w:r>
            <w:r>
              <w:rPr>
                <w:rFonts w:hint="default"/>
                <w:b/>
                <w:bCs/>
                <w:highlight w:val="none"/>
                <w:lang w:val="en-US" w:eastAsia="zh-CN"/>
              </w:rPr>
              <w:t>项目主要原辅材料</w:t>
            </w:r>
            <w:r>
              <w:rPr>
                <w:rFonts w:hint="eastAsia"/>
                <w:b/>
                <w:bCs/>
                <w:highlight w:val="none"/>
                <w:lang w:val="en-US" w:eastAsia="zh-CN"/>
              </w:rPr>
              <w:t>用量及能源</w:t>
            </w:r>
            <w:r>
              <w:rPr>
                <w:rFonts w:hint="default"/>
                <w:b/>
                <w:bCs/>
                <w:highlight w:val="none"/>
                <w:lang w:val="en-US" w:eastAsia="zh-CN"/>
              </w:rPr>
              <w:t>消耗一览表</w:t>
            </w:r>
          </w:p>
          <w:tbl>
            <w:tblPr>
              <w:tblStyle w:val="20"/>
              <w:tblW w:w="7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5"/>
              <w:gridCol w:w="2115"/>
              <w:gridCol w:w="1020"/>
              <w:gridCol w:w="1095"/>
              <w:gridCol w:w="2563"/>
            </w:tblGrid>
            <w:tr w14:paraId="00EA5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85" w:type="dxa"/>
                  <w:noWrap w:val="0"/>
                  <w:vAlign w:val="center"/>
                </w:tcPr>
                <w:p w14:paraId="118AA401">
                  <w:pPr>
                    <w:keepNext w:val="0"/>
                    <w:keepLines w:val="0"/>
                    <w:pageBreakBefore w:val="0"/>
                    <w:kinsoku/>
                    <w:wordWrap/>
                    <w:overflowPunct/>
                    <w:topLinePunct w:val="0"/>
                    <w:bidi w:val="0"/>
                    <w:spacing w:line="400" w:lineRule="exact"/>
                    <w:jc w:val="center"/>
                    <w:rPr>
                      <w:rFonts w:hint="default"/>
                      <w:highlight w:val="none"/>
                    </w:rPr>
                  </w:pPr>
                  <w:r>
                    <w:rPr>
                      <w:rFonts w:hint="default"/>
                      <w:highlight w:val="none"/>
                    </w:rPr>
                    <w:t>序号</w:t>
                  </w:r>
                </w:p>
              </w:tc>
              <w:tc>
                <w:tcPr>
                  <w:tcW w:w="2115" w:type="dxa"/>
                  <w:noWrap w:val="0"/>
                  <w:vAlign w:val="center"/>
                </w:tcPr>
                <w:p w14:paraId="390E7645">
                  <w:pPr>
                    <w:keepNext w:val="0"/>
                    <w:keepLines w:val="0"/>
                    <w:pageBreakBefore w:val="0"/>
                    <w:kinsoku/>
                    <w:wordWrap/>
                    <w:overflowPunct/>
                    <w:topLinePunct w:val="0"/>
                    <w:bidi w:val="0"/>
                    <w:spacing w:line="400" w:lineRule="exact"/>
                    <w:jc w:val="center"/>
                    <w:rPr>
                      <w:rFonts w:hint="default"/>
                      <w:highlight w:val="none"/>
                    </w:rPr>
                  </w:pPr>
                  <w:r>
                    <w:rPr>
                      <w:rFonts w:hint="default"/>
                      <w:highlight w:val="none"/>
                    </w:rPr>
                    <w:t>名称</w:t>
                  </w:r>
                </w:p>
              </w:tc>
              <w:tc>
                <w:tcPr>
                  <w:tcW w:w="1020" w:type="dxa"/>
                  <w:noWrap w:val="0"/>
                  <w:vAlign w:val="center"/>
                </w:tcPr>
                <w:p w14:paraId="59A05C35">
                  <w:pPr>
                    <w:keepNext w:val="0"/>
                    <w:keepLines w:val="0"/>
                    <w:pageBreakBefore w:val="0"/>
                    <w:kinsoku/>
                    <w:wordWrap/>
                    <w:overflowPunct/>
                    <w:topLinePunct w:val="0"/>
                    <w:bidi w:val="0"/>
                    <w:spacing w:line="400" w:lineRule="exact"/>
                    <w:jc w:val="center"/>
                    <w:rPr>
                      <w:rFonts w:hint="default"/>
                      <w:highlight w:val="none"/>
                    </w:rPr>
                  </w:pPr>
                  <w:r>
                    <w:rPr>
                      <w:rFonts w:hint="default"/>
                      <w:highlight w:val="none"/>
                    </w:rPr>
                    <w:t>数量</w:t>
                  </w:r>
                </w:p>
              </w:tc>
              <w:tc>
                <w:tcPr>
                  <w:tcW w:w="1095" w:type="dxa"/>
                  <w:noWrap w:val="0"/>
                  <w:vAlign w:val="center"/>
                </w:tcPr>
                <w:p w14:paraId="05D2C3EA">
                  <w:pPr>
                    <w:keepNext w:val="0"/>
                    <w:keepLines w:val="0"/>
                    <w:pageBreakBefore w:val="0"/>
                    <w:kinsoku/>
                    <w:wordWrap/>
                    <w:overflowPunct/>
                    <w:topLinePunct w:val="0"/>
                    <w:bidi w:val="0"/>
                    <w:spacing w:line="400" w:lineRule="exact"/>
                    <w:jc w:val="center"/>
                    <w:rPr>
                      <w:rFonts w:hint="default"/>
                      <w:highlight w:val="none"/>
                    </w:rPr>
                  </w:pPr>
                  <w:r>
                    <w:rPr>
                      <w:rFonts w:hint="default"/>
                      <w:highlight w:val="none"/>
                    </w:rPr>
                    <w:t>单位</w:t>
                  </w:r>
                </w:p>
              </w:tc>
              <w:tc>
                <w:tcPr>
                  <w:tcW w:w="2563" w:type="dxa"/>
                  <w:noWrap w:val="0"/>
                  <w:vAlign w:val="center"/>
                </w:tcPr>
                <w:p w14:paraId="665B39AE">
                  <w:pPr>
                    <w:keepNext w:val="0"/>
                    <w:keepLines w:val="0"/>
                    <w:pageBreakBefore w:val="0"/>
                    <w:kinsoku/>
                    <w:wordWrap/>
                    <w:overflowPunct/>
                    <w:topLinePunct w:val="0"/>
                    <w:bidi w:val="0"/>
                    <w:spacing w:line="400" w:lineRule="exact"/>
                    <w:jc w:val="center"/>
                    <w:rPr>
                      <w:rFonts w:hint="default"/>
                      <w:highlight w:val="none"/>
                    </w:rPr>
                  </w:pPr>
                  <w:r>
                    <w:rPr>
                      <w:rFonts w:hint="default"/>
                      <w:highlight w:val="none"/>
                    </w:rPr>
                    <w:t>备注</w:t>
                  </w:r>
                </w:p>
              </w:tc>
            </w:tr>
            <w:tr w14:paraId="4476D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85" w:type="dxa"/>
                  <w:noWrap w:val="0"/>
                  <w:vAlign w:val="center"/>
                </w:tcPr>
                <w:p w14:paraId="44A911F6">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default"/>
                      <w:highlight w:val="none"/>
                      <w:lang w:val="en-US" w:eastAsia="zh-CN"/>
                    </w:rPr>
                    <w:t>1</w:t>
                  </w:r>
                </w:p>
              </w:tc>
              <w:tc>
                <w:tcPr>
                  <w:tcW w:w="2115" w:type="dxa"/>
                  <w:noWrap w:val="0"/>
                  <w:vAlign w:val="center"/>
                </w:tcPr>
                <w:p w14:paraId="73CDD1D3">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聚合物粘结砂浆</w:t>
                  </w:r>
                </w:p>
              </w:tc>
              <w:tc>
                <w:tcPr>
                  <w:tcW w:w="1020" w:type="dxa"/>
                  <w:noWrap w:val="0"/>
                  <w:vAlign w:val="center"/>
                </w:tcPr>
                <w:p w14:paraId="2B64A363">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1200</w:t>
                  </w:r>
                </w:p>
              </w:tc>
              <w:tc>
                <w:tcPr>
                  <w:tcW w:w="1095" w:type="dxa"/>
                  <w:noWrap w:val="0"/>
                  <w:vAlign w:val="center"/>
                </w:tcPr>
                <w:p w14:paraId="7EC65F26">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t/a</w:t>
                  </w:r>
                </w:p>
              </w:tc>
              <w:tc>
                <w:tcPr>
                  <w:tcW w:w="2563" w:type="dxa"/>
                  <w:vMerge w:val="restart"/>
                  <w:noWrap w:val="0"/>
                  <w:vAlign w:val="center"/>
                </w:tcPr>
                <w:p w14:paraId="7CF5915D">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袋装叉车运输、企业自产</w:t>
                  </w:r>
                </w:p>
              </w:tc>
            </w:tr>
            <w:tr w14:paraId="4922E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85" w:type="dxa"/>
                  <w:noWrap w:val="0"/>
                  <w:vAlign w:val="center"/>
                </w:tcPr>
                <w:p w14:paraId="1CE29F84">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2</w:t>
                  </w:r>
                </w:p>
              </w:tc>
              <w:tc>
                <w:tcPr>
                  <w:tcW w:w="2115" w:type="dxa"/>
                  <w:noWrap w:val="0"/>
                  <w:vAlign w:val="center"/>
                </w:tcPr>
                <w:p w14:paraId="2D226E1C">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聚合物保温砂浆</w:t>
                  </w:r>
                </w:p>
              </w:tc>
              <w:tc>
                <w:tcPr>
                  <w:tcW w:w="1020" w:type="dxa"/>
                  <w:noWrap w:val="0"/>
                  <w:vAlign w:val="center"/>
                </w:tcPr>
                <w:p w14:paraId="6308FA71">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1600</w:t>
                  </w:r>
                </w:p>
              </w:tc>
              <w:tc>
                <w:tcPr>
                  <w:tcW w:w="1095" w:type="dxa"/>
                  <w:noWrap w:val="0"/>
                  <w:vAlign w:val="center"/>
                </w:tcPr>
                <w:p w14:paraId="2305C140">
                  <w:pPr>
                    <w:keepNext w:val="0"/>
                    <w:keepLines w:val="0"/>
                    <w:pageBreakBefore w:val="0"/>
                    <w:kinsoku/>
                    <w:wordWrap/>
                    <w:overflowPunct/>
                    <w:topLinePunct w:val="0"/>
                    <w:bidi w:val="0"/>
                    <w:spacing w:line="400" w:lineRule="exact"/>
                    <w:jc w:val="center"/>
                    <w:rPr>
                      <w:rFonts w:hint="eastAsia"/>
                      <w:highlight w:val="none"/>
                      <w:lang w:val="en-US" w:eastAsia="zh-CN"/>
                    </w:rPr>
                  </w:pPr>
                  <w:r>
                    <w:rPr>
                      <w:rFonts w:hint="eastAsia"/>
                      <w:highlight w:val="none"/>
                      <w:lang w:val="en-US" w:eastAsia="zh-CN"/>
                    </w:rPr>
                    <w:t>t/a</w:t>
                  </w:r>
                </w:p>
              </w:tc>
              <w:tc>
                <w:tcPr>
                  <w:tcW w:w="2563" w:type="dxa"/>
                  <w:vMerge w:val="continue"/>
                  <w:noWrap w:val="0"/>
                  <w:vAlign w:val="center"/>
                </w:tcPr>
                <w:p w14:paraId="4D5CA156">
                  <w:pPr>
                    <w:keepNext w:val="0"/>
                    <w:keepLines w:val="0"/>
                    <w:pageBreakBefore w:val="0"/>
                    <w:kinsoku/>
                    <w:wordWrap/>
                    <w:overflowPunct/>
                    <w:topLinePunct w:val="0"/>
                    <w:bidi w:val="0"/>
                    <w:spacing w:line="400" w:lineRule="exact"/>
                    <w:jc w:val="center"/>
                    <w:rPr>
                      <w:rFonts w:hint="eastAsia"/>
                      <w:highlight w:val="none"/>
                      <w:lang w:val="en-US" w:eastAsia="zh-CN"/>
                    </w:rPr>
                  </w:pPr>
                </w:p>
              </w:tc>
            </w:tr>
            <w:tr w14:paraId="4EF3DA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85" w:type="dxa"/>
                  <w:noWrap w:val="0"/>
                  <w:vAlign w:val="center"/>
                </w:tcPr>
                <w:p w14:paraId="6EF547C4">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3</w:t>
                  </w:r>
                </w:p>
              </w:tc>
              <w:tc>
                <w:tcPr>
                  <w:tcW w:w="2115" w:type="dxa"/>
                  <w:noWrap w:val="0"/>
                  <w:vAlign w:val="center"/>
                </w:tcPr>
                <w:p w14:paraId="43BC8948">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聚合物抗裂砂浆</w:t>
                  </w:r>
                </w:p>
              </w:tc>
              <w:tc>
                <w:tcPr>
                  <w:tcW w:w="1020" w:type="dxa"/>
                  <w:noWrap w:val="0"/>
                  <w:vAlign w:val="center"/>
                </w:tcPr>
                <w:p w14:paraId="02B14C8A">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1200</w:t>
                  </w:r>
                </w:p>
              </w:tc>
              <w:tc>
                <w:tcPr>
                  <w:tcW w:w="1095" w:type="dxa"/>
                  <w:noWrap w:val="0"/>
                  <w:vAlign w:val="center"/>
                </w:tcPr>
                <w:p w14:paraId="131BF3E6">
                  <w:pPr>
                    <w:keepNext w:val="0"/>
                    <w:keepLines w:val="0"/>
                    <w:pageBreakBefore w:val="0"/>
                    <w:kinsoku/>
                    <w:wordWrap/>
                    <w:overflowPunct/>
                    <w:topLinePunct w:val="0"/>
                    <w:bidi w:val="0"/>
                    <w:spacing w:line="400" w:lineRule="exact"/>
                    <w:jc w:val="center"/>
                    <w:rPr>
                      <w:rFonts w:hint="eastAsia"/>
                      <w:highlight w:val="none"/>
                      <w:lang w:val="en-US" w:eastAsia="zh-CN"/>
                    </w:rPr>
                  </w:pPr>
                  <w:r>
                    <w:rPr>
                      <w:rFonts w:hint="eastAsia"/>
                      <w:highlight w:val="none"/>
                      <w:lang w:val="en-US" w:eastAsia="zh-CN"/>
                    </w:rPr>
                    <w:t>t/a</w:t>
                  </w:r>
                </w:p>
              </w:tc>
              <w:tc>
                <w:tcPr>
                  <w:tcW w:w="2563" w:type="dxa"/>
                  <w:vMerge w:val="continue"/>
                  <w:noWrap w:val="0"/>
                  <w:vAlign w:val="center"/>
                </w:tcPr>
                <w:p w14:paraId="669B95AF">
                  <w:pPr>
                    <w:keepNext w:val="0"/>
                    <w:keepLines w:val="0"/>
                    <w:pageBreakBefore w:val="0"/>
                    <w:kinsoku/>
                    <w:wordWrap/>
                    <w:overflowPunct/>
                    <w:topLinePunct w:val="0"/>
                    <w:bidi w:val="0"/>
                    <w:spacing w:line="400" w:lineRule="exact"/>
                    <w:jc w:val="center"/>
                    <w:rPr>
                      <w:rFonts w:hint="eastAsia"/>
                      <w:highlight w:val="none"/>
                      <w:lang w:val="en-US" w:eastAsia="zh-CN"/>
                    </w:rPr>
                  </w:pPr>
                </w:p>
              </w:tc>
            </w:tr>
            <w:tr w14:paraId="5718DA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85" w:type="dxa"/>
                  <w:noWrap w:val="0"/>
                  <w:vAlign w:val="center"/>
                </w:tcPr>
                <w:p w14:paraId="0A4A926C">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4</w:t>
                  </w:r>
                </w:p>
              </w:tc>
              <w:tc>
                <w:tcPr>
                  <w:tcW w:w="2115" w:type="dxa"/>
                  <w:noWrap w:val="0"/>
                  <w:vAlign w:val="center"/>
                </w:tcPr>
                <w:p w14:paraId="7E04CC20">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XPS挤塑板</w:t>
                  </w:r>
                </w:p>
              </w:tc>
              <w:tc>
                <w:tcPr>
                  <w:tcW w:w="1020" w:type="dxa"/>
                  <w:noWrap w:val="0"/>
                  <w:vAlign w:val="center"/>
                </w:tcPr>
                <w:p w14:paraId="420BAF3D">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20000</w:t>
                  </w:r>
                </w:p>
              </w:tc>
              <w:tc>
                <w:tcPr>
                  <w:tcW w:w="1095" w:type="dxa"/>
                  <w:noWrap w:val="0"/>
                  <w:vAlign w:val="center"/>
                </w:tcPr>
                <w:p w14:paraId="64CD7185">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m³/a</w:t>
                  </w:r>
                </w:p>
              </w:tc>
              <w:tc>
                <w:tcPr>
                  <w:tcW w:w="2563" w:type="dxa"/>
                  <w:noWrap w:val="0"/>
                  <w:vAlign w:val="center"/>
                </w:tcPr>
                <w:p w14:paraId="59C207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企业自产（厚度30mm、50mm、60mm）</w:t>
                  </w:r>
                </w:p>
              </w:tc>
            </w:tr>
            <w:tr w14:paraId="758B87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85" w:type="dxa"/>
                  <w:noWrap w:val="0"/>
                  <w:vAlign w:val="center"/>
                </w:tcPr>
                <w:p w14:paraId="35AE63B2">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5</w:t>
                  </w:r>
                </w:p>
              </w:tc>
              <w:tc>
                <w:tcPr>
                  <w:tcW w:w="2115" w:type="dxa"/>
                  <w:noWrap w:val="0"/>
                  <w:vAlign w:val="center"/>
                </w:tcPr>
                <w:p w14:paraId="308D9DC2">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网格布</w:t>
                  </w:r>
                </w:p>
              </w:tc>
              <w:tc>
                <w:tcPr>
                  <w:tcW w:w="1020" w:type="dxa"/>
                  <w:noWrap w:val="0"/>
                  <w:vAlign w:val="center"/>
                </w:tcPr>
                <w:p w14:paraId="6D66CD66">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2000000</w:t>
                  </w:r>
                </w:p>
              </w:tc>
              <w:tc>
                <w:tcPr>
                  <w:tcW w:w="1095" w:type="dxa"/>
                  <w:noWrap w:val="0"/>
                  <w:vAlign w:val="center"/>
                </w:tcPr>
                <w:p w14:paraId="0975D548">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m</w:t>
                  </w:r>
                  <w:r>
                    <w:rPr>
                      <w:rFonts w:hint="eastAsia"/>
                      <w:highlight w:val="none"/>
                      <w:vertAlign w:val="superscript"/>
                      <w:lang w:val="en-US" w:eastAsia="zh-CN"/>
                    </w:rPr>
                    <w:t>2</w:t>
                  </w:r>
                  <w:r>
                    <w:rPr>
                      <w:rFonts w:hint="default"/>
                      <w:highlight w:val="none"/>
                      <w:lang w:val="en-US" w:eastAsia="zh-CN"/>
                    </w:rPr>
                    <w:t>/a</w:t>
                  </w:r>
                </w:p>
              </w:tc>
              <w:tc>
                <w:tcPr>
                  <w:tcW w:w="2563" w:type="dxa"/>
                  <w:noWrap w:val="0"/>
                  <w:vAlign w:val="center"/>
                </w:tcPr>
                <w:p w14:paraId="5E768EF8">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外购</w:t>
                  </w:r>
                </w:p>
              </w:tc>
            </w:tr>
            <w:tr w14:paraId="287FCD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85" w:type="dxa"/>
                  <w:noWrap w:val="0"/>
                  <w:vAlign w:val="center"/>
                </w:tcPr>
                <w:p w14:paraId="133D85E8">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6</w:t>
                  </w:r>
                </w:p>
              </w:tc>
              <w:tc>
                <w:tcPr>
                  <w:tcW w:w="2115" w:type="dxa"/>
                  <w:noWrap w:val="0"/>
                  <w:vAlign w:val="center"/>
                </w:tcPr>
                <w:p w14:paraId="4DE586A0">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聚苯乙烯颗粒</w:t>
                  </w:r>
                </w:p>
              </w:tc>
              <w:tc>
                <w:tcPr>
                  <w:tcW w:w="1020" w:type="dxa"/>
                  <w:noWrap w:val="0"/>
                  <w:vAlign w:val="center"/>
                </w:tcPr>
                <w:p w14:paraId="473DD785">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16000</w:t>
                  </w:r>
                </w:p>
              </w:tc>
              <w:tc>
                <w:tcPr>
                  <w:tcW w:w="1095" w:type="dxa"/>
                  <w:noWrap w:val="0"/>
                  <w:vAlign w:val="center"/>
                </w:tcPr>
                <w:p w14:paraId="48E0197F">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m³</w:t>
                  </w:r>
                  <w:r>
                    <w:rPr>
                      <w:rFonts w:hint="default"/>
                      <w:highlight w:val="none"/>
                      <w:lang w:val="en-US" w:eastAsia="zh-CN"/>
                    </w:rPr>
                    <w:t>/a</w:t>
                  </w:r>
                </w:p>
              </w:tc>
              <w:tc>
                <w:tcPr>
                  <w:tcW w:w="2563" w:type="dxa"/>
                  <w:noWrap w:val="0"/>
                  <w:vAlign w:val="center"/>
                </w:tcPr>
                <w:p w14:paraId="61D6F452">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外购</w:t>
                  </w:r>
                </w:p>
              </w:tc>
            </w:tr>
            <w:tr w14:paraId="653FC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85" w:type="dxa"/>
                  <w:noWrap w:val="0"/>
                  <w:vAlign w:val="center"/>
                </w:tcPr>
                <w:p w14:paraId="46B55A3B">
                  <w:pPr>
                    <w:keepNext w:val="0"/>
                    <w:keepLines w:val="0"/>
                    <w:pageBreakBefore w:val="0"/>
                    <w:kinsoku/>
                    <w:wordWrap/>
                    <w:overflowPunct/>
                    <w:topLinePunct w:val="0"/>
                    <w:bidi w:val="0"/>
                    <w:spacing w:line="400" w:lineRule="exact"/>
                    <w:jc w:val="center"/>
                    <w:rPr>
                      <w:rFonts w:hint="eastAsia"/>
                      <w:highlight w:val="none"/>
                      <w:lang w:val="en-US" w:eastAsia="zh-CN"/>
                    </w:rPr>
                  </w:pPr>
                  <w:r>
                    <w:rPr>
                      <w:rFonts w:hint="eastAsia"/>
                      <w:highlight w:val="none"/>
                      <w:lang w:val="en-US" w:eastAsia="zh-CN"/>
                    </w:rPr>
                    <w:t>7</w:t>
                  </w:r>
                </w:p>
              </w:tc>
              <w:tc>
                <w:tcPr>
                  <w:tcW w:w="2115" w:type="dxa"/>
                  <w:noWrap w:val="0"/>
                  <w:vAlign w:val="center"/>
                </w:tcPr>
                <w:p w14:paraId="60E84376">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润滑油</w:t>
                  </w:r>
                </w:p>
              </w:tc>
              <w:tc>
                <w:tcPr>
                  <w:tcW w:w="1020" w:type="dxa"/>
                  <w:noWrap w:val="0"/>
                  <w:vAlign w:val="center"/>
                </w:tcPr>
                <w:p w14:paraId="2A842980">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0.01</w:t>
                  </w:r>
                </w:p>
              </w:tc>
              <w:tc>
                <w:tcPr>
                  <w:tcW w:w="1095" w:type="dxa"/>
                  <w:noWrap w:val="0"/>
                  <w:vAlign w:val="center"/>
                </w:tcPr>
                <w:p w14:paraId="355BD386">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t/a</w:t>
                  </w:r>
                </w:p>
              </w:tc>
              <w:tc>
                <w:tcPr>
                  <w:tcW w:w="2563" w:type="dxa"/>
                  <w:noWrap w:val="0"/>
                  <w:vAlign w:val="center"/>
                </w:tcPr>
                <w:p w14:paraId="70B86E4F">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外购</w:t>
                  </w:r>
                </w:p>
              </w:tc>
            </w:tr>
            <w:tr w14:paraId="13B621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85" w:type="dxa"/>
                  <w:noWrap w:val="0"/>
                  <w:vAlign w:val="center"/>
                </w:tcPr>
                <w:p w14:paraId="6372E007">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8</w:t>
                  </w:r>
                </w:p>
              </w:tc>
              <w:tc>
                <w:tcPr>
                  <w:tcW w:w="2115" w:type="dxa"/>
                  <w:noWrap w:val="0"/>
                  <w:vAlign w:val="center"/>
                </w:tcPr>
                <w:p w14:paraId="4BDA9545">
                  <w:pPr>
                    <w:keepNext w:val="0"/>
                    <w:keepLines w:val="0"/>
                    <w:pageBreakBefore w:val="0"/>
                    <w:kinsoku/>
                    <w:wordWrap/>
                    <w:overflowPunct/>
                    <w:topLinePunct w:val="0"/>
                    <w:bidi w:val="0"/>
                    <w:spacing w:line="400" w:lineRule="exact"/>
                    <w:jc w:val="center"/>
                    <w:rPr>
                      <w:rFonts w:hint="default"/>
                      <w:highlight w:val="none"/>
                    </w:rPr>
                  </w:pPr>
                  <w:r>
                    <w:rPr>
                      <w:rFonts w:hint="eastAsia"/>
                      <w:highlight w:val="none"/>
                      <w:lang w:val="en-US" w:eastAsia="zh-CN"/>
                    </w:rPr>
                    <w:t>水</w:t>
                  </w:r>
                </w:p>
              </w:tc>
              <w:tc>
                <w:tcPr>
                  <w:tcW w:w="1020" w:type="dxa"/>
                  <w:noWrap w:val="0"/>
                  <w:vAlign w:val="center"/>
                </w:tcPr>
                <w:p w14:paraId="66ADBC91">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708</w:t>
                  </w:r>
                </w:p>
              </w:tc>
              <w:tc>
                <w:tcPr>
                  <w:tcW w:w="1095" w:type="dxa"/>
                  <w:noWrap w:val="0"/>
                  <w:vAlign w:val="center"/>
                </w:tcPr>
                <w:p w14:paraId="182F99C7">
                  <w:pPr>
                    <w:keepNext w:val="0"/>
                    <w:keepLines w:val="0"/>
                    <w:pageBreakBefore w:val="0"/>
                    <w:kinsoku/>
                    <w:wordWrap/>
                    <w:overflowPunct/>
                    <w:topLinePunct w:val="0"/>
                    <w:bidi w:val="0"/>
                    <w:spacing w:line="400" w:lineRule="exact"/>
                    <w:jc w:val="center"/>
                    <w:rPr>
                      <w:rFonts w:hint="default"/>
                      <w:highlight w:val="none"/>
                    </w:rPr>
                  </w:pPr>
                  <w:r>
                    <w:rPr>
                      <w:rFonts w:hint="default"/>
                      <w:highlight w:val="none"/>
                    </w:rPr>
                    <w:t>t/a</w:t>
                  </w:r>
                </w:p>
              </w:tc>
              <w:tc>
                <w:tcPr>
                  <w:tcW w:w="2563" w:type="dxa"/>
                  <w:noWrap w:val="0"/>
                  <w:vAlign w:val="center"/>
                </w:tcPr>
                <w:p w14:paraId="41BC64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highlight w:val="none"/>
                      <w:lang w:val="en-US" w:eastAsia="zh-CN"/>
                    </w:rPr>
                  </w:pPr>
                  <w:r>
                    <w:rPr>
                      <w:rFonts w:hint="default"/>
                      <w:highlight w:val="none"/>
                    </w:rPr>
                    <w:t>自备水井</w:t>
                  </w:r>
                </w:p>
              </w:tc>
            </w:tr>
            <w:tr w14:paraId="094995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85" w:type="dxa"/>
                  <w:noWrap w:val="0"/>
                  <w:vAlign w:val="center"/>
                </w:tcPr>
                <w:p w14:paraId="1DDBFACE">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9</w:t>
                  </w:r>
                </w:p>
              </w:tc>
              <w:tc>
                <w:tcPr>
                  <w:tcW w:w="2115" w:type="dxa"/>
                  <w:noWrap w:val="0"/>
                  <w:vAlign w:val="center"/>
                </w:tcPr>
                <w:p w14:paraId="006BAFD6">
                  <w:pPr>
                    <w:keepNext w:val="0"/>
                    <w:keepLines w:val="0"/>
                    <w:pageBreakBefore w:val="0"/>
                    <w:kinsoku/>
                    <w:wordWrap/>
                    <w:overflowPunct/>
                    <w:topLinePunct w:val="0"/>
                    <w:bidi w:val="0"/>
                    <w:spacing w:line="400" w:lineRule="exact"/>
                    <w:jc w:val="center"/>
                    <w:rPr>
                      <w:rFonts w:hint="default"/>
                      <w:highlight w:val="none"/>
                    </w:rPr>
                  </w:pPr>
                  <w:r>
                    <w:rPr>
                      <w:rFonts w:hint="eastAsia"/>
                      <w:highlight w:val="none"/>
                      <w:lang w:val="en-US" w:eastAsia="zh-CN"/>
                    </w:rPr>
                    <w:t>电</w:t>
                  </w:r>
                </w:p>
              </w:tc>
              <w:tc>
                <w:tcPr>
                  <w:tcW w:w="1020" w:type="dxa"/>
                  <w:noWrap w:val="0"/>
                  <w:vAlign w:val="center"/>
                </w:tcPr>
                <w:p w14:paraId="12B7CD98">
                  <w:pPr>
                    <w:keepNext w:val="0"/>
                    <w:keepLines w:val="0"/>
                    <w:pageBreakBefore w:val="0"/>
                    <w:kinsoku/>
                    <w:wordWrap/>
                    <w:overflowPunct/>
                    <w:topLinePunct w:val="0"/>
                    <w:bidi w:val="0"/>
                    <w:spacing w:line="400" w:lineRule="exact"/>
                    <w:jc w:val="center"/>
                    <w:rPr>
                      <w:rFonts w:hint="default"/>
                      <w:highlight w:val="none"/>
                      <w:lang w:val="en-US" w:eastAsia="zh-CN"/>
                    </w:rPr>
                  </w:pPr>
                  <w:r>
                    <w:rPr>
                      <w:rFonts w:hint="eastAsia"/>
                      <w:highlight w:val="none"/>
                      <w:lang w:val="en-US" w:eastAsia="zh-CN"/>
                    </w:rPr>
                    <w:t>2.6</w:t>
                  </w:r>
                </w:p>
              </w:tc>
              <w:tc>
                <w:tcPr>
                  <w:tcW w:w="1095" w:type="dxa"/>
                  <w:noWrap w:val="0"/>
                  <w:vAlign w:val="center"/>
                </w:tcPr>
                <w:p w14:paraId="061C26C2">
                  <w:pPr>
                    <w:keepNext w:val="0"/>
                    <w:keepLines w:val="0"/>
                    <w:pageBreakBefore w:val="0"/>
                    <w:kinsoku/>
                    <w:wordWrap/>
                    <w:overflowPunct/>
                    <w:topLinePunct w:val="0"/>
                    <w:bidi w:val="0"/>
                    <w:spacing w:line="400" w:lineRule="exact"/>
                    <w:jc w:val="center"/>
                    <w:rPr>
                      <w:rFonts w:hint="default"/>
                      <w:highlight w:val="none"/>
                    </w:rPr>
                  </w:pPr>
                  <w:r>
                    <w:rPr>
                      <w:rFonts w:hint="default"/>
                      <w:highlight w:val="none"/>
                    </w:rPr>
                    <w:t>万k</w:t>
                  </w:r>
                  <w:r>
                    <w:rPr>
                      <w:rFonts w:hint="eastAsia"/>
                      <w:highlight w:val="none"/>
                      <w:lang w:val="en-US" w:eastAsia="zh-CN"/>
                    </w:rPr>
                    <w:t>w</w:t>
                  </w:r>
                  <w:r>
                    <w:rPr>
                      <w:rFonts w:hint="default"/>
                      <w:highlight w:val="none"/>
                    </w:rPr>
                    <w:t>h</w:t>
                  </w:r>
                </w:p>
              </w:tc>
              <w:tc>
                <w:tcPr>
                  <w:tcW w:w="2563" w:type="dxa"/>
                  <w:noWrap w:val="0"/>
                  <w:vAlign w:val="center"/>
                </w:tcPr>
                <w:p w14:paraId="558AB76D">
                  <w:pPr>
                    <w:keepNext w:val="0"/>
                    <w:keepLines w:val="0"/>
                    <w:pageBreakBefore w:val="0"/>
                    <w:kinsoku/>
                    <w:wordWrap/>
                    <w:overflowPunct/>
                    <w:topLinePunct w:val="0"/>
                    <w:bidi w:val="0"/>
                    <w:spacing w:line="400" w:lineRule="exact"/>
                    <w:jc w:val="center"/>
                    <w:rPr>
                      <w:rFonts w:hint="default"/>
                      <w:highlight w:val="none"/>
                    </w:rPr>
                  </w:pPr>
                  <w:r>
                    <w:rPr>
                      <w:rFonts w:hint="default"/>
                      <w:highlight w:val="none"/>
                    </w:rPr>
                    <w:t>市政电网</w:t>
                  </w:r>
                </w:p>
              </w:tc>
            </w:tr>
          </w:tbl>
          <w:p w14:paraId="46715A0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jc w:val="left"/>
              <w:textAlignment w:val="auto"/>
              <w:rPr>
                <w:rFonts w:hint="default"/>
                <w:highlight w:val="none"/>
                <w:lang w:val="en-US" w:eastAsia="zh-CN"/>
              </w:rPr>
            </w:pPr>
            <w:r>
              <w:rPr>
                <w:rFonts w:hint="eastAsia"/>
                <w:highlight w:val="none"/>
                <w:lang w:val="en-US" w:eastAsia="zh-CN"/>
              </w:rPr>
              <w:t>（10）劳动定员及工作制度：每班工作8个小时，每天1班，年工作200天。本项目员工由厂内调剂，不新增劳动定员。</w:t>
            </w:r>
          </w:p>
          <w:p w14:paraId="0793E39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jc w:val="left"/>
              <w:textAlignment w:val="auto"/>
              <w:rPr>
                <w:rFonts w:hint="eastAsia"/>
                <w:highlight w:val="none"/>
                <w:lang w:val="en-US" w:eastAsia="zh-CN"/>
              </w:rPr>
            </w:pPr>
            <w:r>
              <w:rPr>
                <w:rFonts w:hint="eastAsia"/>
                <w:highlight w:val="none"/>
                <w:lang w:val="en-US" w:eastAsia="zh-CN"/>
              </w:rPr>
              <w:t>（11）公用工程</w:t>
            </w:r>
          </w:p>
          <w:p w14:paraId="6627A6D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jc w:val="left"/>
              <w:textAlignment w:val="auto"/>
              <w:rPr>
                <w:rFonts w:hint="eastAsia"/>
                <w:highlight w:val="none"/>
                <w:lang w:val="en-US" w:eastAsia="zh-CN"/>
              </w:rPr>
            </w:pPr>
            <w:r>
              <w:rPr>
                <w:rFonts w:hint="eastAsia"/>
                <w:highlight w:val="none"/>
                <w:lang w:val="en-US" w:eastAsia="zh-CN"/>
              </w:rPr>
              <w:t>①给水：本项目主要为上原料搅拌用水和裁切、打孔、切割过程喷洒一体板用水。</w:t>
            </w:r>
          </w:p>
          <w:p w14:paraId="17AAF38E">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jc w:val="left"/>
              <w:textAlignment w:val="auto"/>
              <w:rPr>
                <w:rFonts w:hint="eastAsia"/>
                <w:highlight w:val="none"/>
                <w:lang w:val="en-US" w:eastAsia="zh-CN"/>
              </w:rPr>
            </w:pPr>
            <w:r>
              <w:rPr>
                <w:rFonts w:hint="eastAsia"/>
                <w:highlight w:val="none"/>
                <w:lang w:val="en-US" w:eastAsia="zh-CN"/>
              </w:rPr>
              <w:t>上料搅拌过程用水3m</w:t>
            </w:r>
            <w:r>
              <w:rPr>
                <w:rFonts w:hint="eastAsia"/>
                <w:highlight w:val="none"/>
                <w:vertAlign w:val="superscript"/>
                <w:lang w:val="en-US" w:eastAsia="zh-CN"/>
              </w:rPr>
              <w:t>3</w:t>
            </w:r>
            <w:r>
              <w:rPr>
                <w:rFonts w:hint="eastAsia"/>
                <w:highlight w:val="none"/>
                <w:lang w:val="en-US" w:eastAsia="zh-CN"/>
              </w:rPr>
              <w:t>/d（600m³/a）；共2个沉淀池（长</w:t>
            </w:r>
            <w:r>
              <w:rPr>
                <w:rFonts w:hint="default"/>
                <w:highlight w:val="none"/>
                <w:lang w:val="en-US" w:eastAsia="zh-CN"/>
              </w:rPr>
              <w:t>×</w:t>
            </w:r>
            <w:r>
              <w:rPr>
                <w:rFonts w:hint="eastAsia"/>
                <w:highlight w:val="none"/>
                <w:lang w:val="en-US" w:eastAsia="zh-CN"/>
              </w:rPr>
              <w:t>宽</w:t>
            </w:r>
            <w:r>
              <w:rPr>
                <w:rFonts w:hint="default"/>
                <w:highlight w:val="none"/>
                <w:lang w:val="en-US" w:eastAsia="zh-CN"/>
              </w:rPr>
              <w:t>×</w:t>
            </w:r>
            <w:r>
              <w:rPr>
                <w:rFonts w:hint="eastAsia"/>
                <w:highlight w:val="none"/>
                <w:lang w:val="en-US" w:eastAsia="zh-CN"/>
              </w:rPr>
              <w:t>高：3x1x2m），固定存水共8t；裁切、打孔、切割用水15m</w:t>
            </w:r>
            <w:r>
              <w:rPr>
                <w:rFonts w:hint="eastAsia"/>
                <w:highlight w:val="none"/>
                <w:vertAlign w:val="superscript"/>
                <w:lang w:val="en-US" w:eastAsia="zh-CN"/>
              </w:rPr>
              <w:t>3</w:t>
            </w:r>
            <w:r>
              <w:rPr>
                <w:rFonts w:hint="eastAsia"/>
                <w:highlight w:val="none"/>
                <w:lang w:val="en-US" w:eastAsia="zh-CN"/>
              </w:rPr>
              <w:t>/d（3000m³/a），循环用水量14.5t/d（2900m³/a），即新鲜用水量3.5m</w:t>
            </w:r>
            <w:r>
              <w:rPr>
                <w:rFonts w:hint="eastAsia"/>
                <w:highlight w:val="none"/>
                <w:vertAlign w:val="superscript"/>
                <w:lang w:val="en-US" w:eastAsia="zh-CN"/>
              </w:rPr>
              <w:t>3</w:t>
            </w:r>
            <w:r>
              <w:rPr>
                <w:rFonts w:hint="eastAsia"/>
                <w:highlight w:val="none"/>
                <w:lang w:val="en-US" w:eastAsia="zh-CN"/>
              </w:rPr>
              <w:t>/d（700m³/a），生产总用水量708m³/a；</w:t>
            </w:r>
          </w:p>
          <w:p w14:paraId="363D24B2">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jc w:val="left"/>
              <w:textAlignment w:val="auto"/>
              <w:rPr>
                <w:rFonts w:hint="eastAsia"/>
                <w:highlight w:val="none"/>
                <w:lang w:val="en-US" w:eastAsia="zh-CN"/>
              </w:rPr>
            </w:pPr>
            <w:r>
              <w:rPr>
                <w:rFonts w:hint="eastAsia"/>
                <w:highlight w:val="none"/>
                <w:lang w:val="en-US" w:eastAsia="zh-CN"/>
              </w:rPr>
              <w:t xml:space="preserve">②排水：生产废水主要包括裁切养护、打孔切割工序产生的裁切、打孔、切割废水，排入沉淀池，循环使用。员工由厂内调剂，不新增劳动定员，不新增生活废水。 </w:t>
            </w:r>
          </w:p>
          <w:p w14:paraId="0582C0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highlight w:val="none"/>
                <w:lang w:val="en-US" w:eastAsia="zh-CN"/>
              </w:rPr>
            </w:pPr>
            <w:r>
              <w:rPr>
                <w:rFonts w:hint="default"/>
                <w:b/>
                <w:bCs/>
                <w:highlight w:val="none"/>
                <w:lang w:val="en-US" w:eastAsia="zh-CN"/>
              </w:rPr>
              <w:drawing>
                <wp:anchor distT="0" distB="0" distL="114935" distR="114935" simplePos="0" relativeHeight="251660288" behindDoc="0" locked="0" layoutInCell="1" allowOverlap="1">
                  <wp:simplePos x="0" y="0"/>
                  <wp:positionH relativeFrom="column">
                    <wp:posOffset>121920</wp:posOffset>
                  </wp:positionH>
                  <wp:positionV relativeFrom="paragraph">
                    <wp:posOffset>69850</wp:posOffset>
                  </wp:positionV>
                  <wp:extent cx="4780280" cy="1739900"/>
                  <wp:effectExtent l="0" t="0" r="1270" b="12700"/>
                  <wp:wrapTopAndBottom/>
                  <wp:docPr id="6" name="ECB019B1-382A-4266-B25C-5B523AA43C14-1" descr="C:/Users/Administrator/AppData/Local/Temp/wps.FziOU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1" descr="C:/Users/Administrator/AppData/Local/Temp/wps.FziOURwps"/>
                          <pic:cNvPicPr>
                            <a:picLocks noChangeAspect="1"/>
                          </pic:cNvPicPr>
                        </pic:nvPicPr>
                        <pic:blipFill>
                          <a:blip r:embed="rId7"/>
                          <a:srcRect l="6155" t="15271" r="3077" b="9281"/>
                          <a:stretch>
                            <a:fillRect/>
                          </a:stretch>
                        </pic:blipFill>
                        <pic:spPr>
                          <a:xfrm>
                            <a:off x="0" y="0"/>
                            <a:ext cx="4780280" cy="1739900"/>
                          </a:xfrm>
                          <a:prstGeom prst="rect">
                            <a:avLst/>
                          </a:prstGeom>
                        </pic:spPr>
                      </pic:pic>
                    </a:graphicData>
                  </a:graphic>
                </wp:anchor>
              </w:drawing>
            </w:r>
            <w:r>
              <w:rPr>
                <w:rFonts w:hint="eastAsia"/>
                <w:b/>
                <w:bCs/>
                <w:highlight w:val="none"/>
                <w:lang w:val="en-US" w:eastAsia="zh-CN"/>
              </w:rPr>
              <w:t>图2-1   项目水平衡图（m</w:t>
            </w:r>
            <w:r>
              <w:rPr>
                <w:rFonts w:hint="eastAsia"/>
                <w:b/>
                <w:bCs/>
                <w:highlight w:val="none"/>
                <w:vertAlign w:val="superscript"/>
                <w:lang w:val="en-US" w:eastAsia="zh-CN"/>
              </w:rPr>
              <w:t>3/</w:t>
            </w:r>
            <w:r>
              <w:rPr>
                <w:rFonts w:hint="eastAsia"/>
                <w:b/>
                <w:bCs/>
                <w:highlight w:val="none"/>
                <w:lang w:val="en-US" w:eastAsia="zh-CN"/>
              </w:rPr>
              <w:t>d）</w:t>
            </w:r>
          </w:p>
          <w:p w14:paraId="3276B611">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highlight w:val="none"/>
                <w:lang w:val="en-US" w:eastAsia="zh-CN"/>
              </w:rPr>
            </w:pPr>
            <w:r>
              <w:rPr>
                <w:rFonts w:hint="eastAsia"/>
                <w:highlight w:val="none"/>
                <w:lang w:val="en-US" w:eastAsia="zh-CN"/>
              </w:rPr>
              <w:t>（12）项目地理位置、平面布置及周边关系：</w:t>
            </w:r>
          </w:p>
          <w:p w14:paraId="4E5EC850">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highlight w:val="none"/>
                <w:lang w:val="en-US" w:eastAsia="zh-CN"/>
              </w:rPr>
            </w:pPr>
            <w:r>
              <w:rPr>
                <w:rFonts w:hint="eastAsia"/>
                <w:highlight w:val="none"/>
                <w:lang w:val="en-US" w:eastAsia="zh-CN"/>
              </w:rPr>
              <w:t>地理位置：本项目位于唐山市高新技术产业开发区老庄子镇李官屯村东。占地面积1350平方米，厂区</w:t>
            </w:r>
            <w:r>
              <w:rPr>
                <w:rFonts w:hint="default"/>
                <w:highlight w:val="none"/>
              </w:rPr>
              <w:t>中心坐标为</w:t>
            </w:r>
            <w:r>
              <w:rPr>
                <w:rFonts w:hint="default"/>
                <w:highlight w:val="none"/>
                <w:lang w:val="en-US" w:eastAsia="zh-CN"/>
              </w:rPr>
              <w:t>118°</w:t>
            </w:r>
            <w:r>
              <w:rPr>
                <w:rFonts w:hint="eastAsia"/>
                <w:highlight w:val="none"/>
                <w:lang w:val="en-US" w:eastAsia="zh-CN"/>
              </w:rPr>
              <w:t>4</w:t>
            </w:r>
            <w:r>
              <w:rPr>
                <w:rFonts w:hint="default"/>
                <w:highlight w:val="none"/>
                <w:lang w:val="en-US" w:eastAsia="zh-CN"/>
              </w:rPr>
              <w:t>′</w:t>
            </w:r>
            <w:r>
              <w:rPr>
                <w:rFonts w:hint="eastAsia"/>
                <w:highlight w:val="none"/>
                <w:lang w:val="en-US" w:eastAsia="zh-CN"/>
              </w:rPr>
              <w:t>16.482″，北纬</w:t>
            </w:r>
            <w:r>
              <w:rPr>
                <w:rFonts w:hint="default"/>
                <w:highlight w:val="none"/>
                <w:lang w:val="en-US" w:eastAsia="zh-CN"/>
              </w:rPr>
              <w:t>39°</w:t>
            </w:r>
            <w:r>
              <w:rPr>
                <w:rFonts w:hint="eastAsia"/>
                <w:highlight w:val="none"/>
                <w:lang w:val="en-US" w:eastAsia="zh-CN"/>
              </w:rPr>
              <w:t>40</w:t>
            </w:r>
            <w:r>
              <w:rPr>
                <w:rFonts w:hint="default"/>
                <w:highlight w:val="none"/>
                <w:lang w:val="en-US" w:eastAsia="zh-CN"/>
              </w:rPr>
              <w:t>′</w:t>
            </w:r>
            <w:r>
              <w:rPr>
                <w:rFonts w:hint="eastAsia"/>
                <w:highlight w:val="none"/>
                <w:lang w:val="en-US" w:eastAsia="zh-CN"/>
              </w:rPr>
              <w:t>47.769″。项目地理位置见附图。</w:t>
            </w:r>
          </w:p>
          <w:p w14:paraId="582342E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default"/>
                <w:highlight w:val="none"/>
                <w:lang w:val="en-US"/>
              </w:rPr>
            </w:pPr>
            <w:r>
              <w:rPr>
                <w:rFonts w:hint="eastAsia"/>
                <w:highlight w:val="none"/>
                <w:lang w:val="en-US" w:eastAsia="zh-CN"/>
              </w:rPr>
              <w:t>周边关系：本项目</w:t>
            </w:r>
            <w:r>
              <w:rPr>
                <w:rFonts w:hint="default"/>
                <w:highlight w:val="none"/>
                <w:lang w:val="en-US" w:eastAsia="zh-CN"/>
              </w:rPr>
              <w:t>西侧</w:t>
            </w:r>
            <w:r>
              <w:rPr>
                <w:rFonts w:hint="default"/>
                <w:highlight w:val="none"/>
              </w:rPr>
              <w:t>为</w:t>
            </w:r>
            <w:r>
              <w:rPr>
                <w:rFonts w:hint="default"/>
                <w:highlight w:val="none"/>
                <w:lang w:val="en-US" w:eastAsia="zh-CN"/>
              </w:rPr>
              <w:t>耕地</w:t>
            </w:r>
            <w:r>
              <w:rPr>
                <w:rFonts w:hint="default"/>
                <w:highlight w:val="none"/>
              </w:rPr>
              <w:t>，东侧</w:t>
            </w:r>
            <w:r>
              <w:rPr>
                <w:rFonts w:hint="eastAsia"/>
                <w:highlight w:val="none"/>
                <w:lang w:eastAsia="zh-CN"/>
              </w:rPr>
              <w:t>、</w:t>
            </w:r>
            <w:r>
              <w:rPr>
                <w:rFonts w:hint="eastAsia"/>
                <w:highlight w:val="none"/>
                <w:lang w:val="en-US" w:eastAsia="zh-CN"/>
              </w:rPr>
              <w:t>南侧</w:t>
            </w:r>
            <w:r>
              <w:rPr>
                <w:rFonts w:hint="default"/>
                <w:highlight w:val="none"/>
              </w:rPr>
              <w:t>为</w:t>
            </w:r>
            <w:r>
              <w:rPr>
                <w:rFonts w:hint="eastAsia"/>
                <w:highlight w:val="none"/>
                <w:lang w:val="en-US" w:eastAsia="zh-CN"/>
              </w:rPr>
              <w:t>唐山市盛华世家仓储购物有限公司</w:t>
            </w:r>
            <w:r>
              <w:rPr>
                <w:rFonts w:hint="default"/>
                <w:highlight w:val="none"/>
              </w:rPr>
              <w:t>，</w:t>
            </w:r>
            <w:r>
              <w:rPr>
                <w:rFonts w:hint="eastAsia"/>
                <w:highlight w:val="none"/>
                <w:lang w:val="en-US" w:eastAsia="zh-CN"/>
              </w:rPr>
              <w:t>北</w:t>
            </w:r>
            <w:r>
              <w:rPr>
                <w:rFonts w:hint="default"/>
                <w:highlight w:val="none"/>
              </w:rPr>
              <w:t>侧</w:t>
            </w:r>
            <w:r>
              <w:rPr>
                <w:rFonts w:hint="default"/>
                <w:highlight w:val="none"/>
                <w:lang w:val="en-US" w:eastAsia="zh-CN"/>
              </w:rPr>
              <w:t>隔乡村路</w:t>
            </w:r>
            <w:r>
              <w:rPr>
                <w:rFonts w:hint="default"/>
                <w:highlight w:val="none"/>
              </w:rPr>
              <w:t>为</w:t>
            </w:r>
            <w:r>
              <w:rPr>
                <w:rFonts w:hint="eastAsia"/>
                <w:highlight w:val="none"/>
                <w:lang w:val="en-US" w:eastAsia="zh-CN"/>
              </w:rPr>
              <w:t>闲置厂区</w:t>
            </w:r>
            <w:r>
              <w:rPr>
                <w:rFonts w:hint="default"/>
                <w:highlight w:val="none"/>
              </w:rPr>
              <w:t>，</w:t>
            </w:r>
            <w:r>
              <w:rPr>
                <w:rFonts w:hint="eastAsia"/>
                <w:highlight w:val="none"/>
                <w:lang w:val="en-US" w:eastAsia="zh-CN"/>
              </w:rPr>
              <w:t>项目平面布置及周边关系见附图。本</w:t>
            </w:r>
            <w:r>
              <w:rPr>
                <w:rFonts w:hint="default"/>
                <w:highlight w:val="none"/>
              </w:rPr>
              <w:t>项目最近敏感点为</w:t>
            </w:r>
            <w:r>
              <w:rPr>
                <w:rFonts w:hint="default"/>
                <w:highlight w:val="none"/>
                <w:lang w:val="en-US" w:eastAsia="zh-CN"/>
              </w:rPr>
              <w:t>西</w:t>
            </w:r>
            <w:r>
              <w:rPr>
                <w:rFonts w:hint="default"/>
                <w:highlight w:val="none"/>
              </w:rPr>
              <w:t>侧</w:t>
            </w:r>
            <w:r>
              <w:rPr>
                <w:rFonts w:hint="eastAsia"/>
                <w:highlight w:val="none"/>
                <w:lang w:val="en-US" w:eastAsia="zh-CN"/>
              </w:rPr>
              <w:t>300</w:t>
            </w:r>
            <w:r>
              <w:rPr>
                <w:rFonts w:hint="default"/>
                <w:highlight w:val="none"/>
              </w:rPr>
              <w:t>m处的</w:t>
            </w:r>
            <w:r>
              <w:rPr>
                <w:rFonts w:hint="eastAsia"/>
                <w:highlight w:val="none"/>
                <w:lang w:val="en-US" w:eastAsia="zh-CN"/>
              </w:rPr>
              <w:t>李官屯</w:t>
            </w:r>
            <w:r>
              <w:rPr>
                <w:rFonts w:hint="default"/>
                <w:highlight w:val="none"/>
                <w:lang w:val="en-US" w:eastAsia="zh-CN"/>
              </w:rPr>
              <w:t>村</w:t>
            </w:r>
            <w:r>
              <w:rPr>
                <w:rFonts w:hint="eastAsia"/>
                <w:highlight w:val="none"/>
                <w:lang w:val="en-US" w:eastAsia="zh-CN"/>
              </w:rPr>
              <w:t>、距离370m的小星星幼儿园和南侧距离500m的大张刘村，项目环境保护目标图见附图。本项目距离最近的水源地保护区为南侧的大张刘庄集中式饮用水水源地一级保护区，距离约360m，位置关系见附图。</w:t>
            </w:r>
          </w:p>
        </w:tc>
      </w:tr>
      <w:tr w14:paraId="268575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73" w:hRule="atLeast"/>
          <w:jc w:val="center"/>
        </w:trPr>
        <w:tc>
          <w:tcPr>
            <w:tcW w:w="823" w:type="dxa"/>
            <w:noWrap w:val="0"/>
            <w:vAlign w:val="center"/>
          </w:tcPr>
          <w:p w14:paraId="01900FD7">
            <w:pPr>
              <w:pStyle w:val="16"/>
              <w:adjustRightInd w:val="0"/>
              <w:snapToGrid w:val="0"/>
              <w:spacing w:before="0" w:beforeAutospacing="0" w:after="0" w:afterAutospacing="0"/>
              <w:jc w:val="center"/>
              <w:rPr>
                <w:rFonts w:hint="eastAsia" w:cs="宋体"/>
                <w:sz w:val="21"/>
                <w:szCs w:val="21"/>
                <w:highlight w:val="none"/>
              </w:rPr>
            </w:pPr>
            <w:r>
              <w:rPr>
                <w:rFonts w:hint="eastAsia" w:cs="宋体"/>
                <w:sz w:val="21"/>
                <w:szCs w:val="21"/>
                <w:highlight w:val="none"/>
              </w:rPr>
              <w:t>工艺流程和产排污环节</w:t>
            </w:r>
          </w:p>
        </w:tc>
        <w:tc>
          <w:tcPr>
            <w:tcW w:w="8161" w:type="dxa"/>
            <w:noWrap w:val="0"/>
            <w:vAlign w:val="top"/>
          </w:tcPr>
          <w:p w14:paraId="05E77675">
            <w:pPr>
              <w:keepNext w:val="0"/>
              <w:keepLines w:val="0"/>
              <w:pageBreakBefore w:val="0"/>
              <w:kinsoku/>
              <w:wordWrap/>
              <w:overflowPunct/>
              <w:topLinePunct w:val="0"/>
              <w:bidi w:val="0"/>
              <w:adjustRightInd w:val="0"/>
              <w:snapToGrid w:val="0"/>
              <w:spacing w:line="400" w:lineRule="exact"/>
              <w:rPr>
                <w:highlight w:val="none"/>
              </w:rPr>
            </w:pPr>
            <w:r>
              <w:rPr>
                <w:rFonts w:hint="eastAsia"/>
                <w:highlight w:val="none"/>
                <w:lang w:val="en-US" w:eastAsia="zh-CN"/>
              </w:rPr>
              <w:t>一体板工艺流程</w:t>
            </w:r>
          </w:p>
          <w:p w14:paraId="7A12817C">
            <w:pPr>
              <w:keepNext w:val="0"/>
              <w:keepLines w:val="0"/>
              <w:pageBreakBefore w:val="0"/>
              <w:kinsoku/>
              <w:wordWrap/>
              <w:overflowPunct/>
              <w:topLinePunct w:val="0"/>
              <w:bidi w:val="0"/>
              <w:spacing w:line="400" w:lineRule="exact"/>
              <w:ind w:firstLine="420" w:firstLineChars="200"/>
              <w:jc w:val="both"/>
              <w:rPr>
                <w:rFonts w:hint="eastAsia"/>
                <w:highlight w:val="none"/>
                <w:lang w:val="en-US" w:eastAsia="zh-CN"/>
              </w:rPr>
            </w:pPr>
            <w:r>
              <w:rPr>
                <w:rFonts w:hint="eastAsia"/>
                <w:highlight w:val="none"/>
                <w:lang w:val="en-US" w:eastAsia="zh-CN"/>
              </w:rPr>
              <w:t>（1）上料：聚合物粘接砂浆、聚合物保温砂浆、聚合物抗裂砂浆通过1台斗提机分别进入到3个料仓；将外购的聚苯乙烯颗粒人工拆袋，气力输送至料仓内暂存，此过程密闭。聚合物粘接砂浆、聚合物保温砂浆、聚合物抗裂砂浆通过绞龙输送到对应的计量仓，水同时也进入对应的3个水的计量仓。</w:t>
            </w:r>
          </w:p>
          <w:p w14:paraId="78FE2436">
            <w:pPr>
              <w:keepNext w:val="0"/>
              <w:keepLines w:val="0"/>
              <w:pageBreakBefore w:val="0"/>
              <w:kinsoku/>
              <w:wordWrap/>
              <w:overflowPunct/>
              <w:topLinePunct w:val="0"/>
              <w:bidi w:val="0"/>
              <w:spacing w:line="400" w:lineRule="exact"/>
              <w:ind w:firstLine="422" w:firstLineChars="200"/>
              <w:jc w:val="both"/>
              <w:rPr>
                <w:rFonts w:hint="eastAsia"/>
                <w:highlight w:val="none"/>
                <w:lang w:val="en-US" w:eastAsia="zh-CN"/>
              </w:rPr>
            </w:pPr>
            <w:r>
              <w:rPr>
                <w:rFonts w:hint="eastAsia"/>
                <w:b/>
                <w:bCs/>
                <w:highlight w:val="none"/>
                <w:lang w:val="en-US" w:eastAsia="zh-CN"/>
              </w:rPr>
              <w:t>产污节点：砂浆上料废气G</w:t>
            </w:r>
            <w:r>
              <w:rPr>
                <w:rFonts w:hint="eastAsia"/>
                <w:b/>
                <w:bCs/>
                <w:highlight w:val="none"/>
                <w:vertAlign w:val="subscript"/>
                <w:lang w:val="en-US" w:eastAsia="zh-CN"/>
              </w:rPr>
              <w:t>1</w:t>
            </w:r>
            <w:r>
              <w:rPr>
                <w:rFonts w:hint="eastAsia"/>
                <w:b/>
                <w:bCs/>
                <w:highlight w:val="none"/>
                <w:lang w:val="en-US" w:eastAsia="zh-CN"/>
              </w:rPr>
              <w:t>、砂浆料仓和砂浆计量仓落料废气G</w:t>
            </w:r>
            <w:r>
              <w:rPr>
                <w:rFonts w:hint="eastAsia"/>
                <w:b/>
                <w:bCs/>
                <w:highlight w:val="none"/>
                <w:vertAlign w:val="subscript"/>
                <w:lang w:val="en-US" w:eastAsia="zh-CN"/>
              </w:rPr>
              <w:t>2</w:t>
            </w:r>
            <w:r>
              <w:rPr>
                <w:rFonts w:hint="eastAsia"/>
                <w:b/>
                <w:bCs/>
                <w:highlight w:val="none"/>
                <w:lang w:val="en-US" w:eastAsia="zh-CN"/>
              </w:rPr>
              <w:t>、G</w:t>
            </w:r>
            <w:r>
              <w:rPr>
                <w:rFonts w:hint="eastAsia"/>
                <w:b/>
                <w:bCs/>
                <w:highlight w:val="none"/>
                <w:vertAlign w:val="subscript"/>
                <w:lang w:val="en-US" w:eastAsia="zh-CN"/>
              </w:rPr>
              <w:t>3</w:t>
            </w:r>
            <w:r>
              <w:rPr>
                <w:rFonts w:hint="eastAsia"/>
                <w:b/>
                <w:bCs/>
                <w:highlight w:val="none"/>
                <w:vertAlign w:val="baseline"/>
                <w:lang w:val="en-US" w:eastAsia="zh-CN"/>
              </w:rPr>
              <w:t>，</w:t>
            </w:r>
            <w:r>
              <w:rPr>
                <w:rFonts w:hint="eastAsia"/>
                <w:b/>
                <w:bCs/>
                <w:highlight w:val="none"/>
                <w:lang w:val="en-US" w:eastAsia="zh-CN"/>
              </w:rPr>
              <w:t>废包装袋S</w:t>
            </w:r>
            <w:r>
              <w:rPr>
                <w:rFonts w:hint="eastAsia"/>
                <w:b/>
                <w:bCs/>
                <w:highlight w:val="none"/>
                <w:vertAlign w:val="subscript"/>
                <w:lang w:val="en-US" w:eastAsia="zh-CN"/>
              </w:rPr>
              <w:t>1</w:t>
            </w:r>
            <w:r>
              <w:rPr>
                <w:rFonts w:hint="eastAsia"/>
                <w:b/>
                <w:bCs/>
                <w:highlight w:val="none"/>
                <w:lang w:val="en-US" w:eastAsia="zh-CN"/>
              </w:rPr>
              <w:t>、噪声污染源为上料风机运行时产生的噪声N</w:t>
            </w:r>
            <w:r>
              <w:rPr>
                <w:rFonts w:hint="eastAsia"/>
                <w:b/>
                <w:bCs/>
                <w:highlight w:val="none"/>
                <w:vertAlign w:val="subscript"/>
                <w:lang w:val="en-US" w:eastAsia="zh-CN"/>
              </w:rPr>
              <w:t>1</w:t>
            </w:r>
            <w:r>
              <w:rPr>
                <w:rFonts w:hint="eastAsia"/>
                <w:b/>
                <w:bCs/>
                <w:highlight w:val="none"/>
                <w:lang w:val="en-US" w:eastAsia="zh-CN"/>
              </w:rPr>
              <w:t>、N</w:t>
            </w:r>
            <w:r>
              <w:rPr>
                <w:rFonts w:hint="eastAsia"/>
                <w:b/>
                <w:bCs/>
                <w:highlight w:val="none"/>
                <w:vertAlign w:val="subscript"/>
                <w:lang w:val="en-US" w:eastAsia="zh-CN"/>
              </w:rPr>
              <w:t>2</w:t>
            </w:r>
            <w:r>
              <w:rPr>
                <w:rFonts w:hint="eastAsia"/>
                <w:b/>
                <w:bCs/>
                <w:highlight w:val="none"/>
                <w:lang w:val="en-US" w:eastAsia="zh-CN"/>
              </w:rPr>
              <w:t>。</w:t>
            </w:r>
          </w:p>
          <w:p w14:paraId="1B6E430A">
            <w:pPr>
              <w:keepNext w:val="0"/>
              <w:keepLines w:val="0"/>
              <w:pageBreakBefore w:val="0"/>
              <w:numPr>
                <w:ilvl w:val="0"/>
                <w:numId w:val="6"/>
              </w:numPr>
              <w:kinsoku/>
              <w:wordWrap/>
              <w:overflowPunct/>
              <w:topLinePunct w:val="0"/>
              <w:bidi w:val="0"/>
              <w:spacing w:line="400" w:lineRule="exact"/>
              <w:ind w:firstLine="420" w:firstLineChars="200"/>
              <w:jc w:val="both"/>
              <w:rPr>
                <w:rFonts w:hint="eastAsia"/>
                <w:highlight w:val="none"/>
                <w:lang w:val="en-US" w:eastAsia="zh-CN"/>
              </w:rPr>
            </w:pPr>
            <w:r>
              <w:rPr>
                <w:rFonts w:hint="eastAsia"/>
                <w:highlight w:val="none"/>
                <w:lang w:val="en-US" w:eastAsia="zh-CN"/>
              </w:rPr>
              <w:t>搅拌：控制柜控制砂浆、水和聚苯颗粒比例，按比例输送到对应的3个搅拌机，3号搅拌机水和聚合物粘接砂浆的比例为17kg：100kg；2号搅拌机水、聚合物保温砂浆、聚苯乙烯颗粒的比例30kg：100kg：1m³；1号搅拌机水和聚合物抗裂砂浆的比例为17kg：100kg，搅拌均匀后进入对应的3个二次搅拌机（此搅拌机可控制下料）待用。</w:t>
            </w:r>
          </w:p>
          <w:p w14:paraId="34D9D8C6">
            <w:pPr>
              <w:keepNext w:val="0"/>
              <w:keepLines w:val="0"/>
              <w:pageBreakBefore w:val="0"/>
              <w:kinsoku/>
              <w:wordWrap/>
              <w:overflowPunct/>
              <w:topLinePunct w:val="0"/>
              <w:bidi w:val="0"/>
              <w:spacing w:line="400" w:lineRule="exact"/>
              <w:ind w:firstLine="422" w:firstLineChars="200"/>
              <w:jc w:val="both"/>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产污节点：搅拌机产生的落料废气G</w:t>
            </w:r>
            <w:r>
              <w:rPr>
                <w:rFonts w:hint="eastAsia" w:cs="Times New Roman"/>
                <w:b/>
                <w:bCs/>
                <w:highlight w:val="none"/>
                <w:vertAlign w:val="subscript"/>
                <w:lang w:val="en-US" w:eastAsia="zh-CN"/>
              </w:rPr>
              <w:t>4</w:t>
            </w:r>
            <w:r>
              <w:rPr>
                <w:rFonts w:hint="eastAsia" w:ascii="Times New Roman" w:hAnsi="Times New Roman" w:cs="Times New Roman"/>
                <w:b/>
                <w:bCs/>
                <w:highlight w:val="none"/>
                <w:lang w:val="en-US" w:eastAsia="zh-CN"/>
              </w:rPr>
              <w:t>，噪声污染源为搅拌机、</w:t>
            </w:r>
            <w:r>
              <w:rPr>
                <w:rFonts w:hint="eastAsia" w:cs="Times New Roman"/>
                <w:b/>
                <w:bCs/>
                <w:highlight w:val="none"/>
                <w:lang w:val="en-US" w:eastAsia="zh-CN"/>
              </w:rPr>
              <w:t>二次</w:t>
            </w:r>
            <w:r>
              <w:rPr>
                <w:rFonts w:hint="eastAsia" w:ascii="Times New Roman" w:hAnsi="Times New Roman" w:cs="Times New Roman"/>
                <w:b/>
                <w:bCs/>
                <w:highlight w:val="none"/>
                <w:lang w:val="en-US" w:eastAsia="zh-CN"/>
              </w:rPr>
              <w:t>搅拌机运行时产生的噪声N</w:t>
            </w:r>
            <w:r>
              <w:rPr>
                <w:rFonts w:hint="eastAsia" w:ascii="Times New Roman" w:hAnsi="Times New Roman" w:cs="Times New Roman"/>
                <w:b/>
                <w:bCs/>
                <w:highlight w:val="none"/>
                <w:vertAlign w:val="subscript"/>
                <w:lang w:val="en-US" w:eastAsia="zh-CN"/>
              </w:rPr>
              <w:t>3</w:t>
            </w:r>
            <w:r>
              <w:rPr>
                <w:rFonts w:hint="eastAsia" w:ascii="Times New Roman" w:hAnsi="Times New Roman" w:cs="Times New Roman"/>
                <w:b/>
                <w:bCs/>
                <w:highlight w:val="none"/>
                <w:lang w:val="en-US" w:eastAsia="zh-CN"/>
              </w:rPr>
              <w:t>、N</w:t>
            </w:r>
            <w:r>
              <w:rPr>
                <w:rFonts w:hint="eastAsia" w:ascii="Times New Roman" w:hAnsi="Times New Roman" w:cs="Times New Roman"/>
                <w:b/>
                <w:bCs/>
                <w:highlight w:val="none"/>
                <w:vertAlign w:val="subscript"/>
                <w:lang w:val="en-US" w:eastAsia="zh-CN"/>
              </w:rPr>
              <w:t>4</w:t>
            </w:r>
            <w:r>
              <w:rPr>
                <w:rFonts w:hint="eastAsia" w:ascii="Times New Roman" w:hAnsi="Times New Roman" w:cs="Times New Roman"/>
                <w:b/>
                <w:bCs/>
                <w:highlight w:val="none"/>
                <w:lang w:val="en-US" w:eastAsia="zh-CN"/>
              </w:rPr>
              <w:t>。</w:t>
            </w:r>
          </w:p>
          <w:p w14:paraId="56DEA129">
            <w:pPr>
              <w:keepNext w:val="0"/>
              <w:keepLines w:val="0"/>
              <w:pageBreakBefore w:val="0"/>
              <w:widowControl/>
              <w:suppressLineNumbers w:val="0"/>
              <w:kinsoku/>
              <w:wordWrap/>
              <w:overflowPunct/>
              <w:topLinePunct w:val="0"/>
              <w:autoSpaceDE/>
              <w:autoSpaceDN/>
              <w:bidi w:val="0"/>
              <w:adjustRightInd/>
              <w:snapToGrid/>
              <w:spacing w:line="400" w:lineRule="exact"/>
              <w:ind w:firstLine="420" w:firstLineChars="200"/>
              <w:jc w:val="both"/>
              <w:textAlignment w:val="auto"/>
              <w:rPr>
                <w:rFonts w:hint="eastAsia"/>
                <w:highlight w:val="none"/>
                <w:lang w:val="en-US" w:eastAsia="zh-CN"/>
              </w:rPr>
            </w:pPr>
            <w:r>
              <w:rPr>
                <w:rFonts w:hint="eastAsia"/>
                <w:highlight w:val="none"/>
                <w:lang w:val="en-US" w:eastAsia="zh-CN"/>
              </w:rPr>
              <w:t>（3）复合板材：XPS挤塑板平整均匀地放在料架上，料架放入机器后打开自动，</w:t>
            </w:r>
            <w:r>
              <w:rPr>
                <w:rFonts w:hint="eastAsia" w:ascii="Times New Roman" w:hAnsi="Times New Roman" w:eastAsia="宋体" w:cs="Times New Roman"/>
                <w:kern w:val="2"/>
                <w:sz w:val="21"/>
                <w:szCs w:val="24"/>
                <w:highlight w:val="none"/>
                <w:lang w:val="en-US" w:eastAsia="zh-CN" w:bidi="ar-SA"/>
              </w:rPr>
              <w:t>XPS挤塑板会自动平整输送到设备导轨架上，通过3号</w:t>
            </w:r>
            <w:r>
              <w:rPr>
                <w:rFonts w:hint="eastAsia" w:cs="Times New Roman"/>
                <w:kern w:val="2"/>
                <w:sz w:val="21"/>
                <w:szCs w:val="24"/>
                <w:highlight w:val="none"/>
                <w:lang w:val="en-US" w:eastAsia="zh-CN" w:bidi="ar-SA"/>
              </w:rPr>
              <w:t>二次</w:t>
            </w:r>
            <w:r>
              <w:rPr>
                <w:rFonts w:hint="eastAsia" w:ascii="Times New Roman" w:hAnsi="Times New Roman" w:eastAsia="宋体" w:cs="Times New Roman"/>
                <w:kern w:val="2"/>
                <w:sz w:val="21"/>
                <w:szCs w:val="24"/>
                <w:highlight w:val="none"/>
                <w:lang w:val="en-US" w:eastAsia="zh-CN" w:bidi="ar-SA"/>
              </w:rPr>
              <w:t>搅拌机下料，抹第一层砂浆薄面抹平，大概2mm砂浆厚，然后输送到养护架，进入养护区自然养护，氧化好的半</w:t>
            </w:r>
          </w:p>
        </w:tc>
      </w:tr>
      <w:tr w14:paraId="42C27B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5" w:hRule="atLeast"/>
          <w:jc w:val="center"/>
        </w:trPr>
        <w:tc>
          <w:tcPr>
            <w:tcW w:w="823" w:type="dxa"/>
            <w:noWrap w:val="0"/>
            <w:vAlign w:val="center"/>
          </w:tcPr>
          <w:p w14:paraId="151372A9">
            <w:pPr>
              <w:pStyle w:val="16"/>
              <w:adjustRightInd w:val="0"/>
              <w:snapToGrid w:val="0"/>
              <w:spacing w:before="0" w:beforeAutospacing="0" w:after="0" w:afterAutospacing="0"/>
              <w:jc w:val="center"/>
              <w:rPr>
                <w:rFonts w:hint="eastAsia" w:cs="宋体"/>
                <w:sz w:val="21"/>
                <w:szCs w:val="21"/>
                <w:highlight w:val="none"/>
              </w:rPr>
            </w:pPr>
            <w:r>
              <w:rPr>
                <w:rFonts w:hint="eastAsia" w:cs="宋体"/>
                <w:sz w:val="21"/>
                <w:szCs w:val="21"/>
                <w:highlight w:val="none"/>
              </w:rPr>
              <w:t>工艺流程和产排污环节</w:t>
            </w:r>
          </w:p>
        </w:tc>
        <w:tc>
          <w:tcPr>
            <w:tcW w:w="8161" w:type="dxa"/>
            <w:noWrap w:val="0"/>
            <w:vAlign w:val="top"/>
          </w:tcPr>
          <w:p w14:paraId="06F63711">
            <w:pPr>
              <w:pStyle w:val="17"/>
              <w:keepNext w:val="0"/>
              <w:keepLines w:val="0"/>
              <w:pageBreakBefore w:val="0"/>
              <w:numPr>
                <w:ilvl w:val="0"/>
                <w:numId w:val="0"/>
              </w:numPr>
              <w:kinsoku/>
              <w:wordWrap/>
              <w:overflowPunct/>
              <w:topLinePunct w:val="0"/>
              <w:bidi w:val="0"/>
              <w:spacing w:line="400" w:lineRule="exact"/>
              <w:rPr>
                <w:rFonts w:hint="eastAsia"/>
                <w:highlight w:val="none"/>
                <w:lang w:val="en-US" w:eastAsia="zh-CN"/>
              </w:rPr>
            </w:pPr>
            <w:r>
              <w:rPr>
                <w:rFonts w:hint="eastAsia" w:ascii="Times New Roman" w:hAnsi="Times New Roman" w:eastAsia="宋体" w:cs="Times New Roman"/>
                <w:kern w:val="2"/>
                <w:sz w:val="21"/>
                <w:szCs w:val="24"/>
                <w:highlight w:val="none"/>
                <w:lang w:val="en-US" w:eastAsia="zh-CN" w:bidi="ar-SA"/>
              </w:rPr>
              <w:t>成品</w:t>
            </w:r>
            <w:r>
              <w:rPr>
                <w:rFonts w:hint="eastAsia" w:cs="Times New Roman"/>
                <w:kern w:val="2"/>
                <w:sz w:val="21"/>
                <w:szCs w:val="24"/>
                <w:highlight w:val="none"/>
                <w:lang w:val="en-US" w:eastAsia="zh-CN" w:bidi="ar-SA"/>
              </w:rPr>
              <w:t>一体板</w:t>
            </w:r>
            <w:r>
              <w:rPr>
                <w:rFonts w:hint="eastAsia" w:ascii="Times New Roman" w:hAnsi="Times New Roman" w:eastAsia="宋体" w:cs="Times New Roman"/>
                <w:kern w:val="2"/>
                <w:sz w:val="21"/>
                <w:szCs w:val="24"/>
                <w:highlight w:val="none"/>
                <w:lang w:val="en-US" w:eastAsia="zh-CN" w:bidi="ar-SA"/>
              </w:rPr>
              <w:t>通过翻转机翻转再进入3号</w:t>
            </w:r>
            <w:r>
              <w:rPr>
                <w:rFonts w:hint="eastAsia" w:cs="Times New Roman"/>
                <w:kern w:val="2"/>
                <w:sz w:val="21"/>
                <w:szCs w:val="24"/>
                <w:highlight w:val="none"/>
                <w:lang w:val="en-US" w:eastAsia="zh-CN" w:bidi="ar-SA"/>
              </w:rPr>
              <w:t>二次</w:t>
            </w:r>
            <w:r>
              <w:rPr>
                <w:rFonts w:hint="eastAsia" w:ascii="Times New Roman" w:hAnsi="Times New Roman" w:eastAsia="宋体" w:cs="Times New Roman"/>
                <w:kern w:val="2"/>
                <w:sz w:val="21"/>
                <w:szCs w:val="24"/>
                <w:highlight w:val="none"/>
                <w:lang w:val="en-US" w:eastAsia="zh-CN" w:bidi="ar-SA"/>
              </w:rPr>
              <w:t>搅拌机下料背面抹第一层砂浆薄面，抹平大概2mm砂浆厚，然后到2号</w:t>
            </w:r>
            <w:r>
              <w:rPr>
                <w:rFonts w:hint="eastAsia" w:cs="Times New Roman"/>
                <w:kern w:val="2"/>
                <w:sz w:val="21"/>
                <w:szCs w:val="24"/>
                <w:highlight w:val="none"/>
                <w:lang w:val="en-US" w:eastAsia="zh-CN" w:bidi="ar-SA"/>
              </w:rPr>
              <w:t>二次</w:t>
            </w:r>
            <w:r>
              <w:rPr>
                <w:rFonts w:hint="eastAsia" w:ascii="Times New Roman" w:hAnsi="Times New Roman" w:eastAsia="宋体" w:cs="Times New Roman"/>
                <w:kern w:val="2"/>
                <w:sz w:val="21"/>
                <w:szCs w:val="24"/>
                <w:highlight w:val="none"/>
                <w:lang w:val="en-US" w:eastAsia="zh-CN" w:bidi="ar-SA"/>
              </w:rPr>
              <w:t>搅拌机下料背面抹第二层砂浆，抹平做出相应要求尺寸的厚面（20mm-80mm），随后加入网格布罩面，最后通过1号</w:t>
            </w:r>
            <w:r>
              <w:rPr>
                <w:rFonts w:hint="eastAsia" w:cs="Times New Roman"/>
                <w:kern w:val="2"/>
                <w:sz w:val="21"/>
                <w:szCs w:val="24"/>
                <w:highlight w:val="none"/>
                <w:lang w:val="en-US" w:eastAsia="zh-CN" w:bidi="ar-SA"/>
              </w:rPr>
              <w:t>二次</w:t>
            </w:r>
            <w:r>
              <w:rPr>
                <w:rFonts w:hint="eastAsia" w:ascii="Times New Roman" w:hAnsi="Times New Roman" w:eastAsia="宋体" w:cs="Times New Roman"/>
                <w:kern w:val="2"/>
                <w:sz w:val="21"/>
                <w:szCs w:val="24"/>
                <w:highlight w:val="none"/>
                <w:lang w:val="en-US" w:eastAsia="zh-CN" w:bidi="ar-SA"/>
              </w:rPr>
              <w:t>搅拌机下来的砂浆背面抹第三层砂浆薄面加网格布磨平，使其均匀（2mm）。</w:t>
            </w:r>
          </w:p>
          <w:p w14:paraId="4B2E7103">
            <w:pPr>
              <w:keepNext w:val="0"/>
              <w:keepLines w:val="0"/>
              <w:pageBreakBefore w:val="0"/>
              <w:kinsoku/>
              <w:wordWrap/>
              <w:overflowPunct/>
              <w:topLinePunct w:val="0"/>
              <w:bidi w:val="0"/>
              <w:spacing w:line="400" w:lineRule="exact"/>
              <w:ind w:firstLine="422" w:firstLineChars="200"/>
              <w:jc w:val="both"/>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产污节点：抹平过程产生的废砂浆S</w:t>
            </w:r>
            <w:r>
              <w:rPr>
                <w:rFonts w:hint="eastAsia" w:ascii="Times New Roman" w:hAnsi="Times New Roman" w:cs="Times New Roman"/>
                <w:b/>
                <w:bCs/>
                <w:highlight w:val="none"/>
                <w:vertAlign w:val="subscript"/>
                <w:lang w:val="en-US" w:eastAsia="zh-CN"/>
              </w:rPr>
              <w:t>2</w:t>
            </w:r>
            <w:r>
              <w:rPr>
                <w:rFonts w:hint="eastAsia" w:ascii="Times New Roman" w:hAnsi="Times New Roman" w:cs="Times New Roman"/>
                <w:b/>
                <w:bCs/>
                <w:highlight w:val="none"/>
                <w:lang w:val="en-US" w:eastAsia="zh-CN"/>
              </w:rPr>
              <w:t>，设备挡板上残留的凝固砂浆废料S</w:t>
            </w:r>
            <w:r>
              <w:rPr>
                <w:rFonts w:hint="eastAsia" w:ascii="Times New Roman" w:hAnsi="Times New Roman" w:cs="Times New Roman"/>
                <w:b/>
                <w:bCs/>
                <w:highlight w:val="none"/>
                <w:vertAlign w:val="subscript"/>
                <w:lang w:val="en-US" w:eastAsia="zh-CN"/>
              </w:rPr>
              <w:t>3</w:t>
            </w:r>
            <w:r>
              <w:rPr>
                <w:rFonts w:hint="eastAsia" w:ascii="Times New Roman" w:hAnsi="Times New Roman" w:cs="Times New Roman"/>
                <w:b/>
                <w:bCs/>
                <w:highlight w:val="none"/>
                <w:lang w:val="en-US" w:eastAsia="zh-CN"/>
              </w:rPr>
              <w:t>。</w:t>
            </w:r>
          </w:p>
          <w:p w14:paraId="5BCF0A4F">
            <w:pPr>
              <w:keepNext w:val="0"/>
              <w:keepLines w:val="0"/>
              <w:pageBreakBefore w:val="0"/>
              <w:numPr>
                <w:ilvl w:val="0"/>
                <w:numId w:val="0"/>
              </w:numPr>
              <w:kinsoku/>
              <w:wordWrap/>
              <w:overflowPunct/>
              <w:topLinePunct w:val="0"/>
              <w:bidi w:val="0"/>
              <w:spacing w:line="400" w:lineRule="exact"/>
              <w:ind w:left="0" w:leftChars="0" w:firstLine="420" w:firstLineChars="200"/>
              <w:jc w:val="both"/>
              <w:rPr>
                <w:rFonts w:hint="eastAsia"/>
                <w:highlight w:val="none"/>
                <w:lang w:val="en-US" w:eastAsia="zh-CN"/>
              </w:rPr>
            </w:pPr>
            <w:r>
              <w:rPr>
                <w:rFonts w:hint="eastAsia"/>
                <w:highlight w:val="none"/>
                <w:lang w:val="en-US" w:eastAsia="zh-CN"/>
              </w:rPr>
              <w:t>（4）裁切养护：所有半成品一体板复核完毕后，通过裁切所要尺寸后输送到翻转机然后到养护架，进入养护区养护（一般2-3mm薄面需要3-5小时，20-80mm厚面需要8-10小时，也根据气温不同氧护时间长短不同)，自然晾干。</w:t>
            </w:r>
          </w:p>
          <w:p w14:paraId="67067238">
            <w:pPr>
              <w:keepNext w:val="0"/>
              <w:keepLines w:val="0"/>
              <w:pageBreakBefore w:val="0"/>
              <w:kinsoku/>
              <w:wordWrap/>
              <w:overflowPunct/>
              <w:topLinePunct w:val="0"/>
              <w:bidi w:val="0"/>
              <w:spacing w:line="400" w:lineRule="exact"/>
              <w:ind w:firstLine="422" w:firstLineChars="200"/>
              <w:jc w:val="both"/>
              <w:rPr>
                <w:rFonts w:hint="default"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产污节点：裁切时喷洒一体板产生的废水W</w:t>
            </w:r>
            <w:r>
              <w:rPr>
                <w:rFonts w:hint="eastAsia" w:ascii="Times New Roman" w:hAnsi="Times New Roman" w:cs="Times New Roman"/>
                <w:b/>
                <w:bCs/>
                <w:highlight w:val="none"/>
                <w:vertAlign w:val="subscript"/>
                <w:lang w:val="en-US" w:eastAsia="zh-CN"/>
              </w:rPr>
              <w:t>1</w:t>
            </w:r>
            <w:r>
              <w:rPr>
                <w:rFonts w:hint="eastAsia" w:ascii="Times New Roman" w:hAnsi="Times New Roman" w:cs="Times New Roman"/>
                <w:b/>
                <w:bCs/>
                <w:highlight w:val="none"/>
                <w:lang w:val="en-US" w:eastAsia="zh-CN"/>
              </w:rPr>
              <w:t>，噪声污染源为裁切机运行噪声N</w:t>
            </w:r>
            <w:r>
              <w:rPr>
                <w:rFonts w:hint="eastAsia" w:ascii="Times New Roman" w:hAnsi="Times New Roman" w:cs="Times New Roman"/>
                <w:b/>
                <w:bCs/>
                <w:highlight w:val="none"/>
                <w:vertAlign w:val="subscript"/>
                <w:lang w:val="en-US" w:eastAsia="zh-CN"/>
              </w:rPr>
              <w:t>5</w:t>
            </w:r>
            <w:r>
              <w:rPr>
                <w:rFonts w:hint="eastAsia" w:ascii="Times New Roman" w:hAnsi="Times New Roman" w:cs="Times New Roman"/>
                <w:b/>
                <w:bCs/>
                <w:highlight w:val="none"/>
                <w:lang w:val="en-US" w:eastAsia="zh-CN"/>
              </w:rPr>
              <w:t>。</w:t>
            </w:r>
          </w:p>
          <w:p w14:paraId="66ECEB89">
            <w:pPr>
              <w:keepNext w:val="0"/>
              <w:keepLines w:val="0"/>
              <w:pageBreakBefore w:val="0"/>
              <w:numPr>
                <w:ilvl w:val="0"/>
                <w:numId w:val="0"/>
              </w:numPr>
              <w:kinsoku/>
              <w:wordWrap/>
              <w:overflowPunct/>
              <w:topLinePunct w:val="0"/>
              <w:bidi w:val="0"/>
              <w:spacing w:line="400" w:lineRule="exact"/>
              <w:ind w:left="0" w:leftChars="0" w:firstLine="420" w:firstLineChars="200"/>
              <w:jc w:val="both"/>
              <w:rPr>
                <w:rFonts w:hint="eastAsia"/>
                <w:highlight w:val="none"/>
                <w:lang w:val="en-US" w:eastAsia="zh-CN"/>
              </w:rPr>
            </w:pPr>
            <w:r>
              <w:rPr>
                <w:rFonts w:hint="eastAsia"/>
                <w:highlight w:val="none"/>
                <w:lang w:val="en-US" w:eastAsia="zh-CN"/>
              </w:rPr>
              <w:t>（5）打孔切割：养护好的板用叉车运送到切割机上，打开自动，板子进入打孔机打孔（每平米8个孔），随后进入到纵向切割机修理板材两边毛边达到600mm；随后进入到横向切割机去掉横向毛边（根据工地需要尺寸切割长短，一般长度在2700-3000mm）后进入码垛机；</w:t>
            </w:r>
          </w:p>
          <w:p w14:paraId="4A0FF9E9">
            <w:pPr>
              <w:keepNext w:val="0"/>
              <w:keepLines w:val="0"/>
              <w:pageBreakBefore w:val="0"/>
              <w:kinsoku/>
              <w:wordWrap/>
              <w:overflowPunct/>
              <w:topLinePunct w:val="0"/>
              <w:bidi w:val="0"/>
              <w:spacing w:line="400" w:lineRule="exact"/>
              <w:ind w:firstLine="422" w:firstLineChars="200"/>
              <w:jc w:val="both"/>
              <w:rPr>
                <w:rFonts w:hint="eastAsia" w:ascii="Times New Roman" w:hAnsi="Times New Roman" w:cs="Times New Roman"/>
                <w:b/>
                <w:bCs/>
                <w:highlight w:val="none"/>
                <w:lang w:val="en-US" w:eastAsia="zh-CN"/>
              </w:rPr>
            </w:pPr>
            <w:r>
              <w:rPr>
                <w:rFonts w:hint="eastAsia" w:ascii="Times New Roman" w:hAnsi="Times New Roman" w:cs="Times New Roman"/>
                <w:b/>
                <w:bCs/>
                <w:highlight w:val="none"/>
                <w:lang w:val="en-US" w:eastAsia="zh-CN"/>
              </w:rPr>
              <w:t>产污节点：打孔、切割废气G</w:t>
            </w:r>
            <w:r>
              <w:rPr>
                <w:rFonts w:hint="eastAsia" w:cs="Times New Roman"/>
                <w:b/>
                <w:bCs/>
                <w:highlight w:val="none"/>
                <w:vertAlign w:val="subscript"/>
                <w:lang w:val="en-US" w:eastAsia="zh-CN"/>
              </w:rPr>
              <w:t>5</w:t>
            </w:r>
            <w:r>
              <w:rPr>
                <w:rFonts w:hint="eastAsia" w:ascii="Times New Roman" w:hAnsi="Times New Roman" w:cs="Times New Roman"/>
                <w:b/>
                <w:bCs/>
                <w:highlight w:val="none"/>
                <w:lang w:val="en-US" w:eastAsia="zh-CN"/>
              </w:rPr>
              <w:t>、G</w:t>
            </w:r>
            <w:r>
              <w:rPr>
                <w:rFonts w:hint="eastAsia" w:cs="Times New Roman"/>
                <w:b/>
                <w:bCs/>
                <w:highlight w:val="none"/>
                <w:vertAlign w:val="subscript"/>
                <w:lang w:val="en-US" w:eastAsia="zh-CN"/>
              </w:rPr>
              <w:t>6</w:t>
            </w:r>
            <w:r>
              <w:rPr>
                <w:rFonts w:hint="eastAsia" w:ascii="Times New Roman" w:hAnsi="Times New Roman" w:cs="Times New Roman"/>
                <w:b/>
                <w:bCs/>
                <w:highlight w:val="none"/>
                <w:lang w:val="en-US" w:eastAsia="zh-CN"/>
              </w:rPr>
              <w:t>，固体废物为打孔、切割产生的废下脚料S</w:t>
            </w:r>
            <w:r>
              <w:rPr>
                <w:rFonts w:hint="eastAsia" w:cs="Times New Roman"/>
                <w:b/>
                <w:bCs/>
                <w:highlight w:val="none"/>
                <w:vertAlign w:val="subscript"/>
                <w:lang w:val="en-US" w:eastAsia="zh-CN"/>
              </w:rPr>
              <w:t>4</w:t>
            </w:r>
            <w:r>
              <w:rPr>
                <w:rFonts w:hint="eastAsia" w:ascii="Times New Roman" w:hAnsi="Times New Roman" w:cs="Times New Roman"/>
                <w:b/>
                <w:bCs/>
                <w:highlight w:val="none"/>
                <w:lang w:val="en-US" w:eastAsia="zh-CN"/>
              </w:rPr>
              <w:t>、S</w:t>
            </w:r>
            <w:r>
              <w:rPr>
                <w:rFonts w:hint="eastAsia" w:cs="Times New Roman"/>
                <w:b/>
                <w:bCs/>
                <w:highlight w:val="none"/>
                <w:vertAlign w:val="subscript"/>
                <w:lang w:val="en-US" w:eastAsia="zh-CN"/>
              </w:rPr>
              <w:t>5</w:t>
            </w:r>
            <w:r>
              <w:rPr>
                <w:rFonts w:hint="eastAsia" w:ascii="Times New Roman" w:hAnsi="Times New Roman" w:cs="Times New Roman"/>
                <w:b/>
                <w:bCs/>
                <w:highlight w:val="none"/>
                <w:lang w:val="en-US" w:eastAsia="zh-CN"/>
              </w:rPr>
              <w:t>，废水为打孔、切割时喷洒一体板产生的废水W</w:t>
            </w:r>
            <w:r>
              <w:rPr>
                <w:rFonts w:hint="eastAsia" w:ascii="Times New Roman" w:hAnsi="Times New Roman" w:cs="Times New Roman"/>
                <w:b/>
                <w:bCs/>
                <w:highlight w:val="none"/>
                <w:vertAlign w:val="subscript"/>
                <w:lang w:val="en-US" w:eastAsia="zh-CN"/>
              </w:rPr>
              <w:t>2</w:t>
            </w:r>
            <w:r>
              <w:rPr>
                <w:rFonts w:hint="eastAsia" w:ascii="Times New Roman" w:hAnsi="Times New Roman" w:cs="Times New Roman"/>
                <w:b/>
                <w:bCs/>
                <w:highlight w:val="none"/>
                <w:lang w:val="en-US" w:eastAsia="zh-CN"/>
              </w:rPr>
              <w:t>、W</w:t>
            </w:r>
            <w:r>
              <w:rPr>
                <w:rFonts w:hint="eastAsia" w:ascii="Times New Roman" w:hAnsi="Times New Roman" w:cs="Times New Roman"/>
                <w:b/>
                <w:bCs/>
                <w:highlight w:val="none"/>
                <w:vertAlign w:val="subscript"/>
                <w:lang w:val="en-US" w:eastAsia="zh-CN"/>
              </w:rPr>
              <w:t>3</w:t>
            </w:r>
            <w:r>
              <w:rPr>
                <w:rFonts w:hint="eastAsia" w:ascii="Times New Roman" w:hAnsi="Times New Roman" w:cs="Times New Roman"/>
                <w:b/>
                <w:bCs/>
                <w:highlight w:val="none"/>
                <w:lang w:val="en-US" w:eastAsia="zh-CN"/>
              </w:rPr>
              <w:t>，噪声污染源为打孔机、切割机运行噪声N</w:t>
            </w:r>
            <w:r>
              <w:rPr>
                <w:rFonts w:hint="eastAsia" w:ascii="Times New Roman" w:hAnsi="Times New Roman" w:cs="Times New Roman"/>
                <w:b/>
                <w:bCs/>
                <w:highlight w:val="none"/>
                <w:vertAlign w:val="subscript"/>
                <w:lang w:val="en-US" w:eastAsia="zh-CN"/>
              </w:rPr>
              <w:t>6</w:t>
            </w:r>
            <w:r>
              <w:rPr>
                <w:rFonts w:hint="eastAsia" w:ascii="Times New Roman" w:hAnsi="Times New Roman" w:cs="Times New Roman"/>
                <w:b/>
                <w:bCs/>
                <w:highlight w:val="none"/>
                <w:lang w:val="en-US" w:eastAsia="zh-CN"/>
              </w:rPr>
              <w:t>、N</w:t>
            </w:r>
            <w:r>
              <w:rPr>
                <w:rFonts w:hint="eastAsia" w:ascii="Times New Roman" w:hAnsi="Times New Roman" w:cs="Times New Roman"/>
                <w:b/>
                <w:bCs/>
                <w:highlight w:val="none"/>
                <w:vertAlign w:val="subscript"/>
                <w:lang w:val="en-US" w:eastAsia="zh-CN"/>
              </w:rPr>
              <w:t>7</w:t>
            </w:r>
            <w:r>
              <w:rPr>
                <w:rFonts w:hint="eastAsia" w:ascii="Times New Roman" w:hAnsi="Times New Roman" w:cs="Times New Roman"/>
                <w:b/>
                <w:bCs/>
                <w:highlight w:val="none"/>
                <w:lang w:val="en-US" w:eastAsia="zh-CN"/>
              </w:rPr>
              <w:t>。</w:t>
            </w:r>
          </w:p>
          <w:p w14:paraId="65DF332B">
            <w:pPr>
              <w:keepNext w:val="0"/>
              <w:keepLines w:val="0"/>
              <w:pageBreakBefore w:val="0"/>
              <w:numPr>
                <w:ilvl w:val="0"/>
                <w:numId w:val="0"/>
              </w:numPr>
              <w:kinsoku/>
              <w:wordWrap/>
              <w:overflowPunct/>
              <w:topLinePunct w:val="0"/>
              <w:bidi w:val="0"/>
              <w:spacing w:line="400" w:lineRule="exact"/>
              <w:ind w:left="0" w:leftChars="0" w:firstLine="420" w:firstLineChars="200"/>
              <w:jc w:val="both"/>
              <w:rPr>
                <w:rFonts w:hint="eastAsia"/>
                <w:highlight w:val="none"/>
                <w:lang w:val="en-US" w:eastAsia="zh-CN"/>
              </w:rPr>
            </w:pPr>
            <w:r>
              <w:rPr>
                <w:rFonts w:hint="eastAsia"/>
                <w:highlight w:val="none"/>
                <w:lang w:val="en-US" w:eastAsia="zh-CN"/>
              </w:rPr>
              <w:t>（6）打包装入库：码垛完成后用打包带和护角进入打包，后用薄塑料膜缠绕防水，根据规格入库。</w:t>
            </w:r>
          </w:p>
          <w:p w14:paraId="1AEBBD4A">
            <w:pPr>
              <w:pStyle w:val="17"/>
              <w:rPr>
                <w:rFonts w:hint="eastAsia"/>
                <w:highlight w:val="none"/>
                <w:lang w:val="en-US" w:eastAsia="zh-CN"/>
              </w:rPr>
            </w:pPr>
          </w:p>
          <w:p w14:paraId="17FE830C">
            <w:pPr>
              <w:pStyle w:val="18"/>
              <w:rPr>
                <w:rFonts w:hint="eastAsia"/>
                <w:highlight w:val="none"/>
                <w:lang w:val="en-US" w:eastAsia="zh-CN"/>
              </w:rPr>
            </w:pPr>
          </w:p>
          <w:p w14:paraId="4D316175">
            <w:pPr>
              <w:pStyle w:val="6"/>
              <w:rPr>
                <w:rFonts w:hint="eastAsia"/>
                <w:highlight w:val="none"/>
                <w:lang w:val="en-US" w:eastAsia="zh-CN"/>
              </w:rPr>
            </w:pPr>
          </w:p>
          <w:p w14:paraId="10B6A6B6">
            <w:pPr>
              <w:rPr>
                <w:rFonts w:hint="eastAsia"/>
                <w:highlight w:val="none"/>
                <w:lang w:val="en-US" w:eastAsia="zh-CN"/>
              </w:rPr>
            </w:pPr>
          </w:p>
          <w:p w14:paraId="34F7E61E">
            <w:pPr>
              <w:pStyle w:val="17"/>
              <w:rPr>
                <w:rFonts w:hint="eastAsia"/>
                <w:highlight w:val="none"/>
                <w:lang w:val="en-US" w:eastAsia="zh-CN"/>
              </w:rPr>
            </w:pPr>
          </w:p>
          <w:p w14:paraId="6EADBE54">
            <w:pPr>
              <w:pStyle w:val="18"/>
              <w:rPr>
                <w:rFonts w:hint="eastAsia"/>
                <w:highlight w:val="none"/>
                <w:lang w:val="en-US" w:eastAsia="zh-CN"/>
              </w:rPr>
            </w:pPr>
          </w:p>
          <w:p w14:paraId="4C445F98">
            <w:pPr>
              <w:pStyle w:val="6"/>
              <w:rPr>
                <w:rFonts w:hint="eastAsia"/>
                <w:highlight w:val="none"/>
                <w:lang w:val="en-US" w:eastAsia="zh-CN"/>
              </w:rPr>
            </w:pPr>
          </w:p>
          <w:p w14:paraId="6BA936B8">
            <w:pPr>
              <w:rPr>
                <w:rFonts w:hint="eastAsia"/>
                <w:highlight w:val="none"/>
                <w:lang w:val="en-US" w:eastAsia="zh-CN"/>
              </w:rPr>
            </w:pPr>
          </w:p>
          <w:p w14:paraId="5043D681">
            <w:pPr>
              <w:pStyle w:val="17"/>
              <w:rPr>
                <w:rFonts w:hint="eastAsia"/>
                <w:highlight w:val="none"/>
                <w:lang w:val="en-US" w:eastAsia="zh-CN"/>
              </w:rPr>
            </w:pPr>
          </w:p>
          <w:p w14:paraId="5B3BB185">
            <w:pPr>
              <w:pStyle w:val="18"/>
              <w:rPr>
                <w:rFonts w:hint="eastAsia"/>
                <w:highlight w:val="none"/>
                <w:lang w:val="en-US" w:eastAsia="zh-CN"/>
              </w:rPr>
            </w:pPr>
          </w:p>
          <w:p w14:paraId="53760DFF">
            <w:pPr>
              <w:pStyle w:val="6"/>
              <w:rPr>
                <w:rFonts w:hint="eastAsia"/>
                <w:highlight w:val="none"/>
                <w:lang w:val="en-US" w:eastAsia="zh-CN"/>
              </w:rPr>
            </w:pPr>
          </w:p>
          <w:p w14:paraId="02A156F0">
            <w:pPr>
              <w:rPr>
                <w:rFonts w:hint="eastAsia"/>
                <w:highlight w:val="none"/>
                <w:lang w:val="en-US" w:eastAsia="zh-CN"/>
              </w:rPr>
            </w:pPr>
          </w:p>
          <w:p w14:paraId="07FFBF40">
            <w:pPr>
              <w:pStyle w:val="17"/>
              <w:rPr>
                <w:rFonts w:hint="eastAsia"/>
                <w:highlight w:val="none"/>
                <w:lang w:val="en-US" w:eastAsia="zh-CN"/>
              </w:rPr>
            </w:pPr>
          </w:p>
          <w:p w14:paraId="31C05ABF">
            <w:pPr>
              <w:pStyle w:val="18"/>
              <w:rPr>
                <w:rFonts w:hint="eastAsia"/>
                <w:highlight w:val="none"/>
                <w:lang w:val="en-US" w:eastAsia="zh-CN"/>
              </w:rPr>
            </w:pPr>
          </w:p>
          <w:p w14:paraId="5A09C60D">
            <w:pPr>
              <w:pStyle w:val="6"/>
              <w:rPr>
                <w:rFonts w:hint="eastAsia"/>
                <w:highlight w:val="none"/>
                <w:lang w:val="en-US" w:eastAsia="zh-CN"/>
              </w:rPr>
            </w:pPr>
          </w:p>
          <w:p w14:paraId="3947D275">
            <w:pPr>
              <w:rPr>
                <w:rFonts w:hint="eastAsia"/>
                <w:highlight w:val="none"/>
                <w:lang w:val="en-US" w:eastAsia="zh-CN"/>
              </w:rPr>
            </w:pPr>
          </w:p>
          <w:p w14:paraId="3E296240">
            <w:pPr>
              <w:pStyle w:val="2"/>
              <w:rPr>
                <w:rFonts w:hint="eastAsia"/>
                <w:highlight w:val="none"/>
                <w:lang w:val="en-US" w:eastAsia="zh-CN"/>
              </w:rPr>
            </w:pPr>
          </w:p>
          <w:p w14:paraId="0146B0CF">
            <w:pPr>
              <w:rPr>
                <w:rFonts w:hint="eastAsia"/>
                <w:highlight w:val="none"/>
                <w:lang w:val="en-US" w:eastAsia="zh-CN"/>
              </w:rPr>
            </w:pPr>
          </w:p>
          <w:p w14:paraId="3CFD407E">
            <w:pPr>
              <w:rPr>
                <w:rFonts w:hint="eastAsia"/>
                <w:highlight w:val="none"/>
                <w:lang w:val="en-US" w:eastAsia="zh-CN"/>
              </w:rPr>
            </w:pPr>
          </w:p>
        </w:tc>
      </w:tr>
      <w:tr w14:paraId="70480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22" w:hRule="atLeast"/>
          <w:jc w:val="center"/>
        </w:trPr>
        <w:tc>
          <w:tcPr>
            <w:tcW w:w="823" w:type="dxa"/>
            <w:noWrap w:val="0"/>
            <w:vAlign w:val="center"/>
          </w:tcPr>
          <w:p w14:paraId="07B442F8">
            <w:pPr>
              <w:pStyle w:val="16"/>
              <w:adjustRightInd w:val="0"/>
              <w:snapToGrid w:val="0"/>
              <w:spacing w:before="0" w:beforeAutospacing="0" w:after="0" w:afterAutospacing="0"/>
              <w:jc w:val="center"/>
              <w:rPr>
                <w:rFonts w:cs="宋体"/>
                <w:sz w:val="21"/>
                <w:szCs w:val="21"/>
                <w:highlight w:val="none"/>
              </w:rPr>
            </w:pPr>
          </w:p>
        </w:tc>
        <w:tc>
          <w:tcPr>
            <w:tcW w:w="8161" w:type="dxa"/>
            <w:noWrap w:val="0"/>
            <w:vAlign w:val="top"/>
          </w:tcPr>
          <w:p w14:paraId="1B590B3B">
            <w:pPr>
              <w:pStyle w:val="17"/>
              <w:ind w:left="-199" w:leftChars="-95" w:firstLine="199" w:firstLineChars="95"/>
              <w:rPr>
                <w:rFonts w:hint="eastAsia"/>
                <w:highlight w:val="none"/>
                <w:lang w:val="en-US" w:eastAsia="zh-CN"/>
              </w:rPr>
            </w:pPr>
            <w:r>
              <w:rPr>
                <w:rFonts w:hint="eastAsia"/>
                <w:highlight w:val="none"/>
                <w:lang w:val="en-US" w:eastAsia="zh-CN"/>
              </w:rPr>
              <w:drawing>
                <wp:inline distT="0" distB="0" distL="114300" distR="114300">
                  <wp:extent cx="5065395" cy="5426710"/>
                  <wp:effectExtent l="0" t="0" r="1905" b="2540"/>
                  <wp:docPr id="12" name="图片 12" descr="工艺流程-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工艺流程-01"/>
                          <pic:cNvPicPr>
                            <a:picLocks noChangeAspect="1"/>
                          </pic:cNvPicPr>
                        </pic:nvPicPr>
                        <pic:blipFill>
                          <a:blip r:embed="rId8"/>
                          <a:srcRect l="1549" t="3055" r="2569" b="743"/>
                          <a:stretch>
                            <a:fillRect/>
                          </a:stretch>
                        </pic:blipFill>
                        <pic:spPr>
                          <a:xfrm>
                            <a:off x="0" y="0"/>
                            <a:ext cx="5065395" cy="5426710"/>
                          </a:xfrm>
                          <a:prstGeom prst="rect">
                            <a:avLst/>
                          </a:prstGeom>
                        </pic:spPr>
                      </pic:pic>
                    </a:graphicData>
                  </a:graphic>
                </wp:inline>
              </w:drawing>
            </w:r>
          </w:p>
          <w:p w14:paraId="49310AD5">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eastAsia"/>
                <w:b/>
                <w:bCs/>
                <w:highlight w:val="none"/>
                <w:lang w:val="en-US" w:eastAsia="zh-CN"/>
              </w:rPr>
            </w:pPr>
            <w:r>
              <w:rPr>
                <w:rFonts w:hint="eastAsia"/>
                <w:b/>
                <w:bCs/>
                <w:highlight w:val="none"/>
                <w:lang w:val="en-US" w:eastAsia="zh-CN"/>
              </w:rPr>
              <w:t>图2-2   本项目生产工艺流程及排污节点图</w:t>
            </w:r>
          </w:p>
          <w:p w14:paraId="1D68A816">
            <w:pPr>
              <w:keepNext w:val="0"/>
              <w:keepLines w:val="0"/>
              <w:pageBreakBefore w:val="0"/>
              <w:widowControl w:val="0"/>
              <w:kinsoku/>
              <w:wordWrap/>
              <w:overflowPunct/>
              <w:topLinePunct w:val="0"/>
              <w:autoSpaceDE/>
              <w:autoSpaceDN/>
              <w:bidi w:val="0"/>
              <w:adjustRightInd/>
              <w:snapToGrid/>
              <w:spacing w:line="400" w:lineRule="exact"/>
              <w:ind w:leftChars="0" w:firstLine="0" w:firstLineChars="0"/>
              <w:jc w:val="center"/>
              <w:textAlignment w:val="auto"/>
              <w:rPr>
                <w:rFonts w:hint="eastAsia"/>
                <w:b/>
                <w:bCs/>
                <w:highlight w:val="none"/>
                <w:lang w:val="en-US" w:eastAsia="zh-CN"/>
              </w:rPr>
            </w:pPr>
            <w:r>
              <w:rPr>
                <w:rFonts w:hint="eastAsia"/>
                <w:b/>
                <w:bCs/>
                <w:highlight w:val="none"/>
                <w:lang w:val="en-US" w:eastAsia="zh-CN"/>
              </w:rPr>
              <w:t xml:space="preserve"> </w:t>
            </w:r>
            <w:r>
              <w:rPr>
                <w:rFonts w:hint="default"/>
                <w:b/>
                <w:bCs/>
                <w:highlight w:val="none"/>
              </w:rPr>
              <w:t>表</w:t>
            </w:r>
            <w:r>
              <w:rPr>
                <w:rFonts w:hint="eastAsia"/>
                <w:b/>
                <w:bCs/>
                <w:highlight w:val="none"/>
                <w:lang w:val="en-US" w:eastAsia="zh-CN"/>
              </w:rPr>
              <w:t>2-6  本项目主要污染源治理措施一览表</w:t>
            </w:r>
          </w:p>
          <w:tbl>
            <w:tblPr>
              <w:tblStyle w:val="20"/>
              <w:tblW w:w="781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8"/>
              <w:gridCol w:w="375"/>
              <w:gridCol w:w="615"/>
              <w:gridCol w:w="1560"/>
              <w:gridCol w:w="1230"/>
              <w:gridCol w:w="1080"/>
              <w:gridCol w:w="2521"/>
            </w:tblGrid>
            <w:tr w14:paraId="7BF6E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noWrap w:val="0"/>
                  <w:vAlign w:val="center"/>
                </w:tcPr>
                <w:p w14:paraId="1B0B4D4D">
                  <w:pPr>
                    <w:pStyle w:val="2"/>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default"/>
                      <w:highlight w:val="none"/>
                    </w:rPr>
                  </w:pPr>
                  <w:r>
                    <w:rPr>
                      <w:rFonts w:hint="eastAsia"/>
                      <w:highlight w:val="none"/>
                      <w:lang w:val="en-US" w:eastAsia="zh-CN"/>
                    </w:rPr>
                    <w:t>污染类型</w:t>
                  </w:r>
                </w:p>
              </w:tc>
              <w:tc>
                <w:tcPr>
                  <w:tcW w:w="615" w:type="dxa"/>
                  <w:noWrap w:val="0"/>
                  <w:vAlign w:val="center"/>
                </w:tcPr>
                <w:p w14:paraId="003F64C0">
                  <w:pPr>
                    <w:pStyle w:val="2"/>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default" w:eastAsia="宋体"/>
                      <w:highlight w:val="none"/>
                      <w:lang w:val="en-US" w:eastAsia="zh-CN"/>
                    </w:rPr>
                  </w:pPr>
                  <w:r>
                    <w:rPr>
                      <w:rFonts w:hint="eastAsia"/>
                      <w:highlight w:val="none"/>
                      <w:lang w:val="en-US" w:eastAsia="zh-CN"/>
                    </w:rPr>
                    <w:t>序号</w:t>
                  </w:r>
                </w:p>
              </w:tc>
              <w:tc>
                <w:tcPr>
                  <w:tcW w:w="1560" w:type="dxa"/>
                  <w:noWrap w:val="0"/>
                  <w:vAlign w:val="center"/>
                </w:tcPr>
                <w:p w14:paraId="05453577">
                  <w:pPr>
                    <w:pStyle w:val="2"/>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污染源名称</w:t>
                  </w:r>
                </w:p>
              </w:tc>
              <w:tc>
                <w:tcPr>
                  <w:tcW w:w="1230" w:type="dxa"/>
                  <w:noWrap w:val="0"/>
                  <w:vAlign w:val="center"/>
                </w:tcPr>
                <w:p w14:paraId="5E116002">
                  <w:pPr>
                    <w:pStyle w:val="2"/>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default"/>
                      <w:highlight w:val="none"/>
                    </w:rPr>
                  </w:pPr>
                  <w:r>
                    <w:rPr>
                      <w:rFonts w:hint="eastAsia"/>
                      <w:highlight w:val="none"/>
                      <w:lang w:val="en-US" w:eastAsia="zh-CN"/>
                    </w:rPr>
                    <w:t>污染因子</w:t>
                  </w:r>
                </w:p>
              </w:tc>
              <w:tc>
                <w:tcPr>
                  <w:tcW w:w="1080" w:type="dxa"/>
                  <w:noWrap w:val="0"/>
                  <w:vAlign w:val="center"/>
                </w:tcPr>
                <w:p w14:paraId="5C5C10C2">
                  <w:pPr>
                    <w:pStyle w:val="2"/>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default"/>
                      <w:highlight w:val="none"/>
                    </w:rPr>
                  </w:pPr>
                  <w:r>
                    <w:rPr>
                      <w:rFonts w:hint="eastAsia"/>
                      <w:highlight w:val="none"/>
                      <w:lang w:val="en-US" w:eastAsia="zh-CN"/>
                    </w:rPr>
                    <w:t>排放特征</w:t>
                  </w:r>
                </w:p>
              </w:tc>
              <w:tc>
                <w:tcPr>
                  <w:tcW w:w="2521" w:type="dxa"/>
                  <w:noWrap w:val="0"/>
                  <w:vAlign w:val="center"/>
                </w:tcPr>
                <w:p w14:paraId="6467B586">
                  <w:pPr>
                    <w:pStyle w:val="2"/>
                    <w:keepNext w:val="0"/>
                    <w:keepLines w:val="0"/>
                    <w:pageBreakBefore w:val="0"/>
                    <w:kinsoku/>
                    <w:wordWrap/>
                    <w:overflowPunct/>
                    <w:topLinePunct w:val="0"/>
                    <w:autoSpaceDE/>
                    <w:autoSpaceDN/>
                    <w:bidi w:val="0"/>
                    <w:adjustRightInd/>
                    <w:snapToGrid/>
                    <w:spacing w:line="320" w:lineRule="exact"/>
                    <w:ind w:left="0" w:leftChars="0" w:right="0" w:rightChars="0"/>
                    <w:jc w:val="center"/>
                    <w:textAlignment w:val="auto"/>
                    <w:rPr>
                      <w:rFonts w:hint="eastAsia"/>
                      <w:highlight w:val="none"/>
                      <w:lang w:val="en-US" w:eastAsia="zh-CN"/>
                    </w:rPr>
                  </w:pPr>
                  <w:r>
                    <w:rPr>
                      <w:rFonts w:hint="eastAsia"/>
                      <w:highlight w:val="none"/>
                      <w:lang w:val="en-US" w:eastAsia="zh-CN"/>
                    </w:rPr>
                    <w:t>治理措施</w:t>
                  </w:r>
                </w:p>
              </w:tc>
            </w:tr>
            <w:tr w14:paraId="4BEE0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restart"/>
                  <w:noWrap w:val="0"/>
                  <w:vAlign w:val="center"/>
                </w:tcPr>
                <w:p w14:paraId="4B304C3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eastAsia="zh-CN"/>
                    </w:rPr>
                  </w:pPr>
                  <w:r>
                    <w:rPr>
                      <w:rFonts w:hint="eastAsia"/>
                      <w:highlight w:val="none"/>
                      <w:lang w:val="en-US" w:eastAsia="zh-CN"/>
                    </w:rPr>
                    <w:t>废气</w:t>
                  </w:r>
                </w:p>
              </w:tc>
              <w:tc>
                <w:tcPr>
                  <w:tcW w:w="615" w:type="dxa"/>
                  <w:noWrap w:val="0"/>
                  <w:vAlign w:val="center"/>
                </w:tcPr>
                <w:p w14:paraId="103613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b w:val="0"/>
                      <w:bCs w:val="0"/>
                      <w:highlight w:val="none"/>
                      <w:lang w:val="en-US" w:eastAsia="zh-CN"/>
                    </w:rPr>
                  </w:pPr>
                  <w:r>
                    <w:rPr>
                      <w:rFonts w:hint="eastAsia"/>
                      <w:b w:val="0"/>
                      <w:bCs w:val="0"/>
                      <w:highlight w:val="none"/>
                      <w:lang w:val="en-US" w:eastAsia="zh-CN"/>
                    </w:rPr>
                    <w:t>G</w:t>
                  </w:r>
                  <w:r>
                    <w:rPr>
                      <w:rFonts w:hint="eastAsia"/>
                      <w:b w:val="0"/>
                      <w:bCs w:val="0"/>
                      <w:highlight w:val="none"/>
                      <w:vertAlign w:val="subscript"/>
                      <w:lang w:val="en-US" w:eastAsia="zh-CN"/>
                    </w:rPr>
                    <w:t>1</w:t>
                  </w:r>
                </w:p>
              </w:tc>
              <w:tc>
                <w:tcPr>
                  <w:tcW w:w="1560" w:type="dxa"/>
                  <w:noWrap w:val="0"/>
                  <w:vAlign w:val="center"/>
                </w:tcPr>
                <w:p w14:paraId="0B989E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砂浆上料废气</w:t>
                  </w:r>
                </w:p>
              </w:tc>
              <w:tc>
                <w:tcPr>
                  <w:tcW w:w="1230" w:type="dxa"/>
                  <w:vMerge w:val="restart"/>
                  <w:noWrap w:val="0"/>
                  <w:vAlign w:val="center"/>
                </w:tcPr>
                <w:p w14:paraId="2596E8B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颗粒物</w:t>
                  </w:r>
                </w:p>
              </w:tc>
              <w:tc>
                <w:tcPr>
                  <w:tcW w:w="1080" w:type="dxa"/>
                  <w:noWrap w:val="0"/>
                  <w:vAlign w:val="center"/>
                </w:tcPr>
                <w:p w14:paraId="0943FB8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间断点源</w:t>
                  </w:r>
                </w:p>
              </w:tc>
              <w:tc>
                <w:tcPr>
                  <w:tcW w:w="2521" w:type="dxa"/>
                  <w:vMerge w:val="restart"/>
                  <w:noWrap w:val="0"/>
                  <w:vAlign w:val="center"/>
                </w:tcPr>
                <w:p w14:paraId="442B0D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脉冲布袋除尘器+15m高排气筒（DA008）</w:t>
                  </w:r>
                </w:p>
              </w:tc>
            </w:tr>
            <w:tr w14:paraId="7954D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continue"/>
                  <w:noWrap w:val="0"/>
                  <w:vAlign w:val="center"/>
                </w:tcPr>
                <w:p w14:paraId="646BF37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0BB1CA3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b w:val="0"/>
                      <w:bCs w:val="0"/>
                      <w:highlight w:val="none"/>
                      <w:lang w:val="en-US" w:eastAsia="zh-CN"/>
                    </w:rPr>
                  </w:pPr>
                  <w:r>
                    <w:rPr>
                      <w:rFonts w:hint="eastAsia"/>
                      <w:b w:val="0"/>
                      <w:bCs w:val="0"/>
                      <w:highlight w:val="none"/>
                      <w:lang w:val="en-US" w:eastAsia="zh-CN"/>
                    </w:rPr>
                    <w:t>G</w:t>
                  </w:r>
                  <w:r>
                    <w:rPr>
                      <w:rFonts w:hint="eastAsia"/>
                      <w:b w:val="0"/>
                      <w:bCs w:val="0"/>
                      <w:highlight w:val="none"/>
                      <w:vertAlign w:val="subscript"/>
                      <w:lang w:val="en-US" w:eastAsia="zh-CN"/>
                    </w:rPr>
                    <w:t>2</w:t>
                  </w:r>
                </w:p>
              </w:tc>
              <w:tc>
                <w:tcPr>
                  <w:tcW w:w="1560" w:type="dxa"/>
                  <w:noWrap w:val="0"/>
                  <w:vAlign w:val="center"/>
                </w:tcPr>
                <w:p w14:paraId="52CA82F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砂浆料仓落料废气</w:t>
                  </w:r>
                </w:p>
              </w:tc>
              <w:tc>
                <w:tcPr>
                  <w:tcW w:w="1230" w:type="dxa"/>
                  <w:vMerge w:val="continue"/>
                  <w:noWrap w:val="0"/>
                  <w:vAlign w:val="center"/>
                </w:tcPr>
                <w:p w14:paraId="7D73E11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1080" w:type="dxa"/>
                  <w:noWrap w:val="0"/>
                  <w:vAlign w:val="center"/>
                </w:tcPr>
                <w:p w14:paraId="664B901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间断点源</w:t>
                  </w:r>
                </w:p>
              </w:tc>
              <w:tc>
                <w:tcPr>
                  <w:tcW w:w="2521" w:type="dxa"/>
                  <w:vMerge w:val="continue"/>
                  <w:noWrap w:val="0"/>
                  <w:vAlign w:val="center"/>
                </w:tcPr>
                <w:p w14:paraId="3FFE531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r>
            <w:tr w14:paraId="06C710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continue"/>
                  <w:noWrap w:val="0"/>
                  <w:vAlign w:val="center"/>
                </w:tcPr>
                <w:p w14:paraId="598E947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071F8FB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b w:val="0"/>
                      <w:bCs w:val="0"/>
                      <w:highlight w:val="none"/>
                      <w:lang w:val="en-US" w:eastAsia="zh-CN"/>
                    </w:rPr>
                  </w:pPr>
                  <w:r>
                    <w:rPr>
                      <w:rFonts w:hint="eastAsia"/>
                      <w:b w:val="0"/>
                      <w:bCs w:val="0"/>
                      <w:highlight w:val="none"/>
                      <w:lang w:val="en-US" w:eastAsia="zh-CN"/>
                    </w:rPr>
                    <w:t>G</w:t>
                  </w:r>
                  <w:r>
                    <w:rPr>
                      <w:rFonts w:hint="eastAsia"/>
                      <w:b w:val="0"/>
                      <w:bCs w:val="0"/>
                      <w:highlight w:val="none"/>
                      <w:vertAlign w:val="subscript"/>
                      <w:lang w:val="en-US" w:eastAsia="zh-CN"/>
                    </w:rPr>
                    <w:t>3</w:t>
                  </w:r>
                </w:p>
              </w:tc>
              <w:tc>
                <w:tcPr>
                  <w:tcW w:w="1560" w:type="dxa"/>
                  <w:noWrap w:val="0"/>
                  <w:vAlign w:val="center"/>
                </w:tcPr>
                <w:p w14:paraId="529BC9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砂浆计量仓落料废气</w:t>
                  </w:r>
                </w:p>
              </w:tc>
              <w:tc>
                <w:tcPr>
                  <w:tcW w:w="1230" w:type="dxa"/>
                  <w:vMerge w:val="continue"/>
                  <w:noWrap w:val="0"/>
                  <w:vAlign w:val="center"/>
                </w:tcPr>
                <w:p w14:paraId="1DC5577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1080" w:type="dxa"/>
                  <w:noWrap w:val="0"/>
                  <w:vAlign w:val="center"/>
                </w:tcPr>
                <w:p w14:paraId="7C824D9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间断点源</w:t>
                  </w:r>
                </w:p>
              </w:tc>
              <w:tc>
                <w:tcPr>
                  <w:tcW w:w="2521" w:type="dxa"/>
                  <w:vMerge w:val="continue"/>
                  <w:noWrap w:val="0"/>
                  <w:vAlign w:val="center"/>
                </w:tcPr>
                <w:p w14:paraId="077F0D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r>
            <w:tr w14:paraId="097DBA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continue"/>
                  <w:noWrap w:val="0"/>
                  <w:vAlign w:val="center"/>
                </w:tcPr>
                <w:p w14:paraId="571C44E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3E78BB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b w:val="0"/>
                      <w:bCs w:val="0"/>
                      <w:highlight w:val="none"/>
                      <w:lang w:val="en-US" w:eastAsia="zh-CN"/>
                    </w:rPr>
                  </w:pPr>
                  <w:r>
                    <w:rPr>
                      <w:rFonts w:hint="eastAsia"/>
                      <w:b w:val="0"/>
                      <w:bCs w:val="0"/>
                      <w:highlight w:val="none"/>
                      <w:lang w:val="en-US" w:eastAsia="zh-CN"/>
                    </w:rPr>
                    <w:t>G</w:t>
                  </w:r>
                  <w:r>
                    <w:rPr>
                      <w:rFonts w:hint="eastAsia"/>
                      <w:b w:val="0"/>
                      <w:bCs w:val="0"/>
                      <w:highlight w:val="none"/>
                      <w:vertAlign w:val="subscript"/>
                      <w:lang w:val="en-US" w:eastAsia="zh-CN"/>
                    </w:rPr>
                    <w:t>4</w:t>
                  </w:r>
                </w:p>
              </w:tc>
              <w:tc>
                <w:tcPr>
                  <w:tcW w:w="1560" w:type="dxa"/>
                  <w:noWrap w:val="0"/>
                  <w:vAlign w:val="center"/>
                </w:tcPr>
                <w:p w14:paraId="21D32E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搅拌机落料废气</w:t>
                  </w:r>
                </w:p>
              </w:tc>
              <w:tc>
                <w:tcPr>
                  <w:tcW w:w="1230" w:type="dxa"/>
                  <w:vMerge w:val="continue"/>
                  <w:noWrap w:val="0"/>
                  <w:vAlign w:val="center"/>
                </w:tcPr>
                <w:p w14:paraId="67B5431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1080" w:type="dxa"/>
                  <w:noWrap w:val="0"/>
                  <w:vAlign w:val="center"/>
                </w:tcPr>
                <w:p w14:paraId="14EEC54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间断点源</w:t>
                  </w:r>
                </w:p>
              </w:tc>
              <w:tc>
                <w:tcPr>
                  <w:tcW w:w="2521" w:type="dxa"/>
                  <w:vMerge w:val="continue"/>
                  <w:noWrap w:val="0"/>
                  <w:vAlign w:val="center"/>
                </w:tcPr>
                <w:p w14:paraId="634A03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r>
            <w:tr w14:paraId="385FB6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continue"/>
                  <w:noWrap w:val="0"/>
                  <w:vAlign w:val="center"/>
                </w:tcPr>
                <w:p w14:paraId="144C628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345997C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b w:val="0"/>
                      <w:bCs w:val="0"/>
                      <w:highlight w:val="none"/>
                      <w:lang w:val="en-US" w:eastAsia="zh-CN"/>
                    </w:rPr>
                  </w:pPr>
                  <w:r>
                    <w:rPr>
                      <w:rFonts w:hint="eastAsia"/>
                      <w:b w:val="0"/>
                      <w:bCs w:val="0"/>
                      <w:highlight w:val="none"/>
                      <w:lang w:val="en-US" w:eastAsia="zh-CN"/>
                    </w:rPr>
                    <w:t>G</w:t>
                  </w:r>
                  <w:r>
                    <w:rPr>
                      <w:rFonts w:hint="eastAsia"/>
                      <w:b w:val="0"/>
                      <w:bCs w:val="0"/>
                      <w:highlight w:val="none"/>
                      <w:vertAlign w:val="subscript"/>
                      <w:lang w:val="en-US" w:eastAsia="zh-CN"/>
                    </w:rPr>
                    <w:t>5</w:t>
                  </w:r>
                </w:p>
              </w:tc>
              <w:tc>
                <w:tcPr>
                  <w:tcW w:w="1560" w:type="dxa"/>
                  <w:noWrap w:val="0"/>
                  <w:vAlign w:val="center"/>
                </w:tcPr>
                <w:p w14:paraId="391002C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打孔废气</w:t>
                  </w:r>
                </w:p>
              </w:tc>
              <w:tc>
                <w:tcPr>
                  <w:tcW w:w="1230" w:type="dxa"/>
                  <w:vMerge w:val="continue"/>
                  <w:noWrap w:val="0"/>
                  <w:vAlign w:val="center"/>
                </w:tcPr>
                <w:p w14:paraId="712BDB4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1080" w:type="dxa"/>
                  <w:noWrap w:val="0"/>
                  <w:vAlign w:val="center"/>
                </w:tcPr>
                <w:p w14:paraId="5583023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间断点源</w:t>
                  </w:r>
                </w:p>
              </w:tc>
              <w:tc>
                <w:tcPr>
                  <w:tcW w:w="2521" w:type="dxa"/>
                  <w:vMerge w:val="continue"/>
                  <w:noWrap w:val="0"/>
                  <w:vAlign w:val="center"/>
                </w:tcPr>
                <w:p w14:paraId="4E148C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r>
            <w:tr w14:paraId="5584C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continue"/>
                  <w:noWrap w:val="0"/>
                  <w:vAlign w:val="center"/>
                </w:tcPr>
                <w:p w14:paraId="2DF005E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236FFC3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b w:val="0"/>
                      <w:bCs w:val="0"/>
                      <w:highlight w:val="none"/>
                      <w:lang w:val="en-US" w:eastAsia="zh-CN"/>
                    </w:rPr>
                  </w:pPr>
                  <w:r>
                    <w:rPr>
                      <w:rFonts w:hint="eastAsia"/>
                      <w:b w:val="0"/>
                      <w:bCs w:val="0"/>
                      <w:highlight w:val="none"/>
                      <w:lang w:val="en-US" w:eastAsia="zh-CN"/>
                    </w:rPr>
                    <w:t>G</w:t>
                  </w:r>
                  <w:r>
                    <w:rPr>
                      <w:rFonts w:hint="eastAsia"/>
                      <w:b w:val="0"/>
                      <w:bCs w:val="0"/>
                      <w:highlight w:val="none"/>
                      <w:vertAlign w:val="subscript"/>
                      <w:lang w:val="en-US" w:eastAsia="zh-CN"/>
                    </w:rPr>
                    <w:t>6</w:t>
                  </w:r>
                </w:p>
              </w:tc>
              <w:tc>
                <w:tcPr>
                  <w:tcW w:w="1560" w:type="dxa"/>
                  <w:noWrap w:val="0"/>
                  <w:vAlign w:val="center"/>
                </w:tcPr>
                <w:p w14:paraId="526A67E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切割废气</w:t>
                  </w:r>
                </w:p>
              </w:tc>
              <w:tc>
                <w:tcPr>
                  <w:tcW w:w="1230" w:type="dxa"/>
                  <w:noWrap w:val="0"/>
                  <w:vAlign w:val="center"/>
                </w:tcPr>
                <w:p w14:paraId="02CFA14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1080" w:type="dxa"/>
                  <w:noWrap w:val="0"/>
                  <w:vAlign w:val="center"/>
                </w:tcPr>
                <w:p w14:paraId="1249920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2521" w:type="dxa"/>
                  <w:noWrap w:val="0"/>
                  <w:vAlign w:val="center"/>
                </w:tcPr>
                <w:p w14:paraId="437BBFF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r>
            <w:tr w14:paraId="638D6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restart"/>
                  <w:noWrap w:val="0"/>
                  <w:vAlign w:val="center"/>
                </w:tcPr>
                <w:p w14:paraId="7FB99AA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废水</w:t>
                  </w:r>
                </w:p>
              </w:tc>
              <w:tc>
                <w:tcPr>
                  <w:tcW w:w="615" w:type="dxa"/>
                  <w:noWrap w:val="0"/>
                  <w:vAlign w:val="center"/>
                </w:tcPr>
                <w:p w14:paraId="363A622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b w:val="0"/>
                      <w:bCs w:val="0"/>
                      <w:highlight w:val="none"/>
                      <w:lang w:val="en-US" w:eastAsia="zh-CN"/>
                    </w:rPr>
                  </w:pPr>
                  <w:r>
                    <w:rPr>
                      <w:rFonts w:hint="eastAsia" w:ascii="Times New Roman" w:hAnsi="Times New Roman" w:cs="Times New Roman"/>
                      <w:b w:val="0"/>
                      <w:bCs w:val="0"/>
                      <w:highlight w:val="none"/>
                      <w:lang w:val="en-US" w:eastAsia="zh-CN"/>
                    </w:rPr>
                    <w:t>W</w:t>
                  </w:r>
                  <w:r>
                    <w:rPr>
                      <w:rFonts w:hint="eastAsia" w:ascii="Times New Roman" w:hAnsi="Times New Roman" w:cs="Times New Roman"/>
                      <w:b w:val="0"/>
                      <w:bCs w:val="0"/>
                      <w:highlight w:val="none"/>
                      <w:vertAlign w:val="subscript"/>
                      <w:lang w:val="en-US" w:eastAsia="zh-CN"/>
                    </w:rPr>
                    <w:t>1</w:t>
                  </w:r>
                </w:p>
              </w:tc>
              <w:tc>
                <w:tcPr>
                  <w:tcW w:w="1560" w:type="dxa"/>
                  <w:noWrap w:val="0"/>
                  <w:vAlign w:val="center"/>
                </w:tcPr>
                <w:p w14:paraId="7EF7BD6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裁切废水</w:t>
                  </w:r>
                </w:p>
              </w:tc>
              <w:tc>
                <w:tcPr>
                  <w:tcW w:w="1230" w:type="dxa"/>
                  <w:vMerge w:val="restart"/>
                  <w:noWrap w:val="0"/>
                  <w:vAlign w:val="center"/>
                </w:tcPr>
                <w:p w14:paraId="24BA2B8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废水</w:t>
                  </w:r>
                </w:p>
              </w:tc>
              <w:tc>
                <w:tcPr>
                  <w:tcW w:w="1080" w:type="dxa"/>
                  <w:noWrap w:val="0"/>
                  <w:vAlign w:val="center"/>
                </w:tcPr>
                <w:p w14:paraId="77364B6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间断</w:t>
                  </w:r>
                </w:p>
              </w:tc>
              <w:tc>
                <w:tcPr>
                  <w:tcW w:w="2521" w:type="dxa"/>
                  <w:vMerge w:val="restart"/>
                  <w:noWrap w:val="0"/>
                  <w:vAlign w:val="center"/>
                </w:tcPr>
                <w:p w14:paraId="74A31B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生产废水主要包括裁切、打孔、切割产生的废水，排入沉淀池（2个沉淀池尺寸均为长3m</w:t>
                  </w:r>
                  <w:r>
                    <w:rPr>
                      <w:rFonts w:hint="default" w:ascii="Arial" w:hAnsi="Arial" w:cs="Arial"/>
                      <w:highlight w:val="none"/>
                      <w:lang w:val="en-US" w:eastAsia="zh-CN"/>
                    </w:rPr>
                    <w:t>×</w:t>
                  </w:r>
                  <w:r>
                    <w:rPr>
                      <w:rFonts w:hint="eastAsia"/>
                      <w:highlight w:val="none"/>
                      <w:lang w:val="en-US" w:eastAsia="zh-CN"/>
                    </w:rPr>
                    <w:t>宽1m</w:t>
                  </w:r>
                  <w:r>
                    <w:rPr>
                      <w:rFonts w:hint="default" w:ascii="Arial" w:hAnsi="Arial" w:cs="Arial"/>
                      <w:highlight w:val="none"/>
                      <w:lang w:val="en-US" w:eastAsia="zh-CN"/>
                    </w:rPr>
                    <w:t>×</w:t>
                  </w:r>
                  <w:r>
                    <w:rPr>
                      <w:rFonts w:hint="eastAsia"/>
                      <w:highlight w:val="none"/>
                      <w:lang w:val="en-US" w:eastAsia="zh-CN"/>
                    </w:rPr>
                    <w:t>高2m），循环使用。</w:t>
                  </w:r>
                </w:p>
              </w:tc>
            </w:tr>
            <w:tr w14:paraId="2C2F1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continue"/>
                  <w:noWrap w:val="0"/>
                  <w:vAlign w:val="center"/>
                </w:tcPr>
                <w:p w14:paraId="27A5CFB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615" w:type="dxa"/>
                  <w:noWrap w:val="0"/>
                  <w:vAlign w:val="center"/>
                </w:tcPr>
                <w:p w14:paraId="7A7DAF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b w:val="0"/>
                      <w:bCs w:val="0"/>
                      <w:highlight w:val="none"/>
                      <w:lang w:val="en-US" w:eastAsia="zh-CN"/>
                    </w:rPr>
                  </w:pPr>
                  <w:r>
                    <w:rPr>
                      <w:rFonts w:hint="eastAsia" w:ascii="Times New Roman" w:hAnsi="Times New Roman" w:cs="Times New Roman"/>
                      <w:b w:val="0"/>
                      <w:bCs w:val="0"/>
                      <w:highlight w:val="none"/>
                      <w:lang w:val="en-US" w:eastAsia="zh-CN"/>
                    </w:rPr>
                    <w:t>W</w:t>
                  </w:r>
                  <w:r>
                    <w:rPr>
                      <w:rFonts w:hint="eastAsia" w:cs="Times New Roman"/>
                      <w:b w:val="0"/>
                      <w:bCs w:val="0"/>
                      <w:highlight w:val="none"/>
                      <w:vertAlign w:val="subscript"/>
                      <w:lang w:val="en-US" w:eastAsia="zh-CN"/>
                    </w:rPr>
                    <w:t>2</w:t>
                  </w:r>
                </w:p>
              </w:tc>
              <w:tc>
                <w:tcPr>
                  <w:tcW w:w="1560" w:type="dxa"/>
                  <w:noWrap w:val="0"/>
                  <w:vAlign w:val="center"/>
                </w:tcPr>
                <w:p w14:paraId="6FC685A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打孔废水</w:t>
                  </w:r>
                </w:p>
              </w:tc>
              <w:tc>
                <w:tcPr>
                  <w:tcW w:w="1230" w:type="dxa"/>
                  <w:vMerge w:val="continue"/>
                  <w:noWrap w:val="0"/>
                  <w:vAlign w:val="center"/>
                </w:tcPr>
                <w:p w14:paraId="5429298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1080" w:type="dxa"/>
                  <w:noWrap w:val="0"/>
                  <w:vAlign w:val="center"/>
                </w:tcPr>
                <w:p w14:paraId="0920F7E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间断</w:t>
                  </w:r>
                </w:p>
              </w:tc>
              <w:tc>
                <w:tcPr>
                  <w:tcW w:w="2521" w:type="dxa"/>
                  <w:vMerge w:val="continue"/>
                  <w:noWrap w:val="0"/>
                  <w:vAlign w:val="center"/>
                </w:tcPr>
                <w:p w14:paraId="462124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r>
            <w:tr w14:paraId="3ECFAC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continue"/>
                  <w:noWrap w:val="0"/>
                  <w:vAlign w:val="center"/>
                </w:tcPr>
                <w:p w14:paraId="4E0F840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615" w:type="dxa"/>
                  <w:noWrap w:val="0"/>
                  <w:vAlign w:val="center"/>
                </w:tcPr>
                <w:p w14:paraId="30C5143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b w:val="0"/>
                      <w:bCs w:val="0"/>
                      <w:highlight w:val="none"/>
                      <w:lang w:val="en-US" w:eastAsia="zh-CN"/>
                    </w:rPr>
                  </w:pPr>
                  <w:r>
                    <w:rPr>
                      <w:rFonts w:hint="eastAsia" w:ascii="Times New Roman" w:hAnsi="Times New Roman" w:cs="Times New Roman"/>
                      <w:b w:val="0"/>
                      <w:bCs w:val="0"/>
                      <w:highlight w:val="none"/>
                      <w:lang w:val="en-US" w:eastAsia="zh-CN"/>
                    </w:rPr>
                    <w:t>W</w:t>
                  </w:r>
                  <w:r>
                    <w:rPr>
                      <w:rFonts w:hint="eastAsia" w:cs="Times New Roman"/>
                      <w:b w:val="0"/>
                      <w:bCs w:val="0"/>
                      <w:highlight w:val="none"/>
                      <w:vertAlign w:val="subscript"/>
                      <w:lang w:val="en-US" w:eastAsia="zh-CN"/>
                    </w:rPr>
                    <w:t>3</w:t>
                  </w:r>
                </w:p>
              </w:tc>
              <w:tc>
                <w:tcPr>
                  <w:tcW w:w="1560" w:type="dxa"/>
                  <w:noWrap w:val="0"/>
                  <w:vAlign w:val="center"/>
                </w:tcPr>
                <w:p w14:paraId="282F31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切割废水</w:t>
                  </w:r>
                </w:p>
              </w:tc>
              <w:tc>
                <w:tcPr>
                  <w:tcW w:w="1230" w:type="dxa"/>
                  <w:vMerge w:val="continue"/>
                  <w:noWrap w:val="0"/>
                  <w:vAlign w:val="center"/>
                </w:tcPr>
                <w:p w14:paraId="7ECF52F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1080" w:type="dxa"/>
                  <w:noWrap w:val="0"/>
                  <w:vAlign w:val="center"/>
                </w:tcPr>
                <w:p w14:paraId="36AA160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w:t>
                  </w:r>
                </w:p>
              </w:tc>
              <w:tc>
                <w:tcPr>
                  <w:tcW w:w="2521" w:type="dxa"/>
                  <w:vMerge w:val="continue"/>
                  <w:noWrap w:val="0"/>
                  <w:vAlign w:val="center"/>
                </w:tcPr>
                <w:p w14:paraId="4E9179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r>
            <w:tr w14:paraId="6F06E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restart"/>
                  <w:noWrap w:val="0"/>
                  <w:vAlign w:val="center"/>
                </w:tcPr>
                <w:p w14:paraId="7DFDB79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噪声</w:t>
                  </w:r>
                </w:p>
              </w:tc>
              <w:tc>
                <w:tcPr>
                  <w:tcW w:w="615" w:type="dxa"/>
                  <w:noWrap w:val="0"/>
                  <w:vAlign w:val="center"/>
                </w:tcPr>
                <w:p w14:paraId="61526FF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b w:val="0"/>
                      <w:bCs w:val="0"/>
                      <w:highlight w:val="none"/>
                      <w:lang w:val="en-US" w:eastAsia="zh-CN"/>
                    </w:rPr>
                  </w:pPr>
                  <w:r>
                    <w:rPr>
                      <w:rFonts w:hint="eastAsia"/>
                      <w:b w:val="0"/>
                      <w:bCs w:val="0"/>
                      <w:highlight w:val="none"/>
                      <w:lang w:val="en-US" w:eastAsia="zh-CN"/>
                    </w:rPr>
                    <w:t>N</w:t>
                  </w:r>
                  <w:r>
                    <w:rPr>
                      <w:rFonts w:hint="eastAsia" w:ascii="Times New Roman" w:hAnsi="Times New Roman" w:eastAsia="宋体" w:cs="Times New Roman"/>
                      <w:b w:val="0"/>
                      <w:bCs w:val="0"/>
                      <w:highlight w:val="none"/>
                      <w:vertAlign w:val="subscript"/>
                      <w:lang w:val="en-US" w:eastAsia="zh-CN"/>
                    </w:rPr>
                    <w:t>1</w:t>
                  </w:r>
                </w:p>
              </w:tc>
              <w:tc>
                <w:tcPr>
                  <w:tcW w:w="1560" w:type="dxa"/>
                  <w:noWrap w:val="0"/>
                  <w:vAlign w:val="center"/>
                </w:tcPr>
                <w:p w14:paraId="1BC4A2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上料风机</w:t>
                  </w:r>
                </w:p>
              </w:tc>
              <w:tc>
                <w:tcPr>
                  <w:tcW w:w="1230" w:type="dxa"/>
                  <w:vMerge w:val="restart"/>
                  <w:noWrap w:val="0"/>
                  <w:vAlign w:val="center"/>
                </w:tcPr>
                <w:p w14:paraId="435D79D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噪声</w:t>
                  </w:r>
                </w:p>
              </w:tc>
              <w:tc>
                <w:tcPr>
                  <w:tcW w:w="1080" w:type="dxa"/>
                  <w:noWrap w:val="0"/>
                  <w:vAlign w:val="center"/>
                </w:tcPr>
                <w:p w14:paraId="3FC67EE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间断</w:t>
                  </w:r>
                </w:p>
              </w:tc>
              <w:tc>
                <w:tcPr>
                  <w:tcW w:w="2521" w:type="dxa"/>
                  <w:vMerge w:val="restart"/>
                  <w:noWrap w:val="0"/>
                  <w:vAlign w:val="center"/>
                </w:tcPr>
                <w:p w14:paraId="602FEB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基础减振+厂房隔音</w:t>
                  </w:r>
                </w:p>
              </w:tc>
            </w:tr>
            <w:tr w14:paraId="629A2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continue"/>
                  <w:noWrap w:val="0"/>
                  <w:vAlign w:val="center"/>
                </w:tcPr>
                <w:p w14:paraId="59B84DC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2F4E688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b w:val="0"/>
                      <w:bCs w:val="0"/>
                      <w:kern w:val="2"/>
                      <w:sz w:val="21"/>
                      <w:szCs w:val="24"/>
                      <w:highlight w:val="none"/>
                      <w:lang w:val="en-US" w:eastAsia="zh-CN" w:bidi="ar-SA"/>
                    </w:rPr>
                  </w:pPr>
                  <w:r>
                    <w:rPr>
                      <w:rFonts w:hint="eastAsia"/>
                      <w:b w:val="0"/>
                      <w:bCs w:val="0"/>
                      <w:highlight w:val="none"/>
                      <w:lang w:val="en-US" w:eastAsia="zh-CN"/>
                    </w:rPr>
                    <w:t>N</w:t>
                  </w:r>
                  <w:r>
                    <w:rPr>
                      <w:rFonts w:hint="eastAsia" w:ascii="Times New Roman" w:hAnsi="Times New Roman" w:cs="Times New Roman"/>
                      <w:b w:val="0"/>
                      <w:bCs w:val="0"/>
                      <w:highlight w:val="none"/>
                      <w:vertAlign w:val="subscript"/>
                      <w:lang w:val="en-US" w:eastAsia="zh-CN"/>
                    </w:rPr>
                    <w:t>2</w:t>
                  </w:r>
                </w:p>
              </w:tc>
              <w:tc>
                <w:tcPr>
                  <w:tcW w:w="1560" w:type="dxa"/>
                  <w:noWrap w:val="0"/>
                  <w:vAlign w:val="center"/>
                </w:tcPr>
                <w:p w14:paraId="7356212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上料风机</w:t>
                  </w:r>
                </w:p>
              </w:tc>
              <w:tc>
                <w:tcPr>
                  <w:tcW w:w="1230" w:type="dxa"/>
                  <w:vMerge w:val="continue"/>
                  <w:noWrap w:val="0"/>
                  <w:vAlign w:val="center"/>
                </w:tcPr>
                <w:p w14:paraId="5FA19E3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1080" w:type="dxa"/>
                  <w:noWrap w:val="0"/>
                  <w:vAlign w:val="center"/>
                </w:tcPr>
                <w:p w14:paraId="270BAB9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w:t>
                  </w:r>
                </w:p>
              </w:tc>
              <w:tc>
                <w:tcPr>
                  <w:tcW w:w="2521" w:type="dxa"/>
                  <w:vMerge w:val="continue"/>
                  <w:noWrap w:val="0"/>
                  <w:vAlign w:val="center"/>
                </w:tcPr>
                <w:p w14:paraId="6C8828D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r>
            <w:tr w14:paraId="67E78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continue"/>
                  <w:noWrap w:val="0"/>
                  <w:vAlign w:val="center"/>
                </w:tcPr>
                <w:p w14:paraId="5DF04D3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3141ABC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b w:val="0"/>
                      <w:bCs w:val="0"/>
                      <w:kern w:val="2"/>
                      <w:sz w:val="21"/>
                      <w:szCs w:val="24"/>
                      <w:highlight w:val="none"/>
                      <w:lang w:val="en-US" w:eastAsia="zh-CN" w:bidi="ar-SA"/>
                    </w:rPr>
                  </w:pPr>
                  <w:r>
                    <w:rPr>
                      <w:rFonts w:hint="eastAsia"/>
                      <w:b w:val="0"/>
                      <w:bCs w:val="0"/>
                      <w:highlight w:val="none"/>
                      <w:lang w:val="en-US" w:eastAsia="zh-CN"/>
                    </w:rPr>
                    <w:t>N</w:t>
                  </w:r>
                  <w:r>
                    <w:rPr>
                      <w:rFonts w:hint="eastAsia"/>
                      <w:b w:val="0"/>
                      <w:bCs w:val="0"/>
                      <w:highlight w:val="none"/>
                      <w:vertAlign w:val="subscript"/>
                      <w:lang w:val="en-US" w:eastAsia="zh-CN"/>
                    </w:rPr>
                    <w:t>3</w:t>
                  </w:r>
                </w:p>
              </w:tc>
              <w:tc>
                <w:tcPr>
                  <w:tcW w:w="1560" w:type="dxa"/>
                  <w:noWrap w:val="0"/>
                  <w:vAlign w:val="center"/>
                </w:tcPr>
                <w:p w14:paraId="272567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搅拌机</w:t>
                  </w:r>
                </w:p>
              </w:tc>
              <w:tc>
                <w:tcPr>
                  <w:tcW w:w="1230" w:type="dxa"/>
                  <w:vMerge w:val="continue"/>
                  <w:noWrap w:val="0"/>
                  <w:vAlign w:val="center"/>
                </w:tcPr>
                <w:p w14:paraId="28EEC71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1080" w:type="dxa"/>
                  <w:noWrap w:val="0"/>
                  <w:vAlign w:val="center"/>
                </w:tcPr>
                <w:p w14:paraId="03E246B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w:t>
                  </w:r>
                </w:p>
              </w:tc>
              <w:tc>
                <w:tcPr>
                  <w:tcW w:w="2521" w:type="dxa"/>
                  <w:vMerge w:val="continue"/>
                  <w:noWrap w:val="0"/>
                  <w:vAlign w:val="center"/>
                </w:tcPr>
                <w:p w14:paraId="227F33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r>
            <w:tr w14:paraId="2D8C39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continue"/>
                  <w:noWrap w:val="0"/>
                  <w:vAlign w:val="center"/>
                </w:tcPr>
                <w:p w14:paraId="762C000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17B163D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b w:val="0"/>
                      <w:bCs w:val="0"/>
                      <w:kern w:val="2"/>
                      <w:sz w:val="21"/>
                      <w:szCs w:val="24"/>
                      <w:highlight w:val="none"/>
                      <w:lang w:val="en-US" w:eastAsia="zh-CN" w:bidi="ar-SA"/>
                    </w:rPr>
                  </w:pPr>
                  <w:r>
                    <w:rPr>
                      <w:rFonts w:hint="eastAsia"/>
                      <w:b w:val="0"/>
                      <w:bCs w:val="0"/>
                      <w:highlight w:val="none"/>
                      <w:lang w:val="en-US" w:eastAsia="zh-CN"/>
                    </w:rPr>
                    <w:t>N</w:t>
                  </w:r>
                  <w:r>
                    <w:rPr>
                      <w:rFonts w:hint="eastAsia"/>
                      <w:b w:val="0"/>
                      <w:bCs w:val="0"/>
                      <w:highlight w:val="none"/>
                      <w:vertAlign w:val="subscript"/>
                      <w:lang w:val="en-US" w:eastAsia="zh-CN"/>
                    </w:rPr>
                    <w:t>4</w:t>
                  </w:r>
                </w:p>
              </w:tc>
              <w:tc>
                <w:tcPr>
                  <w:tcW w:w="1560" w:type="dxa"/>
                  <w:noWrap w:val="0"/>
                  <w:vAlign w:val="center"/>
                </w:tcPr>
                <w:p w14:paraId="2615C5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二次搅拌机</w:t>
                  </w:r>
                </w:p>
              </w:tc>
              <w:tc>
                <w:tcPr>
                  <w:tcW w:w="1230" w:type="dxa"/>
                  <w:vMerge w:val="continue"/>
                  <w:noWrap w:val="0"/>
                  <w:vAlign w:val="center"/>
                </w:tcPr>
                <w:p w14:paraId="2F5A7C1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1080" w:type="dxa"/>
                  <w:noWrap w:val="0"/>
                  <w:vAlign w:val="center"/>
                </w:tcPr>
                <w:p w14:paraId="74C588B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w:t>
                  </w:r>
                </w:p>
              </w:tc>
              <w:tc>
                <w:tcPr>
                  <w:tcW w:w="2521" w:type="dxa"/>
                  <w:vMerge w:val="continue"/>
                  <w:noWrap w:val="0"/>
                  <w:vAlign w:val="center"/>
                </w:tcPr>
                <w:p w14:paraId="433307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r>
            <w:tr w14:paraId="2F76D3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continue"/>
                  <w:noWrap w:val="0"/>
                  <w:vAlign w:val="center"/>
                </w:tcPr>
                <w:p w14:paraId="4BB2225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5A45329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b w:val="0"/>
                      <w:bCs w:val="0"/>
                      <w:kern w:val="2"/>
                      <w:sz w:val="21"/>
                      <w:szCs w:val="24"/>
                      <w:highlight w:val="none"/>
                      <w:lang w:val="en-US" w:eastAsia="zh-CN" w:bidi="ar-SA"/>
                    </w:rPr>
                  </w:pPr>
                  <w:r>
                    <w:rPr>
                      <w:rFonts w:hint="eastAsia"/>
                      <w:b w:val="0"/>
                      <w:bCs w:val="0"/>
                      <w:highlight w:val="none"/>
                      <w:lang w:val="en-US" w:eastAsia="zh-CN"/>
                    </w:rPr>
                    <w:t>N</w:t>
                  </w:r>
                  <w:r>
                    <w:rPr>
                      <w:rFonts w:hint="eastAsia"/>
                      <w:b w:val="0"/>
                      <w:bCs w:val="0"/>
                      <w:highlight w:val="none"/>
                      <w:vertAlign w:val="subscript"/>
                      <w:lang w:val="en-US" w:eastAsia="zh-CN"/>
                    </w:rPr>
                    <w:t>5</w:t>
                  </w:r>
                </w:p>
              </w:tc>
              <w:tc>
                <w:tcPr>
                  <w:tcW w:w="1560" w:type="dxa"/>
                  <w:noWrap w:val="0"/>
                  <w:vAlign w:val="center"/>
                </w:tcPr>
                <w:p w14:paraId="79B47E4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裁切机</w:t>
                  </w:r>
                </w:p>
              </w:tc>
              <w:tc>
                <w:tcPr>
                  <w:tcW w:w="1230" w:type="dxa"/>
                  <w:vMerge w:val="continue"/>
                  <w:noWrap w:val="0"/>
                  <w:vAlign w:val="center"/>
                </w:tcPr>
                <w:p w14:paraId="6A0DEC5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1080" w:type="dxa"/>
                  <w:noWrap w:val="0"/>
                  <w:vAlign w:val="center"/>
                </w:tcPr>
                <w:p w14:paraId="4819D8F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w:t>
                  </w:r>
                </w:p>
              </w:tc>
              <w:tc>
                <w:tcPr>
                  <w:tcW w:w="2521" w:type="dxa"/>
                  <w:vMerge w:val="continue"/>
                  <w:noWrap w:val="0"/>
                  <w:vAlign w:val="center"/>
                </w:tcPr>
                <w:p w14:paraId="2E58BA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r>
            <w:tr w14:paraId="5C6769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continue"/>
                  <w:noWrap w:val="0"/>
                  <w:vAlign w:val="center"/>
                </w:tcPr>
                <w:p w14:paraId="44A873F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2B5C0B5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b w:val="0"/>
                      <w:bCs w:val="0"/>
                      <w:kern w:val="2"/>
                      <w:sz w:val="21"/>
                      <w:szCs w:val="24"/>
                      <w:highlight w:val="none"/>
                      <w:lang w:val="en-US" w:eastAsia="zh-CN" w:bidi="ar-SA"/>
                    </w:rPr>
                  </w:pPr>
                  <w:r>
                    <w:rPr>
                      <w:rFonts w:hint="eastAsia" w:ascii="Times New Roman" w:hAnsi="Times New Roman" w:cs="Times New Roman"/>
                      <w:b w:val="0"/>
                      <w:bCs w:val="0"/>
                      <w:highlight w:val="none"/>
                      <w:lang w:val="en-US" w:eastAsia="zh-CN"/>
                    </w:rPr>
                    <w:t>N</w:t>
                  </w:r>
                  <w:r>
                    <w:rPr>
                      <w:rFonts w:hint="eastAsia" w:cs="Times New Roman"/>
                      <w:b w:val="0"/>
                      <w:bCs w:val="0"/>
                      <w:highlight w:val="none"/>
                      <w:vertAlign w:val="subscript"/>
                      <w:lang w:val="en-US" w:eastAsia="zh-CN"/>
                    </w:rPr>
                    <w:t>6</w:t>
                  </w:r>
                </w:p>
              </w:tc>
              <w:tc>
                <w:tcPr>
                  <w:tcW w:w="1560" w:type="dxa"/>
                  <w:noWrap w:val="0"/>
                  <w:vAlign w:val="center"/>
                </w:tcPr>
                <w:p w14:paraId="22A3631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自动打孔机</w:t>
                  </w:r>
                </w:p>
              </w:tc>
              <w:tc>
                <w:tcPr>
                  <w:tcW w:w="1230" w:type="dxa"/>
                  <w:vMerge w:val="continue"/>
                  <w:noWrap w:val="0"/>
                  <w:vAlign w:val="center"/>
                </w:tcPr>
                <w:p w14:paraId="4D699CA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1080" w:type="dxa"/>
                  <w:noWrap w:val="0"/>
                  <w:vAlign w:val="center"/>
                </w:tcPr>
                <w:p w14:paraId="6C8002C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w:t>
                  </w:r>
                </w:p>
              </w:tc>
              <w:tc>
                <w:tcPr>
                  <w:tcW w:w="2521" w:type="dxa"/>
                  <w:vMerge w:val="continue"/>
                  <w:noWrap w:val="0"/>
                  <w:vAlign w:val="center"/>
                </w:tcPr>
                <w:p w14:paraId="0D3A5A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r>
            <w:tr w14:paraId="5534FE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continue"/>
                  <w:noWrap w:val="0"/>
                  <w:vAlign w:val="center"/>
                </w:tcPr>
                <w:p w14:paraId="57FE50F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2741ADC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b w:val="0"/>
                      <w:bCs w:val="0"/>
                      <w:kern w:val="2"/>
                      <w:sz w:val="21"/>
                      <w:szCs w:val="24"/>
                      <w:highlight w:val="none"/>
                      <w:lang w:val="en-US" w:eastAsia="zh-CN" w:bidi="ar-SA"/>
                    </w:rPr>
                  </w:pPr>
                  <w:r>
                    <w:rPr>
                      <w:rFonts w:hint="eastAsia" w:ascii="Times New Roman" w:hAnsi="Times New Roman" w:cs="Times New Roman"/>
                      <w:b w:val="0"/>
                      <w:bCs w:val="0"/>
                      <w:highlight w:val="none"/>
                      <w:lang w:val="en-US" w:eastAsia="zh-CN"/>
                    </w:rPr>
                    <w:t>N</w:t>
                  </w:r>
                  <w:r>
                    <w:rPr>
                      <w:rFonts w:hint="eastAsia" w:cs="Times New Roman"/>
                      <w:b w:val="0"/>
                      <w:bCs w:val="0"/>
                      <w:highlight w:val="none"/>
                      <w:vertAlign w:val="subscript"/>
                      <w:lang w:val="en-US" w:eastAsia="zh-CN"/>
                    </w:rPr>
                    <w:t>7</w:t>
                  </w:r>
                </w:p>
              </w:tc>
              <w:tc>
                <w:tcPr>
                  <w:tcW w:w="1560" w:type="dxa"/>
                  <w:noWrap w:val="0"/>
                  <w:vAlign w:val="center"/>
                </w:tcPr>
                <w:p w14:paraId="591A47E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切割机</w:t>
                  </w:r>
                </w:p>
              </w:tc>
              <w:tc>
                <w:tcPr>
                  <w:tcW w:w="1230" w:type="dxa"/>
                  <w:vMerge w:val="continue"/>
                  <w:noWrap w:val="0"/>
                  <w:vAlign w:val="center"/>
                </w:tcPr>
                <w:p w14:paraId="57CAF9A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1080" w:type="dxa"/>
                  <w:noWrap w:val="0"/>
                  <w:vAlign w:val="center"/>
                </w:tcPr>
                <w:p w14:paraId="0D7000F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w:t>
                  </w:r>
                </w:p>
              </w:tc>
              <w:tc>
                <w:tcPr>
                  <w:tcW w:w="2521" w:type="dxa"/>
                  <w:vMerge w:val="continue"/>
                  <w:noWrap w:val="0"/>
                  <w:vAlign w:val="center"/>
                </w:tcPr>
                <w:p w14:paraId="717F76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r>
            <w:tr w14:paraId="515AB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continue"/>
                  <w:noWrap w:val="0"/>
                  <w:vAlign w:val="center"/>
                </w:tcPr>
                <w:p w14:paraId="36E8D35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39D3F0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b w:val="0"/>
                      <w:bCs w:val="0"/>
                      <w:highlight w:val="none"/>
                      <w:lang w:val="en-US" w:eastAsia="zh-CN"/>
                    </w:rPr>
                  </w:pPr>
                  <w:r>
                    <w:rPr>
                      <w:rFonts w:hint="eastAsia" w:ascii="Times New Roman" w:hAnsi="Times New Roman" w:cs="Times New Roman"/>
                      <w:b w:val="0"/>
                      <w:bCs w:val="0"/>
                      <w:highlight w:val="none"/>
                      <w:lang w:val="en-US" w:eastAsia="zh-CN"/>
                    </w:rPr>
                    <w:t>N</w:t>
                  </w:r>
                  <w:r>
                    <w:rPr>
                      <w:rFonts w:hint="eastAsia" w:cs="Times New Roman"/>
                      <w:b w:val="0"/>
                      <w:bCs w:val="0"/>
                      <w:highlight w:val="none"/>
                      <w:vertAlign w:val="subscript"/>
                      <w:lang w:val="en-US" w:eastAsia="zh-CN"/>
                    </w:rPr>
                    <w:t>8</w:t>
                  </w:r>
                </w:p>
              </w:tc>
              <w:tc>
                <w:tcPr>
                  <w:tcW w:w="1560" w:type="dxa"/>
                  <w:noWrap w:val="0"/>
                  <w:vAlign w:val="center"/>
                </w:tcPr>
                <w:p w14:paraId="26CCFAE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除尘器风机</w:t>
                  </w:r>
                </w:p>
              </w:tc>
              <w:tc>
                <w:tcPr>
                  <w:tcW w:w="1230" w:type="dxa"/>
                  <w:vMerge w:val="continue"/>
                  <w:noWrap w:val="0"/>
                  <w:vAlign w:val="center"/>
                </w:tcPr>
                <w:p w14:paraId="0F32983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1080" w:type="dxa"/>
                  <w:noWrap w:val="0"/>
                  <w:vAlign w:val="center"/>
                </w:tcPr>
                <w:p w14:paraId="6F8E759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w:t>
                  </w:r>
                </w:p>
              </w:tc>
              <w:tc>
                <w:tcPr>
                  <w:tcW w:w="2521" w:type="dxa"/>
                  <w:vMerge w:val="continue"/>
                  <w:noWrap w:val="0"/>
                  <w:vAlign w:val="center"/>
                </w:tcPr>
                <w:p w14:paraId="7A565F9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r>
            <w:tr w14:paraId="45776D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813" w:type="dxa"/>
                  <w:gridSpan w:val="2"/>
                  <w:vMerge w:val="continue"/>
                  <w:noWrap w:val="0"/>
                  <w:vAlign w:val="center"/>
                </w:tcPr>
                <w:p w14:paraId="2E71221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0E288E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N</w:t>
                  </w:r>
                  <w:r>
                    <w:rPr>
                      <w:rFonts w:hint="eastAsia" w:cs="Times New Roman"/>
                      <w:b w:val="0"/>
                      <w:bCs w:val="0"/>
                      <w:highlight w:val="none"/>
                      <w:vertAlign w:val="subscript"/>
                      <w:lang w:val="en-US" w:eastAsia="zh-CN"/>
                    </w:rPr>
                    <w:t>9</w:t>
                  </w:r>
                </w:p>
              </w:tc>
              <w:tc>
                <w:tcPr>
                  <w:tcW w:w="1560" w:type="dxa"/>
                  <w:noWrap w:val="0"/>
                  <w:vAlign w:val="center"/>
                </w:tcPr>
                <w:p w14:paraId="0D04EC3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空压机</w:t>
                  </w:r>
                </w:p>
              </w:tc>
              <w:tc>
                <w:tcPr>
                  <w:tcW w:w="1230" w:type="dxa"/>
                  <w:vMerge w:val="continue"/>
                  <w:noWrap w:val="0"/>
                  <w:vAlign w:val="center"/>
                </w:tcPr>
                <w:p w14:paraId="454A503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1080" w:type="dxa"/>
                  <w:noWrap w:val="0"/>
                  <w:vAlign w:val="center"/>
                </w:tcPr>
                <w:p w14:paraId="7016BD2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w:t>
                  </w:r>
                </w:p>
              </w:tc>
              <w:tc>
                <w:tcPr>
                  <w:tcW w:w="2521" w:type="dxa"/>
                  <w:vMerge w:val="continue"/>
                  <w:noWrap w:val="0"/>
                  <w:vAlign w:val="center"/>
                </w:tcPr>
                <w:p w14:paraId="2209EA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r>
            <w:tr w14:paraId="0C0226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38" w:type="dxa"/>
                  <w:vMerge w:val="restart"/>
                  <w:noWrap w:val="0"/>
                  <w:vAlign w:val="center"/>
                </w:tcPr>
                <w:p w14:paraId="34DEEAF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固废</w:t>
                  </w:r>
                </w:p>
              </w:tc>
              <w:tc>
                <w:tcPr>
                  <w:tcW w:w="375" w:type="dxa"/>
                  <w:vMerge w:val="restart"/>
                  <w:noWrap w:val="0"/>
                  <w:vAlign w:val="center"/>
                </w:tcPr>
                <w:p w14:paraId="4E040CC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一般固废</w:t>
                  </w:r>
                </w:p>
              </w:tc>
              <w:tc>
                <w:tcPr>
                  <w:tcW w:w="615" w:type="dxa"/>
                  <w:noWrap w:val="0"/>
                  <w:vAlign w:val="center"/>
                </w:tcPr>
                <w:p w14:paraId="277029A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b w:val="0"/>
                      <w:bCs w:val="0"/>
                      <w:kern w:val="2"/>
                      <w:sz w:val="21"/>
                      <w:szCs w:val="24"/>
                      <w:highlight w:val="none"/>
                      <w:lang w:val="en-US" w:eastAsia="zh-CN" w:bidi="ar-SA"/>
                    </w:rPr>
                  </w:pPr>
                  <w:r>
                    <w:rPr>
                      <w:rFonts w:hint="eastAsia"/>
                      <w:b w:val="0"/>
                      <w:bCs w:val="0"/>
                      <w:highlight w:val="none"/>
                      <w:lang w:val="en-US" w:eastAsia="zh-CN"/>
                    </w:rPr>
                    <w:t>S</w:t>
                  </w:r>
                  <w:r>
                    <w:rPr>
                      <w:rFonts w:hint="eastAsia"/>
                      <w:b w:val="0"/>
                      <w:bCs w:val="0"/>
                      <w:highlight w:val="none"/>
                      <w:vertAlign w:val="subscript"/>
                      <w:lang w:val="en-US" w:eastAsia="zh-CN"/>
                    </w:rPr>
                    <w:t>1</w:t>
                  </w:r>
                </w:p>
              </w:tc>
              <w:tc>
                <w:tcPr>
                  <w:tcW w:w="1560" w:type="dxa"/>
                  <w:noWrap w:val="0"/>
                  <w:vAlign w:val="center"/>
                </w:tcPr>
                <w:p w14:paraId="509EC33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上料</w:t>
                  </w:r>
                </w:p>
              </w:tc>
              <w:tc>
                <w:tcPr>
                  <w:tcW w:w="1230" w:type="dxa"/>
                  <w:noWrap w:val="0"/>
                  <w:vAlign w:val="center"/>
                </w:tcPr>
                <w:p w14:paraId="3BF5A5C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废包装袋</w:t>
                  </w:r>
                </w:p>
              </w:tc>
              <w:tc>
                <w:tcPr>
                  <w:tcW w:w="1080" w:type="dxa"/>
                  <w:noWrap w:val="0"/>
                  <w:vAlign w:val="center"/>
                </w:tcPr>
                <w:p w14:paraId="512FAAF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w:t>
                  </w:r>
                </w:p>
              </w:tc>
              <w:tc>
                <w:tcPr>
                  <w:tcW w:w="2521" w:type="dxa"/>
                  <w:noWrap w:val="0"/>
                  <w:vAlign w:val="center"/>
                </w:tcPr>
                <w:p w14:paraId="636CA50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上料工序产生的包装袋循环使用，废包装袋集中收集，外卖废品回收站</w:t>
                  </w:r>
                </w:p>
              </w:tc>
            </w:tr>
            <w:tr w14:paraId="47390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38" w:type="dxa"/>
                  <w:vMerge w:val="continue"/>
                  <w:noWrap w:val="0"/>
                  <w:vAlign w:val="center"/>
                </w:tcPr>
                <w:p w14:paraId="5F93996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375" w:type="dxa"/>
                  <w:vMerge w:val="continue"/>
                  <w:noWrap w:val="0"/>
                  <w:vAlign w:val="center"/>
                </w:tcPr>
                <w:p w14:paraId="030EB4B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5C384F3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val="0"/>
                      <w:kern w:val="2"/>
                      <w:sz w:val="21"/>
                      <w:szCs w:val="24"/>
                      <w:highlight w:val="none"/>
                      <w:lang w:val="en-US" w:eastAsia="zh-CN" w:bidi="ar-SA"/>
                    </w:rPr>
                  </w:pPr>
                  <w:r>
                    <w:rPr>
                      <w:rFonts w:hint="eastAsia"/>
                      <w:b w:val="0"/>
                      <w:bCs w:val="0"/>
                      <w:highlight w:val="none"/>
                      <w:lang w:val="en-US" w:eastAsia="zh-CN"/>
                    </w:rPr>
                    <w:t>S</w:t>
                  </w:r>
                  <w:r>
                    <w:rPr>
                      <w:rFonts w:hint="eastAsia"/>
                      <w:b w:val="0"/>
                      <w:bCs w:val="0"/>
                      <w:highlight w:val="none"/>
                      <w:vertAlign w:val="subscript"/>
                      <w:lang w:val="en-US" w:eastAsia="zh-CN"/>
                    </w:rPr>
                    <w:t>2</w:t>
                  </w:r>
                </w:p>
              </w:tc>
              <w:tc>
                <w:tcPr>
                  <w:tcW w:w="1560" w:type="dxa"/>
                  <w:noWrap w:val="0"/>
                  <w:vAlign w:val="center"/>
                </w:tcPr>
                <w:p w14:paraId="2D9B1D2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抹平</w:t>
                  </w:r>
                </w:p>
              </w:tc>
              <w:tc>
                <w:tcPr>
                  <w:tcW w:w="1230" w:type="dxa"/>
                  <w:noWrap w:val="0"/>
                  <w:vAlign w:val="center"/>
                </w:tcPr>
                <w:p w14:paraId="30020C6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废砂浆</w:t>
                  </w:r>
                </w:p>
              </w:tc>
              <w:tc>
                <w:tcPr>
                  <w:tcW w:w="1080" w:type="dxa"/>
                  <w:noWrap w:val="0"/>
                  <w:vAlign w:val="center"/>
                </w:tcPr>
                <w:p w14:paraId="2D5B5B0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间断</w:t>
                  </w:r>
                </w:p>
              </w:tc>
              <w:tc>
                <w:tcPr>
                  <w:tcW w:w="2521" w:type="dxa"/>
                  <w:noWrap w:val="0"/>
                  <w:vAlign w:val="center"/>
                </w:tcPr>
                <w:p w14:paraId="2F62838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用铁铲及时收集，再利用于复合板材加工上</w:t>
                  </w:r>
                </w:p>
              </w:tc>
            </w:tr>
            <w:tr w14:paraId="436C2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38" w:type="dxa"/>
                  <w:vMerge w:val="continue"/>
                  <w:noWrap w:val="0"/>
                  <w:vAlign w:val="center"/>
                </w:tcPr>
                <w:p w14:paraId="00E278E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375" w:type="dxa"/>
                  <w:vMerge w:val="continue"/>
                  <w:noWrap w:val="0"/>
                  <w:vAlign w:val="center"/>
                </w:tcPr>
                <w:p w14:paraId="215CC3A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6BA6142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b w:val="0"/>
                      <w:bCs w:val="0"/>
                      <w:kern w:val="2"/>
                      <w:sz w:val="21"/>
                      <w:szCs w:val="24"/>
                      <w:highlight w:val="none"/>
                      <w:lang w:val="en-US" w:eastAsia="zh-CN" w:bidi="ar-SA"/>
                    </w:rPr>
                  </w:pPr>
                  <w:r>
                    <w:rPr>
                      <w:rFonts w:hint="eastAsia"/>
                      <w:b w:val="0"/>
                      <w:bCs w:val="0"/>
                      <w:highlight w:val="none"/>
                      <w:lang w:val="en-US" w:eastAsia="zh-CN"/>
                    </w:rPr>
                    <w:t>S</w:t>
                  </w:r>
                  <w:r>
                    <w:rPr>
                      <w:rFonts w:hint="eastAsia"/>
                      <w:b w:val="0"/>
                      <w:bCs w:val="0"/>
                      <w:highlight w:val="none"/>
                      <w:vertAlign w:val="subscript"/>
                      <w:lang w:val="en-US" w:eastAsia="zh-CN"/>
                    </w:rPr>
                    <w:t>3</w:t>
                  </w:r>
                </w:p>
              </w:tc>
              <w:tc>
                <w:tcPr>
                  <w:tcW w:w="1560" w:type="dxa"/>
                  <w:noWrap w:val="0"/>
                  <w:vAlign w:val="center"/>
                </w:tcPr>
                <w:p w14:paraId="15E5FF7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设备挡板上残留</w:t>
                  </w:r>
                </w:p>
              </w:tc>
              <w:tc>
                <w:tcPr>
                  <w:tcW w:w="1230" w:type="dxa"/>
                  <w:noWrap w:val="0"/>
                  <w:vAlign w:val="center"/>
                </w:tcPr>
                <w:p w14:paraId="142952C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凝固砂浆废料</w:t>
                  </w:r>
                </w:p>
              </w:tc>
              <w:tc>
                <w:tcPr>
                  <w:tcW w:w="1080" w:type="dxa"/>
                  <w:noWrap w:val="0"/>
                  <w:vAlign w:val="center"/>
                </w:tcPr>
                <w:p w14:paraId="7C44F9D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w:t>
                  </w:r>
                </w:p>
              </w:tc>
              <w:tc>
                <w:tcPr>
                  <w:tcW w:w="2521" w:type="dxa"/>
                  <w:vMerge w:val="restart"/>
                  <w:noWrap w:val="0"/>
                  <w:vAlign w:val="center"/>
                </w:tcPr>
                <w:p w14:paraId="6391364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收集于吨包袋内，外卖于保温板生产厂</w:t>
                  </w:r>
                </w:p>
              </w:tc>
            </w:tr>
            <w:tr w14:paraId="1800E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38" w:type="dxa"/>
                  <w:vMerge w:val="continue"/>
                  <w:noWrap w:val="0"/>
                  <w:vAlign w:val="center"/>
                </w:tcPr>
                <w:p w14:paraId="51E6A8E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375" w:type="dxa"/>
                  <w:vMerge w:val="continue"/>
                  <w:noWrap w:val="0"/>
                  <w:vAlign w:val="center"/>
                </w:tcPr>
                <w:p w14:paraId="0F71CAA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51B271D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b w:val="0"/>
                      <w:bCs w:val="0"/>
                      <w:kern w:val="2"/>
                      <w:sz w:val="21"/>
                      <w:szCs w:val="24"/>
                      <w:highlight w:val="none"/>
                      <w:lang w:val="en-US" w:eastAsia="zh-CN" w:bidi="ar-SA"/>
                    </w:rPr>
                  </w:pPr>
                  <w:r>
                    <w:rPr>
                      <w:rFonts w:hint="eastAsia"/>
                      <w:b w:val="0"/>
                      <w:bCs w:val="0"/>
                      <w:highlight w:val="none"/>
                      <w:lang w:val="en-US" w:eastAsia="zh-CN"/>
                    </w:rPr>
                    <w:t>S</w:t>
                  </w:r>
                  <w:r>
                    <w:rPr>
                      <w:rFonts w:hint="eastAsia"/>
                      <w:b w:val="0"/>
                      <w:bCs w:val="0"/>
                      <w:highlight w:val="none"/>
                      <w:vertAlign w:val="subscript"/>
                      <w:lang w:val="en-US" w:eastAsia="zh-CN"/>
                    </w:rPr>
                    <w:t>4</w:t>
                  </w:r>
                </w:p>
              </w:tc>
              <w:tc>
                <w:tcPr>
                  <w:tcW w:w="1560" w:type="dxa"/>
                  <w:noWrap w:val="0"/>
                  <w:vAlign w:val="center"/>
                </w:tcPr>
                <w:p w14:paraId="641D5E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打孔</w:t>
                  </w:r>
                </w:p>
              </w:tc>
              <w:tc>
                <w:tcPr>
                  <w:tcW w:w="1230" w:type="dxa"/>
                  <w:noWrap w:val="0"/>
                  <w:vAlign w:val="center"/>
                </w:tcPr>
                <w:p w14:paraId="23768AF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废下脚料</w:t>
                  </w:r>
                </w:p>
              </w:tc>
              <w:tc>
                <w:tcPr>
                  <w:tcW w:w="1080" w:type="dxa"/>
                  <w:noWrap w:val="0"/>
                  <w:vAlign w:val="center"/>
                </w:tcPr>
                <w:p w14:paraId="77D87B9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w:t>
                  </w:r>
                </w:p>
              </w:tc>
              <w:tc>
                <w:tcPr>
                  <w:tcW w:w="2521" w:type="dxa"/>
                  <w:vMerge w:val="continue"/>
                  <w:noWrap w:val="0"/>
                  <w:vAlign w:val="center"/>
                </w:tcPr>
                <w:p w14:paraId="41CE247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r>
            <w:tr w14:paraId="484E48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38" w:type="dxa"/>
                  <w:vMerge w:val="continue"/>
                  <w:noWrap w:val="0"/>
                  <w:vAlign w:val="center"/>
                </w:tcPr>
                <w:p w14:paraId="076BA17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375" w:type="dxa"/>
                  <w:vMerge w:val="continue"/>
                  <w:noWrap w:val="0"/>
                  <w:vAlign w:val="center"/>
                </w:tcPr>
                <w:p w14:paraId="5C0C15E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5C94272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val="0"/>
                      <w:kern w:val="2"/>
                      <w:sz w:val="21"/>
                      <w:szCs w:val="24"/>
                      <w:highlight w:val="none"/>
                      <w:lang w:val="en-US" w:eastAsia="zh-CN" w:bidi="ar-SA"/>
                    </w:rPr>
                  </w:pPr>
                  <w:r>
                    <w:rPr>
                      <w:rFonts w:hint="eastAsia"/>
                      <w:b w:val="0"/>
                      <w:bCs w:val="0"/>
                      <w:highlight w:val="none"/>
                      <w:lang w:val="en-US" w:eastAsia="zh-CN"/>
                    </w:rPr>
                    <w:t>S</w:t>
                  </w:r>
                  <w:r>
                    <w:rPr>
                      <w:rFonts w:hint="eastAsia"/>
                      <w:b w:val="0"/>
                      <w:bCs w:val="0"/>
                      <w:highlight w:val="none"/>
                      <w:vertAlign w:val="subscript"/>
                      <w:lang w:val="en-US" w:eastAsia="zh-CN"/>
                    </w:rPr>
                    <w:t>5</w:t>
                  </w:r>
                </w:p>
              </w:tc>
              <w:tc>
                <w:tcPr>
                  <w:tcW w:w="1560" w:type="dxa"/>
                  <w:noWrap w:val="0"/>
                  <w:vAlign w:val="center"/>
                </w:tcPr>
                <w:p w14:paraId="637661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切割</w:t>
                  </w:r>
                </w:p>
              </w:tc>
              <w:tc>
                <w:tcPr>
                  <w:tcW w:w="1230" w:type="dxa"/>
                  <w:noWrap w:val="0"/>
                  <w:vAlign w:val="center"/>
                </w:tcPr>
                <w:p w14:paraId="25E6DCD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废下脚料</w:t>
                  </w:r>
                </w:p>
              </w:tc>
              <w:tc>
                <w:tcPr>
                  <w:tcW w:w="1080" w:type="dxa"/>
                  <w:noWrap w:val="0"/>
                  <w:vAlign w:val="center"/>
                </w:tcPr>
                <w:p w14:paraId="0199752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w:t>
                  </w:r>
                </w:p>
              </w:tc>
              <w:tc>
                <w:tcPr>
                  <w:tcW w:w="2521" w:type="dxa"/>
                  <w:vMerge w:val="continue"/>
                  <w:noWrap w:val="0"/>
                  <w:vAlign w:val="center"/>
                </w:tcPr>
                <w:p w14:paraId="3F09DF2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r>
            <w:tr w14:paraId="678CB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38" w:type="dxa"/>
                  <w:vMerge w:val="continue"/>
                  <w:noWrap w:val="0"/>
                  <w:vAlign w:val="center"/>
                </w:tcPr>
                <w:p w14:paraId="2807BD1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375" w:type="dxa"/>
                  <w:vMerge w:val="continue"/>
                  <w:noWrap w:val="0"/>
                  <w:vAlign w:val="center"/>
                </w:tcPr>
                <w:p w14:paraId="24FC79C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566B893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val="0"/>
                      <w:kern w:val="2"/>
                      <w:sz w:val="21"/>
                      <w:szCs w:val="24"/>
                      <w:highlight w:val="none"/>
                      <w:lang w:val="en-US" w:eastAsia="zh-CN" w:bidi="ar-SA"/>
                    </w:rPr>
                  </w:pPr>
                  <w:r>
                    <w:rPr>
                      <w:rFonts w:hint="eastAsia"/>
                      <w:b w:val="0"/>
                      <w:bCs w:val="0"/>
                      <w:highlight w:val="none"/>
                      <w:lang w:val="en-US" w:eastAsia="zh-CN"/>
                    </w:rPr>
                    <w:t>S</w:t>
                  </w:r>
                  <w:r>
                    <w:rPr>
                      <w:rFonts w:hint="eastAsia"/>
                      <w:b w:val="0"/>
                      <w:bCs w:val="0"/>
                      <w:highlight w:val="none"/>
                      <w:vertAlign w:val="subscript"/>
                      <w:lang w:val="en-US" w:eastAsia="zh-CN"/>
                    </w:rPr>
                    <w:t>6</w:t>
                  </w:r>
                </w:p>
              </w:tc>
              <w:tc>
                <w:tcPr>
                  <w:tcW w:w="1560" w:type="dxa"/>
                  <w:noWrap w:val="0"/>
                  <w:vAlign w:val="center"/>
                </w:tcPr>
                <w:p w14:paraId="2CA4ECB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脉冲布袋除尘器</w:t>
                  </w:r>
                </w:p>
              </w:tc>
              <w:tc>
                <w:tcPr>
                  <w:tcW w:w="1230" w:type="dxa"/>
                  <w:noWrap w:val="0"/>
                  <w:vAlign w:val="center"/>
                </w:tcPr>
                <w:p w14:paraId="57ABC4F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除尘灰</w:t>
                  </w:r>
                </w:p>
              </w:tc>
              <w:tc>
                <w:tcPr>
                  <w:tcW w:w="1080" w:type="dxa"/>
                  <w:noWrap w:val="0"/>
                  <w:vAlign w:val="center"/>
                </w:tcPr>
                <w:p w14:paraId="4B07D84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连续</w:t>
                  </w:r>
                </w:p>
              </w:tc>
              <w:tc>
                <w:tcPr>
                  <w:tcW w:w="2521" w:type="dxa"/>
                  <w:noWrap w:val="0"/>
                  <w:vAlign w:val="center"/>
                </w:tcPr>
                <w:p w14:paraId="2EFDF8E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除尘灰不外排，回用于砂浆生产。</w:t>
                  </w:r>
                </w:p>
              </w:tc>
            </w:tr>
            <w:tr w14:paraId="498E0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38" w:type="dxa"/>
                  <w:vMerge w:val="continue"/>
                  <w:noWrap w:val="0"/>
                  <w:vAlign w:val="center"/>
                </w:tcPr>
                <w:p w14:paraId="4A5EF75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375" w:type="dxa"/>
                  <w:vMerge w:val="continue"/>
                  <w:noWrap w:val="0"/>
                  <w:vAlign w:val="center"/>
                </w:tcPr>
                <w:p w14:paraId="1C96BEA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39A9D0C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val="0"/>
                      <w:kern w:val="2"/>
                      <w:sz w:val="21"/>
                      <w:szCs w:val="24"/>
                      <w:highlight w:val="none"/>
                      <w:lang w:val="en-US" w:eastAsia="zh-CN" w:bidi="ar-SA"/>
                    </w:rPr>
                  </w:pPr>
                  <w:r>
                    <w:rPr>
                      <w:rFonts w:hint="eastAsia"/>
                      <w:b w:val="0"/>
                      <w:bCs w:val="0"/>
                      <w:highlight w:val="none"/>
                      <w:lang w:val="en-US" w:eastAsia="zh-CN"/>
                    </w:rPr>
                    <w:t>S</w:t>
                  </w:r>
                  <w:r>
                    <w:rPr>
                      <w:rFonts w:hint="eastAsia"/>
                      <w:b w:val="0"/>
                      <w:bCs w:val="0"/>
                      <w:highlight w:val="none"/>
                      <w:vertAlign w:val="subscript"/>
                      <w:lang w:val="en-US" w:eastAsia="zh-CN"/>
                    </w:rPr>
                    <w:t>7</w:t>
                  </w:r>
                </w:p>
              </w:tc>
              <w:tc>
                <w:tcPr>
                  <w:tcW w:w="1560" w:type="dxa"/>
                  <w:vMerge w:val="restart"/>
                  <w:noWrap w:val="0"/>
                  <w:vAlign w:val="center"/>
                </w:tcPr>
                <w:p w14:paraId="657386F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沉淀池</w:t>
                  </w:r>
                </w:p>
              </w:tc>
              <w:tc>
                <w:tcPr>
                  <w:tcW w:w="1230" w:type="dxa"/>
                  <w:noWrap w:val="0"/>
                  <w:vAlign w:val="center"/>
                </w:tcPr>
                <w:p w14:paraId="73973CB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凝固砂浆废料</w:t>
                  </w:r>
                </w:p>
              </w:tc>
              <w:tc>
                <w:tcPr>
                  <w:tcW w:w="1080" w:type="dxa"/>
                  <w:noWrap w:val="0"/>
                  <w:vAlign w:val="center"/>
                </w:tcPr>
                <w:p w14:paraId="47B94EA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w:t>
                  </w:r>
                </w:p>
              </w:tc>
              <w:tc>
                <w:tcPr>
                  <w:tcW w:w="2521" w:type="dxa"/>
                  <w:noWrap w:val="0"/>
                  <w:vAlign w:val="center"/>
                </w:tcPr>
                <w:p w14:paraId="50D6A54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定期清掏，收集于吨包袋内，外卖于保温板生产厂</w:t>
                  </w:r>
                </w:p>
              </w:tc>
            </w:tr>
            <w:tr w14:paraId="2E6214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38" w:type="dxa"/>
                  <w:vMerge w:val="continue"/>
                  <w:noWrap w:val="0"/>
                  <w:vAlign w:val="center"/>
                </w:tcPr>
                <w:p w14:paraId="4ED4A8C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375" w:type="dxa"/>
                  <w:vMerge w:val="continue"/>
                  <w:noWrap w:val="0"/>
                  <w:vAlign w:val="center"/>
                </w:tcPr>
                <w:p w14:paraId="42AF124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615" w:type="dxa"/>
                  <w:noWrap w:val="0"/>
                  <w:vAlign w:val="center"/>
                </w:tcPr>
                <w:p w14:paraId="2A09270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val="0"/>
                      <w:kern w:val="2"/>
                      <w:sz w:val="21"/>
                      <w:szCs w:val="24"/>
                      <w:highlight w:val="none"/>
                      <w:lang w:val="en-US" w:eastAsia="zh-CN" w:bidi="ar-SA"/>
                    </w:rPr>
                  </w:pPr>
                  <w:r>
                    <w:rPr>
                      <w:rFonts w:hint="eastAsia"/>
                      <w:b w:val="0"/>
                      <w:bCs w:val="0"/>
                      <w:highlight w:val="none"/>
                      <w:lang w:val="en-US" w:eastAsia="zh-CN"/>
                    </w:rPr>
                    <w:t>S</w:t>
                  </w:r>
                  <w:r>
                    <w:rPr>
                      <w:rFonts w:hint="eastAsia"/>
                      <w:b w:val="0"/>
                      <w:bCs w:val="0"/>
                      <w:highlight w:val="none"/>
                      <w:vertAlign w:val="subscript"/>
                      <w:lang w:val="en-US" w:eastAsia="zh-CN"/>
                    </w:rPr>
                    <w:t>8</w:t>
                  </w:r>
                </w:p>
              </w:tc>
              <w:tc>
                <w:tcPr>
                  <w:tcW w:w="1560" w:type="dxa"/>
                  <w:vMerge w:val="continue"/>
                  <w:noWrap w:val="0"/>
                  <w:vAlign w:val="center"/>
                </w:tcPr>
                <w:p w14:paraId="1E37300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p>
              </w:tc>
              <w:tc>
                <w:tcPr>
                  <w:tcW w:w="1230" w:type="dxa"/>
                  <w:noWrap w:val="0"/>
                  <w:vAlign w:val="center"/>
                </w:tcPr>
                <w:p w14:paraId="6B10E66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悬浮挤塑板下脚料</w:t>
                  </w:r>
                </w:p>
              </w:tc>
              <w:tc>
                <w:tcPr>
                  <w:tcW w:w="1080" w:type="dxa"/>
                  <w:noWrap w:val="0"/>
                  <w:vAlign w:val="center"/>
                </w:tcPr>
                <w:p w14:paraId="4C7E636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间断</w:t>
                  </w:r>
                </w:p>
              </w:tc>
              <w:tc>
                <w:tcPr>
                  <w:tcW w:w="2521" w:type="dxa"/>
                  <w:noWrap w:val="0"/>
                  <w:vAlign w:val="center"/>
                </w:tcPr>
                <w:p w14:paraId="0C111B1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收集于吨包袋内，由环卫部门统一处理</w:t>
                  </w:r>
                </w:p>
              </w:tc>
            </w:tr>
            <w:tr w14:paraId="35379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38" w:type="dxa"/>
                  <w:vMerge w:val="continue"/>
                  <w:noWrap w:val="0"/>
                  <w:vAlign w:val="center"/>
                </w:tcPr>
                <w:p w14:paraId="36580DD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375" w:type="dxa"/>
                  <w:vMerge w:val="restart"/>
                  <w:noWrap w:val="0"/>
                  <w:vAlign w:val="center"/>
                </w:tcPr>
                <w:p w14:paraId="09F8771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危险废物</w:t>
                  </w:r>
                </w:p>
              </w:tc>
              <w:tc>
                <w:tcPr>
                  <w:tcW w:w="615" w:type="dxa"/>
                  <w:noWrap w:val="0"/>
                  <w:vAlign w:val="center"/>
                </w:tcPr>
                <w:p w14:paraId="6921F8F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val="0"/>
                      <w:kern w:val="2"/>
                      <w:sz w:val="21"/>
                      <w:szCs w:val="24"/>
                      <w:highlight w:val="none"/>
                      <w:lang w:val="en-US" w:eastAsia="zh-CN" w:bidi="ar-SA"/>
                    </w:rPr>
                  </w:pPr>
                  <w:r>
                    <w:rPr>
                      <w:rFonts w:hint="eastAsia"/>
                      <w:b w:val="0"/>
                      <w:bCs w:val="0"/>
                      <w:highlight w:val="none"/>
                      <w:lang w:val="en-US" w:eastAsia="zh-CN"/>
                    </w:rPr>
                    <w:t>S</w:t>
                  </w:r>
                  <w:r>
                    <w:rPr>
                      <w:rFonts w:hint="eastAsia"/>
                      <w:b w:val="0"/>
                      <w:bCs w:val="0"/>
                      <w:highlight w:val="none"/>
                      <w:vertAlign w:val="subscript"/>
                      <w:lang w:val="en-US" w:eastAsia="zh-CN"/>
                    </w:rPr>
                    <w:t>9</w:t>
                  </w:r>
                </w:p>
              </w:tc>
              <w:tc>
                <w:tcPr>
                  <w:tcW w:w="1560" w:type="dxa"/>
                  <w:vMerge w:val="restart"/>
                  <w:noWrap w:val="0"/>
                  <w:vAlign w:val="center"/>
                </w:tcPr>
                <w:p w14:paraId="0A5435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设备维护</w:t>
                  </w:r>
                </w:p>
              </w:tc>
              <w:tc>
                <w:tcPr>
                  <w:tcW w:w="1230" w:type="dxa"/>
                  <w:noWrap w:val="0"/>
                  <w:vAlign w:val="center"/>
                </w:tcPr>
                <w:p w14:paraId="0F9A48B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废润滑油</w:t>
                  </w:r>
                </w:p>
              </w:tc>
              <w:tc>
                <w:tcPr>
                  <w:tcW w:w="1080" w:type="dxa"/>
                  <w:noWrap w:val="0"/>
                  <w:vAlign w:val="center"/>
                </w:tcPr>
                <w:p w14:paraId="179FF7B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间断</w:t>
                  </w:r>
                </w:p>
              </w:tc>
              <w:tc>
                <w:tcPr>
                  <w:tcW w:w="2521" w:type="dxa"/>
                  <w:vMerge w:val="restart"/>
                  <w:noWrap w:val="0"/>
                  <w:vAlign w:val="center"/>
                </w:tcPr>
                <w:p w14:paraId="706D4B0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暂存危废间，定期送有危废处理资质单位处理</w:t>
                  </w:r>
                </w:p>
              </w:tc>
            </w:tr>
            <w:tr w14:paraId="316F38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3" w:hRule="atLeast"/>
                <w:jc w:val="center"/>
              </w:trPr>
              <w:tc>
                <w:tcPr>
                  <w:tcW w:w="438" w:type="dxa"/>
                  <w:vMerge w:val="continue"/>
                  <w:noWrap w:val="0"/>
                  <w:vAlign w:val="center"/>
                </w:tcPr>
                <w:p w14:paraId="2B3EC0F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375" w:type="dxa"/>
                  <w:vMerge w:val="continue"/>
                  <w:noWrap w:val="0"/>
                  <w:vAlign w:val="center"/>
                </w:tcPr>
                <w:p w14:paraId="6283F64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615" w:type="dxa"/>
                  <w:noWrap w:val="0"/>
                  <w:vAlign w:val="center"/>
                </w:tcPr>
                <w:p w14:paraId="52707F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val="0"/>
                      <w:bCs w:val="0"/>
                      <w:kern w:val="2"/>
                      <w:sz w:val="21"/>
                      <w:szCs w:val="24"/>
                      <w:highlight w:val="none"/>
                      <w:lang w:val="en-US" w:eastAsia="zh-CN" w:bidi="ar-SA"/>
                    </w:rPr>
                  </w:pPr>
                  <w:r>
                    <w:rPr>
                      <w:rFonts w:hint="eastAsia"/>
                      <w:b w:val="0"/>
                      <w:bCs w:val="0"/>
                      <w:highlight w:val="none"/>
                      <w:lang w:val="en-US" w:eastAsia="zh-CN"/>
                    </w:rPr>
                    <w:t>S</w:t>
                  </w:r>
                  <w:r>
                    <w:rPr>
                      <w:rFonts w:hint="eastAsia"/>
                      <w:b w:val="0"/>
                      <w:bCs w:val="0"/>
                      <w:highlight w:val="none"/>
                      <w:vertAlign w:val="subscript"/>
                      <w:lang w:val="en-US" w:eastAsia="zh-CN"/>
                    </w:rPr>
                    <w:t>10</w:t>
                  </w:r>
                </w:p>
              </w:tc>
              <w:tc>
                <w:tcPr>
                  <w:tcW w:w="1560" w:type="dxa"/>
                  <w:vMerge w:val="continue"/>
                  <w:noWrap w:val="0"/>
                  <w:vAlign w:val="center"/>
                </w:tcPr>
                <w:p w14:paraId="4BB985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1230" w:type="dxa"/>
                  <w:noWrap w:val="0"/>
                  <w:vAlign w:val="center"/>
                </w:tcPr>
                <w:p w14:paraId="53377A6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废油桶</w:t>
                  </w:r>
                </w:p>
              </w:tc>
              <w:tc>
                <w:tcPr>
                  <w:tcW w:w="1080" w:type="dxa"/>
                  <w:noWrap w:val="0"/>
                  <w:vAlign w:val="center"/>
                </w:tcPr>
                <w:p w14:paraId="11A71C2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间断</w:t>
                  </w:r>
                </w:p>
              </w:tc>
              <w:tc>
                <w:tcPr>
                  <w:tcW w:w="2521" w:type="dxa"/>
                  <w:vMerge w:val="continue"/>
                  <w:noWrap w:val="0"/>
                  <w:vAlign w:val="center"/>
                </w:tcPr>
                <w:p w14:paraId="2FE6EE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r>
          </w:tbl>
          <w:p w14:paraId="2889FFEA">
            <w:pPr>
              <w:pStyle w:val="18"/>
              <w:ind w:left="0" w:leftChars="0" w:firstLine="0" w:firstLineChars="0"/>
              <w:rPr>
                <w:highlight w:val="none"/>
              </w:rPr>
            </w:pPr>
          </w:p>
        </w:tc>
      </w:tr>
      <w:tr w14:paraId="4E1706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64" w:hRule="atLeast"/>
          <w:jc w:val="center"/>
        </w:trPr>
        <w:tc>
          <w:tcPr>
            <w:tcW w:w="823" w:type="dxa"/>
            <w:noWrap w:val="0"/>
            <w:vAlign w:val="center"/>
          </w:tcPr>
          <w:p w14:paraId="52607D5D">
            <w:pPr>
              <w:pStyle w:val="16"/>
              <w:adjustRightInd w:val="0"/>
              <w:snapToGrid w:val="0"/>
              <w:spacing w:before="0" w:beforeAutospacing="0" w:after="0" w:afterAutospacing="0"/>
              <w:jc w:val="center"/>
              <w:rPr>
                <w:rFonts w:hint="eastAsia" w:ascii="宋体" w:hAnsi="宋体" w:eastAsia="宋体" w:cs="宋体"/>
                <w:kern w:val="0"/>
                <w:sz w:val="21"/>
                <w:szCs w:val="21"/>
                <w:highlight w:val="none"/>
                <w:lang w:val="en-US" w:eastAsia="zh-CN" w:bidi="ar-SA"/>
              </w:rPr>
            </w:pPr>
            <w:r>
              <w:rPr>
                <w:rFonts w:hint="eastAsia" w:cs="宋体"/>
                <w:bCs/>
                <w:kern w:val="2"/>
                <w:sz w:val="21"/>
                <w:szCs w:val="21"/>
                <w:highlight w:val="none"/>
              </w:rPr>
              <w:t>与项目有关的原有环境污染问题</w:t>
            </w:r>
          </w:p>
        </w:tc>
        <w:tc>
          <w:tcPr>
            <w:tcW w:w="8161" w:type="dxa"/>
            <w:noWrap w:val="0"/>
            <w:vAlign w:val="top"/>
          </w:tcPr>
          <w:p w14:paraId="6915EF3B">
            <w:pPr>
              <w:keepNext w:val="0"/>
              <w:keepLines w:val="0"/>
              <w:pageBreakBefore w:val="0"/>
              <w:widowControl/>
              <w:numPr>
                <w:ilvl w:val="0"/>
                <w:numId w:val="7"/>
              </w:numPr>
              <w:kinsoku/>
              <w:wordWrap/>
              <w:overflowPunct/>
              <w:topLinePunct w:val="0"/>
              <w:autoSpaceDE/>
              <w:autoSpaceDN/>
              <w:bidi w:val="0"/>
              <w:adjustRightInd w:val="0"/>
              <w:snapToGrid w:val="0"/>
              <w:spacing w:line="400" w:lineRule="exact"/>
              <w:ind w:firstLine="420" w:firstLineChars="200"/>
              <w:textAlignment w:val="auto"/>
              <w:outlineLvl w:val="9"/>
              <w:rPr>
                <w:rFonts w:hint="eastAsia"/>
                <w:highlight w:val="none"/>
                <w:lang w:val="en-US" w:eastAsia="zh-CN"/>
              </w:rPr>
            </w:pPr>
            <w:r>
              <w:rPr>
                <w:rFonts w:hint="eastAsia"/>
                <w:highlight w:val="none"/>
                <w:lang w:val="en-US" w:eastAsia="zh-CN"/>
              </w:rPr>
              <w:t>原有项目概况</w:t>
            </w:r>
          </w:p>
          <w:p w14:paraId="50835515">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eastAsia"/>
                <w:highlight w:val="none"/>
                <w:lang w:val="en-US" w:eastAsia="zh-CN"/>
              </w:rPr>
              <w:t>唐山市宝鼎建材有限公司位于唐山市高新区老庄子镇李官屯村东，成立于2008年6月，总占地面积20000m</w:t>
            </w:r>
            <w:r>
              <w:rPr>
                <w:rFonts w:hint="eastAsia"/>
                <w:highlight w:val="none"/>
                <w:vertAlign w:val="superscript"/>
                <w:lang w:val="en-US" w:eastAsia="zh-CN"/>
              </w:rPr>
              <w:t>2</w:t>
            </w:r>
            <w:r>
              <w:rPr>
                <w:rFonts w:hint="eastAsia"/>
                <w:highlight w:val="none"/>
                <w:lang w:val="en-US" w:eastAsia="zh-CN"/>
              </w:rPr>
              <w:t>。建有XPS挤塑板生产车间、聚苯板生产车间、砂浆生产车间、办公楼等辅助设施。主要产品为保温砂浆、干粉砂浆年生产5万t/a，生产XPS聚塑板、聚苯板10万m³/a，现有劳动定员32人，XPS挤塑板、聚苯板年工作260天，每天2班，12小时工作制。锅炉为聚苯板辅助生产设备，每年运行约200天，每天8小时，则锅炉总运行时间为1600h/a。干混砂浆每天1班，每班8小时，工作260天。</w:t>
            </w:r>
          </w:p>
          <w:p w14:paraId="48D44F9C">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eastAsia"/>
                <w:highlight w:val="none"/>
                <w:lang w:val="en-US" w:eastAsia="zh-CN"/>
              </w:rPr>
            </w:pPr>
            <w:r>
              <w:rPr>
                <w:rFonts w:hint="eastAsia"/>
                <w:highlight w:val="none"/>
                <w:lang w:val="en-US" w:eastAsia="zh-CN"/>
              </w:rPr>
              <w:t>（1）原有项目主要原材料及能源消耗见表2-7、2-8。</w:t>
            </w:r>
          </w:p>
          <w:p w14:paraId="3DB15AF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b/>
                <w:bCs/>
                <w:highlight w:val="none"/>
              </w:rPr>
            </w:pPr>
            <w:r>
              <w:rPr>
                <w:b/>
                <w:bCs/>
                <w:highlight w:val="none"/>
              </w:rPr>
              <w:t>表</w:t>
            </w:r>
            <w:r>
              <w:rPr>
                <w:rFonts w:hint="eastAsia"/>
                <w:b/>
                <w:bCs/>
                <w:highlight w:val="none"/>
                <w:lang w:val="en-US" w:eastAsia="zh-CN"/>
              </w:rPr>
              <w:t>2-7</w:t>
            </w:r>
            <w:r>
              <w:rPr>
                <w:b/>
                <w:bCs/>
                <w:highlight w:val="none"/>
              </w:rPr>
              <w:t xml:space="preserve">   </w:t>
            </w:r>
            <w:r>
              <w:rPr>
                <w:rFonts w:hint="eastAsia"/>
                <w:b/>
                <w:bCs/>
                <w:highlight w:val="none"/>
                <w:lang w:val="en-US" w:eastAsia="zh-CN"/>
              </w:rPr>
              <w:t>现有项目</w:t>
            </w:r>
            <w:r>
              <w:rPr>
                <w:b/>
                <w:bCs/>
                <w:highlight w:val="none"/>
              </w:rPr>
              <w:t>主要原材料及能源消耗表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35"/>
              <w:gridCol w:w="1747"/>
              <w:gridCol w:w="1191"/>
              <w:gridCol w:w="1191"/>
              <w:gridCol w:w="1191"/>
              <w:gridCol w:w="1946"/>
            </w:tblGrid>
            <w:tr w14:paraId="08FC9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635" w:type="dxa"/>
                  <w:shd w:val="clear" w:color="auto" w:fill="auto"/>
                  <w:noWrap w:val="0"/>
                  <w:vAlign w:val="center"/>
                </w:tcPr>
                <w:p w14:paraId="0C6F42FB">
                  <w:pPr>
                    <w:jc w:val="center"/>
                    <w:rPr>
                      <w:highlight w:val="none"/>
                    </w:rPr>
                  </w:pPr>
                  <w:r>
                    <w:rPr>
                      <w:highlight w:val="none"/>
                    </w:rPr>
                    <w:t>序号</w:t>
                  </w:r>
                </w:p>
              </w:tc>
              <w:tc>
                <w:tcPr>
                  <w:tcW w:w="2938" w:type="dxa"/>
                  <w:gridSpan w:val="2"/>
                  <w:shd w:val="clear" w:color="auto" w:fill="auto"/>
                  <w:noWrap w:val="0"/>
                  <w:vAlign w:val="center"/>
                </w:tcPr>
                <w:p w14:paraId="514B7EF4">
                  <w:pPr>
                    <w:jc w:val="center"/>
                    <w:rPr>
                      <w:rFonts w:hint="eastAsia"/>
                      <w:highlight w:val="none"/>
                      <w:lang w:val="en-US" w:eastAsia="zh-CN"/>
                    </w:rPr>
                  </w:pPr>
                  <w:r>
                    <w:rPr>
                      <w:highlight w:val="none"/>
                    </w:rPr>
                    <w:t>名称</w:t>
                  </w:r>
                </w:p>
              </w:tc>
              <w:tc>
                <w:tcPr>
                  <w:tcW w:w="1191" w:type="dxa"/>
                  <w:shd w:val="clear" w:color="auto" w:fill="auto"/>
                  <w:noWrap w:val="0"/>
                  <w:vAlign w:val="center"/>
                </w:tcPr>
                <w:p w14:paraId="090FEB28">
                  <w:pPr>
                    <w:jc w:val="center"/>
                    <w:rPr>
                      <w:rFonts w:hint="eastAsia"/>
                      <w:highlight w:val="none"/>
                      <w:lang w:val="en-US" w:eastAsia="zh-CN"/>
                    </w:rPr>
                  </w:pPr>
                  <w:r>
                    <w:rPr>
                      <w:highlight w:val="none"/>
                    </w:rPr>
                    <w:t>单位</w:t>
                  </w:r>
                </w:p>
              </w:tc>
              <w:tc>
                <w:tcPr>
                  <w:tcW w:w="1191" w:type="dxa"/>
                  <w:shd w:val="clear" w:color="auto" w:fill="auto"/>
                  <w:noWrap w:val="0"/>
                  <w:vAlign w:val="center"/>
                </w:tcPr>
                <w:p w14:paraId="1EFE9DED">
                  <w:pPr>
                    <w:jc w:val="center"/>
                    <w:rPr>
                      <w:rFonts w:hint="eastAsia"/>
                      <w:highlight w:val="none"/>
                      <w:lang w:val="en-US" w:eastAsia="zh-CN"/>
                    </w:rPr>
                  </w:pPr>
                  <w:r>
                    <w:rPr>
                      <w:highlight w:val="none"/>
                    </w:rPr>
                    <w:t>消耗量</w:t>
                  </w:r>
                </w:p>
              </w:tc>
              <w:tc>
                <w:tcPr>
                  <w:tcW w:w="1946" w:type="dxa"/>
                  <w:shd w:val="clear" w:color="auto" w:fill="auto"/>
                  <w:noWrap w:val="0"/>
                  <w:vAlign w:val="center"/>
                </w:tcPr>
                <w:p w14:paraId="3C7B6203">
                  <w:pPr>
                    <w:jc w:val="center"/>
                    <w:rPr>
                      <w:rFonts w:hint="eastAsia"/>
                      <w:highlight w:val="none"/>
                      <w:lang w:val="en-US" w:eastAsia="zh-CN"/>
                    </w:rPr>
                  </w:pPr>
                  <w:r>
                    <w:rPr>
                      <w:highlight w:val="none"/>
                    </w:rPr>
                    <w:t>备注</w:t>
                  </w:r>
                </w:p>
              </w:tc>
            </w:tr>
            <w:tr w14:paraId="2CEF74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635" w:type="dxa"/>
                  <w:shd w:val="clear" w:color="auto" w:fill="auto"/>
                  <w:noWrap w:val="0"/>
                  <w:vAlign w:val="center"/>
                </w:tcPr>
                <w:p w14:paraId="6A5E6B5C">
                  <w:pPr>
                    <w:numPr>
                      <w:ilvl w:val="0"/>
                      <w:numId w:val="0"/>
                    </w:numPr>
                    <w:ind w:leftChars="0"/>
                    <w:jc w:val="center"/>
                    <w:rPr>
                      <w:rFonts w:hint="eastAsia"/>
                      <w:highlight w:val="none"/>
                      <w:lang w:val="en-US" w:eastAsia="zh-CN"/>
                    </w:rPr>
                  </w:pPr>
                  <w:r>
                    <w:rPr>
                      <w:rFonts w:hint="eastAsia"/>
                      <w:highlight w:val="none"/>
                      <w:lang w:val="en-US" w:eastAsia="zh-CN"/>
                    </w:rPr>
                    <w:t>1</w:t>
                  </w:r>
                </w:p>
              </w:tc>
              <w:tc>
                <w:tcPr>
                  <w:tcW w:w="1747" w:type="dxa"/>
                  <w:vMerge w:val="restart"/>
                  <w:shd w:val="clear" w:color="auto" w:fill="auto"/>
                  <w:noWrap w:val="0"/>
                  <w:vAlign w:val="center"/>
                </w:tcPr>
                <w:p w14:paraId="25669F61">
                  <w:pPr>
                    <w:jc w:val="center"/>
                    <w:rPr>
                      <w:rFonts w:hint="default"/>
                      <w:highlight w:val="none"/>
                      <w:lang w:val="en-US" w:eastAsia="zh-CN"/>
                    </w:rPr>
                  </w:pPr>
                  <w:r>
                    <w:rPr>
                      <w:rFonts w:hint="eastAsia"/>
                      <w:highlight w:val="none"/>
                      <w:lang w:val="en-US" w:eastAsia="zh-CN"/>
                    </w:rPr>
                    <w:t>生产砂浆原料</w:t>
                  </w:r>
                </w:p>
              </w:tc>
              <w:tc>
                <w:tcPr>
                  <w:tcW w:w="1191" w:type="dxa"/>
                  <w:shd w:val="clear" w:color="auto" w:fill="auto"/>
                  <w:noWrap w:val="0"/>
                  <w:vAlign w:val="center"/>
                </w:tcPr>
                <w:p w14:paraId="400CDE0C">
                  <w:pPr>
                    <w:jc w:val="center"/>
                    <w:rPr>
                      <w:rFonts w:hint="eastAsia"/>
                      <w:highlight w:val="none"/>
                      <w:lang w:eastAsia="zh-CN"/>
                    </w:rPr>
                  </w:pPr>
                  <w:r>
                    <w:rPr>
                      <w:rFonts w:hint="eastAsia"/>
                      <w:highlight w:val="none"/>
                      <w:lang w:val="en-US" w:eastAsia="zh-CN"/>
                    </w:rPr>
                    <w:t>水泥</w:t>
                  </w:r>
                </w:p>
              </w:tc>
              <w:tc>
                <w:tcPr>
                  <w:tcW w:w="1191" w:type="dxa"/>
                  <w:shd w:val="clear" w:color="auto" w:fill="auto"/>
                  <w:noWrap w:val="0"/>
                  <w:vAlign w:val="center"/>
                </w:tcPr>
                <w:p w14:paraId="3B35469F">
                  <w:pPr>
                    <w:jc w:val="center"/>
                    <w:rPr>
                      <w:highlight w:val="none"/>
                    </w:rPr>
                  </w:pPr>
                  <w:r>
                    <w:rPr>
                      <w:highlight w:val="none"/>
                    </w:rPr>
                    <w:t>t/a</w:t>
                  </w:r>
                </w:p>
              </w:tc>
              <w:tc>
                <w:tcPr>
                  <w:tcW w:w="1191" w:type="dxa"/>
                  <w:shd w:val="clear" w:color="auto" w:fill="auto"/>
                  <w:noWrap w:val="0"/>
                  <w:vAlign w:val="center"/>
                </w:tcPr>
                <w:p w14:paraId="3392F3BB">
                  <w:pPr>
                    <w:jc w:val="center"/>
                    <w:rPr>
                      <w:rFonts w:hint="default"/>
                      <w:highlight w:val="none"/>
                      <w:lang w:val="en-US" w:eastAsia="zh-CN"/>
                    </w:rPr>
                  </w:pPr>
                  <w:r>
                    <w:rPr>
                      <w:rFonts w:hint="eastAsia"/>
                      <w:highlight w:val="none"/>
                      <w:lang w:val="en-US" w:eastAsia="zh-CN"/>
                    </w:rPr>
                    <w:t>10000</w:t>
                  </w:r>
                </w:p>
              </w:tc>
              <w:tc>
                <w:tcPr>
                  <w:tcW w:w="1946" w:type="dxa"/>
                  <w:shd w:val="clear" w:color="auto" w:fill="auto"/>
                  <w:noWrap w:val="0"/>
                  <w:vAlign w:val="center"/>
                </w:tcPr>
                <w:p w14:paraId="417CC49A">
                  <w:pPr>
                    <w:jc w:val="center"/>
                    <w:rPr>
                      <w:rFonts w:hint="default"/>
                      <w:highlight w:val="none"/>
                      <w:lang w:val="en-US" w:eastAsia="zh-CN"/>
                    </w:rPr>
                  </w:pPr>
                  <w:r>
                    <w:rPr>
                      <w:rFonts w:hint="eastAsia"/>
                      <w:highlight w:val="none"/>
                      <w:lang w:val="en-US" w:eastAsia="zh-CN"/>
                    </w:rPr>
                    <w:t>外购，罐车运输</w:t>
                  </w:r>
                </w:p>
              </w:tc>
            </w:tr>
            <w:tr w14:paraId="1CFC1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635" w:type="dxa"/>
                  <w:shd w:val="clear" w:color="auto" w:fill="auto"/>
                  <w:noWrap w:val="0"/>
                  <w:vAlign w:val="center"/>
                </w:tcPr>
                <w:p w14:paraId="63F0C1CC">
                  <w:pPr>
                    <w:numPr>
                      <w:ilvl w:val="0"/>
                      <w:numId w:val="0"/>
                    </w:numPr>
                    <w:ind w:leftChars="0"/>
                    <w:jc w:val="center"/>
                    <w:rPr>
                      <w:rFonts w:hint="eastAsia"/>
                      <w:highlight w:val="none"/>
                      <w:lang w:val="en-US" w:eastAsia="zh-CN"/>
                    </w:rPr>
                  </w:pPr>
                  <w:r>
                    <w:rPr>
                      <w:rFonts w:hint="eastAsia"/>
                      <w:highlight w:val="none"/>
                      <w:lang w:val="en-US" w:eastAsia="zh-CN"/>
                    </w:rPr>
                    <w:t>2</w:t>
                  </w:r>
                </w:p>
              </w:tc>
              <w:tc>
                <w:tcPr>
                  <w:tcW w:w="1747" w:type="dxa"/>
                  <w:vMerge w:val="continue"/>
                  <w:shd w:val="clear" w:color="auto" w:fill="auto"/>
                  <w:noWrap w:val="0"/>
                  <w:vAlign w:val="center"/>
                </w:tcPr>
                <w:p w14:paraId="0D0AFA17">
                  <w:pPr>
                    <w:jc w:val="center"/>
                    <w:rPr>
                      <w:highlight w:val="none"/>
                    </w:rPr>
                  </w:pPr>
                </w:p>
              </w:tc>
              <w:tc>
                <w:tcPr>
                  <w:tcW w:w="1191" w:type="dxa"/>
                  <w:shd w:val="clear" w:color="auto" w:fill="auto"/>
                  <w:noWrap w:val="0"/>
                  <w:vAlign w:val="center"/>
                </w:tcPr>
                <w:p w14:paraId="50EB5554">
                  <w:pPr>
                    <w:widowControl/>
                    <w:jc w:val="center"/>
                    <w:textAlignment w:val="top"/>
                    <w:rPr>
                      <w:rFonts w:hint="eastAsia"/>
                      <w:highlight w:val="none"/>
                      <w:lang w:eastAsia="zh-CN"/>
                    </w:rPr>
                  </w:pPr>
                  <w:r>
                    <w:rPr>
                      <w:rFonts w:hint="eastAsia"/>
                      <w:highlight w:val="none"/>
                      <w:lang w:val="en-US" w:eastAsia="zh-CN"/>
                    </w:rPr>
                    <w:t>石英砂</w:t>
                  </w:r>
                </w:p>
              </w:tc>
              <w:tc>
                <w:tcPr>
                  <w:tcW w:w="1191" w:type="dxa"/>
                  <w:shd w:val="clear" w:color="auto" w:fill="auto"/>
                  <w:noWrap w:val="0"/>
                  <w:vAlign w:val="center"/>
                </w:tcPr>
                <w:p w14:paraId="31F38FC1">
                  <w:pPr>
                    <w:jc w:val="center"/>
                    <w:rPr>
                      <w:highlight w:val="none"/>
                    </w:rPr>
                  </w:pPr>
                  <w:r>
                    <w:rPr>
                      <w:highlight w:val="none"/>
                    </w:rPr>
                    <w:t>t/a</w:t>
                  </w:r>
                </w:p>
              </w:tc>
              <w:tc>
                <w:tcPr>
                  <w:tcW w:w="1191" w:type="dxa"/>
                  <w:shd w:val="clear" w:color="auto" w:fill="auto"/>
                  <w:noWrap w:val="0"/>
                  <w:vAlign w:val="center"/>
                </w:tcPr>
                <w:p w14:paraId="59CD74FC">
                  <w:pPr>
                    <w:jc w:val="center"/>
                    <w:rPr>
                      <w:rFonts w:hint="default"/>
                      <w:highlight w:val="none"/>
                      <w:lang w:val="en-US" w:eastAsia="zh-CN"/>
                    </w:rPr>
                  </w:pPr>
                  <w:r>
                    <w:rPr>
                      <w:rFonts w:hint="eastAsia"/>
                      <w:highlight w:val="none"/>
                      <w:lang w:val="en-US" w:eastAsia="zh-CN"/>
                    </w:rPr>
                    <w:t>13750</w:t>
                  </w:r>
                </w:p>
              </w:tc>
              <w:tc>
                <w:tcPr>
                  <w:tcW w:w="1946" w:type="dxa"/>
                  <w:shd w:val="clear" w:color="auto" w:fill="auto"/>
                  <w:noWrap w:val="0"/>
                  <w:vAlign w:val="center"/>
                </w:tcPr>
                <w:p w14:paraId="66B807FB">
                  <w:pPr>
                    <w:jc w:val="center"/>
                    <w:rPr>
                      <w:highlight w:val="none"/>
                    </w:rPr>
                  </w:pPr>
                  <w:r>
                    <w:rPr>
                      <w:rFonts w:hint="eastAsia"/>
                      <w:highlight w:val="none"/>
                      <w:lang w:val="en-US" w:eastAsia="zh-CN"/>
                    </w:rPr>
                    <w:t>外购，罐车运输</w:t>
                  </w:r>
                </w:p>
              </w:tc>
            </w:tr>
            <w:tr w14:paraId="11B1B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635" w:type="dxa"/>
                  <w:shd w:val="clear" w:color="auto" w:fill="auto"/>
                  <w:noWrap w:val="0"/>
                  <w:vAlign w:val="center"/>
                </w:tcPr>
                <w:p w14:paraId="1FB92FFE">
                  <w:pPr>
                    <w:numPr>
                      <w:ilvl w:val="0"/>
                      <w:numId w:val="0"/>
                    </w:numPr>
                    <w:ind w:leftChars="0"/>
                    <w:jc w:val="center"/>
                    <w:rPr>
                      <w:rFonts w:hint="eastAsia"/>
                      <w:highlight w:val="none"/>
                      <w:lang w:val="en-US" w:eastAsia="zh-CN"/>
                    </w:rPr>
                  </w:pPr>
                  <w:r>
                    <w:rPr>
                      <w:rFonts w:hint="eastAsia"/>
                      <w:highlight w:val="none"/>
                      <w:lang w:val="en-US" w:eastAsia="zh-CN"/>
                    </w:rPr>
                    <w:t>3</w:t>
                  </w:r>
                </w:p>
              </w:tc>
              <w:tc>
                <w:tcPr>
                  <w:tcW w:w="1747" w:type="dxa"/>
                  <w:vMerge w:val="continue"/>
                  <w:tcBorders>
                    <w:bottom w:val="single" w:color="auto" w:sz="4" w:space="0"/>
                  </w:tcBorders>
                  <w:shd w:val="clear" w:color="auto" w:fill="auto"/>
                  <w:noWrap w:val="0"/>
                  <w:vAlign w:val="center"/>
                </w:tcPr>
                <w:p w14:paraId="0A35E48D">
                  <w:pPr>
                    <w:jc w:val="center"/>
                    <w:rPr>
                      <w:highlight w:val="none"/>
                    </w:rPr>
                  </w:pPr>
                </w:p>
              </w:tc>
              <w:tc>
                <w:tcPr>
                  <w:tcW w:w="1191" w:type="dxa"/>
                  <w:shd w:val="clear" w:color="auto" w:fill="auto"/>
                  <w:noWrap w:val="0"/>
                  <w:vAlign w:val="center"/>
                </w:tcPr>
                <w:p w14:paraId="23B7606F">
                  <w:pPr>
                    <w:widowControl/>
                    <w:jc w:val="center"/>
                    <w:textAlignment w:val="top"/>
                    <w:rPr>
                      <w:rFonts w:hint="eastAsia"/>
                      <w:highlight w:val="none"/>
                      <w:lang w:eastAsia="zh-CN"/>
                    </w:rPr>
                  </w:pPr>
                  <w:r>
                    <w:rPr>
                      <w:rFonts w:hint="eastAsia"/>
                      <w:highlight w:val="none"/>
                      <w:lang w:val="en-US" w:eastAsia="zh-CN"/>
                    </w:rPr>
                    <w:t>胶粉</w:t>
                  </w:r>
                </w:p>
              </w:tc>
              <w:tc>
                <w:tcPr>
                  <w:tcW w:w="1191" w:type="dxa"/>
                  <w:shd w:val="clear" w:color="auto" w:fill="auto"/>
                  <w:noWrap w:val="0"/>
                  <w:vAlign w:val="center"/>
                </w:tcPr>
                <w:p w14:paraId="0404B9C1">
                  <w:pPr>
                    <w:jc w:val="center"/>
                    <w:rPr>
                      <w:highlight w:val="none"/>
                    </w:rPr>
                  </w:pPr>
                  <w:r>
                    <w:rPr>
                      <w:highlight w:val="none"/>
                    </w:rPr>
                    <w:t>t/a</w:t>
                  </w:r>
                </w:p>
              </w:tc>
              <w:tc>
                <w:tcPr>
                  <w:tcW w:w="1191" w:type="dxa"/>
                  <w:shd w:val="clear" w:color="auto" w:fill="auto"/>
                  <w:noWrap w:val="0"/>
                  <w:vAlign w:val="center"/>
                </w:tcPr>
                <w:p w14:paraId="22C9FD6A">
                  <w:pPr>
                    <w:jc w:val="center"/>
                    <w:rPr>
                      <w:rFonts w:hint="default"/>
                      <w:highlight w:val="none"/>
                      <w:lang w:val="en-US" w:eastAsia="zh-CN"/>
                    </w:rPr>
                  </w:pPr>
                  <w:r>
                    <w:rPr>
                      <w:rFonts w:hint="eastAsia"/>
                      <w:highlight w:val="none"/>
                      <w:lang w:val="en-US" w:eastAsia="zh-CN"/>
                    </w:rPr>
                    <w:t>1250</w:t>
                  </w:r>
                </w:p>
              </w:tc>
              <w:tc>
                <w:tcPr>
                  <w:tcW w:w="1946" w:type="dxa"/>
                  <w:shd w:val="clear" w:color="auto" w:fill="auto"/>
                  <w:noWrap w:val="0"/>
                  <w:vAlign w:val="center"/>
                </w:tcPr>
                <w:p w14:paraId="5365884B">
                  <w:pPr>
                    <w:jc w:val="center"/>
                    <w:rPr>
                      <w:highlight w:val="none"/>
                    </w:rPr>
                  </w:pPr>
                  <w:r>
                    <w:rPr>
                      <w:rFonts w:hint="eastAsia"/>
                      <w:highlight w:val="none"/>
                      <w:lang w:val="en-US" w:eastAsia="zh-CN"/>
                    </w:rPr>
                    <w:t>/</w:t>
                  </w:r>
                </w:p>
              </w:tc>
            </w:tr>
            <w:tr w14:paraId="55F9B3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635" w:type="dxa"/>
                  <w:shd w:val="clear" w:color="auto" w:fill="auto"/>
                  <w:noWrap w:val="0"/>
                  <w:vAlign w:val="center"/>
                </w:tcPr>
                <w:p w14:paraId="15FA9D21">
                  <w:pPr>
                    <w:numPr>
                      <w:ilvl w:val="0"/>
                      <w:numId w:val="0"/>
                    </w:numPr>
                    <w:ind w:leftChars="0"/>
                    <w:jc w:val="center"/>
                    <w:rPr>
                      <w:rFonts w:hint="eastAsia"/>
                      <w:highlight w:val="none"/>
                      <w:lang w:val="en-US" w:eastAsia="zh-CN"/>
                    </w:rPr>
                  </w:pPr>
                  <w:r>
                    <w:rPr>
                      <w:rFonts w:hint="eastAsia"/>
                      <w:highlight w:val="none"/>
                      <w:lang w:val="en-US" w:eastAsia="zh-CN"/>
                    </w:rPr>
                    <w:t>4</w:t>
                  </w:r>
                </w:p>
              </w:tc>
              <w:tc>
                <w:tcPr>
                  <w:tcW w:w="1747" w:type="dxa"/>
                  <w:vMerge w:val="restart"/>
                  <w:tcBorders>
                    <w:top w:val="single" w:color="auto" w:sz="4" w:space="0"/>
                  </w:tcBorders>
                  <w:shd w:val="clear" w:color="auto" w:fill="auto"/>
                  <w:noWrap w:val="0"/>
                  <w:vAlign w:val="center"/>
                </w:tcPr>
                <w:p w14:paraId="56F14361">
                  <w:pPr>
                    <w:jc w:val="center"/>
                    <w:rPr>
                      <w:rFonts w:hint="default"/>
                      <w:highlight w:val="none"/>
                      <w:lang w:val="en-US" w:eastAsia="zh-CN"/>
                    </w:rPr>
                  </w:pPr>
                  <w:r>
                    <w:rPr>
                      <w:rFonts w:hint="eastAsia"/>
                      <w:highlight w:val="none"/>
                      <w:lang w:val="en-US" w:eastAsia="zh-CN"/>
                    </w:rPr>
                    <w:t>XPS挤塑板原料</w:t>
                  </w:r>
                </w:p>
              </w:tc>
              <w:tc>
                <w:tcPr>
                  <w:tcW w:w="1191" w:type="dxa"/>
                  <w:shd w:val="clear" w:color="auto" w:fill="auto"/>
                  <w:noWrap w:val="0"/>
                  <w:vAlign w:val="center"/>
                </w:tcPr>
                <w:p w14:paraId="68F06F45">
                  <w:pPr>
                    <w:widowControl/>
                    <w:jc w:val="center"/>
                    <w:textAlignment w:val="top"/>
                    <w:rPr>
                      <w:rFonts w:hint="default"/>
                      <w:highlight w:val="none"/>
                      <w:lang w:val="en-US" w:eastAsia="zh-CN"/>
                    </w:rPr>
                  </w:pPr>
                  <w:r>
                    <w:rPr>
                      <w:rFonts w:hint="eastAsia"/>
                      <w:highlight w:val="none"/>
                      <w:lang w:val="en-US" w:eastAsia="zh-CN"/>
                    </w:rPr>
                    <w:t>聚苯乙烯颗粒</w:t>
                  </w:r>
                </w:p>
              </w:tc>
              <w:tc>
                <w:tcPr>
                  <w:tcW w:w="1191" w:type="dxa"/>
                  <w:shd w:val="clear" w:color="auto" w:fill="auto"/>
                  <w:noWrap w:val="0"/>
                  <w:vAlign w:val="center"/>
                </w:tcPr>
                <w:p w14:paraId="3B35BBAC">
                  <w:pPr>
                    <w:jc w:val="center"/>
                    <w:rPr>
                      <w:highlight w:val="none"/>
                    </w:rPr>
                  </w:pPr>
                  <w:r>
                    <w:rPr>
                      <w:highlight w:val="none"/>
                    </w:rPr>
                    <w:t>t/a</w:t>
                  </w:r>
                </w:p>
              </w:tc>
              <w:tc>
                <w:tcPr>
                  <w:tcW w:w="1191" w:type="dxa"/>
                  <w:shd w:val="clear" w:color="auto" w:fill="auto"/>
                  <w:noWrap w:val="0"/>
                  <w:vAlign w:val="center"/>
                </w:tcPr>
                <w:p w14:paraId="4DAA579C">
                  <w:pPr>
                    <w:jc w:val="center"/>
                    <w:rPr>
                      <w:rFonts w:hint="default"/>
                      <w:highlight w:val="none"/>
                      <w:lang w:val="en-US" w:eastAsia="zh-CN"/>
                    </w:rPr>
                  </w:pPr>
                  <w:r>
                    <w:rPr>
                      <w:rFonts w:hint="eastAsia"/>
                      <w:highlight w:val="none"/>
                      <w:lang w:val="en-US" w:eastAsia="zh-CN"/>
                    </w:rPr>
                    <w:t>1425</w:t>
                  </w:r>
                </w:p>
              </w:tc>
              <w:tc>
                <w:tcPr>
                  <w:tcW w:w="1946" w:type="dxa"/>
                  <w:shd w:val="clear" w:color="auto" w:fill="auto"/>
                  <w:noWrap w:val="0"/>
                  <w:vAlign w:val="center"/>
                </w:tcPr>
                <w:p w14:paraId="60EA6EB9">
                  <w:pPr>
                    <w:jc w:val="center"/>
                    <w:rPr>
                      <w:highlight w:val="none"/>
                    </w:rPr>
                  </w:pPr>
                  <w:r>
                    <w:rPr>
                      <w:rFonts w:hint="eastAsia"/>
                      <w:highlight w:val="none"/>
                      <w:lang w:val="en-US" w:eastAsia="zh-CN"/>
                    </w:rPr>
                    <w:t>袋装，周边购进</w:t>
                  </w:r>
                </w:p>
              </w:tc>
            </w:tr>
            <w:tr w14:paraId="5F3A3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635" w:type="dxa"/>
                  <w:shd w:val="clear" w:color="auto" w:fill="auto"/>
                  <w:noWrap w:val="0"/>
                  <w:vAlign w:val="center"/>
                </w:tcPr>
                <w:p w14:paraId="3EB1B018">
                  <w:pPr>
                    <w:numPr>
                      <w:ilvl w:val="0"/>
                      <w:numId w:val="0"/>
                    </w:numPr>
                    <w:ind w:leftChars="0"/>
                    <w:jc w:val="center"/>
                    <w:rPr>
                      <w:rFonts w:hint="eastAsia"/>
                      <w:highlight w:val="none"/>
                      <w:lang w:val="en-US" w:eastAsia="zh-CN"/>
                    </w:rPr>
                  </w:pPr>
                  <w:r>
                    <w:rPr>
                      <w:rFonts w:hint="eastAsia"/>
                      <w:highlight w:val="none"/>
                      <w:lang w:val="en-US" w:eastAsia="zh-CN"/>
                    </w:rPr>
                    <w:t>5</w:t>
                  </w:r>
                </w:p>
              </w:tc>
              <w:tc>
                <w:tcPr>
                  <w:tcW w:w="1747" w:type="dxa"/>
                  <w:vMerge w:val="continue"/>
                  <w:shd w:val="clear" w:color="auto" w:fill="auto"/>
                  <w:noWrap w:val="0"/>
                  <w:vAlign w:val="center"/>
                </w:tcPr>
                <w:p w14:paraId="6A99A176">
                  <w:pPr>
                    <w:jc w:val="center"/>
                    <w:rPr>
                      <w:highlight w:val="none"/>
                    </w:rPr>
                  </w:pPr>
                </w:p>
              </w:tc>
              <w:tc>
                <w:tcPr>
                  <w:tcW w:w="1191" w:type="dxa"/>
                  <w:shd w:val="clear" w:color="auto" w:fill="auto"/>
                  <w:noWrap w:val="0"/>
                  <w:vAlign w:val="center"/>
                </w:tcPr>
                <w:p w14:paraId="7F9D8091">
                  <w:pPr>
                    <w:widowControl/>
                    <w:jc w:val="center"/>
                    <w:textAlignment w:val="top"/>
                    <w:rPr>
                      <w:rFonts w:hint="default"/>
                      <w:highlight w:val="none"/>
                      <w:lang w:val="en-US" w:eastAsia="zh-CN"/>
                    </w:rPr>
                  </w:pPr>
                  <w:r>
                    <w:rPr>
                      <w:rFonts w:hint="eastAsia"/>
                      <w:highlight w:val="none"/>
                      <w:lang w:val="en-US" w:eastAsia="zh-CN"/>
                    </w:rPr>
                    <w:t>阻燃剂</w:t>
                  </w:r>
                </w:p>
              </w:tc>
              <w:tc>
                <w:tcPr>
                  <w:tcW w:w="1191" w:type="dxa"/>
                  <w:shd w:val="clear" w:color="auto" w:fill="auto"/>
                  <w:noWrap w:val="0"/>
                  <w:vAlign w:val="center"/>
                </w:tcPr>
                <w:p w14:paraId="6F94FCC7">
                  <w:pPr>
                    <w:jc w:val="center"/>
                    <w:rPr>
                      <w:highlight w:val="none"/>
                    </w:rPr>
                  </w:pPr>
                  <w:r>
                    <w:rPr>
                      <w:highlight w:val="none"/>
                    </w:rPr>
                    <w:t>t/a</w:t>
                  </w:r>
                </w:p>
              </w:tc>
              <w:tc>
                <w:tcPr>
                  <w:tcW w:w="1191" w:type="dxa"/>
                  <w:shd w:val="clear" w:color="auto" w:fill="auto"/>
                  <w:noWrap w:val="0"/>
                  <w:vAlign w:val="center"/>
                </w:tcPr>
                <w:p w14:paraId="3948C0A4">
                  <w:pPr>
                    <w:jc w:val="center"/>
                    <w:rPr>
                      <w:rFonts w:hint="default"/>
                      <w:highlight w:val="none"/>
                      <w:lang w:val="en-US" w:eastAsia="zh-CN"/>
                    </w:rPr>
                  </w:pPr>
                  <w:r>
                    <w:rPr>
                      <w:rFonts w:hint="eastAsia"/>
                      <w:highlight w:val="none"/>
                      <w:lang w:val="en-US" w:eastAsia="zh-CN"/>
                    </w:rPr>
                    <w:t>28.5</w:t>
                  </w:r>
                </w:p>
              </w:tc>
              <w:tc>
                <w:tcPr>
                  <w:tcW w:w="1946" w:type="dxa"/>
                  <w:shd w:val="clear" w:color="auto" w:fill="auto"/>
                  <w:noWrap w:val="0"/>
                  <w:vAlign w:val="center"/>
                </w:tcPr>
                <w:p w14:paraId="4DD37BF1">
                  <w:pPr>
                    <w:jc w:val="center"/>
                    <w:rPr>
                      <w:highlight w:val="none"/>
                    </w:rPr>
                  </w:pPr>
                  <w:r>
                    <w:rPr>
                      <w:rFonts w:hint="eastAsia"/>
                      <w:highlight w:val="none"/>
                      <w:lang w:val="en-US" w:eastAsia="zh-CN"/>
                    </w:rPr>
                    <w:t>袋装，周边购进</w:t>
                  </w:r>
                </w:p>
              </w:tc>
            </w:tr>
            <w:tr w14:paraId="35418A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635" w:type="dxa"/>
                  <w:shd w:val="clear" w:color="auto" w:fill="auto"/>
                  <w:noWrap w:val="0"/>
                  <w:vAlign w:val="center"/>
                </w:tcPr>
                <w:p w14:paraId="0DD88AD3">
                  <w:pPr>
                    <w:numPr>
                      <w:ilvl w:val="0"/>
                      <w:numId w:val="0"/>
                    </w:numPr>
                    <w:ind w:leftChars="0"/>
                    <w:jc w:val="center"/>
                    <w:rPr>
                      <w:rFonts w:hint="eastAsia"/>
                      <w:highlight w:val="none"/>
                      <w:lang w:val="en-US" w:eastAsia="zh-CN"/>
                    </w:rPr>
                  </w:pPr>
                  <w:r>
                    <w:rPr>
                      <w:rFonts w:hint="eastAsia"/>
                      <w:highlight w:val="none"/>
                      <w:lang w:val="en-US" w:eastAsia="zh-CN"/>
                    </w:rPr>
                    <w:t>6</w:t>
                  </w:r>
                </w:p>
              </w:tc>
              <w:tc>
                <w:tcPr>
                  <w:tcW w:w="1747" w:type="dxa"/>
                  <w:vMerge w:val="continue"/>
                  <w:shd w:val="clear" w:color="auto" w:fill="auto"/>
                  <w:noWrap w:val="0"/>
                  <w:vAlign w:val="center"/>
                </w:tcPr>
                <w:p w14:paraId="75609547">
                  <w:pPr>
                    <w:jc w:val="center"/>
                    <w:rPr>
                      <w:highlight w:val="none"/>
                    </w:rPr>
                  </w:pPr>
                </w:p>
              </w:tc>
              <w:tc>
                <w:tcPr>
                  <w:tcW w:w="1191" w:type="dxa"/>
                  <w:shd w:val="clear" w:color="auto" w:fill="auto"/>
                  <w:noWrap w:val="0"/>
                  <w:vAlign w:val="center"/>
                </w:tcPr>
                <w:p w14:paraId="15DBD9BF">
                  <w:pPr>
                    <w:widowControl/>
                    <w:jc w:val="center"/>
                    <w:textAlignment w:val="top"/>
                    <w:rPr>
                      <w:rFonts w:hint="eastAsia"/>
                      <w:highlight w:val="none"/>
                      <w:lang w:eastAsia="zh-CN"/>
                    </w:rPr>
                  </w:pPr>
                  <w:r>
                    <w:rPr>
                      <w:rFonts w:hint="eastAsia"/>
                      <w:highlight w:val="none"/>
                      <w:lang w:val="en-US" w:eastAsia="zh-CN"/>
                    </w:rPr>
                    <w:t>色母料</w:t>
                  </w:r>
                </w:p>
              </w:tc>
              <w:tc>
                <w:tcPr>
                  <w:tcW w:w="1191" w:type="dxa"/>
                  <w:shd w:val="clear" w:color="auto" w:fill="auto"/>
                  <w:noWrap w:val="0"/>
                  <w:vAlign w:val="center"/>
                </w:tcPr>
                <w:p w14:paraId="559C1413">
                  <w:pPr>
                    <w:jc w:val="center"/>
                    <w:rPr>
                      <w:highlight w:val="none"/>
                    </w:rPr>
                  </w:pPr>
                  <w:r>
                    <w:rPr>
                      <w:highlight w:val="none"/>
                    </w:rPr>
                    <w:t>t/a</w:t>
                  </w:r>
                </w:p>
              </w:tc>
              <w:tc>
                <w:tcPr>
                  <w:tcW w:w="1191" w:type="dxa"/>
                  <w:shd w:val="clear" w:color="auto" w:fill="auto"/>
                  <w:noWrap w:val="0"/>
                  <w:vAlign w:val="center"/>
                </w:tcPr>
                <w:p w14:paraId="0913F571">
                  <w:pPr>
                    <w:jc w:val="center"/>
                    <w:rPr>
                      <w:rFonts w:hint="default"/>
                      <w:highlight w:val="none"/>
                      <w:lang w:val="en-US" w:eastAsia="zh-CN"/>
                    </w:rPr>
                  </w:pPr>
                  <w:r>
                    <w:rPr>
                      <w:rFonts w:hint="eastAsia"/>
                      <w:highlight w:val="none"/>
                      <w:lang w:val="en-US" w:eastAsia="zh-CN"/>
                    </w:rPr>
                    <w:t>0.5</w:t>
                  </w:r>
                </w:p>
              </w:tc>
              <w:tc>
                <w:tcPr>
                  <w:tcW w:w="1946" w:type="dxa"/>
                  <w:shd w:val="clear" w:color="auto" w:fill="auto"/>
                  <w:noWrap w:val="0"/>
                  <w:vAlign w:val="center"/>
                </w:tcPr>
                <w:p w14:paraId="3B4B58BE">
                  <w:pPr>
                    <w:jc w:val="center"/>
                    <w:rPr>
                      <w:highlight w:val="none"/>
                    </w:rPr>
                  </w:pPr>
                  <w:r>
                    <w:rPr>
                      <w:rFonts w:hint="eastAsia"/>
                      <w:highlight w:val="none"/>
                      <w:lang w:val="en-US" w:eastAsia="zh-CN"/>
                    </w:rPr>
                    <w:t>袋装，周边购进</w:t>
                  </w:r>
                </w:p>
              </w:tc>
            </w:tr>
            <w:tr w14:paraId="6BBC1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635" w:type="dxa"/>
                  <w:shd w:val="clear" w:color="auto" w:fill="auto"/>
                  <w:noWrap w:val="0"/>
                  <w:vAlign w:val="center"/>
                </w:tcPr>
                <w:p w14:paraId="73FCB4D5">
                  <w:pPr>
                    <w:numPr>
                      <w:ilvl w:val="0"/>
                      <w:numId w:val="0"/>
                    </w:numPr>
                    <w:ind w:leftChars="0"/>
                    <w:jc w:val="center"/>
                    <w:rPr>
                      <w:rFonts w:hint="eastAsia"/>
                      <w:highlight w:val="none"/>
                      <w:lang w:val="en-US" w:eastAsia="zh-CN"/>
                    </w:rPr>
                  </w:pPr>
                  <w:r>
                    <w:rPr>
                      <w:rFonts w:hint="eastAsia"/>
                      <w:highlight w:val="none"/>
                      <w:lang w:val="en-US" w:eastAsia="zh-CN"/>
                    </w:rPr>
                    <w:t>7</w:t>
                  </w:r>
                </w:p>
              </w:tc>
              <w:tc>
                <w:tcPr>
                  <w:tcW w:w="1747" w:type="dxa"/>
                  <w:vMerge w:val="continue"/>
                  <w:tcBorders>
                    <w:bottom w:val="single" w:color="auto" w:sz="4" w:space="0"/>
                  </w:tcBorders>
                  <w:shd w:val="clear" w:color="auto" w:fill="auto"/>
                  <w:noWrap w:val="0"/>
                  <w:vAlign w:val="center"/>
                </w:tcPr>
                <w:p w14:paraId="08CFA2E0">
                  <w:pPr>
                    <w:jc w:val="center"/>
                    <w:rPr>
                      <w:highlight w:val="none"/>
                    </w:rPr>
                  </w:pPr>
                </w:p>
              </w:tc>
              <w:tc>
                <w:tcPr>
                  <w:tcW w:w="1191" w:type="dxa"/>
                  <w:tcBorders>
                    <w:bottom w:val="single" w:color="auto" w:sz="4" w:space="0"/>
                  </w:tcBorders>
                  <w:shd w:val="clear" w:color="auto" w:fill="auto"/>
                  <w:noWrap w:val="0"/>
                  <w:vAlign w:val="center"/>
                </w:tcPr>
                <w:p w14:paraId="172733E0">
                  <w:pPr>
                    <w:widowControl/>
                    <w:jc w:val="center"/>
                    <w:textAlignment w:val="top"/>
                    <w:rPr>
                      <w:rFonts w:hint="eastAsia"/>
                      <w:highlight w:val="none"/>
                      <w:lang w:eastAsia="zh-CN"/>
                    </w:rPr>
                  </w:pPr>
                  <w:r>
                    <w:rPr>
                      <w:rFonts w:hint="eastAsia"/>
                      <w:highlight w:val="none"/>
                      <w:lang w:val="en-US" w:eastAsia="zh-CN"/>
                    </w:rPr>
                    <w:t>发泡剂</w:t>
                  </w:r>
                </w:p>
              </w:tc>
              <w:tc>
                <w:tcPr>
                  <w:tcW w:w="1191" w:type="dxa"/>
                  <w:shd w:val="clear" w:color="auto" w:fill="auto"/>
                  <w:noWrap w:val="0"/>
                  <w:vAlign w:val="center"/>
                </w:tcPr>
                <w:p w14:paraId="5FFC4C08">
                  <w:pPr>
                    <w:jc w:val="center"/>
                    <w:rPr>
                      <w:highlight w:val="none"/>
                    </w:rPr>
                  </w:pPr>
                  <w:r>
                    <w:rPr>
                      <w:highlight w:val="none"/>
                    </w:rPr>
                    <w:t>万个/a</w:t>
                  </w:r>
                </w:p>
              </w:tc>
              <w:tc>
                <w:tcPr>
                  <w:tcW w:w="1191" w:type="dxa"/>
                  <w:shd w:val="clear" w:color="auto" w:fill="auto"/>
                  <w:noWrap w:val="0"/>
                  <w:vAlign w:val="center"/>
                </w:tcPr>
                <w:p w14:paraId="00493C2E">
                  <w:pPr>
                    <w:jc w:val="center"/>
                    <w:rPr>
                      <w:rFonts w:hint="default"/>
                      <w:highlight w:val="none"/>
                      <w:lang w:val="en-US" w:eastAsia="zh-CN"/>
                    </w:rPr>
                  </w:pPr>
                  <w:r>
                    <w:rPr>
                      <w:rFonts w:hint="eastAsia"/>
                      <w:highlight w:val="none"/>
                      <w:lang w:val="en-US" w:eastAsia="zh-CN"/>
                    </w:rPr>
                    <w:t>2.85</w:t>
                  </w:r>
                </w:p>
              </w:tc>
              <w:tc>
                <w:tcPr>
                  <w:tcW w:w="1946" w:type="dxa"/>
                  <w:shd w:val="clear" w:color="auto" w:fill="auto"/>
                  <w:noWrap w:val="0"/>
                  <w:vAlign w:val="center"/>
                </w:tcPr>
                <w:p w14:paraId="3B2C7318">
                  <w:pPr>
                    <w:jc w:val="center"/>
                    <w:rPr>
                      <w:highlight w:val="none"/>
                    </w:rPr>
                  </w:pPr>
                  <w:r>
                    <w:rPr>
                      <w:rFonts w:hint="eastAsia"/>
                      <w:highlight w:val="none"/>
                      <w:lang w:val="en-US" w:eastAsia="zh-CN"/>
                    </w:rPr>
                    <w:t>罐装，周边购进</w:t>
                  </w:r>
                </w:p>
              </w:tc>
            </w:tr>
            <w:tr w14:paraId="55B541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635" w:type="dxa"/>
                  <w:shd w:val="clear" w:color="auto" w:fill="auto"/>
                  <w:noWrap w:val="0"/>
                  <w:vAlign w:val="center"/>
                </w:tcPr>
                <w:p w14:paraId="71566434">
                  <w:pPr>
                    <w:numPr>
                      <w:ilvl w:val="0"/>
                      <w:numId w:val="0"/>
                    </w:numPr>
                    <w:ind w:leftChars="0"/>
                    <w:jc w:val="center"/>
                    <w:rPr>
                      <w:rFonts w:hint="eastAsia"/>
                      <w:highlight w:val="none"/>
                      <w:lang w:val="en-US" w:eastAsia="zh-CN"/>
                    </w:rPr>
                  </w:pPr>
                  <w:r>
                    <w:rPr>
                      <w:rFonts w:hint="eastAsia"/>
                      <w:highlight w:val="none"/>
                      <w:lang w:val="en-US" w:eastAsia="zh-CN"/>
                    </w:rPr>
                    <w:t>8</w:t>
                  </w:r>
                </w:p>
              </w:tc>
              <w:tc>
                <w:tcPr>
                  <w:tcW w:w="1747" w:type="dxa"/>
                  <w:tcBorders>
                    <w:top w:val="single" w:color="auto" w:sz="4" w:space="0"/>
                    <w:bottom w:val="single" w:color="auto" w:sz="4" w:space="0"/>
                  </w:tcBorders>
                  <w:shd w:val="clear" w:color="auto" w:fill="auto"/>
                  <w:noWrap w:val="0"/>
                  <w:vAlign w:val="center"/>
                </w:tcPr>
                <w:p w14:paraId="1A4E0F33">
                  <w:pPr>
                    <w:jc w:val="center"/>
                    <w:rPr>
                      <w:rFonts w:hint="default"/>
                      <w:highlight w:val="none"/>
                      <w:lang w:val="en-US" w:eastAsia="zh-CN"/>
                    </w:rPr>
                  </w:pPr>
                  <w:r>
                    <w:rPr>
                      <w:rFonts w:hint="eastAsia"/>
                      <w:highlight w:val="none"/>
                      <w:lang w:val="en-US" w:eastAsia="zh-CN"/>
                    </w:rPr>
                    <w:t>聚苯板原料</w:t>
                  </w:r>
                </w:p>
              </w:tc>
              <w:tc>
                <w:tcPr>
                  <w:tcW w:w="1191" w:type="dxa"/>
                  <w:tcBorders>
                    <w:top w:val="single" w:color="auto" w:sz="4" w:space="0"/>
                    <w:bottom w:val="single" w:color="auto" w:sz="4" w:space="0"/>
                  </w:tcBorders>
                  <w:shd w:val="clear" w:color="auto" w:fill="auto"/>
                  <w:noWrap w:val="0"/>
                  <w:vAlign w:val="center"/>
                </w:tcPr>
                <w:p w14:paraId="3EC0B8B4">
                  <w:pPr>
                    <w:widowControl/>
                    <w:jc w:val="center"/>
                    <w:textAlignment w:val="top"/>
                    <w:rPr>
                      <w:rFonts w:hint="default"/>
                      <w:highlight w:val="none"/>
                      <w:lang w:val="en-US" w:eastAsia="zh-CN"/>
                    </w:rPr>
                  </w:pPr>
                  <w:r>
                    <w:rPr>
                      <w:rFonts w:hint="eastAsia"/>
                      <w:highlight w:val="none"/>
                      <w:lang w:val="en-US" w:eastAsia="zh-CN"/>
                    </w:rPr>
                    <w:t>可发性聚苯乙烯颗粒</w:t>
                  </w:r>
                </w:p>
              </w:tc>
              <w:tc>
                <w:tcPr>
                  <w:tcW w:w="1191" w:type="dxa"/>
                  <w:shd w:val="clear" w:color="auto" w:fill="auto"/>
                  <w:noWrap w:val="0"/>
                  <w:vAlign w:val="center"/>
                </w:tcPr>
                <w:p w14:paraId="0FCF10D6">
                  <w:pPr>
                    <w:jc w:val="center"/>
                    <w:rPr>
                      <w:highlight w:val="none"/>
                    </w:rPr>
                  </w:pPr>
                  <w:r>
                    <w:rPr>
                      <w:highlight w:val="none"/>
                    </w:rPr>
                    <w:t>t/a</w:t>
                  </w:r>
                </w:p>
              </w:tc>
              <w:tc>
                <w:tcPr>
                  <w:tcW w:w="1191" w:type="dxa"/>
                  <w:shd w:val="clear" w:color="auto" w:fill="auto"/>
                  <w:noWrap w:val="0"/>
                  <w:vAlign w:val="center"/>
                </w:tcPr>
                <w:p w14:paraId="747FF3D1">
                  <w:pPr>
                    <w:jc w:val="center"/>
                    <w:rPr>
                      <w:rFonts w:hint="default"/>
                      <w:highlight w:val="none"/>
                      <w:lang w:val="en-US" w:eastAsia="zh-CN"/>
                    </w:rPr>
                  </w:pPr>
                  <w:r>
                    <w:rPr>
                      <w:rFonts w:hint="eastAsia"/>
                      <w:highlight w:val="none"/>
                      <w:lang w:val="en-US" w:eastAsia="zh-CN"/>
                    </w:rPr>
                    <w:t>50</w:t>
                  </w:r>
                </w:p>
              </w:tc>
              <w:tc>
                <w:tcPr>
                  <w:tcW w:w="1946" w:type="dxa"/>
                  <w:shd w:val="clear" w:color="auto" w:fill="auto"/>
                  <w:noWrap w:val="0"/>
                  <w:vAlign w:val="center"/>
                </w:tcPr>
                <w:p w14:paraId="6B99445D">
                  <w:pPr>
                    <w:jc w:val="center"/>
                    <w:rPr>
                      <w:rFonts w:hint="default"/>
                      <w:highlight w:val="none"/>
                      <w:lang w:val="en-US" w:eastAsia="zh-CN"/>
                    </w:rPr>
                  </w:pPr>
                  <w:r>
                    <w:rPr>
                      <w:rFonts w:hint="eastAsia"/>
                      <w:highlight w:val="none"/>
                      <w:lang w:val="en-US" w:eastAsia="zh-CN"/>
                    </w:rPr>
                    <w:t>袋装，周边购进</w:t>
                  </w:r>
                </w:p>
              </w:tc>
            </w:tr>
            <w:tr w14:paraId="19C0F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635" w:type="dxa"/>
                  <w:shd w:val="clear" w:color="auto" w:fill="auto"/>
                  <w:noWrap w:val="0"/>
                  <w:vAlign w:val="center"/>
                </w:tcPr>
                <w:p w14:paraId="4138795B">
                  <w:pPr>
                    <w:numPr>
                      <w:ilvl w:val="0"/>
                      <w:numId w:val="0"/>
                    </w:numPr>
                    <w:ind w:leftChars="0"/>
                    <w:jc w:val="center"/>
                    <w:rPr>
                      <w:rFonts w:hint="eastAsia"/>
                      <w:highlight w:val="none"/>
                      <w:lang w:val="en-US" w:eastAsia="zh-CN"/>
                    </w:rPr>
                  </w:pPr>
                  <w:r>
                    <w:rPr>
                      <w:rFonts w:hint="eastAsia"/>
                      <w:highlight w:val="none"/>
                      <w:lang w:val="en-US" w:eastAsia="zh-CN"/>
                    </w:rPr>
                    <w:t>9</w:t>
                  </w:r>
                </w:p>
              </w:tc>
              <w:tc>
                <w:tcPr>
                  <w:tcW w:w="1747" w:type="dxa"/>
                  <w:vMerge w:val="restart"/>
                  <w:tcBorders>
                    <w:top w:val="single" w:color="auto" w:sz="4" w:space="0"/>
                  </w:tcBorders>
                  <w:shd w:val="clear" w:color="auto" w:fill="auto"/>
                  <w:noWrap w:val="0"/>
                  <w:vAlign w:val="center"/>
                </w:tcPr>
                <w:p w14:paraId="31EEB41F">
                  <w:pPr>
                    <w:jc w:val="center"/>
                    <w:rPr>
                      <w:rFonts w:hint="default"/>
                      <w:highlight w:val="none"/>
                      <w:lang w:val="en-US" w:eastAsia="zh-CN"/>
                    </w:rPr>
                  </w:pPr>
                  <w:r>
                    <w:rPr>
                      <w:rFonts w:hint="eastAsia"/>
                      <w:highlight w:val="none"/>
                      <w:lang w:val="en-US" w:eastAsia="zh-CN"/>
                    </w:rPr>
                    <w:t>能源消耗</w:t>
                  </w:r>
                </w:p>
              </w:tc>
              <w:tc>
                <w:tcPr>
                  <w:tcW w:w="1191" w:type="dxa"/>
                  <w:tcBorders>
                    <w:top w:val="single" w:color="auto" w:sz="4" w:space="0"/>
                  </w:tcBorders>
                  <w:shd w:val="clear" w:color="auto" w:fill="auto"/>
                  <w:noWrap w:val="0"/>
                  <w:vAlign w:val="center"/>
                </w:tcPr>
                <w:p w14:paraId="24F65DFB">
                  <w:pPr>
                    <w:widowControl/>
                    <w:jc w:val="center"/>
                    <w:textAlignment w:val="top"/>
                    <w:rPr>
                      <w:rFonts w:hint="eastAsia"/>
                      <w:highlight w:val="none"/>
                      <w:lang w:eastAsia="zh-CN"/>
                    </w:rPr>
                  </w:pPr>
                  <w:r>
                    <w:rPr>
                      <w:rFonts w:hint="eastAsia"/>
                      <w:highlight w:val="none"/>
                      <w:lang w:val="en-US" w:eastAsia="zh-CN"/>
                    </w:rPr>
                    <w:t>水</w:t>
                  </w:r>
                </w:p>
              </w:tc>
              <w:tc>
                <w:tcPr>
                  <w:tcW w:w="1191" w:type="dxa"/>
                  <w:shd w:val="clear" w:color="auto" w:fill="auto"/>
                  <w:noWrap w:val="0"/>
                  <w:vAlign w:val="center"/>
                </w:tcPr>
                <w:p w14:paraId="74758C10">
                  <w:pPr>
                    <w:jc w:val="center"/>
                    <w:rPr>
                      <w:highlight w:val="none"/>
                    </w:rPr>
                  </w:pPr>
                  <w:r>
                    <w:rPr>
                      <w:highlight w:val="none"/>
                    </w:rPr>
                    <w:t>t/a</w:t>
                  </w:r>
                </w:p>
              </w:tc>
              <w:tc>
                <w:tcPr>
                  <w:tcW w:w="1191" w:type="dxa"/>
                  <w:shd w:val="clear" w:color="auto" w:fill="auto"/>
                  <w:noWrap w:val="0"/>
                  <w:vAlign w:val="center"/>
                </w:tcPr>
                <w:p w14:paraId="1F7C6357">
                  <w:pPr>
                    <w:jc w:val="center"/>
                    <w:rPr>
                      <w:rFonts w:hint="default"/>
                      <w:highlight w:val="none"/>
                      <w:lang w:val="en-US" w:eastAsia="zh-CN"/>
                    </w:rPr>
                  </w:pPr>
                  <w:r>
                    <w:rPr>
                      <w:rFonts w:hint="eastAsia"/>
                      <w:highlight w:val="none"/>
                      <w:lang w:val="en-US" w:eastAsia="zh-CN"/>
                    </w:rPr>
                    <w:t>384</w:t>
                  </w:r>
                </w:p>
              </w:tc>
              <w:tc>
                <w:tcPr>
                  <w:tcW w:w="1946" w:type="dxa"/>
                  <w:shd w:val="clear" w:color="auto" w:fill="auto"/>
                  <w:noWrap w:val="0"/>
                  <w:vAlign w:val="center"/>
                </w:tcPr>
                <w:p w14:paraId="1ECF335F">
                  <w:pPr>
                    <w:jc w:val="center"/>
                    <w:rPr>
                      <w:rFonts w:hint="default"/>
                      <w:highlight w:val="none"/>
                      <w:lang w:val="en-US" w:eastAsia="zh-CN"/>
                    </w:rPr>
                  </w:pPr>
                  <w:r>
                    <w:rPr>
                      <w:rFonts w:hint="eastAsia"/>
                      <w:highlight w:val="none"/>
                      <w:lang w:val="en-US" w:eastAsia="zh-CN"/>
                    </w:rPr>
                    <w:t>自备水井</w:t>
                  </w:r>
                </w:p>
              </w:tc>
            </w:tr>
            <w:tr w14:paraId="04A70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635" w:type="dxa"/>
                  <w:shd w:val="clear" w:color="auto" w:fill="auto"/>
                  <w:noWrap w:val="0"/>
                  <w:vAlign w:val="center"/>
                </w:tcPr>
                <w:p w14:paraId="0526A525">
                  <w:pPr>
                    <w:numPr>
                      <w:ilvl w:val="0"/>
                      <w:numId w:val="0"/>
                    </w:numPr>
                    <w:ind w:leftChars="0"/>
                    <w:jc w:val="center"/>
                    <w:rPr>
                      <w:rFonts w:hint="default"/>
                      <w:highlight w:val="none"/>
                      <w:lang w:val="en-US" w:eastAsia="zh-CN"/>
                    </w:rPr>
                  </w:pPr>
                  <w:r>
                    <w:rPr>
                      <w:rFonts w:hint="eastAsia"/>
                      <w:highlight w:val="none"/>
                      <w:lang w:val="en-US" w:eastAsia="zh-CN"/>
                    </w:rPr>
                    <w:t>10</w:t>
                  </w:r>
                </w:p>
              </w:tc>
              <w:tc>
                <w:tcPr>
                  <w:tcW w:w="1747" w:type="dxa"/>
                  <w:vMerge w:val="continue"/>
                  <w:shd w:val="clear" w:color="auto" w:fill="auto"/>
                  <w:noWrap w:val="0"/>
                  <w:vAlign w:val="center"/>
                </w:tcPr>
                <w:p w14:paraId="3923EECF">
                  <w:pPr>
                    <w:jc w:val="center"/>
                    <w:rPr>
                      <w:highlight w:val="none"/>
                    </w:rPr>
                  </w:pPr>
                </w:p>
              </w:tc>
              <w:tc>
                <w:tcPr>
                  <w:tcW w:w="1191" w:type="dxa"/>
                  <w:shd w:val="clear" w:color="auto" w:fill="auto"/>
                  <w:noWrap w:val="0"/>
                  <w:vAlign w:val="center"/>
                </w:tcPr>
                <w:p w14:paraId="700B2FD9">
                  <w:pPr>
                    <w:widowControl/>
                    <w:jc w:val="center"/>
                    <w:textAlignment w:val="top"/>
                    <w:rPr>
                      <w:rFonts w:hint="default"/>
                      <w:highlight w:val="none"/>
                      <w:lang w:val="en-US" w:eastAsia="zh-CN"/>
                    </w:rPr>
                  </w:pPr>
                  <w:r>
                    <w:rPr>
                      <w:rFonts w:hint="eastAsia"/>
                      <w:highlight w:val="none"/>
                      <w:lang w:val="en-US" w:eastAsia="zh-CN"/>
                    </w:rPr>
                    <w:t>电</w:t>
                  </w:r>
                </w:p>
              </w:tc>
              <w:tc>
                <w:tcPr>
                  <w:tcW w:w="1191" w:type="dxa"/>
                  <w:shd w:val="clear" w:color="auto" w:fill="auto"/>
                  <w:noWrap w:val="0"/>
                  <w:vAlign w:val="center"/>
                </w:tcPr>
                <w:p w14:paraId="71274068">
                  <w:pPr>
                    <w:jc w:val="center"/>
                    <w:rPr>
                      <w:rFonts w:hint="default"/>
                      <w:highlight w:val="none"/>
                      <w:lang w:val="en-US"/>
                    </w:rPr>
                  </w:pPr>
                  <w:r>
                    <w:rPr>
                      <w:rFonts w:hint="eastAsia"/>
                      <w:highlight w:val="none"/>
                      <w:lang w:val="en-US" w:eastAsia="zh-CN"/>
                    </w:rPr>
                    <w:t>万kw/h</w:t>
                  </w:r>
                </w:p>
              </w:tc>
              <w:tc>
                <w:tcPr>
                  <w:tcW w:w="1191" w:type="dxa"/>
                  <w:shd w:val="clear" w:color="auto" w:fill="auto"/>
                  <w:noWrap w:val="0"/>
                  <w:vAlign w:val="center"/>
                </w:tcPr>
                <w:p w14:paraId="7127D17B">
                  <w:pPr>
                    <w:jc w:val="center"/>
                    <w:rPr>
                      <w:rFonts w:hint="default"/>
                      <w:highlight w:val="none"/>
                      <w:lang w:val="en-US" w:eastAsia="zh-CN"/>
                    </w:rPr>
                  </w:pPr>
                  <w:r>
                    <w:rPr>
                      <w:rFonts w:hint="eastAsia"/>
                      <w:highlight w:val="none"/>
                      <w:lang w:val="en-US" w:eastAsia="zh-CN"/>
                    </w:rPr>
                    <w:t>487.2</w:t>
                  </w:r>
                </w:p>
              </w:tc>
              <w:tc>
                <w:tcPr>
                  <w:tcW w:w="1946" w:type="dxa"/>
                  <w:shd w:val="clear" w:color="auto" w:fill="auto"/>
                  <w:noWrap w:val="0"/>
                  <w:vAlign w:val="center"/>
                </w:tcPr>
                <w:p w14:paraId="48A04853">
                  <w:pPr>
                    <w:jc w:val="center"/>
                    <w:rPr>
                      <w:rFonts w:hint="default"/>
                      <w:highlight w:val="none"/>
                      <w:lang w:val="en-US" w:eastAsia="zh-CN"/>
                    </w:rPr>
                  </w:pPr>
                  <w:r>
                    <w:rPr>
                      <w:rFonts w:hint="eastAsia"/>
                      <w:highlight w:val="none"/>
                      <w:lang w:val="en-US" w:eastAsia="zh-CN"/>
                    </w:rPr>
                    <w:t>当地电网</w:t>
                  </w:r>
                </w:p>
              </w:tc>
            </w:tr>
            <w:tr w14:paraId="09F90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635" w:type="dxa"/>
                  <w:shd w:val="clear" w:color="auto" w:fill="auto"/>
                  <w:noWrap w:val="0"/>
                  <w:vAlign w:val="center"/>
                </w:tcPr>
                <w:p w14:paraId="4A9A3277">
                  <w:pPr>
                    <w:numPr>
                      <w:ilvl w:val="0"/>
                      <w:numId w:val="0"/>
                    </w:numPr>
                    <w:ind w:leftChars="0"/>
                    <w:jc w:val="center"/>
                    <w:rPr>
                      <w:rFonts w:hint="default"/>
                      <w:highlight w:val="none"/>
                      <w:lang w:val="en-US" w:eastAsia="zh-CN"/>
                    </w:rPr>
                  </w:pPr>
                  <w:r>
                    <w:rPr>
                      <w:rFonts w:hint="eastAsia"/>
                      <w:highlight w:val="none"/>
                      <w:lang w:val="en-US" w:eastAsia="zh-CN"/>
                    </w:rPr>
                    <w:t>11</w:t>
                  </w:r>
                </w:p>
              </w:tc>
              <w:tc>
                <w:tcPr>
                  <w:tcW w:w="1747" w:type="dxa"/>
                  <w:vMerge w:val="continue"/>
                  <w:shd w:val="clear" w:color="auto" w:fill="auto"/>
                  <w:noWrap w:val="0"/>
                  <w:vAlign w:val="center"/>
                </w:tcPr>
                <w:p w14:paraId="432A6151">
                  <w:pPr>
                    <w:jc w:val="center"/>
                    <w:rPr>
                      <w:highlight w:val="none"/>
                    </w:rPr>
                  </w:pPr>
                </w:p>
              </w:tc>
              <w:tc>
                <w:tcPr>
                  <w:tcW w:w="1191" w:type="dxa"/>
                  <w:shd w:val="clear" w:color="auto" w:fill="auto"/>
                  <w:noWrap w:val="0"/>
                  <w:vAlign w:val="center"/>
                </w:tcPr>
                <w:p w14:paraId="08475849">
                  <w:pPr>
                    <w:widowControl/>
                    <w:jc w:val="center"/>
                    <w:textAlignment w:val="top"/>
                    <w:rPr>
                      <w:rFonts w:hint="default"/>
                      <w:highlight w:val="none"/>
                      <w:lang w:val="en-US" w:eastAsia="zh-CN"/>
                    </w:rPr>
                  </w:pPr>
                  <w:r>
                    <w:rPr>
                      <w:rFonts w:hint="eastAsia"/>
                      <w:highlight w:val="none"/>
                      <w:lang w:val="en-US" w:eastAsia="zh-CN"/>
                    </w:rPr>
                    <w:t>生物质燃料</w:t>
                  </w:r>
                </w:p>
              </w:tc>
              <w:tc>
                <w:tcPr>
                  <w:tcW w:w="1191" w:type="dxa"/>
                  <w:shd w:val="clear" w:color="auto" w:fill="auto"/>
                  <w:noWrap w:val="0"/>
                  <w:vAlign w:val="center"/>
                </w:tcPr>
                <w:p w14:paraId="011B4A5C">
                  <w:pPr>
                    <w:jc w:val="center"/>
                    <w:rPr>
                      <w:highlight w:val="none"/>
                    </w:rPr>
                  </w:pPr>
                  <w:r>
                    <w:rPr>
                      <w:highlight w:val="none"/>
                    </w:rPr>
                    <w:t>t/a</w:t>
                  </w:r>
                </w:p>
              </w:tc>
              <w:tc>
                <w:tcPr>
                  <w:tcW w:w="1191" w:type="dxa"/>
                  <w:shd w:val="clear" w:color="auto" w:fill="auto"/>
                  <w:noWrap w:val="0"/>
                  <w:vAlign w:val="center"/>
                </w:tcPr>
                <w:p w14:paraId="457895E5">
                  <w:pPr>
                    <w:jc w:val="center"/>
                    <w:rPr>
                      <w:rFonts w:hint="default"/>
                      <w:highlight w:val="none"/>
                      <w:lang w:val="en-US" w:eastAsia="zh-CN"/>
                    </w:rPr>
                  </w:pPr>
                  <w:r>
                    <w:rPr>
                      <w:rFonts w:hint="eastAsia"/>
                      <w:highlight w:val="none"/>
                      <w:lang w:val="en-US" w:eastAsia="zh-CN"/>
                    </w:rPr>
                    <w:t>150</w:t>
                  </w:r>
                </w:p>
              </w:tc>
              <w:tc>
                <w:tcPr>
                  <w:tcW w:w="1946" w:type="dxa"/>
                  <w:shd w:val="clear" w:color="auto" w:fill="auto"/>
                  <w:noWrap w:val="0"/>
                  <w:vAlign w:val="center"/>
                </w:tcPr>
                <w:p w14:paraId="1CAF1B74">
                  <w:pPr>
                    <w:jc w:val="center"/>
                    <w:rPr>
                      <w:rFonts w:hint="default"/>
                      <w:highlight w:val="none"/>
                      <w:lang w:val="en-US" w:eastAsia="zh-CN"/>
                    </w:rPr>
                  </w:pPr>
                  <w:r>
                    <w:rPr>
                      <w:rFonts w:hint="eastAsia"/>
                      <w:highlight w:val="none"/>
                      <w:lang w:val="en-US" w:eastAsia="zh-CN"/>
                    </w:rPr>
                    <w:t>锅炉燃料</w:t>
                  </w:r>
                </w:p>
              </w:tc>
            </w:tr>
          </w:tbl>
          <w:p w14:paraId="232CBD7F">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b/>
                <w:bCs/>
                <w:highlight w:val="none"/>
              </w:rPr>
            </w:pPr>
            <w:r>
              <w:rPr>
                <w:b/>
                <w:bCs/>
                <w:highlight w:val="none"/>
              </w:rPr>
              <w:t>表</w:t>
            </w:r>
            <w:r>
              <w:rPr>
                <w:rFonts w:hint="eastAsia"/>
                <w:b/>
                <w:bCs/>
                <w:highlight w:val="none"/>
                <w:lang w:val="en-US" w:eastAsia="zh-CN"/>
              </w:rPr>
              <w:t>2-8</w:t>
            </w:r>
            <w:r>
              <w:rPr>
                <w:b/>
                <w:bCs/>
                <w:highlight w:val="none"/>
              </w:rPr>
              <w:t xml:space="preserve">   </w:t>
            </w:r>
            <w:r>
              <w:rPr>
                <w:rFonts w:hint="eastAsia"/>
                <w:b/>
                <w:bCs/>
                <w:highlight w:val="none"/>
                <w:lang w:val="en-US" w:eastAsia="zh-CN"/>
              </w:rPr>
              <w:t>在建项目</w:t>
            </w:r>
            <w:r>
              <w:rPr>
                <w:b/>
                <w:bCs/>
                <w:highlight w:val="none"/>
              </w:rPr>
              <w:t>主要原材料及能源消耗表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59"/>
              <w:gridCol w:w="981"/>
              <w:gridCol w:w="1245"/>
              <w:gridCol w:w="960"/>
              <w:gridCol w:w="1455"/>
              <w:gridCol w:w="2613"/>
            </w:tblGrid>
            <w:tr w14:paraId="00E41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659" w:type="dxa"/>
                  <w:shd w:val="clear" w:color="auto" w:fill="auto"/>
                  <w:noWrap w:val="0"/>
                  <w:vAlign w:val="center"/>
                </w:tcPr>
                <w:p w14:paraId="720A705C">
                  <w:pPr>
                    <w:jc w:val="center"/>
                    <w:rPr>
                      <w:highlight w:val="none"/>
                    </w:rPr>
                  </w:pPr>
                  <w:r>
                    <w:rPr>
                      <w:highlight w:val="none"/>
                    </w:rPr>
                    <w:t>序号</w:t>
                  </w:r>
                </w:p>
              </w:tc>
              <w:tc>
                <w:tcPr>
                  <w:tcW w:w="2226" w:type="dxa"/>
                  <w:gridSpan w:val="2"/>
                  <w:shd w:val="clear" w:color="auto" w:fill="auto"/>
                  <w:noWrap w:val="0"/>
                  <w:vAlign w:val="center"/>
                </w:tcPr>
                <w:p w14:paraId="1F68D695">
                  <w:pPr>
                    <w:jc w:val="center"/>
                    <w:rPr>
                      <w:rFonts w:hint="default"/>
                      <w:highlight w:val="none"/>
                      <w:lang w:val="en-US" w:eastAsia="zh-CN"/>
                    </w:rPr>
                  </w:pPr>
                  <w:r>
                    <w:rPr>
                      <w:rFonts w:hint="eastAsia"/>
                      <w:highlight w:val="none"/>
                      <w:lang w:val="en-US" w:eastAsia="zh-CN"/>
                    </w:rPr>
                    <w:t>名称</w:t>
                  </w:r>
                </w:p>
              </w:tc>
              <w:tc>
                <w:tcPr>
                  <w:tcW w:w="960" w:type="dxa"/>
                  <w:shd w:val="clear" w:color="auto" w:fill="auto"/>
                  <w:noWrap w:val="0"/>
                  <w:vAlign w:val="center"/>
                </w:tcPr>
                <w:p w14:paraId="7E1C2E03">
                  <w:pPr>
                    <w:jc w:val="center"/>
                    <w:rPr>
                      <w:rFonts w:hint="eastAsia"/>
                      <w:highlight w:val="none"/>
                      <w:lang w:val="en-US" w:eastAsia="zh-CN"/>
                    </w:rPr>
                  </w:pPr>
                  <w:r>
                    <w:rPr>
                      <w:highlight w:val="none"/>
                    </w:rPr>
                    <w:t>单位</w:t>
                  </w:r>
                </w:p>
              </w:tc>
              <w:tc>
                <w:tcPr>
                  <w:tcW w:w="1455" w:type="dxa"/>
                  <w:shd w:val="clear" w:color="auto" w:fill="auto"/>
                  <w:noWrap w:val="0"/>
                  <w:vAlign w:val="center"/>
                </w:tcPr>
                <w:p w14:paraId="5AE7E441">
                  <w:pPr>
                    <w:jc w:val="center"/>
                    <w:rPr>
                      <w:rFonts w:hint="eastAsia"/>
                      <w:highlight w:val="none"/>
                      <w:lang w:val="en-US" w:eastAsia="zh-CN"/>
                    </w:rPr>
                  </w:pPr>
                  <w:r>
                    <w:rPr>
                      <w:highlight w:val="none"/>
                    </w:rPr>
                    <w:t>消耗量</w:t>
                  </w:r>
                </w:p>
              </w:tc>
              <w:tc>
                <w:tcPr>
                  <w:tcW w:w="2613" w:type="dxa"/>
                  <w:shd w:val="clear" w:color="auto" w:fill="auto"/>
                  <w:noWrap w:val="0"/>
                  <w:vAlign w:val="center"/>
                </w:tcPr>
                <w:p w14:paraId="00B70CC9">
                  <w:pPr>
                    <w:jc w:val="center"/>
                    <w:rPr>
                      <w:rFonts w:hint="eastAsia"/>
                      <w:highlight w:val="none"/>
                      <w:lang w:val="en-US" w:eastAsia="zh-CN"/>
                    </w:rPr>
                  </w:pPr>
                  <w:r>
                    <w:rPr>
                      <w:highlight w:val="none"/>
                    </w:rPr>
                    <w:t>备注</w:t>
                  </w:r>
                </w:p>
              </w:tc>
            </w:tr>
            <w:tr w14:paraId="17B4AA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659" w:type="dxa"/>
                  <w:shd w:val="clear" w:color="auto" w:fill="auto"/>
                  <w:noWrap w:val="0"/>
                  <w:vAlign w:val="center"/>
                </w:tcPr>
                <w:p w14:paraId="01C41D56">
                  <w:pPr>
                    <w:numPr>
                      <w:ilvl w:val="0"/>
                      <w:numId w:val="0"/>
                    </w:numPr>
                    <w:ind w:leftChars="0"/>
                    <w:jc w:val="center"/>
                    <w:rPr>
                      <w:rFonts w:hint="eastAsia"/>
                      <w:highlight w:val="none"/>
                      <w:lang w:val="en-US" w:eastAsia="zh-CN"/>
                    </w:rPr>
                  </w:pPr>
                  <w:r>
                    <w:rPr>
                      <w:rFonts w:hint="eastAsia"/>
                      <w:highlight w:val="none"/>
                      <w:lang w:val="en-US" w:eastAsia="zh-CN"/>
                    </w:rPr>
                    <w:t>1</w:t>
                  </w:r>
                </w:p>
              </w:tc>
              <w:tc>
                <w:tcPr>
                  <w:tcW w:w="981" w:type="dxa"/>
                  <w:vMerge w:val="restart"/>
                  <w:shd w:val="clear" w:color="auto" w:fill="auto"/>
                  <w:noWrap w:val="0"/>
                  <w:vAlign w:val="center"/>
                </w:tcPr>
                <w:p w14:paraId="3066D492">
                  <w:pPr>
                    <w:jc w:val="center"/>
                    <w:rPr>
                      <w:rFonts w:hint="eastAsia"/>
                      <w:highlight w:val="none"/>
                      <w:lang w:eastAsia="zh-CN"/>
                    </w:rPr>
                  </w:pPr>
                  <w:r>
                    <w:rPr>
                      <w:rFonts w:hint="eastAsia"/>
                      <w:highlight w:val="none"/>
                      <w:lang w:val="en-US" w:eastAsia="zh-CN"/>
                    </w:rPr>
                    <w:t>液化天然气锅炉</w:t>
                  </w:r>
                </w:p>
              </w:tc>
              <w:tc>
                <w:tcPr>
                  <w:tcW w:w="1245" w:type="dxa"/>
                  <w:shd w:val="clear" w:color="auto" w:fill="auto"/>
                  <w:noWrap w:val="0"/>
                  <w:vAlign w:val="center"/>
                </w:tcPr>
                <w:p w14:paraId="1D8AA503">
                  <w:pPr>
                    <w:jc w:val="center"/>
                    <w:rPr>
                      <w:rFonts w:hint="eastAsia"/>
                      <w:highlight w:val="none"/>
                      <w:lang w:val="en-US" w:eastAsia="zh-CN"/>
                    </w:rPr>
                  </w:pPr>
                  <w:r>
                    <w:rPr>
                      <w:rFonts w:hint="eastAsia"/>
                      <w:highlight w:val="none"/>
                      <w:lang w:val="en-US" w:eastAsia="zh-CN"/>
                    </w:rPr>
                    <w:t>液化天然气</w:t>
                  </w:r>
                </w:p>
              </w:tc>
              <w:tc>
                <w:tcPr>
                  <w:tcW w:w="960" w:type="dxa"/>
                  <w:shd w:val="clear" w:color="auto" w:fill="auto"/>
                  <w:noWrap w:val="0"/>
                  <w:vAlign w:val="center"/>
                </w:tcPr>
                <w:p w14:paraId="10DCAD5B">
                  <w:pPr>
                    <w:widowControl/>
                    <w:spacing w:line="300" w:lineRule="exact"/>
                    <w:jc w:val="center"/>
                    <w:rPr>
                      <w:highlight w:val="none"/>
                    </w:rPr>
                  </w:pPr>
                  <w:r>
                    <w:rPr>
                      <w:rFonts w:hint="eastAsia"/>
                      <w:highlight w:val="none"/>
                      <w:lang w:val="en-US" w:eastAsia="zh-CN"/>
                    </w:rPr>
                    <w:t>万m³/a</w:t>
                  </w:r>
                </w:p>
              </w:tc>
              <w:tc>
                <w:tcPr>
                  <w:tcW w:w="1455" w:type="dxa"/>
                  <w:shd w:val="clear" w:color="auto" w:fill="auto"/>
                  <w:noWrap w:val="0"/>
                  <w:vAlign w:val="center"/>
                </w:tcPr>
                <w:p w14:paraId="42B9397B">
                  <w:pPr>
                    <w:pStyle w:val="29"/>
                    <w:spacing w:line="300" w:lineRule="exact"/>
                    <w:jc w:val="center"/>
                    <w:rPr>
                      <w:rFonts w:hint="default"/>
                      <w:highlight w:val="none"/>
                      <w:lang w:val="en-US" w:eastAsia="zh-CN"/>
                    </w:rPr>
                  </w:pPr>
                  <w:r>
                    <w:rPr>
                      <w:rFonts w:hint="eastAsia"/>
                      <w:highlight w:val="none"/>
                      <w:lang w:val="en-US" w:eastAsia="zh-CN"/>
                    </w:rPr>
                    <w:t>22.4（165.2t/a）</w:t>
                  </w:r>
                </w:p>
              </w:tc>
              <w:tc>
                <w:tcPr>
                  <w:tcW w:w="2613" w:type="dxa"/>
                  <w:shd w:val="clear" w:color="auto" w:fill="auto"/>
                  <w:noWrap w:val="0"/>
                  <w:vAlign w:val="center"/>
                </w:tcPr>
                <w:p w14:paraId="3CA6019A">
                  <w:pPr>
                    <w:spacing w:line="300" w:lineRule="exact"/>
                    <w:jc w:val="center"/>
                    <w:rPr>
                      <w:rFonts w:hint="default"/>
                      <w:highlight w:val="none"/>
                      <w:lang w:val="en-US" w:eastAsia="zh-CN"/>
                    </w:rPr>
                  </w:pPr>
                  <w:r>
                    <w:rPr>
                      <w:rFonts w:hint="default"/>
                      <w:highlight w:val="none"/>
                    </w:rPr>
                    <w:t>外购，</w:t>
                  </w:r>
                  <w:r>
                    <w:rPr>
                      <w:rFonts w:hint="eastAsia"/>
                      <w:highlight w:val="none"/>
                      <w:lang w:val="en-US" w:eastAsia="zh-CN"/>
                    </w:rPr>
                    <w:t>50kg/瓶，液化天然气密度0.7256kg/m³</w:t>
                  </w:r>
                </w:p>
              </w:tc>
            </w:tr>
            <w:tr w14:paraId="531370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659" w:type="dxa"/>
                  <w:shd w:val="clear" w:color="auto" w:fill="auto"/>
                  <w:noWrap w:val="0"/>
                  <w:vAlign w:val="center"/>
                </w:tcPr>
                <w:p w14:paraId="43A796FE">
                  <w:pPr>
                    <w:numPr>
                      <w:ilvl w:val="0"/>
                      <w:numId w:val="0"/>
                    </w:numPr>
                    <w:ind w:leftChars="0"/>
                    <w:jc w:val="center"/>
                    <w:rPr>
                      <w:rFonts w:hint="eastAsia"/>
                      <w:highlight w:val="none"/>
                      <w:lang w:val="en-US" w:eastAsia="zh-CN"/>
                    </w:rPr>
                  </w:pPr>
                  <w:r>
                    <w:rPr>
                      <w:rFonts w:hint="eastAsia"/>
                      <w:highlight w:val="none"/>
                      <w:lang w:val="en-US" w:eastAsia="zh-CN"/>
                    </w:rPr>
                    <w:t>2</w:t>
                  </w:r>
                </w:p>
              </w:tc>
              <w:tc>
                <w:tcPr>
                  <w:tcW w:w="981" w:type="dxa"/>
                  <w:vMerge w:val="continue"/>
                  <w:shd w:val="clear" w:color="auto" w:fill="auto"/>
                  <w:noWrap w:val="0"/>
                  <w:vAlign w:val="center"/>
                </w:tcPr>
                <w:p w14:paraId="2563FDB1">
                  <w:pPr>
                    <w:widowControl/>
                    <w:jc w:val="center"/>
                    <w:textAlignment w:val="top"/>
                    <w:rPr>
                      <w:rFonts w:hint="eastAsia"/>
                      <w:highlight w:val="none"/>
                      <w:lang w:eastAsia="zh-CN"/>
                    </w:rPr>
                  </w:pPr>
                </w:p>
              </w:tc>
              <w:tc>
                <w:tcPr>
                  <w:tcW w:w="1245" w:type="dxa"/>
                  <w:shd w:val="clear" w:color="auto" w:fill="auto"/>
                  <w:noWrap w:val="0"/>
                  <w:vAlign w:val="center"/>
                </w:tcPr>
                <w:p w14:paraId="7272C594">
                  <w:pPr>
                    <w:widowControl/>
                    <w:jc w:val="center"/>
                    <w:textAlignment w:val="top"/>
                    <w:rPr>
                      <w:rFonts w:hint="eastAsia"/>
                      <w:highlight w:val="none"/>
                      <w:lang w:val="en-US" w:eastAsia="zh-CN"/>
                    </w:rPr>
                  </w:pPr>
                  <w:r>
                    <w:rPr>
                      <w:rFonts w:hint="eastAsia"/>
                      <w:highlight w:val="none"/>
                      <w:lang w:val="en-US" w:eastAsia="zh-CN"/>
                    </w:rPr>
                    <w:t>水</w:t>
                  </w:r>
                </w:p>
              </w:tc>
              <w:tc>
                <w:tcPr>
                  <w:tcW w:w="960" w:type="dxa"/>
                  <w:shd w:val="clear" w:color="auto" w:fill="auto"/>
                  <w:noWrap w:val="0"/>
                  <w:vAlign w:val="center"/>
                </w:tcPr>
                <w:p w14:paraId="09FBA2ED">
                  <w:pPr>
                    <w:spacing w:line="300" w:lineRule="exact"/>
                    <w:jc w:val="center"/>
                    <w:rPr>
                      <w:highlight w:val="none"/>
                    </w:rPr>
                  </w:pPr>
                  <w:r>
                    <w:rPr>
                      <w:rFonts w:hint="default"/>
                      <w:highlight w:val="none"/>
                      <w:lang w:val="zh-CN"/>
                    </w:rPr>
                    <w:t>m</w:t>
                  </w:r>
                  <w:r>
                    <w:rPr>
                      <w:rFonts w:hint="default"/>
                      <w:highlight w:val="none"/>
                      <w:vertAlign w:val="superscript"/>
                      <w:lang w:val="zh-CN"/>
                    </w:rPr>
                    <w:t>3</w:t>
                  </w:r>
                  <w:r>
                    <w:rPr>
                      <w:rFonts w:hint="default"/>
                      <w:highlight w:val="none"/>
                      <w:lang w:val="zh-CN"/>
                    </w:rPr>
                    <w:t>/a</w:t>
                  </w:r>
                </w:p>
              </w:tc>
              <w:tc>
                <w:tcPr>
                  <w:tcW w:w="1455" w:type="dxa"/>
                  <w:shd w:val="clear" w:color="auto" w:fill="auto"/>
                  <w:noWrap w:val="0"/>
                  <w:vAlign w:val="center"/>
                </w:tcPr>
                <w:p w14:paraId="39468AE8">
                  <w:pPr>
                    <w:spacing w:line="300" w:lineRule="exact"/>
                    <w:ind w:left="-105" w:leftChars="-50" w:right="-105" w:rightChars="-50"/>
                    <w:jc w:val="center"/>
                    <w:rPr>
                      <w:rFonts w:hint="default"/>
                      <w:highlight w:val="none"/>
                      <w:lang w:val="en-US" w:eastAsia="zh-CN"/>
                    </w:rPr>
                  </w:pPr>
                  <w:r>
                    <w:rPr>
                      <w:rFonts w:hint="eastAsia"/>
                      <w:highlight w:val="none"/>
                      <w:lang w:val="en-US" w:eastAsia="zh-CN"/>
                    </w:rPr>
                    <w:t>4000</w:t>
                  </w:r>
                </w:p>
              </w:tc>
              <w:tc>
                <w:tcPr>
                  <w:tcW w:w="2613" w:type="dxa"/>
                  <w:shd w:val="clear" w:color="auto" w:fill="auto"/>
                  <w:noWrap w:val="0"/>
                  <w:vAlign w:val="center"/>
                </w:tcPr>
                <w:p w14:paraId="76F39B49">
                  <w:pPr>
                    <w:spacing w:line="300" w:lineRule="exact"/>
                    <w:jc w:val="center"/>
                    <w:rPr>
                      <w:highlight w:val="none"/>
                    </w:rPr>
                  </w:pPr>
                  <w:r>
                    <w:rPr>
                      <w:rFonts w:hint="default"/>
                      <w:highlight w:val="none"/>
                    </w:rPr>
                    <w:t>自备水井</w:t>
                  </w:r>
                </w:p>
              </w:tc>
            </w:tr>
            <w:tr w14:paraId="52D8D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659" w:type="dxa"/>
                  <w:shd w:val="clear" w:color="auto" w:fill="auto"/>
                  <w:noWrap w:val="0"/>
                  <w:vAlign w:val="center"/>
                </w:tcPr>
                <w:p w14:paraId="17194987">
                  <w:pPr>
                    <w:numPr>
                      <w:ilvl w:val="0"/>
                      <w:numId w:val="0"/>
                    </w:numPr>
                    <w:ind w:leftChars="0"/>
                    <w:jc w:val="center"/>
                    <w:rPr>
                      <w:rFonts w:hint="eastAsia"/>
                      <w:highlight w:val="none"/>
                      <w:lang w:val="en-US" w:eastAsia="zh-CN"/>
                    </w:rPr>
                  </w:pPr>
                  <w:r>
                    <w:rPr>
                      <w:rFonts w:hint="eastAsia"/>
                      <w:highlight w:val="none"/>
                      <w:lang w:val="en-US" w:eastAsia="zh-CN"/>
                    </w:rPr>
                    <w:t>3</w:t>
                  </w:r>
                </w:p>
              </w:tc>
              <w:tc>
                <w:tcPr>
                  <w:tcW w:w="981" w:type="dxa"/>
                  <w:vMerge w:val="continue"/>
                  <w:shd w:val="clear" w:color="auto" w:fill="auto"/>
                  <w:noWrap w:val="0"/>
                  <w:vAlign w:val="center"/>
                </w:tcPr>
                <w:p w14:paraId="716EC3FD">
                  <w:pPr>
                    <w:widowControl/>
                    <w:jc w:val="center"/>
                    <w:textAlignment w:val="top"/>
                    <w:rPr>
                      <w:rFonts w:hint="eastAsia"/>
                      <w:highlight w:val="none"/>
                      <w:lang w:eastAsia="zh-CN"/>
                    </w:rPr>
                  </w:pPr>
                </w:p>
              </w:tc>
              <w:tc>
                <w:tcPr>
                  <w:tcW w:w="1245" w:type="dxa"/>
                  <w:shd w:val="clear" w:color="auto" w:fill="auto"/>
                  <w:noWrap w:val="0"/>
                  <w:vAlign w:val="center"/>
                </w:tcPr>
                <w:p w14:paraId="157B28AD">
                  <w:pPr>
                    <w:widowControl/>
                    <w:jc w:val="center"/>
                    <w:textAlignment w:val="top"/>
                    <w:rPr>
                      <w:rFonts w:hint="eastAsia"/>
                      <w:highlight w:val="none"/>
                      <w:lang w:val="en-US" w:eastAsia="zh-CN"/>
                    </w:rPr>
                  </w:pPr>
                  <w:r>
                    <w:rPr>
                      <w:rFonts w:hint="eastAsia"/>
                      <w:highlight w:val="none"/>
                      <w:lang w:val="en-US" w:eastAsia="zh-CN"/>
                    </w:rPr>
                    <w:t>电</w:t>
                  </w:r>
                </w:p>
              </w:tc>
              <w:tc>
                <w:tcPr>
                  <w:tcW w:w="960" w:type="dxa"/>
                  <w:shd w:val="clear" w:color="auto" w:fill="auto"/>
                  <w:noWrap w:val="0"/>
                  <w:vAlign w:val="center"/>
                </w:tcPr>
                <w:p w14:paraId="2C80870C">
                  <w:pPr>
                    <w:spacing w:line="300" w:lineRule="exact"/>
                    <w:ind w:left="-105" w:leftChars="-50" w:right="-105" w:rightChars="-50"/>
                    <w:jc w:val="center"/>
                    <w:rPr>
                      <w:highlight w:val="none"/>
                    </w:rPr>
                  </w:pPr>
                  <w:r>
                    <w:rPr>
                      <w:rFonts w:hint="default"/>
                      <w:highlight w:val="none"/>
                      <w:lang w:val="zh-CN"/>
                    </w:rPr>
                    <w:t>万kWh/a</w:t>
                  </w:r>
                </w:p>
              </w:tc>
              <w:tc>
                <w:tcPr>
                  <w:tcW w:w="1455" w:type="dxa"/>
                  <w:shd w:val="clear" w:color="auto" w:fill="auto"/>
                  <w:noWrap w:val="0"/>
                  <w:vAlign w:val="center"/>
                </w:tcPr>
                <w:p w14:paraId="58278E68">
                  <w:pPr>
                    <w:spacing w:line="300" w:lineRule="exact"/>
                    <w:jc w:val="center"/>
                    <w:rPr>
                      <w:rFonts w:hint="default"/>
                      <w:highlight w:val="none"/>
                      <w:lang w:val="en-US" w:eastAsia="zh-CN"/>
                    </w:rPr>
                  </w:pPr>
                  <w:r>
                    <w:rPr>
                      <w:rFonts w:hint="eastAsia"/>
                      <w:highlight w:val="none"/>
                      <w:lang w:val="en-US" w:eastAsia="zh-CN"/>
                    </w:rPr>
                    <w:t>7.2</w:t>
                  </w:r>
                </w:p>
              </w:tc>
              <w:tc>
                <w:tcPr>
                  <w:tcW w:w="2613" w:type="dxa"/>
                  <w:shd w:val="clear" w:color="auto" w:fill="auto"/>
                  <w:noWrap w:val="0"/>
                  <w:vAlign w:val="center"/>
                </w:tcPr>
                <w:p w14:paraId="0FC87363">
                  <w:pPr>
                    <w:spacing w:line="300" w:lineRule="exact"/>
                    <w:jc w:val="center"/>
                    <w:rPr>
                      <w:highlight w:val="none"/>
                    </w:rPr>
                  </w:pPr>
                  <w:r>
                    <w:rPr>
                      <w:rFonts w:hint="default"/>
                      <w:highlight w:val="none"/>
                    </w:rPr>
                    <w:t>市政电网</w:t>
                  </w:r>
                </w:p>
              </w:tc>
            </w:tr>
          </w:tbl>
          <w:p w14:paraId="4E3C4165">
            <w:pPr>
              <w:spacing w:line="500" w:lineRule="exact"/>
              <w:ind w:firstLine="420" w:firstLineChars="200"/>
              <w:rPr>
                <w:highlight w:val="none"/>
              </w:rPr>
            </w:pPr>
            <w:r>
              <w:rPr>
                <w:highlight w:val="none"/>
              </w:rPr>
              <w:t>（2）</w:t>
            </w:r>
            <w:r>
              <w:rPr>
                <w:rFonts w:hint="eastAsia"/>
                <w:highlight w:val="none"/>
                <w:lang w:val="en-US" w:eastAsia="zh-CN"/>
              </w:rPr>
              <w:t>原有项目</w:t>
            </w:r>
            <w:r>
              <w:rPr>
                <w:highlight w:val="none"/>
              </w:rPr>
              <w:t>主要生产设备及设施见表2</w:t>
            </w:r>
            <w:r>
              <w:rPr>
                <w:rFonts w:hint="eastAsia"/>
                <w:highlight w:val="none"/>
                <w:lang w:val="en-US" w:eastAsia="zh-CN"/>
              </w:rPr>
              <w:t>-9、</w:t>
            </w:r>
            <w:r>
              <w:rPr>
                <w:highlight w:val="none"/>
              </w:rPr>
              <w:t>2</w:t>
            </w:r>
            <w:r>
              <w:rPr>
                <w:rFonts w:hint="eastAsia"/>
                <w:highlight w:val="none"/>
                <w:lang w:val="en-US" w:eastAsia="zh-CN"/>
              </w:rPr>
              <w:t>-10</w:t>
            </w:r>
            <w:r>
              <w:rPr>
                <w:highlight w:val="none"/>
              </w:rPr>
              <w:t>。</w:t>
            </w:r>
          </w:p>
          <w:p w14:paraId="3B3AC70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b/>
                <w:bCs/>
                <w:highlight w:val="none"/>
              </w:rPr>
            </w:pPr>
            <w:r>
              <w:rPr>
                <w:b/>
                <w:bCs/>
                <w:highlight w:val="none"/>
              </w:rPr>
              <w:t>表2</w:t>
            </w:r>
            <w:r>
              <w:rPr>
                <w:rFonts w:hint="eastAsia"/>
                <w:b/>
                <w:bCs/>
                <w:highlight w:val="none"/>
                <w:lang w:val="en-US" w:eastAsia="zh-CN"/>
              </w:rPr>
              <w:t>-9</w:t>
            </w:r>
            <w:r>
              <w:rPr>
                <w:b/>
                <w:bCs/>
                <w:highlight w:val="none"/>
              </w:rPr>
              <w:t xml:space="preserve">   </w:t>
            </w:r>
            <w:r>
              <w:rPr>
                <w:rFonts w:hint="eastAsia"/>
                <w:b/>
                <w:bCs/>
                <w:highlight w:val="none"/>
                <w:lang w:val="en-US" w:eastAsia="zh-CN"/>
              </w:rPr>
              <w:t>现有项目</w:t>
            </w:r>
            <w:r>
              <w:rPr>
                <w:b/>
                <w:bCs/>
                <w:highlight w:val="none"/>
              </w:rPr>
              <w:t>主要生产设备及设施表</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927"/>
              <w:gridCol w:w="1188"/>
              <w:gridCol w:w="2764"/>
              <w:gridCol w:w="1659"/>
              <w:gridCol w:w="1364"/>
            </w:tblGrid>
            <w:tr w14:paraId="051F37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09DAB4E8">
                  <w:pPr>
                    <w:autoSpaceDE w:val="0"/>
                    <w:autoSpaceDN w:val="0"/>
                    <w:adjustRightInd w:val="0"/>
                    <w:jc w:val="center"/>
                    <w:rPr>
                      <w:rFonts w:hint="eastAsia"/>
                      <w:highlight w:val="none"/>
                      <w:lang w:val="en-US" w:eastAsia="zh-CN"/>
                    </w:rPr>
                  </w:pPr>
                  <w:r>
                    <w:rPr>
                      <w:highlight w:val="none"/>
                    </w:rPr>
                    <w:t>序号</w:t>
                  </w:r>
                </w:p>
              </w:tc>
              <w:tc>
                <w:tcPr>
                  <w:tcW w:w="1188" w:type="dxa"/>
                  <w:noWrap w:val="0"/>
                  <w:vAlign w:val="center"/>
                </w:tcPr>
                <w:p w14:paraId="58F6739C">
                  <w:pPr>
                    <w:autoSpaceDE w:val="0"/>
                    <w:autoSpaceDN w:val="0"/>
                    <w:adjustRightInd w:val="0"/>
                    <w:jc w:val="center"/>
                    <w:rPr>
                      <w:rFonts w:hint="eastAsia"/>
                      <w:highlight w:val="none"/>
                      <w:lang w:val="en-US" w:eastAsia="zh-CN"/>
                    </w:rPr>
                  </w:pPr>
                  <w:r>
                    <w:rPr>
                      <w:highlight w:val="none"/>
                    </w:rPr>
                    <w:t>设备名称</w:t>
                  </w:r>
                </w:p>
              </w:tc>
              <w:tc>
                <w:tcPr>
                  <w:tcW w:w="2764" w:type="dxa"/>
                  <w:noWrap w:val="0"/>
                  <w:vAlign w:val="center"/>
                </w:tcPr>
                <w:p w14:paraId="4A9BFA81">
                  <w:pPr>
                    <w:autoSpaceDE w:val="0"/>
                    <w:autoSpaceDN w:val="0"/>
                    <w:adjustRightInd w:val="0"/>
                    <w:jc w:val="center"/>
                    <w:rPr>
                      <w:rFonts w:hint="eastAsia"/>
                      <w:highlight w:val="none"/>
                      <w:lang w:val="en-US" w:eastAsia="zh-CN"/>
                    </w:rPr>
                  </w:pPr>
                  <w:r>
                    <w:rPr>
                      <w:highlight w:val="none"/>
                    </w:rPr>
                    <w:t>数量（台/套）</w:t>
                  </w:r>
                </w:p>
              </w:tc>
              <w:tc>
                <w:tcPr>
                  <w:tcW w:w="1659" w:type="dxa"/>
                  <w:noWrap w:val="0"/>
                  <w:vAlign w:val="center"/>
                </w:tcPr>
                <w:p w14:paraId="4344C46C">
                  <w:pPr>
                    <w:autoSpaceDE w:val="0"/>
                    <w:autoSpaceDN w:val="0"/>
                    <w:adjustRightInd w:val="0"/>
                    <w:jc w:val="center"/>
                    <w:rPr>
                      <w:rFonts w:hint="eastAsia"/>
                      <w:highlight w:val="none"/>
                      <w:lang w:val="en-US" w:eastAsia="zh-CN"/>
                    </w:rPr>
                  </w:pPr>
                  <w:r>
                    <w:rPr>
                      <w:highlight w:val="none"/>
                    </w:rPr>
                    <w:t>数量（台/套）</w:t>
                  </w:r>
                </w:p>
              </w:tc>
              <w:tc>
                <w:tcPr>
                  <w:tcW w:w="1364" w:type="dxa"/>
                  <w:tcBorders>
                    <w:right w:val="single" w:color="auto" w:sz="12" w:space="0"/>
                  </w:tcBorders>
                  <w:noWrap w:val="0"/>
                  <w:vAlign w:val="center"/>
                </w:tcPr>
                <w:p w14:paraId="6D044F2F">
                  <w:pPr>
                    <w:autoSpaceDE w:val="0"/>
                    <w:autoSpaceDN w:val="0"/>
                    <w:adjustRightInd w:val="0"/>
                    <w:jc w:val="center"/>
                    <w:rPr>
                      <w:rFonts w:hint="eastAsia"/>
                      <w:highlight w:val="none"/>
                      <w:lang w:eastAsia="zh-CN"/>
                    </w:rPr>
                  </w:pPr>
                  <w:r>
                    <w:rPr>
                      <w:highlight w:val="none"/>
                    </w:rPr>
                    <w:t>规格型号</w:t>
                  </w:r>
                </w:p>
              </w:tc>
            </w:tr>
            <w:tr w14:paraId="615D66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11C1AF44">
                  <w:pPr>
                    <w:numPr>
                      <w:ilvl w:val="0"/>
                      <w:numId w:val="0"/>
                    </w:numPr>
                    <w:autoSpaceDE w:val="0"/>
                    <w:autoSpaceDN w:val="0"/>
                    <w:adjustRightInd w:val="0"/>
                    <w:ind w:leftChars="0"/>
                    <w:jc w:val="center"/>
                    <w:rPr>
                      <w:rFonts w:hint="eastAsia"/>
                      <w:highlight w:val="none"/>
                      <w:lang w:val="en-US" w:eastAsia="zh-CN"/>
                    </w:rPr>
                  </w:pPr>
                  <w:r>
                    <w:rPr>
                      <w:rFonts w:hint="eastAsia"/>
                      <w:highlight w:val="none"/>
                      <w:lang w:val="en-US" w:eastAsia="zh-CN"/>
                    </w:rPr>
                    <w:t>1</w:t>
                  </w:r>
                </w:p>
              </w:tc>
              <w:tc>
                <w:tcPr>
                  <w:tcW w:w="1188" w:type="dxa"/>
                  <w:vMerge w:val="restart"/>
                  <w:noWrap w:val="0"/>
                  <w:vAlign w:val="center"/>
                </w:tcPr>
                <w:p w14:paraId="4EBAE71E">
                  <w:pPr>
                    <w:widowControl/>
                    <w:jc w:val="center"/>
                    <w:textAlignment w:val="center"/>
                    <w:rPr>
                      <w:rFonts w:hint="default"/>
                      <w:highlight w:val="none"/>
                      <w:lang w:val="en-US" w:eastAsia="zh-CN"/>
                    </w:rPr>
                  </w:pPr>
                  <w:r>
                    <w:rPr>
                      <w:rFonts w:hint="eastAsia"/>
                      <w:highlight w:val="none"/>
                      <w:lang w:val="en-US" w:eastAsia="zh-CN"/>
                    </w:rPr>
                    <w:t>砂浆生产线</w:t>
                  </w:r>
                </w:p>
              </w:tc>
              <w:tc>
                <w:tcPr>
                  <w:tcW w:w="2764" w:type="dxa"/>
                  <w:noWrap w:val="0"/>
                  <w:vAlign w:val="center"/>
                </w:tcPr>
                <w:p w14:paraId="7168CA76">
                  <w:pPr>
                    <w:widowControl/>
                    <w:jc w:val="center"/>
                    <w:textAlignment w:val="top"/>
                    <w:rPr>
                      <w:rFonts w:hint="default"/>
                      <w:highlight w:val="none"/>
                      <w:lang w:val="en-US" w:eastAsia="zh-CN"/>
                    </w:rPr>
                  </w:pPr>
                  <w:r>
                    <w:rPr>
                      <w:rFonts w:hint="eastAsia"/>
                      <w:highlight w:val="none"/>
                      <w:lang w:val="en-US" w:eastAsia="zh-CN"/>
                    </w:rPr>
                    <w:t>无重力混合搅拌机</w:t>
                  </w:r>
                </w:p>
              </w:tc>
              <w:tc>
                <w:tcPr>
                  <w:tcW w:w="1659" w:type="dxa"/>
                  <w:noWrap w:val="0"/>
                  <w:vAlign w:val="center"/>
                </w:tcPr>
                <w:p w14:paraId="62A4E353">
                  <w:pPr>
                    <w:widowControl/>
                    <w:jc w:val="center"/>
                    <w:textAlignment w:val="center"/>
                    <w:rPr>
                      <w:rFonts w:hint="eastAsia"/>
                      <w:highlight w:val="none"/>
                      <w:lang w:eastAsia="zh-CN"/>
                    </w:rPr>
                  </w:pPr>
                  <w:r>
                    <w:rPr>
                      <w:rFonts w:hint="eastAsia"/>
                      <w:highlight w:val="none"/>
                      <w:lang w:val="en-US" w:eastAsia="zh-CN"/>
                    </w:rPr>
                    <w:t>3</w:t>
                  </w:r>
                </w:p>
              </w:tc>
              <w:tc>
                <w:tcPr>
                  <w:tcW w:w="1364" w:type="dxa"/>
                  <w:tcBorders>
                    <w:right w:val="single" w:color="auto" w:sz="12" w:space="0"/>
                  </w:tcBorders>
                  <w:noWrap w:val="0"/>
                  <w:vAlign w:val="center"/>
                </w:tcPr>
                <w:p w14:paraId="726BCBCF">
                  <w:pPr>
                    <w:widowControl/>
                    <w:jc w:val="center"/>
                    <w:textAlignment w:val="top"/>
                    <w:rPr>
                      <w:rFonts w:hint="eastAsia"/>
                      <w:highlight w:val="none"/>
                      <w:lang w:eastAsia="zh-CN"/>
                    </w:rPr>
                  </w:pPr>
                  <w:r>
                    <w:rPr>
                      <w:rFonts w:hint="eastAsia"/>
                      <w:highlight w:val="none"/>
                      <w:lang w:eastAsia="zh-CN"/>
                    </w:rPr>
                    <w:t>-</w:t>
                  </w:r>
                </w:p>
              </w:tc>
            </w:tr>
            <w:tr w14:paraId="09CBA9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759DF0A1">
                  <w:pPr>
                    <w:numPr>
                      <w:ilvl w:val="0"/>
                      <w:numId w:val="0"/>
                    </w:numPr>
                    <w:autoSpaceDE w:val="0"/>
                    <w:autoSpaceDN w:val="0"/>
                    <w:adjustRightInd w:val="0"/>
                    <w:ind w:leftChars="0"/>
                    <w:jc w:val="center"/>
                    <w:rPr>
                      <w:rFonts w:hint="eastAsia"/>
                      <w:highlight w:val="none"/>
                      <w:lang w:val="en-US" w:eastAsia="zh-CN"/>
                    </w:rPr>
                  </w:pPr>
                  <w:r>
                    <w:rPr>
                      <w:rFonts w:hint="eastAsia"/>
                      <w:highlight w:val="none"/>
                      <w:lang w:val="en-US" w:eastAsia="zh-CN"/>
                    </w:rPr>
                    <w:t>2</w:t>
                  </w:r>
                </w:p>
              </w:tc>
              <w:tc>
                <w:tcPr>
                  <w:tcW w:w="1188" w:type="dxa"/>
                  <w:vMerge w:val="continue"/>
                  <w:noWrap w:val="0"/>
                  <w:vAlign w:val="center"/>
                </w:tcPr>
                <w:p w14:paraId="6FFB739A">
                  <w:pPr>
                    <w:widowControl/>
                    <w:jc w:val="center"/>
                    <w:textAlignment w:val="center"/>
                    <w:rPr>
                      <w:highlight w:val="none"/>
                    </w:rPr>
                  </w:pPr>
                </w:p>
              </w:tc>
              <w:tc>
                <w:tcPr>
                  <w:tcW w:w="2764" w:type="dxa"/>
                  <w:noWrap w:val="0"/>
                  <w:vAlign w:val="center"/>
                </w:tcPr>
                <w:p w14:paraId="20270397">
                  <w:pPr>
                    <w:widowControl/>
                    <w:jc w:val="center"/>
                    <w:textAlignment w:val="top"/>
                    <w:rPr>
                      <w:rFonts w:hint="default"/>
                      <w:highlight w:val="none"/>
                      <w:lang w:val="en-US" w:eastAsia="zh-CN"/>
                    </w:rPr>
                  </w:pPr>
                  <w:r>
                    <w:rPr>
                      <w:rFonts w:hint="eastAsia"/>
                      <w:highlight w:val="none"/>
                      <w:lang w:val="en-US" w:eastAsia="zh-CN"/>
                    </w:rPr>
                    <w:t>自动灌装机</w:t>
                  </w:r>
                </w:p>
              </w:tc>
              <w:tc>
                <w:tcPr>
                  <w:tcW w:w="1659" w:type="dxa"/>
                  <w:noWrap w:val="0"/>
                  <w:vAlign w:val="center"/>
                </w:tcPr>
                <w:p w14:paraId="2CE0D2BA">
                  <w:pPr>
                    <w:widowControl/>
                    <w:jc w:val="center"/>
                    <w:textAlignment w:val="center"/>
                    <w:rPr>
                      <w:rFonts w:hint="eastAsia"/>
                      <w:highlight w:val="none"/>
                      <w:lang w:eastAsia="zh-CN"/>
                    </w:rPr>
                  </w:pPr>
                  <w:r>
                    <w:rPr>
                      <w:rFonts w:hint="eastAsia"/>
                      <w:highlight w:val="none"/>
                      <w:lang w:val="en-US" w:eastAsia="zh-CN"/>
                    </w:rPr>
                    <w:t>2</w:t>
                  </w:r>
                </w:p>
              </w:tc>
              <w:tc>
                <w:tcPr>
                  <w:tcW w:w="1364" w:type="dxa"/>
                  <w:tcBorders>
                    <w:right w:val="single" w:color="auto" w:sz="12" w:space="0"/>
                  </w:tcBorders>
                  <w:noWrap w:val="0"/>
                  <w:vAlign w:val="center"/>
                </w:tcPr>
                <w:p w14:paraId="26AE488C">
                  <w:pPr>
                    <w:widowControl/>
                    <w:jc w:val="center"/>
                    <w:textAlignment w:val="top"/>
                    <w:rPr>
                      <w:highlight w:val="none"/>
                    </w:rPr>
                  </w:pPr>
                  <w:r>
                    <w:rPr>
                      <w:rFonts w:hint="eastAsia"/>
                      <w:highlight w:val="none"/>
                      <w:lang w:eastAsia="zh-CN"/>
                    </w:rPr>
                    <w:t>-</w:t>
                  </w:r>
                </w:p>
              </w:tc>
            </w:tr>
            <w:tr w14:paraId="7E66FE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427DDCCB">
                  <w:pPr>
                    <w:numPr>
                      <w:ilvl w:val="0"/>
                      <w:numId w:val="0"/>
                    </w:numPr>
                    <w:autoSpaceDE w:val="0"/>
                    <w:autoSpaceDN w:val="0"/>
                    <w:adjustRightInd w:val="0"/>
                    <w:ind w:leftChars="0"/>
                    <w:jc w:val="center"/>
                    <w:rPr>
                      <w:rFonts w:hint="eastAsia"/>
                      <w:highlight w:val="none"/>
                      <w:lang w:val="en-US" w:eastAsia="zh-CN"/>
                    </w:rPr>
                  </w:pPr>
                  <w:r>
                    <w:rPr>
                      <w:rFonts w:hint="eastAsia"/>
                      <w:highlight w:val="none"/>
                      <w:lang w:val="en-US" w:eastAsia="zh-CN"/>
                    </w:rPr>
                    <w:t>3</w:t>
                  </w:r>
                </w:p>
              </w:tc>
              <w:tc>
                <w:tcPr>
                  <w:tcW w:w="1188" w:type="dxa"/>
                  <w:vMerge w:val="continue"/>
                  <w:noWrap w:val="0"/>
                  <w:vAlign w:val="center"/>
                </w:tcPr>
                <w:p w14:paraId="70033875">
                  <w:pPr>
                    <w:widowControl/>
                    <w:jc w:val="center"/>
                    <w:textAlignment w:val="center"/>
                    <w:rPr>
                      <w:highlight w:val="none"/>
                    </w:rPr>
                  </w:pPr>
                </w:p>
              </w:tc>
              <w:tc>
                <w:tcPr>
                  <w:tcW w:w="2764" w:type="dxa"/>
                  <w:noWrap w:val="0"/>
                  <w:vAlign w:val="center"/>
                </w:tcPr>
                <w:p w14:paraId="7B1B792A">
                  <w:pPr>
                    <w:widowControl/>
                    <w:jc w:val="center"/>
                    <w:textAlignment w:val="top"/>
                    <w:rPr>
                      <w:rFonts w:hint="eastAsia"/>
                      <w:highlight w:val="none"/>
                      <w:lang w:eastAsia="zh-CN"/>
                    </w:rPr>
                  </w:pPr>
                  <w:r>
                    <w:rPr>
                      <w:rFonts w:hint="eastAsia"/>
                      <w:highlight w:val="none"/>
                      <w:lang w:val="en-US" w:eastAsia="zh-CN"/>
                    </w:rPr>
                    <w:t>除尘器</w:t>
                  </w:r>
                </w:p>
              </w:tc>
              <w:tc>
                <w:tcPr>
                  <w:tcW w:w="1659" w:type="dxa"/>
                  <w:noWrap w:val="0"/>
                  <w:vAlign w:val="center"/>
                </w:tcPr>
                <w:p w14:paraId="2993866D">
                  <w:pPr>
                    <w:widowControl/>
                    <w:jc w:val="center"/>
                    <w:textAlignment w:val="center"/>
                    <w:rPr>
                      <w:rFonts w:hint="eastAsia"/>
                      <w:highlight w:val="none"/>
                      <w:lang w:eastAsia="zh-CN"/>
                    </w:rPr>
                  </w:pPr>
                  <w:r>
                    <w:rPr>
                      <w:rFonts w:hint="eastAsia"/>
                      <w:highlight w:val="none"/>
                      <w:lang w:val="en-US" w:eastAsia="zh-CN"/>
                    </w:rPr>
                    <w:t>2</w:t>
                  </w:r>
                </w:p>
              </w:tc>
              <w:tc>
                <w:tcPr>
                  <w:tcW w:w="1364" w:type="dxa"/>
                  <w:tcBorders>
                    <w:right w:val="single" w:color="auto" w:sz="12" w:space="0"/>
                  </w:tcBorders>
                  <w:noWrap w:val="0"/>
                  <w:vAlign w:val="center"/>
                </w:tcPr>
                <w:p w14:paraId="77914483">
                  <w:pPr>
                    <w:widowControl/>
                    <w:jc w:val="center"/>
                    <w:textAlignment w:val="top"/>
                    <w:rPr>
                      <w:highlight w:val="none"/>
                    </w:rPr>
                  </w:pPr>
                  <w:r>
                    <w:rPr>
                      <w:rFonts w:hint="eastAsia"/>
                      <w:highlight w:val="none"/>
                      <w:lang w:eastAsia="zh-CN"/>
                    </w:rPr>
                    <w:t>-</w:t>
                  </w:r>
                </w:p>
              </w:tc>
            </w:tr>
            <w:tr w14:paraId="7DFF9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4438A503">
                  <w:pPr>
                    <w:numPr>
                      <w:ilvl w:val="0"/>
                      <w:numId w:val="0"/>
                    </w:numPr>
                    <w:autoSpaceDE w:val="0"/>
                    <w:autoSpaceDN w:val="0"/>
                    <w:adjustRightInd w:val="0"/>
                    <w:ind w:leftChars="0"/>
                    <w:jc w:val="center"/>
                    <w:rPr>
                      <w:rFonts w:hint="eastAsia"/>
                      <w:highlight w:val="none"/>
                      <w:lang w:val="en-US" w:eastAsia="zh-CN"/>
                    </w:rPr>
                  </w:pPr>
                  <w:r>
                    <w:rPr>
                      <w:rFonts w:hint="eastAsia"/>
                      <w:highlight w:val="none"/>
                      <w:lang w:val="en-US" w:eastAsia="zh-CN"/>
                    </w:rPr>
                    <w:t>4</w:t>
                  </w:r>
                </w:p>
              </w:tc>
              <w:tc>
                <w:tcPr>
                  <w:tcW w:w="1188" w:type="dxa"/>
                  <w:vMerge w:val="continue"/>
                  <w:noWrap w:val="0"/>
                  <w:vAlign w:val="center"/>
                </w:tcPr>
                <w:p w14:paraId="11E6905C">
                  <w:pPr>
                    <w:widowControl/>
                    <w:jc w:val="center"/>
                    <w:textAlignment w:val="center"/>
                    <w:rPr>
                      <w:highlight w:val="none"/>
                    </w:rPr>
                  </w:pPr>
                </w:p>
              </w:tc>
              <w:tc>
                <w:tcPr>
                  <w:tcW w:w="2764" w:type="dxa"/>
                  <w:noWrap w:val="0"/>
                  <w:vAlign w:val="center"/>
                </w:tcPr>
                <w:p w14:paraId="08266DFA">
                  <w:pPr>
                    <w:widowControl/>
                    <w:jc w:val="center"/>
                    <w:textAlignment w:val="top"/>
                    <w:rPr>
                      <w:rFonts w:hint="eastAsia"/>
                      <w:highlight w:val="none"/>
                      <w:lang w:eastAsia="zh-CN"/>
                    </w:rPr>
                  </w:pPr>
                  <w:r>
                    <w:rPr>
                      <w:rFonts w:hint="eastAsia"/>
                      <w:highlight w:val="none"/>
                      <w:lang w:val="en-US" w:eastAsia="zh-CN"/>
                    </w:rPr>
                    <w:t>斗式提升机</w:t>
                  </w:r>
                </w:p>
              </w:tc>
              <w:tc>
                <w:tcPr>
                  <w:tcW w:w="1659" w:type="dxa"/>
                  <w:noWrap w:val="0"/>
                  <w:vAlign w:val="center"/>
                </w:tcPr>
                <w:p w14:paraId="37BCBD53">
                  <w:pPr>
                    <w:widowControl/>
                    <w:jc w:val="center"/>
                    <w:textAlignment w:val="center"/>
                    <w:rPr>
                      <w:rFonts w:hint="eastAsia"/>
                      <w:highlight w:val="none"/>
                      <w:lang w:eastAsia="zh-CN"/>
                    </w:rPr>
                  </w:pPr>
                  <w:r>
                    <w:rPr>
                      <w:rFonts w:hint="eastAsia"/>
                      <w:highlight w:val="none"/>
                      <w:lang w:val="en-US" w:eastAsia="zh-CN"/>
                    </w:rPr>
                    <w:t>5</w:t>
                  </w:r>
                </w:p>
              </w:tc>
              <w:tc>
                <w:tcPr>
                  <w:tcW w:w="1364" w:type="dxa"/>
                  <w:tcBorders>
                    <w:right w:val="single" w:color="auto" w:sz="12" w:space="0"/>
                  </w:tcBorders>
                  <w:noWrap w:val="0"/>
                  <w:vAlign w:val="center"/>
                </w:tcPr>
                <w:p w14:paraId="7E2117A3">
                  <w:pPr>
                    <w:widowControl/>
                    <w:jc w:val="center"/>
                    <w:textAlignment w:val="top"/>
                    <w:rPr>
                      <w:highlight w:val="none"/>
                    </w:rPr>
                  </w:pPr>
                  <w:r>
                    <w:rPr>
                      <w:rFonts w:hint="eastAsia"/>
                      <w:highlight w:val="none"/>
                      <w:lang w:eastAsia="zh-CN"/>
                    </w:rPr>
                    <w:t>-</w:t>
                  </w:r>
                </w:p>
              </w:tc>
            </w:tr>
            <w:tr w14:paraId="6F55A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7B439A84">
                  <w:pPr>
                    <w:numPr>
                      <w:ilvl w:val="0"/>
                      <w:numId w:val="0"/>
                    </w:numPr>
                    <w:autoSpaceDE w:val="0"/>
                    <w:autoSpaceDN w:val="0"/>
                    <w:adjustRightInd w:val="0"/>
                    <w:ind w:leftChars="0"/>
                    <w:jc w:val="center"/>
                    <w:rPr>
                      <w:rFonts w:hint="eastAsia"/>
                      <w:highlight w:val="none"/>
                      <w:lang w:val="en-US" w:eastAsia="zh-CN"/>
                    </w:rPr>
                  </w:pPr>
                  <w:r>
                    <w:rPr>
                      <w:rFonts w:hint="eastAsia"/>
                      <w:highlight w:val="none"/>
                      <w:lang w:val="en-US" w:eastAsia="zh-CN"/>
                    </w:rPr>
                    <w:t>5</w:t>
                  </w:r>
                </w:p>
              </w:tc>
              <w:tc>
                <w:tcPr>
                  <w:tcW w:w="1188" w:type="dxa"/>
                  <w:vMerge w:val="continue"/>
                  <w:noWrap w:val="0"/>
                  <w:vAlign w:val="center"/>
                </w:tcPr>
                <w:p w14:paraId="7F4DC8CD">
                  <w:pPr>
                    <w:widowControl/>
                    <w:jc w:val="center"/>
                    <w:textAlignment w:val="center"/>
                    <w:rPr>
                      <w:highlight w:val="none"/>
                    </w:rPr>
                  </w:pPr>
                </w:p>
              </w:tc>
              <w:tc>
                <w:tcPr>
                  <w:tcW w:w="2764" w:type="dxa"/>
                  <w:noWrap w:val="0"/>
                  <w:vAlign w:val="center"/>
                </w:tcPr>
                <w:p w14:paraId="1A7A0908">
                  <w:pPr>
                    <w:widowControl/>
                    <w:jc w:val="center"/>
                    <w:textAlignment w:val="top"/>
                    <w:rPr>
                      <w:rFonts w:hint="eastAsia"/>
                      <w:highlight w:val="none"/>
                      <w:lang w:eastAsia="zh-CN"/>
                    </w:rPr>
                  </w:pPr>
                  <w:r>
                    <w:rPr>
                      <w:rFonts w:hint="eastAsia"/>
                      <w:highlight w:val="none"/>
                      <w:lang w:val="en-US" w:eastAsia="zh-CN"/>
                    </w:rPr>
                    <w:t>蛟龙提升机</w:t>
                  </w:r>
                </w:p>
              </w:tc>
              <w:tc>
                <w:tcPr>
                  <w:tcW w:w="1659" w:type="dxa"/>
                  <w:noWrap w:val="0"/>
                  <w:vAlign w:val="center"/>
                </w:tcPr>
                <w:p w14:paraId="05046A73">
                  <w:pPr>
                    <w:widowControl/>
                    <w:jc w:val="center"/>
                    <w:textAlignment w:val="center"/>
                    <w:rPr>
                      <w:rFonts w:hint="eastAsia"/>
                      <w:highlight w:val="none"/>
                      <w:lang w:eastAsia="zh-CN"/>
                    </w:rPr>
                  </w:pPr>
                  <w:r>
                    <w:rPr>
                      <w:rFonts w:hint="eastAsia"/>
                      <w:highlight w:val="none"/>
                      <w:lang w:val="en-US" w:eastAsia="zh-CN"/>
                    </w:rPr>
                    <w:t>4</w:t>
                  </w:r>
                </w:p>
              </w:tc>
              <w:tc>
                <w:tcPr>
                  <w:tcW w:w="1364" w:type="dxa"/>
                  <w:tcBorders>
                    <w:right w:val="single" w:color="auto" w:sz="12" w:space="0"/>
                  </w:tcBorders>
                  <w:noWrap w:val="0"/>
                  <w:vAlign w:val="center"/>
                </w:tcPr>
                <w:p w14:paraId="4C85F381">
                  <w:pPr>
                    <w:widowControl/>
                    <w:jc w:val="center"/>
                    <w:textAlignment w:val="top"/>
                    <w:rPr>
                      <w:highlight w:val="none"/>
                    </w:rPr>
                  </w:pPr>
                  <w:r>
                    <w:rPr>
                      <w:rFonts w:hint="eastAsia"/>
                      <w:highlight w:val="none"/>
                      <w:lang w:eastAsia="zh-CN"/>
                    </w:rPr>
                    <w:t>-</w:t>
                  </w:r>
                </w:p>
              </w:tc>
            </w:tr>
            <w:tr w14:paraId="0527B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76846105">
                  <w:pPr>
                    <w:widowControl/>
                    <w:numPr>
                      <w:ilvl w:val="0"/>
                      <w:numId w:val="0"/>
                    </w:numPr>
                    <w:ind w:leftChars="0"/>
                    <w:jc w:val="center"/>
                    <w:textAlignment w:val="center"/>
                    <w:rPr>
                      <w:rFonts w:hint="eastAsia"/>
                      <w:highlight w:val="none"/>
                      <w:lang w:val="en-US" w:eastAsia="zh-CN"/>
                    </w:rPr>
                  </w:pPr>
                  <w:r>
                    <w:rPr>
                      <w:rFonts w:hint="eastAsia"/>
                      <w:highlight w:val="none"/>
                      <w:lang w:val="en-US" w:eastAsia="zh-CN"/>
                    </w:rPr>
                    <w:t>6</w:t>
                  </w:r>
                </w:p>
              </w:tc>
              <w:tc>
                <w:tcPr>
                  <w:tcW w:w="1188" w:type="dxa"/>
                  <w:vMerge w:val="continue"/>
                  <w:noWrap w:val="0"/>
                  <w:vAlign w:val="center"/>
                </w:tcPr>
                <w:p w14:paraId="13B0A96D">
                  <w:pPr>
                    <w:widowControl/>
                    <w:jc w:val="center"/>
                    <w:textAlignment w:val="center"/>
                    <w:rPr>
                      <w:highlight w:val="none"/>
                    </w:rPr>
                  </w:pPr>
                </w:p>
              </w:tc>
              <w:tc>
                <w:tcPr>
                  <w:tcW w:w="2764" w:type="dxa"/>
                  <w:noWrap w:val="0"/>
                  <w:vAlign w:val="center"/>
                </w:tcPr>
                <w:p w14:paraId="2AC49F26">
                  <w:pPr>
                    <w:widowControl/>
                    <w:jc w:val="center"/>
                    <w:textAlignment w:val="top"/>
                    <w:rPr>
                      <w:rFonts w:hint="default"/>
                      <w:highlight w:val="none"/>
                      <w:lang w:val="en-US" w:eastAsia="zh-CN"/>
                    </w:rPr>
                  </w:pPr>
                  <w:r>
                    <w:rPr>
                      <w:rFonts w:hint="eastAsia"/>
                      <w:highlight w:val="none"/>
                      <w:lang w:val="en-US" w:eastAsia="zh-CN"/>
                    </w:rPr>
                    <w:t>水泥罐</w:t>
                  </w:r>
                </w:p>
              </w:tc>
              <w:tc>
                <w:tcPr>
                  <w:tcW w:w="1659" w:type="dxa"/>
                  <w:noWrap w:val="0"/>
                  <w:vAlign w:val="center"/>
                </w:tcPr>
                <w:p w14:paraId="383C7E7E">
                  <w:pPr>
                    <w:widowControl/>
                    <w:jc w:val="center"/>
                    <w:textAlignment w:val="center"/>
                    <w:rPr>
                      <w:rFonts w:hint="eastAsia"/>
                      <w:highlight w:val="none"/>
                      <w:lang w:eastAsia="zh-CN"/>
                    </w:rPr>
                  </w:pPr>
                  <w:r>
                    <w:rPr>
                      <w:rFonts w:hint="eastAsia"/>
                      <w:highlight w:val="none"/>
                      <w:lang w:val="en-US" w:eastAsia="zh-CN"/>
                    </w:rPr>
                    <w:t>9</w:t>
                  </w:r>
                </w:p>
              </w:tc>
              <w:tc>
                <w:tcPr>
                  <w:tcW w:w="1364" w:type="dxa"/>
                  <w:tcBorders>
                    <w:right w:val="single" w:color="auto" w:sz="12" w:space="0"/>
                  </w:tcBorders>
                  <w:noWrap w:val="0"/>
                  <w:vAlign w:val="center"/>
                </w:tcPr>
                <w:p w14:paraId="5D5CE580">
                  <w:pPr>
                    <w:widowControl/>
                    <w:jc w:val="center"/>
                    <w:textAlignment w:val="top"/>
                    <w:rPr>
                      <w:highlight w:val="none"/>
                    </w:rPr>
                  </w:pPr>
                  <w:r>
                    <w:rPr>
                      <w:rFonts w:hint="eastAsia"/>
                      <w:highlight w:val="none"/>
                      <w:lang w:eastAsia="zh-CN"/>
                    </w:rPr>
                    <w:t>-</w:t>
                  </w:r>
                </w:p>
              </w:tc>
            </w:tr>
            <w:tr w14:paraId="296A8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6A71C279">
                  <w:pPr>
                    <w:numPr>
                      <w:ilvl w:val="0"/>
                      <w:numId w:val="0"/>
                    </w:numPr>
                    <w:autoSpaceDE w:val="0"/>
                    <w:autoSpaceDN w:val="0"/>
                    <w:adjustRightInd w:val="0"/>
                    <w:ind w:leftChars="0"/>
                    <w:jc w:val="center"/>
                    <w:rPr>
                      <w:rFonts w:hint="eastAsia"/>
                      <w:highlight w:val="none"/>
                      <w:lang w:val="en-US" w:eastAsia="zh-CN"/>
                    </w:rPr>
                  </w:pPr>
                  <w:r>
                    <w:rPr>
                      <w:rFonts w:hint="eastAsia"/>
                      <w:highlight w:val="none"/>
                      <w:lang w:val="en-US" w:eastAsia="zh-CN"/>
                    </w:rPr>
                    <w:t>7</w:t>
                  </w:r>
                </w:p>
              </w:tc>
              <w:tc>
                <w:tcPr>
                  <w:tcW w:w="1188" w:type="dxa"/>
                  <w:vMerge w:val="continue"/>
                  <w:tcBorders>
                    <w:bottom w:val="single" w:color="auto" w:sz="4" w:space="0"/>
                  </w:tcBorders>
                  <w:noWrap w:val="0"/>
                  <w:vAlign w:val="center"/>
                </w:tcPr>
                <w:p w14:paraId="6D8D0CAE">
                  <w:pPr>
                    <w:widowControl/>
                    <w:jc w:val="center"/>
                    <w:textAlignment w:val="center"/>
                    <w:rPr>
                      <w:highlight w:val="none"/>
                    </w:rPr>
                  </w:pPr>
                </w:p>
              </w:tc>
              <w:tc>
                <w:tcPr>
                  <w:tcW w:w="2764" w:type="dxa"/>
                  <w:tcBorders>
                    <w:bottom w:val="single" w:color="auto" w:sz="4" w:space="0"/>
                  </w:tcBorders>
                  <w:noWrap w:val="0"/>
                  <w:vAlign w:val="center"/>
                </w:tcPr>
                <w:p w14:paraId="193F5E85">
                  <w:pPr>
                    <w:widowControl/>
                    <w:jc w:val="center"/>
                    <w:textAlignment w:val="bottom"/>
                    <w:rPr>
                      <w:rFonts w:hint="default"/>
                      <w:highlight w:val="none"/>
                      <w:lang w:val="en-US" w:eastAsia="zh-CN"/>
                    </w:rPr>
                  </w:pPr>
                  <w:r>
                    <w:rPr>
                      <w:rFonts w:hint="eastAsia"/>
                      <w:highlight w:val="none"/>
                      <w:lang w:val="en-US" w:eastAsia="zh-CN"/>
                    </w:rPr>
                    <w:t>石英砂罐</w:t>
                  </w:r>
                </w:p>
              </w:tc>
              <w:tc>
                <w:tcPr>
                  <w:tcW w:w="1659" w:type="dxa"/>
                  <w:noWrap w:val="0"/>
                  <w:vAlign w:val="center"/>
                </w:tcPr>
                <w:p w14:paraId="728423EE">
                  <w:pPr>
                    <w:widowControl/>
                    <w:jc w:val="center"/>
                    <w:textAlignment w:val="center"/>
                    <w:rPr>
                      <w:rFonts w:hint="eastAsia"/>
                      <w:highlight w:val="none"/>
                      <w:lang w:eastAsia="zh-CN"/>
                    </w:rPr>
                  </w:pPr>
                  <w:r>
                    <w:rPr>
                      <w:rFonts w:hint="eastAsia"/>
                      <w:highlight w:val="none"/>
                      <w:lang w:val="en-US" w:eastAsia="zh-CN"/>
                    </w:rPr>
                    <w:t>1</w:t>
                  </w:r>
                </w:p>
              </w:tc>
              <w:tc>
                <w:tcPr>
                  <w:tcW w:w="1364" w:type="dxa"/>
                  <w:tcBorders>
                    <w:right w:val="single" w:color="auto" w:sz="12" w:space="0"/>
                  </w:tcBorders>
                  <w:noWrap w:val="0"/>
                  <w:vAlign w:val="center"/>
                </w:tcPr>
                <w:p w14:paraId="5B8F4D56">
                  <w:pPr>
                    <w:widowControl/>
                    <w:jc w:val="center"/>
                    <w:textAlignment w:val="bottom"/>
                    <w:rPr>
                      <w:rFonts w:hint="default"/>
                      <w:highlight w:val="none"/>
                      <w:lang w:val="en-US"/>
                    </w:rPr>
                  </w:pPr>
                  <w:r>
                    <w:rPr>
                      <w:rFonts w:hint="eastAsia"/>
                      <w:highlight w:val="none"/>
                      <w:lang w:eastAsia="zh-CN"/>
                    </w:rPr>
                    <w:t>-</w:t>
                  </w:r>
                </w:p>
              </w:tc>
            </w:tr>
            <w:tr w14:paraId="1009A7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0E2CB450">
                  <w:pPr>
                    <w:numPr>
                      <w:ilvl w:val="0"/>
                      <w:numId w:val="0"/>
                    </w:numPr>
                    <w:autoSpaceDE w:val="0"/>
                    <w:autoSpaceDN w:val="0"/>
                    <w:adjustRightInd w:val="0"/>
                    <w:ind w:leftChars="0"/>
                    <w:jc w:val="center"/>
                    <w:rPr>
                      <w:rFonts w:hint="eastAsia"/>
                      <w:highlight w:val="none"/>
                      <w:lang w:val="en-US" w:eastAsia="zh-CN"/>
                    </w:rPr>
                  </w:pPr>
                  <w:r>
                    <w:rPr>
                      <w:rFonts w:hint="eastAsia"/>
                      <w:highlight w:val="none"/>
                      <w:lang w:val="en-US" w:eastAsia="zh-CN"/>
                    </w:rPr>
                    <w:t>8</w:t>
                  </w:r>
                </w:p>
              </w:tc>
              <w:tc>
                <w:tcPr>
                  <w:tcW w:w="1188" w:type="dxa"/>
                  <w:vMerge w:val="restart"/>
                  <w:tcBorders>
                    <w:top w:val="single" w:color="auto" w:sz="4" w:space="0"/>
                  </w:tcBorders>
                  <w:noWrap w:val="0"/>
                  <w:vAlign w:val="center"/>
                </w:tcPr>
                <w:p w14:paraId="5F93DF3C">
                  <w:pPr>
                    <w:widowControl/>
                    <w:jc w:val="center"/>
                    <w:textAlignment w:val="center"/>
                    <w:rPr>
                      <w:rFonts w:hint="default"/>
                      <w:highlight w:val="none"/>
                      <w:lang w:val="en-US" w:eastAsia="zh-CN"/>
                    </w:rPr>
                  </w:pPr>
                  <w:r>
                    <w:rPr>
                      <w:rFonts w:hint="eastAsia"/>
                      <w:highlight w:val="none"/>
                      <w:lang w:val="en-US" w:eastAsia="zh-CN"/>
                    </w:rPr>
                    <w:t>XPS挤塑板生产线</w:t>
                  </w:r>
                </w:p>
              </w:tc>
              <w:tc>
                <w:tcPr>
                  <w:tcW w:w="2764" w:type="dxa"/>
                  <w:tcBorders>
                    <w:top w:val="single" w:color="auto" w:sz="4" w:space="0"/>
                  </w:tcBorders>
                  <w:noWrap w:val="0"/>
                  <w:vAlign w:val="center"/>
                </w:tcPr>
                <w:p w14:paraId="1DB41BF8">
                  <w:pPr>
                    <w:widowControl/>
                    <w:jc w:val="center"/>
                    <w:textAlignment w:val="bottom"/>
                    <w:rPr>
                      <w:rFonts w:hint="default"/>
                      <w:highlight w:val="none"/>
                      <w:lang w:val="en-US" w:eastAsia="zh-CN"/>
                    </w:rPr>
                  </w:pPr>
                  <w:r>
                    <w:rPr>
                      <w:rFonts w:hint="eastAsia"/>
                      <w:highlight w:val="none"/>
                      <w:lang w:val="en-US" w:eastAsia="zh-CN"/>
                    </w:rPr>
                    <w:t>半自动混料上料机</w:t>
                  </w:r>
                </w:p>
              </w:tc>
              <w:tc>
                <w:tcPr>
                  <w:tcW w:w="1659" w:type="dxa"/>
                  <w:noWrap w:val="0"/>
                  <w:vAlign w:val="center"/>
                </w:tcPr>
                <w:p w14:paraId="18603DDA">
                  <w:pPr>
                    <w:widowControl/>
                    <w:jc w:val="center"/>
                    <w:textAlignment w:val="center"/>
                    <w:rPr>
                      <w:rFonts w:hint="eastAsia"/>
                      <w:highlight w:val="none"/>
                      <w:lang w:eastAsia="zh-CN"/>
                    </w:rPr>
                  </w:pPr>
                  <w:r>
                    <w:rPr>
                      <w:rFonts w:hint="eastAsia"/>
                      <w:highlight w:val="none"/>
                      <w:lang w:val="en-US" w:eastAsia="zh-CN"/>
                    </w:rPr>
                    <w:t>2</w:t>
                  </w:r>
                </w:p>
              </w:tc>
              <w:tc>
                <w:tcPr>
                  <w:tcW w:w="1364" w:type="dxa"/>
                  <w:tcBorders>
                    <w:right w:val="single" w:color="auto" w:sz="12" w:space="0"/>
                  </w:tcBorders>
                  <w:noWrap w:val="0"/>
                  <w:vAlign w:val="center"/>
                </w:tcPr>
                <w:p w14:paraId="05214624">
                  <w:pPr>
                    <w:widowControl/>
                    <w:jc w:val="center"/>
                    <w:textAlignment w:val="bottom"/>
                    <w:rPr>
                      <w:highlight w:val="none"/>
                    </w:rPr>
                  </w:pPr>
                  <w:r>
                    <w:rPr>
                      <w:rFonts w:hint="eastAsia"/>
                      <w:highlight w:val="none"/>
                      <w:lang w:eastAsia="zh-CN"/>
                    </w:rPr>
                    <w:t>-</w:t>
                  </w:r>
                </w:p>
              </w:tc>
            </w:tr>
            <w:tr w14:paraId="306FF9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257627AA">
                  <w:pPr>
                    <w:numPr>
                      <w:ilvl w:val="0"/>
                      <w:numId w:val="0"/>
                    </w:numPr>
                    <w:autoSpaceDE w:val="0"/>
                    <w:autoSpaceDN w:val="0"/>
                    <w:adjustRightInd w:val="0"/>
                    <w:ind w:leftChars="0"/>
                    <w:jc w:val="center"/>
                    <w:rPr>
                      <w:rFonts w:hint="eastAsia"/>
                      <w:highlight w:val="none"/>
                      <w:lang w:val="en-US" w:eastAsia="zh-CN"/>
                    </w:rPr>
                  </w:pPr>
                  <w:r>
                    <w:rPr>
                      <w:rFonts w:hint="eastAsia"/>
                      <w:highlight w:val="none"/>
                      <w:lang w:val="en-US" w:eastAsia="zh-CN"/>
                    </w:rPr>
                    <w:t>9</w:t>
                  </w:r>
                </w:p>
              </w:tc>
              <w:tc>
                <w:tcPr>
                  <w:tcW w:w="1188" w:type="dxa"/>
                  <w:vMerge w:val="continue"/>
                  <w:noWrap w:val="0"/>
                  <w:vAlign w:val="center"/>
                </w:tcPr>
                <w:p w14:paraId="5207FC9C">
                  <w:pPr>
                    <w:widowControl/>
                    <w:jc w:val="center"/>
                    <w:textAlignment w:val="center"/>
                    <w:rPr>
                      <w:highlight w:val="none"/>
                    </w:rPr>
                  </w:pPr>
                </w:p>
              </w:tc>
              <w:tc>
                <w:tcPr>
                  <w:tcW w:w="2764" w:type="dxa"/>
                  <w:noWrap w:val="0"/>
                  <w:vAlign w:val="center"/>
                </w:tcPr>
                <w:p w14:paraId="16F0FF32">
                  <w:pPr>
                    <w:widowControl/>
                    <w:jc w:val="center"/>
                    <w:textAlignment w:val="bottom"/>
                    <w:rPr>
                      <w:rFonts w:hint="eastAsia"/>
                      <w:highlight w:val="none"/>
                      <w:lang w:eastAsia="zh-CN"/>
                    </w:rPr>
                  </w:pPr>
                  <w:r>
                    <w:rPr>
                      <w:rFonts w:hint="eastAsia"/>
                      <w:highlight w:val="none"/>
                      <w:lang w:val="en-US" w:eastAsia="zh-CN"/>
                    </w:rPr>
                    <w:t>喂料器</w:t>
                  </w:r>
                </w:p>
              </w:tc>
              <w:tc>
                <w:tcPr>
                  <w:tcW w:w="1659" w:type="dxa"/>
                  <w:noWrap w:val="0"/>
                  <w:vAlign w:val="center"/>
                </w:tcPr>
                <w:p w14:paraId="6A42BC54">
                  <w:pPr>
                    <w:widowControl/>
                    <w:jc w:val="center"/>
                    <w:textAlignment w:val="center"/>
                    <w:rPr>
                      <w:rFonts w:hint="eastAsia"/>
                      <w:highlight w:val="none"/>
                      <w:lang w:eastAsia="zh-CN"/>
                    </w:rPr>
                  </w:pPr>
                  <w:r>
                    <w:rPr>
                      <w:rFonts w:hint="eastAsia"/>
                      <w:highlight w:val="none"/>
                      <w:lang w:val="en-US" w:eastAsia="zh-CN"/>
                    </w:rPr>
                    <w:t>2</w:t>
                  </w:r>
                </w:p>
              </w:tc>
              <w:tc>
                <w:tcPr>
                  <w:tcW w:w="1364" w:type="dxa"/>
                  <w:tcBorders>
                    <w:right w:val="single" w:color="auto" w:sz="12" w:space="0"/>
                  </w:tcBorders>
                  <w:noWrap w:val="0"/>
                  <w:vAlign w:val="center"/>
                </w:tcPr>
                <w:p w14:paraId="28934769">
                  <w:pPr>
                    <w:widowControl/>
                    <w:jc w:val="center"/>
                    <w:textAlignment w:val="bottom"/>
                    <w:rPr>
                      <w:highlight w:val="none"/>
                    </w:rPr>
                  </w:pPr>
                  <w:r>
                    <w:rPr>
                      <w:rFonts w:hint="eastAsia"/>
                      <w:highlight w:val="none"/>
                      <w:lang w:eastAsia="zh-CN"/>
                    </w:rPr>
                    <w:t>-</w:t>
                  </w:r>
                </w:p>
              </w:tc>
            </w:tr>
            <w:tr w14:paraId="46C35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017BCF4B">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10</w:t>
                  </w:r>
                </w:p>
              </w:tc>
              <w:tc>
                <w:tcPr>
                  <w:tcW w:w="1188" w:type="dxa"/>
                  <w:vMerge w:val="continue"/>
                  <w:noWrap w:val="0"/>
                  <w:vAlign w:val="center"/>
                </w:tcPr>
                <w:p w14:paraId="76FAE919">
                  <w:pPr>
                    <w:widowControl/>
                    <w:jc w:val="center"/>
                    <w:textAlignment w:val="center"/>
                    <w:rPr>
                      <w:highlight w:val="none"/>
                    </w:rPr>
                  </w:pPr>
                </w:p>
              </w:tc>
              <w:tc>
                <w:tcPr>
                  <w:tcW w:w="2764" w:type="dxa"/>
                  <w:noWrap w:val="0"/>
                  <w:vAlign w:val="center"/>
                </w:tcPr>
                <w:p w14:paraId="4F9A8C5A">
                  <w:pPr>
                    <w:widowControl/>
                    <w:jc w:val="center"/>
                    <w:textAlignment w:val="bottom"/>
                    <w:rPr>
                      <w:rFonts w:hint="default"/>
                      <w:highlight w:val="none"/>
                      <w:lang w:val="en-US" w:eastAsia="zh-CN"/>
                    </w:rPr>
                  </w:pPr>
                  <w:r>
                    <w:rPr>
                      <w:rFonts w:hint="eastAsia"/>
                      <w:highlight w:val="none"/>
                      <w:lang w:val="en-US" w:eastAsia="zh-CN"/>
                    </w:rPr>
                    <w:t>一级135挤出机</w:t>
                  </w:r>
                </w:p>
              </w:tc>
              <w:tc>
                <w:tcPr>
                  <w:tcW w:w="1659" w:type="dxa"/>
                  <w:noWrap w:val="0"/>
                  <w:vAlign w:val="center"/>
                </w:tcPr>
                <w:p w14:paraId="45DCC3E5">
                  <w:pPr>
                    <w:widowControl/>
                    <w:jc w:val="center"/>
                    <w:textAlignment w:val="center"/>
                    <w:rPr>
                      <w:rFonts w:hint="eastAsia"/>
                      <w:highlight w:val="none"/>
                      <w:lang w:eastAsia="zh-CN"/>
                    </w:rPr>
                  </w:pPr>
                  <w:r>
                    <w:rPr>
                      <w:rFonts w:hint="eastAsia"/>
                      <w:highlight w:val="none"/>
                      <w:lang w:val="en-US" w:eastAsia="zh-CN"/>
                    </w:rPr>
                    <w:t>2</w:t>
                  </w:r>
                </w:p>
              </w:tc>
              <w:tc>
                <w:tcPr>
                  <w:tcW w:w="1364" w:type="dxa"/>
                  <w:tcBorders>
                    <w:right w:val="single" w:color="auto" w:sz="12" w:space="0"/>
                  </w:tcBorders>
                  <w:noWrap w:val="0"/>
                  <w:vAlign w:val="center"/>
                </w:tcPr>
                <w:p w14:paraId="769A7EBC">
                  <w:pPr>
                    <w:widowControl/>
                    <w:jc w:val="center"/>
                    <w:textAlignment w:val="bottom"/>
                    <w:rPr>
                      <w:highlight w:val="none"/>
                    </w:rPr>
                  </w:pPr>
                  <w:r>
                    <w:rPr>
                      <w:rFonts w:hint="eastAsia"/>
                      <w:highlight w:val="none"/>
                      <w:lang w:eastAsia="zh-CN"/>
                    </w:rPr>
                    <w:t>-</w:t>
                  </w:r>
                </w:p>
              </w:tc>
            </w:tr>
            <w:tr w14:paraId="5EC707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17E6D3B0">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11</w:t>
                  </w:r>
                </w:p>
              </w:tc>
              <w:tc>
                <w:tcPr>
                  <w:tcW w:w="1188" w:type="dxa"/>
                  <w:vMerge w:val="continue"/>
                  <w:noWrap w:val="0"/>
                  <w:vAlign w:val="center"/>
                </w:tcPr>
                <w:p w14:paraId="447F4EDB">
                  <w:pPr>
                    <w:widowControl/>
                    <w:jc w:val="center"/>
                    <w:textAlignment w:val="center"/>
                    <w:rPr>
                      <w:highlight w:val="none"/>
                    </w:rPr>
                  </w:pPr>
                </w:p>
              </w:tc>
              <w:tc>
                <w:tcPr>
                  <w:tcW w:w="2764" w:type="dxa"/>
                  <w:noWrap w:val="0"/>
                  <w:vAlign w:val="center"/>
                </w:tcPr>
                <w:p w14:paraId="2A78BFCA">
                  <w:pPr>
                    <w:widowControl/>
                    <w:jc w:val="center"/>
                    <w:textAlignment w:val="bottom"/>
                    <w:rPr>
                      <w:rFonts w:hint="default"/>
                      <w:highlight w:val="none"/>
                      <w:lang w:val="en-US" w:eastAsia="zh-CN"/>
                    </w:rPr>
                  </w:pPr>
                  <w:r>
                    <w:rPr>
                      <w:rFonts w:hint="eastAsia"/>
                      <w:highlight w:val="none"/>
                      <w:lang w:val="en-US" w:eastAsia="zh-CN"/>
                    </w:rPr>
                    <w:t>发泡剂注入系统</w:t>
                  </w:r>
                </w:p>
              </w:tc>
              <w:tc>
                <w:tcPr>
                  <w:tcW w:w="1659" w:type="dxa"/>
                  <w:noWrap w:val="0"/>
                  <w:vAlign w:val="center"/>
                </w:tcPr>
                <w:p w14:paraId="002DF5A5">
                  <w:pPr>
                    <w:widowControl/>
                    <w:jc w:val="center"/>
                    <w:textAlignment w:val="center"/>
                    <w:rPr>
                      <w:rFonts w:hint="eastAsia"/>
                      <w:highlight w:val="none"/>
                      <w:lang w:eastAsia="zh-CN"/>
                    </w:rPr>
                  </w:pPr>
                  <w:r>
                    <w:rPr>
                      <w:rFonts w:hint="eastAsia"/>
                      <w:highlight w:val="none"/>
                      <w:lang w:val="en-US" w:eastAsia="zh-CN"/>
                    </w:rPr>
                    <w:t>2</w:t>
                  </w:r>
                </w:p>
              </w:tc>
              <w:tc>
                <w:tcPr>
                  <w:tcW w:w="1364" w:type="dxa"/>
                  <w:tcBorders>
                    <w:right w:val="single" w:color="auto" w:sz="12" w:space="0"/>
                  </w:tcBorders>
                  <w:noWrap w:val="0"/>
                  <w:vAlign w:val="center"/>
                </w:tcPr>
                <w:p w14:paraId="6CFDF13E">
                  <w:pPr>
                    <w:widowControl/>
                    <w:jc w:val="center"/>
                    <w:textAlignment w:val="bottom"/>
                    <w:rPr>
                      <w:highlight w:val="none"/>
                    </w:rPr>
                  </w:pPr>
                  <w:r>
                    <w:rPr>
                      <w:rFonts w:hint="eastAsia"/>
                      <w:highlight w:val="none"/>
                      <w:lang w:eastAsia="zh-CN"/>
                    </w:rPr>
                    <w:t>-</w:t>
                  </w:r>
                </w:p>
              </w:tc>
            </w:tr>
            <w:tr w14:paraId="694459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2FDB75A9">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12</w:t>
                  </w:r>
                </w:p>
              </w:tc>
              <w:tc>
                <w:tcPr>
                  <w:tcW w:w="1188" w:type="dxa"/>
                  <w:vMerge w:val="continue"/>
                  <w:noWrap w:val="0"/>
                  <w:vAlign w:val="center"/>
                </w:tcPr>
                <w:p w14:paraId="3A8F75B6">
                  <w:pPr>
                    <w:widowControl/>
                    <w:jc w:val="center"/>
                    <w:textAlignment w:val="center"/>
                    <w:rPr>
                      <w:highlight w:val="none"/>
                    </w:rPr>
                  </w:pPr>
                </w:p>
              </w:tc>
              <w:tc>
                <w:tcPr>
                  <w:tcW w:w="2764" w:type="dxa"/>
                  <w:noWrap w:val="0"/>
                  <w:vAlign w:val="center"/>
                </w:tcPr>
                <w:p w14:paraId="55AD390F">
                  <w:pPr>
                    <w:widowControl/>
                    <w:jc w:val="center"/>
                    <w:textAlignment w:val="top"/>
                    <w:rPr>
                      <w:rFonts w:hint="default"/>
                      <w:highlight w:val="none"/>
                      <w:lang w:val="en-US" w:eastAsia="zh-CN"/>
                    </w:rPr>
                  </w:pPr>
                  <w:r>
                    <w:rPr>
                      <w:rFonts w:hint="eastAsia"/>
                      <w:highlight w:val="none"/>
                      <w:lang w:val="en-US" w:eastAsia="zh-CN"/>
                    </w:rPr>
                    <w:t>液压转阀式换网机</w:t>
                  </w:r>
                </w:p>
              </w:tc>
              <w:tc>
                <w:tcPr>
                  <w:tcW w:w="1659" w:type="dxa"/>
                  <w:noWrap w:val="0"/>
                  <w:vAlign w:val="center"/>
                </w:tcPr>
                <w:p w14:paraId="0D2F0879">
                  <w:pPr>
                    <w:widowControl/>
                    <w:jc w:val="center"/>
                    <w:textAlignment w:val="center"/>
                    <w:rPr>
                      <w:rFonts w:hint="eastAsia"/>
                      <w:highlight w:val="none"/>
                      <w:lang w:eastAsia="zh-CN"/>
                    </w:rPr>
                  </w:pPr>
                  <w:r>
                    <w:rPr>
                      <w:rFonts w:hint="eastAsia"/>
                      <w:highlight w:val="none"/>
                      <w:lang w:val="en-US" w:eastAsia="zh-CN"/>
                    </w:rPr>
                    <w:t>2</w:t>
                  </w:r>
                </w:p>
              </w:tc>
              <w:tc>
                <w:tcPr>
                  <w:tcW w:w="1364" w:type="dxa"/>
                  <w:tcBorders>
                    <w:right w:val="single" w:color="auto" w:sz="12" w:space="0"/>
                  </w:tcBorders>
                  <w:noWrap w:val="0"/>
                  <w:vAlign w:val="center"/>
                </w:tcPr>
                <w:p w14:paraId="63C7848F">
                  <w:pPr>
                    <w:widowControl/>
                    <w:jc w:val="center"/>
                    <w:textAlignment w:val="top"/>
                    <w:rPr>
                      <w:highlight w:val="none"/>
                    </w:rPr>
                  </w:pPr>
                  <w:r>
                    <w:rPr>
                      <w:rFonts w:hint="eastAsia"/>
                      <w:highlight w:val="none"/>
                      <w:lang w:eastAsia="zh-CN"/>
                    </w:rPr>
                    <w:t>-</w:t>
                  </w:r>
                </w:p>
              </w:tc>
            </w:tr>
            <w:tr w14:paraId="1FDC29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4D388BFA">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13</w:t>
                  </w:r>
                </w:p>
              </w:tc>
              <w:tc>
                <w:tcPr>
                  <w:tcW w:w="1188" w:type="dxa"/>
                  <w:vMerge w:val="continue"/>
                  <w:noWrap w:val="0"/>
                  <w:vAlign w:val="center"/>
                </w:tcPr>
                <w:p w14:paraId="351AA0BD">
                  <w:pPr>
                    <w:widowControl/>
                    <w:jc w:val="center"/>
                    <w:textAlignment w:val="center"/>
                    <w:rPr>
                      <w:highlight w:val="none"/>
                    </w:rPr>
                  </w:pPr>
                </w:p>
              </w:tc>
              <w:tc>
                <w:tcPr>
                  <w:tcW w:w="2764" w:type="dxa"/>
                  <w:noWrap w:val="0"/>
                  <w:vAlign w:val="center"/>
                </w:tcPr>
                <w:p w14:paraId="6C5039E0">
                  <w:pPr>
                    <w:widowControl/>
                    <w:jc w:val="center"/>
                    <w:textAlignment w:val="top"/>
                    <w:rPr>
                      <w:rFonts w:hint="default"/>
                      <w:highlight w:val="none"/>
                      <w:lang w:val="en-US" w:eastAsia="zh-CN"/>
                    </w:rPr>
                  </w:pPr>
                  <w:r>
                    <w:rPr>
                      <w:rFonts w:hint="eastAsia"/>
                      <w:highlight w:val="none"/>
                      <w:lang w:val="en-US" w:eastAsia="zh-CN"/>
                    </w:rPr>
                    <w:t>二级150挤出机</w:t>
                  </w:r>
                </w:p>
              </w:tc>
              <w:tc>
                <w:tcPr>
                  <w:tcW w:w="1659" w:type="dxa"/>
                  <w:noWrap w:val="0"/>
                  <w:vAlign w:val="center"/>
                </w:tcPr>
                <w:p w14:paraId="28FEC630">
                  <w:pPr>
                    <w:widowControl/>
                    <w:jc w:val="center"/>
                    <w:textAlignment w:val="center"/>
                    <w:rPr>
                      <w:rFonts w:hint="eastAsia"/>
                      <w:highlight w:val="none"/>
                      <w:lang w:eastAsia="zh-CN"/>
                    </w:rPr>
                  </w:pPr>
                  <w:r>
                    <w:rPr>
                      <w:rFonts w:hint="eastAsia"/>
                      <w:highlight w:val="none"/>
                      <w:lang w:val="en-US" w:eastAsia="zh-CN"/>
                    </w:rPr>
                    <w:t>2</w:t>
                  </w:r>
                </w:p>
              </w:tc>
              <w:tc>
                <w:tcPr>
                  <w:tcW w:w="1364" w:type="dxa"/>
                  <w:tcBorders>
                    <w:right w:val="single" w:color="auto" w:sz="12" w:space="0"/>
                  </w:tcBorders>
                  <w:noWrap w:val="0"/>
                  <w:vAlign w:val="center"/>
                </w:tcPr>
                <w:p w14:paraId="41982343">
                  <w:pPr>
                    <w:widowControl/>
                    <w:jc w:val="center"/>
                    <w:textAlignment w:val="top"/>
                    <w:rPr>
                      <w:highlight w:val="none"/>
                    </w:rPr>
                  </w:pPr>
                  <w:r>
                    <w:rPr>
                      <w:rFonts w:hint="eastAsia"/>
                      <w:highlight w:val="none"/>
                      <w:lang w:eastAsia="zh-CN"/>
                    </w:rPr>
                    <w:t>-</w:t>
                  </w:r>
                </w:p>
              </w:tc>
            </w:tr>
            <w:tr w14:paraId="365E0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0BB4526C">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14</w:t>
                  </w:r>
                </w:p>
              </w:tc>
              <w:tc>
                <w:tcPr>
                  <w:tcW w:w="1188" w:type="dxa"/>
                  <w:vMerge w:val="continue"/>
                  <w:noWrap w:val="0"/>
                  <w:vAlign w:val="center"/>
                </w:tcPr>
                <w:p w14:paraId="54817FE4">
                  <w:pPr>
                    <w:widowControl/>
                    <w:jc w:val="center"/>
                    <w:textAlignment w:val="center"/>
                    <w:rPr>
                      <w:highlight w:val="none"/>
                    </w:rPr>
                  </w:pPr>
                </w:p>
              </w:tc>
              <w:tc>
                <w:tcPr>
                  <w:tcW w:w="2764" w:type="dxa"/>
                  <w:noWrap w:val="0"/>
                  <w:vAlign w:val="center"/>
                </w:tcPr>
                <w:p w14:paraId="3790AD73">
                  <w:pPr>
                    <w:widowControl/>
                    <w:jc w:val="center"/>
                    <w:textAlignment w:val="top"/>
                    <w:rPr>
                      <w:rFonts w:hint="default"/>
                      <w:highlight w:val="none"/>
                      <w:lang w:val="en-US" w:eastAsia="zh-CN"/>
                    </w:rPr>
                  </w:pPr>
                  <w:r>
                    <w:rPr>
                      <w:rFonts w:hint="eastAsia"/>
                      <w:highlight w:val="none"/>
                      <w:lang w:val="en-US" w:eastAsia="zh-CN"/>
                    </w:rPr>
                    <w:t>冷却定型导辊架</w:t>
                  </w:r>
                </w:p>
              </w:tc>
              <w:tc>
                <w:tcPr>
                  <w:tcW w:w="1659" w:type="dxa"/>
                  <w:noWrap w:val="0"/>
                  <w:vAlign w:val="center"/>
                </w:tcPr>
                <w:p w14:paraId="1656B720">
                  <w:pPr>
                    <w:widowControl/>
                    <w:jc w:val="center"/>
                    <w:textAlignment w:val="center"/>
                    <w:rPr>
                      <w:rFonts w:hint="eastAsia"/>
                      <w:highlight w:val="none"/>
                      <w:lang w:eastAsia="zh-CN"/>
                    </w:rPr>
                  </w:pPr>
                  <w:r>
                    <w:rPr>
                      <w:rFonts w:hint="eastAsia"/>
                      <w:highlight w:val="none"/>
                      <w:lang w:val="en-US" w:eastAsia="zh-CN"/>
                    </w:rPr>
                    <w:t>2</w:t>
                  </w:r>
                </w:p>
              </w:tc>
              <w:tc>
                <w:tcPr>
                  <w:tcW w:w="1364" w:type="dxa"/>
                  <w:tcBorders>
                    <w:right w:val="single" w:color="auto" w:sz="12" w:space="0"/>
                  </w:tcBorders>
                  <w:noWrap w:val="0"/>
                  <w:vAlign w:val="center"/>
                </w:tcPr>
                <w:p w14:paraId="23BF3061">
                  <w:pPr>
                    <w:widowControl/>
                    <w:jc w:val="center"/>
                    <w:textAlignment w:val="top"/>
                    <w:rPr>
                      <w:highlight w:val="none"/>
                    </w:rPr>
                  </w:pPr>
                  <w:r>
                    <w:rPr>
                      <w:rFonts w:hint="eastAsia"/>
                      <w:highlight w:val="none"/>
                      <w:lang w:eastAsia="zh-CN"/>
                    </w:rPr>
                    <w:t>-</w:t>
                  </w:r>
                </w:p>
              </w:tc>
            </w:tr>
            <w:tr w14:paraId="50AD28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5CA7CE1C">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15</w:t>
                  </w:r>
                </w:p>
              </w:tc>
              <w:tc>
                <w:tcPr>
                  <w:tcW w:w="1188" w:type="dxa"/>
                  <w:vMerge w:val="continue"/>
                  <w:noWrap w:val="0"/>
                  <w:vAlign w:val="center"/>
                </w:tcPr>
                <w:p w14:paraId="2062ADA7">
                  <w:pPr>
                    <w:widowControl/>
                    <w:jc w:val="center"/>
                    <w:textAlignment w:val="center"/>
                    <w:rPr>
                      <w:highlight w:val="none"/>
                    </w:rPr>
                  </w:pPr>
                </w:p>
              </w:tc>
              <w:tc>
                <w:tcPr>
                  <w:tcW w:w="2764" w:type="dxa"/>
                  <w:noWrap w:val="0"/>
                  <w:vAlign w:val="center"/>
                </w:tcPr>
                <w:p w14:paraId="3743C126">
                  <w:pPr>
                    <w:widowControl/>
                    <w:jc w:val="center"/>
                    <w:textAlignment w:val="top"/>
                    <w:rPr>
                      <w:rFonts w:hint="default"/>
                      <w:highlight w:val="none"/>
                      <w:lang w:val="en-US" w:eastAsia="zh-CN"/>
                    </w:rPr>
                  </w:pPr>
                  <w:r>
                    <w:rPr>
                      <w:rFonts w:hint="eastAsia"/>
                      <w:highlight w:val="none"/>
                      <w:lang w:val="en-US" w:eastAsia="zh-CN"/>
                    </w:rPr>
                    <w:t>一级牵引机</w:t>
                  </w:r>
                </w:p>
              </w:tc>
              <w:tc>
                <w:tcPr>
                  <w:tcW w:w="1659" w:type="dxa"/>
                  <w:noWrap w:val="0"/>
                  <w:vAlign w:val="center"/>
                </w:tcPr>
                <w:p w14:paraId="512B2F58">
                  <w:pPr>
                    <w:widowControl/>
                    <w:jc w:val="center"/>
                    <w:textAlignment w:val="center"/>
                    <w:rPr>
                      <w:rFonts w:hint="eastAsia"/>
                      <w:highlight w:val="none"/>
                      <w:lang w:eastAsia="zh-CN"/>
                    </w:rPr>
                  </w:pPr>
                  <w:r>
                    <w:rPr>
                      <w:rFonts w:hint="eastAsia"/>
                      <w:highlight w:val="none"/>
                      <w:lang w:val="en-US" w:eastAsia="zh-CN"/>
                    </w:rPr>
                    <w:t>2</w:t>
                  </w:r>
                </w:p>
              </w:tc>
              <w:tc>
                <w:tcPr>
                  <w:tcW w:w="1364" w:type="dxa"/>
                  <w:tcBorders>
                    <w:right w:val="single" w:color="auto" w:sz="12" w:space="0"/>
                  </w:tcBorders>
                  <w:noWrap w:val="0"/>
                  <w:vAlign w:val="center"/>
                </w:tcPr>
                <w:p w14:paraId="71DB29FE">
                  <w:pPr>
                    <w:widowControl/>
                    <w:jc w:val="center"/>
                    <w:textAlignment w:val="top"/>
                    <w:rPr>
                      <w:highlight w:val="none"/>
                    </w:rPr>
                  </w:pPr>
                  <w:r>
                    <w:rPr>
                      <w:rFonts w:hint="eastAsia"/>
                      <w:highlight w:val="none"/>
                      <w:lang w:eastAsia="zh-CN"/>
                    </w:rPr>
                    <w:t>-</w:t>
                  </w:r>
                </w:p>
              </w:tc>
            </w:tr>
            <w:tr w14:paraId="568C67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6DD1BAD2">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16</w:t>
                  </w:r>
                </w:p>
              </w:tc>
              <w:tc>
                <w:tcPr>
                  <w:tcW w:w="1188" w:type="dxa"/>
                  <w:vMerge w:val="continue"/>
                  <w:noWrap w:val="0"/>
                  <w:vAlign w:val="center"/>
                </w:tcPr>
                <w:p w14:paraId="42FD5AE8">
                  <w:pPr>
                    <w:widowControl/>
                    <w:jc w:val="center"/>
                    <w:textAlignment w:val="center"/>
                    <w:rPr>
                      <w:highlight w:val="none"/>
                    </w:rPr>
                  </w:pPr>
                </w:p>
              </w:tc>
              <w:tc>
                <w:tcPr>
                  <w:tcW w:w="2764" w:type="dxa"/>
                  <w:noWrap w:val="0"/>
                  <w:vAlign w:val="center"/>
                </w:tcPr>
                <w:p w14:paraId="5AF0CD66">
                  <w:pPr>
                    <w:widowControl/>
                    <w:jc w:val="center"/>
                    <w:textAlignment w:val="top"/>
                    <w:rPr>
                      <w:rFonts w:hint="default"/>
                      <w:highlight w:val="none"/>
                      <w:lang w:val="en-US" w:eastAsia="zh-CN"/>
                    </w:rPr>
                  </w:pPr>
                  <w:r>
                    <w:rPr>
                      <w:rFonts w:hint="eastAsia"/>
                      <w:highlight w:val="none"/>
                      <w:lang w:val="en-US" w:eastAsia="zh-CN"/>
                    </w:rPr>
                    <w:t>二级牵引机</w:t>
                  </w:r>
                </w:p>
              </w:tc>
              <w:tc>
                <w:tcPr>
                  <w:tcW w:w="1659" w:type="dxa"/>
                  <w:noWrap w:val="0"/>
                  <w:vAlign w:val="center"/>
                </w:tcPr>
                <w:p w14:paraId="5CCA1AEE">
                  <w:pPr>
                    <w:widowControl/>
                    <w:jc w:val="center"/>
                    <w:textAlignment w:val="center"/>
                    <w:rPr>
                      <w:rFonts w:hint="eastAsia"/>
                      <w:highlight w:val="none"/>
                      <w:lang w:eastAsia="zh-CN"/>
                    </w:rPr>
                  </w:pPr>
                  <w:r>
                    <w:rPr>
                      <w:rFonts w:hint="eastAsia"/>
                      <w:highlight w:val="none"/>
                      <w:lang w:val="en-US" w:eastAsia="zh-CN"/>
                    </w:rPr>
                    <w:t>2</w:t>
                  </w:r>
                </w:p>
              </w:tc>
              <w:tc>
                <w:tcPr>
                  <w:tcW w:w="1364" w:type="dxa"/>
                  <w:tcBorders>
                    <w:right w:val="single" w:color="auto" w:sz="12" w:space="0"/>
                  </w:tcBorders>
                  <w:noWrap w:val="0"/>
                  <w:vAlign w:val="center"/>
                </w:tcPr>
                <w:p w14:paraId="4DE2DE5C">
                  <w:pPr>
                    <w:jc w:val="center"/>
                    <w:rPr>
                      <w:highlight w:val="none"/>
                    </w:rPr>
                  </w:pPr>
                  <w:r>
                    <w:rPr>
                      <w:rFonts w:hint="eastAsia"/>
                      <w:highlight w:val="none"/>
                      <w:lang w:eastAsia="zh-CN"/>
                    </w:rPr>
                    <w:t>-</w:t>
                  </w:r>
                </w:p>
              </w:tc>
            </w:tr>
            <w:tr w14:paraId="218A38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1FB04446">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17</w:t>
                  </w:r>
                </w:p>
              </w:tc>
              <w:tc>
                <w:tcPr>
                  <w:tcW w:w="1188" w:type="dxa"/>
                  <w:vMerge w:val="continue"/>
                  <w:noWrap w:val="0"/>
                  <w:vAlign w:val="center"/>
                </w:tcPr>
                <w:p w14:paraId="54C35ADD">
                  <w:pPr>
                    <w:widowControl/>
                    <w:jc w:val="center"/>
                    <w:textAlignment w:val="center"/>
                    <w:rPr>
                      <w:highlight w:val="none"/>
                    </w:rPr>
                  </w:pPr>
                </w:p>
              </w:tc>
              <w:tc>
                <w:tcPr>
                  <w:tcW w:w="2764" w:type="dxa"/>
                  <w:noWrap w:val="0"/>
                  <w:vAlign w:val="center"/>
                </w:tcPr>
                <w:p w14:paraId="3787996C">
                  <w:pPr>
                    <w:widowControl/>
                    <w:jc w:val="center"/>
                    <w:textAlignment w:val="top"/>
                    <w:rPr>
                      <w:rFonts w:hint="default"/>
                      <w:highlight w:val="none"/>
                      <w:lang w:val="en-US" w:eastAsia="zh-CN"/>
                    </w:rPr>
                  </w:pPr>
                  <w:r>
                    <w:rPr>
                      <w:rFonts w:hint="eastAsia"/>
                      <w:highlight w:val="none"/>
                      <w:lang w:val="en-US" w:eastAsia="zh-CN"/>
                    </w:rPr>
                    <w:t>横向切割机</w:t>
                  </w:r>
                </w:p>
              </w:tc>
              <w:tc>
                <w:tcPr>
                  <w:tcW w:w="1659" w:type="dxa"/>
                  <w:noWrap w:val="0"/>
                  <w:vAlign w:val="center"/>
                </w:tcPr>
                <w:p w14:paraId="0ABF840E">
                  <w:pPr>
                    <w:widowControl/>
                    <w:jc w:val="center"/>
                    <w:textAlignment w:val="center"/>
                    <w:rPr>
                      <w:rFonts w:hint="eastAsia"/>
                      <w:highlight w:val="none"/>
                      <w:lang w:eastAsia="zh-CN"/>
                    </w:rPr>
                  </w:pPr>
                  <w:r>
                    <w:rPr>
                      <w:rFonts w:hint="eastAsia"/>
                      <w:highlight w:val="none"/>
                      <w:lang w:val="en-US" w:eastAsia="zh-CN"/>
                    </w:rPr>
                    <w:t>2</w:t>
                  </w:r>
                </w:p>
              </w:tc>
              <w:tc>
                <w:tcPr>
                  <w:tcW w:w="1364" w:type="dxa"/>
                  <w:tcBorders>
                    <w:right w:val="single" w:color="auto" w:sz="12" w:space="0"/>
                  </w:tcBorders>
                  <w:noWrap w:val="0"/>
                  <w:vAlign w:val="center"/>
                </w:tcPr>
                <w:p w14:paraId="0B26399E">
                  <w:pPr>
                    <w:widowControl/>
                    <w:jc w:val="center"/>
                    <w:textAlignment w:val="top"/>
                    <w:rPr>
                      <w:highlight w:val="none"/>
                    </w:rPr>
                  </w:pPr>
                  <w:r>
                    <w:rPr>
                      <w:rFonts w:hint="eastAsia"/>
                      <w:highlight w:val="none"/>
                      <w:lang w:eastAsia="zh-CN"/>
                    </w:rPr>
                    <w:t>-</w:t>
                  </w:r>
                </w:p>
              </w:tc>
            </w:tr>
            <w:tr w14:paraId="277D88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0EF353CB">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18</w:t>
                  </w:r>
                </w:p>
              </w:tc>
              <w:tc>
                <w:tcPr>
                  <w:tcW w:w="1188" w:type="dxa"/>
                  <w:vMerge w:val="continue"/>
                  <w:tcBorders>
                    <w:bottom w:val="single" w:color="auto" w:sz="4" w:space="0"/>
                  </w:tcBorders>
                  <w:noWrap w:val="0"/>
                  <w:vAlign w:val="center"/>
                </w:tcPr>
                <w:p w14:paraId="5E9F4A15">
                  <w:pPr>
                    <w:widowControl/>
                    <w:jc w:val="center"/>
                    <w:textAlignment w:val="center"/>
                    <w:rPr>
                      <w:highlight w:val="none"/>
                    </w:rPr>
                  </w:pPr>
                </w:p>
              </w:tc>
              <w:tc>
                <w:tcPr>
                  <w:tcW w:w="2764" w:type="dxa"/>
                  <w:noWrap w:val="0"/>
                  <w:vAlign w:val="center"/>
                </w:tcPr>
                <w:p w14:paraId="2140328D">
                  <w:pPr>
                    <w:widowControl/>
                    <w:jc w:val="center"/>
                    <w:textAlignment w:val="top"/>
                    <w:rPr>
                      <w:rFonts w:hint="default"/>
                      <w:highlight w:val="none"/>
                      <w:lang w:val="en-US" w:eastAsia="zh-CN"/>
                    </w:rPr>
                  </w:pPr>
                  <w:r>
                    <w:rPr>
                      <w:rFonts w:hint="eastAsia"/>
                      <w:highlight w:val="none"/>
                      <w:lang w:val="en-US" w:eastAsia="zh-CN"/>
                    </w:rPr>
                    <w:t>纵向切割机</w:t>
                  </w:r>
                </w:p>
              </w:tc>
              <w:tc>
                <w:tcPr>
                  <w:tcW w:w="1659" w:type="dxa"/>
                  <w:noWrap w:val="0"/>
                  <w:vAlign w:val="center"/>
                </w:tcPr>
                <w:p w14:paraId="5D052267">
                  <w:pPr>
                    <w:widowControl/>
                    <w:jc w:val="center"/>
                    <w:textAlignment w:val="center"/>
                    <w:rPr>
                      <w:rFonts w:hint="eastAsia"/>
                      <w:highlight w:val="none"/>
                      <w:lang w:eastAsia="zh-CN"/>
                    </w:rPr>
                  </w:pPr>
                  <w:r>
                    <w:rPr>
                      <w:rFonts w:hint="eastAsia"/>
                      <w:highlight w:val="none"/>
                      <w:lang w:val="en-US" w:eastAsia="zh-CN"/>
                    </w:rPr>
                    <w:t>2</w:t>
                  </w:r>
                </w:p>
              </w:tc>
              <w:tc>
                <w:tcPr>
                  <w:tcW w:w="1364" w:type="dxa"/>
                  <w:tcBorders>
                    <w:right w:val="single" w:color="auto" w:sz="12" w:space="0"/>
                  </w:tcBorders>
                  <w:noWrap w:val="0"/>
                  <w:vAlign w:val="center"/>
                </w:tcPr>
                <w:p w14:paraId="7DDACDFF">
                  <w:pPr>
                    <w:widowControl/>
                    <w:jc w:val="center"/>
                    <w:textAlignment w:val="top"/>
                    <w:rPr>
                      <w:highlight w:val="none"/>
                    </w:rPr>
                  </w:pPr>
                  <w:r>
                    <w:rPr>
                      <w:rFonts w:hint="eastAsia"/>
                      <w:highlight w:val="none"/>
                      <w:lang w:eastAsia="zh-CN"/>
                    </w:rPr>
                    <w:t>-</w:t>
                  </w:r>
                </w:p>
              </w:tc>
            </w:tr>
            <w:tr w14:paraId="3D7F0A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5A097AA6">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19</w:t>
                  </w:r>
                </w:p>
              </w:tc>
              <w:tc>
                <w:tcPr>
                  <w:tcW w:w="1188" w:type="dxa"/>
                  <w:vMerge w:val="restart"/>
                  <w:tcBorders>
                    <w:top w:val="single" w:color="auto" w:sz="4" w:space="0"/>
                  </w:tcBorders>
                  <w:noWrap w:val="0"/>
                  <w:vAlign w:val="center"/>
                </w:tcPr>
                <w:p w14:paraId="75758919">
                  <w:pPr>
                    <w:widowControl/>
                    <w:jc w:val="center"/>
                    <w:textAlignment w:val="center"/>
                    <w:rPr>
                      <w:rFonts w:hint="default"/>
                      <w:highlight w:val="none"/>
                      <w:lang w:val="en-US" w:eastAsia="zh-CN"/>
                    </w:rPr>
                  </w:pPr>
                  <w:r>
                    <w:rPr>
                      <w:rFonts w:hint="eastAsia"/>
                      <w:highlight w:val="none"/>
                      <w:lang w:val="en-US" w:eastAsia="zh-CN"/>
                    </w:rPr>
                    <w:t>聚苯板生产线</w:t>
                  </w:r>
                </w:p>
              </w:tc>
              <w:tc>
                <w:tcPr>
                  <w:tcW w:w="2764" w:type="dxa"/>
                  <w:noWrap w:val="0"/>
                  <w:vAlign w:val="center"/>
                </w:tcPr>
                <w:p w14:paraId="3F8F07BA">
                  <w:pPr>
                    <w:widowControl/>
                    <w:jc w:val="center"/>
                    <w:textAlignment w:val="top"/>
                    <w:rPr>
                      <w:rFonts w:hint="default"/>
                      <w:highlight w:val="none"/>
                      <w:lang w:val="en-US" w:eastAsia="zh-CN"/>
                    </w:rPr>
                  </w:pPr>
                  <w:r>
                    <w:rPr>
                      <w:rFonts w:hint="eastAsia"/>
                      <w:highlight w:val="none"/>
                      <w:lang w:val="en-US" w:eastAsia="zh-CN"/>
                    </w:rPr>
                    <w:t>EPS发泡成型机</w:t>
                  </w:r>
                </w:p>
              </w:tc>
              <w:tc>
                <w:tcPr>
                  <w:tcW w:w="1659" w:type="dxa"/>
                  <w:noWrap w:val="0"/>
                  <w:vAlign w:val="center"/>
                </w:tcPr>
                <w:p w14:paraId="564533BE">
                  <w:pPr>
                    <w:widowControl/>
                    <w:jc w:val="center"/>
                    <w:textAlignment w:val="center"/>
                    <w:rPr>
                      <w:rFonts w:hint="eastAsia"/>
                      <w:highlight w:val="none"/>
                      <w:lang w:eastAsia="zh-CN"/>
                    </w:rPr>
                  </w:pPr>
                  <w:r>
                    <w:rPr>
                      <w:rFonts w:hint="eastAsia"/>
                      <w:highlight w:val="none"/>
                      <w:lang w:val="en-US" w:eastAsia="zh-CN"/>
                    </w:rPr>
                    <w:t>2</w:t>
                  </w:r>
                </w:p>
              </w:tc>
              <w:tc>
                <w:tcPr>
                  <w:tcW w:w="1364" w:type="dxa"/>
                  <w:tcBorders>
                    <w:right w:val="single" w:color="auto" w:sz="12" w:space="0"/>
                  </w:tcBorders>
                  <w:noWrap w:val="0"/>
                  <w:vAlign w:val="center"/>
                </w:tcPr>
                <w:p w14:paraId="4883F8A9">
                  <w:pPr>
                    <w:widowControl/>
                    <w:jc w:val="center"/>
                    <w:textAlignment w:val="top"/>
                    <w:rPr>
                      <w:highlight w:val="none"/>
                    </w:rPr>
                  </w:pPr>
                  <w:r>
                    <w:rPr>
                      <w:rFonts w:hint="eastAsia"/>
                      <w:highlight w:val="none"/>
                      <w:lang w:eastAsia="zh-CN"/>
                    </w:rPr>
                    <w:t>-</w:t>
                  </w:r>
                </w:p>
              </w:tc>
            </w:tr>
            <w:tr w14:paraId="13DB02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009C3342">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20</w:t>
                  </w:r>
                </w:p>
              </w:tc>
              <w:tc>
                <w:tcPr>
                  <w:tcW w:w="1188" w:type="dxa"/>
                  <w:vMerge w:val="continue"/>
                  <w:tcBorders>
                    <w:top w:val="single" w:color="auto" w:sz="4" w:space="0"/>
                    <w:bottom w:val="single" w:color="auto" w:sz="4" w:space="0"/>
                  </w:tcBorders>
                  <w:noWrap w:val="0"/>
                  <w:vAlign w:val="center"/>
                </w:tcPr>
                <w:p w14:paraId="3F6B6532">
                  <w:pPr>
                    <w:widowControl/>
                    <w:jc w:val="center"/>
                    <w:textAlignment w:val="center"/>
                    <w:rPr>
                      <w:highlight w:val="none"/>
                    </w:rPr>
                  </w:pPr>
                </w:p>
              </w:tc>
              <w:tc>
                <w:tcPr>
                  <w:tcW w:w="2764" w:type="dxa"/>
                  <w:noWrap w:val="0"/>
                  <w:vAlign w:val="center"/>
                </w:tcPr>
                <w:p w14:paraId="206E5315">
                  <w:pPr>
                    <w:widowControl/>
                    <w:jc w:val="center"/>
                    <w:textAlignment w:val="top"/>
                    <w:rPr>
                      <w:rFonts w:hint="default"/>
                      <w:highlight w:val="none"/>
                      <w:lang w:val="en-US" w:eastAsia="zh-CN"/>
                    </w:rPr>
                  </w:pPr>
                  <w:r>
                    <w:rPr>
                      <w:rFonts w:hint="eastAsia"/>
                      <w:highlight w:val="none"/>
                      <w:lang w:val="en-US" w:eastAsia="zh-CN"/>
                    </w:rPr>
                    <w:t>线切割机</w:t>
                  </w:r>
                </w:p>
              </w:tc>
              <w:tc>
                <w:tcPr>
                  <w:tcW w:w="1659" w:type="dxa"/>
                  <w:noWrap w:val="0"/>
                  <w:vAlign w:val="center"/>
                </w:tcPr>
                <w:p w14:paraId="51EBF760">
                  <w:pPr>
                    <w:widowControl/>
                    <w:jc w:val="center"/>
                    <w:textAlignment w:val="center"/>
                    <w:rPr>
                      <w:rFonts w:hint="eastAsia"/>
                      <w:highlight w:val="none"/>
                      <w:lang w:eastAsia="zh-CN"/>
                    </w:rPr>
                  </w:pPr>
                  <w:r>
                    <w:rPr>
                      <w:rFonts w:hint="eastAsia"/>
                      <w:highlight w:val="none"/>
                      <w:lang w:val="en-US" w:eastAsia="zh-CN"/>
                    </w:rPr>
                    <w:t>5</w:t>
                  </w:r>
                </w:p>
              </w:tc>
              <w:tc>
                <w:tcPr>
                  <w:tcW w:w="1364" w:type="dxa"/>
                  <w:tcBorders>
                    <w:right w:val="single" w:color="auto" w:sz="12" w:space="0"/>
                  </w:tcBorders>
                  <w:noWrap w:val="0"/>
                  <w:vAlign w:val="center"/>
                </w:tcPr>
                <w:p w14:paraId="090F3C95">
                  <w:pPr>
                    <w:widowControl/>
                    <w:jc w:val="center"/>
                    <w:textAlignment w:val="top"/>
                    <w:rPr>
                      <w:highlight w:val="none"/>
                    </w:rPr>
                  </w:pPr>
                  <w:r>
                    <w:rPr>
                      <w:rFonts w:hint="eastAsia"/>
                      <w:highlight w:val="none"/>
                      <w:lang w:eastAsia="zh-CN"/>
                    </w:rPr>
                    <w:t>-</w:t>
                  </w:r>
                </w:p>
              </w:tc>
            </w:tr>
            <w:tr w14:paraId="0FF7A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5F42A270">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21</w:t>
                  </w:r>
                </w:p>
              </w:tc>
              <w:tc>
                <w:tcPr>
                  <w:tcW w:w="1188" w:type="dxa"/>
                  <w:vMerge w:val="continue"/>
                  <w:tcBorders>
                    <w:top w:val="single" w:color="auto" w:sz="4" w:space="0"/>
                    <w:bottom w:val="single" w:color="auto" w:sz="4" w:space="0"/>
                  </w:tcBorders>
                  <w:noWrap w:val="0"/>
                  <w:vAlign w:val="center"/>
                </w:tcPr>
                <w:p w14:paraId="46A934EE">
                  <w:pPr>
                    <w:widowControl/>
                    <w:jc w:val="center"/>
                    <w:textAlignment w:val="center"/>
                    <w:rPr>
                      <w:highlight w:val="none"/>
                    </w:rPr>
                  </w:pPr>
                </w:p>
              </w:tc>
              <w:tc>
                <w:tcPr>
                  <w:tcW w:w="2764" w:type="dxa"/>
                  <w:noWrap w:val="0"/>
                  <w:vAlign w:val="center"/>
                </w:tcPr>
                <w:p w14:paraId="399E3B3D">
                  <w:pPr>
                    <w:widowControl/>
                    <w:jc w:val="center"/>
                    <w:textAlignment w:val="top"/>
                    <w:rPr>
                      <w:rFonts w:hint="default"/>
                      <w:highlight w:val="none"/>
                      <w:lang w:val="en-US" w:eastAsia="zh-CN"/>
                    </w:rPr>
                  </w:pPr>
                  <w:r>
                    <w:rPr>
                      <w:rFonts w:hint="eastAsia"/>
                      <w:highlight w:val="none"/>
                      <w:lang w:val="en-US" w:eastAsia="zh-CN"/>
                    </w:rPr>
                    <w:t>2t/h蒸汽锅炉</w:t>
                  </w:r>
                </w:p>
              </w:tc>
              <w:tc>
                <w:tcPr>
                  <w:tcW w:w="1659" w:type="dxa"/>
                  <w:noWrap w:val="0"/>
                  <w:vAlign w:val="center"/>
                </w:tcPr>
                <w:p w14:paraId="68CD91AC">
                  <w:pPr>
                    <w:widowControl/>
                    <w:jc w:val="center"/>
                    <w:textAlignment w:val="center"/>
                    <w:rPr>
                      <w:highlight w:val="none"/>
                    </w:rPr>
                  </w:pPr>
                  <w:r>
                    <w:rPr>
                      <w:highlight w:val="none"/>
                    </w:rPr>
                    <w:t>1</w:t>
                  </w:r>
                </w:p>
              </w:tc>
              <w:tc>
                <w:tcPr>
                  <w:tcW w:w="1364" w:type="dxa"/>
                  <w:tcBorders>
                    <w:right w:val="single" w:color="auto" w:sz="12" w:space="0"/>
                  </w:tcBorders>
                  <w:noWrap w:val="0"/>
                  <w:vAlign w:val="center"/>
                </w:tcPr>
                <w:p w14:paraId="0517404A">
                  <w:pPr>
                    <w:widowControl/>
                    <w:jc w:val="center"/>
                    <w:textAlignment w:val="top"/>
                    <w:rPr>
                      <w:rFonts w:hint="default"/>
                      <w:highlight w:val="none"/>
                      <w:lang w:val="en-US"/>
                    </w:rPr>
                  </w:pPr>
                  <w:r>
                    <w:rPr>
                      <w:rFonts w:hint="eastAsia"/>
                      <w:highlight w:val="none"/>
                      <w:lang w:val="en-US" w:eastAsia="zh-CN"/>
                    </w:rPr>
                    <w:t>WDR2-1.25-D</w:t>
                  </w:r>
                </w:p>
              </w:tc>
            </w:tr>
            <w:tr w14:paraId="3DEE88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027CBAC9">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22</w:t>
                  </w:r>
                </w:p>
              </w:tc>
              <w:tc>
                <w:tcPr>
                  <w:tcW w:w="1188" w:type="dxa"/>
                  <w:vMerge w:val="restart"/>
                  <w:tcBorders>
                    <w:top w:val="single" w:color="auto" w:sz="4" w:space="0"/>
                  </w:tcBorders>
                  <w:noWrap w:val="0"/>
                  <w:vAlign w:val="center"/>
                </w:tcPr>
                <w:p w14:paraId="2F2F0A17">
                  <w:pPr>
                    <w:widowControl/>
                    <w:jc w:val="center"/>
                    <w:textAlignment w:val="center"/>
                    <w:rPr>
                      <w:rFonts w:hint="default"/>
                      <w:highlight w:val="none"/>
                      <w:lang w:val="en-US" w:eastAsia="zh-CN"/>
                    </w:rPr>
                  </w:pPr>
                  <w:r>
                    <w:rPr>
                      <w:rFonts w:hint="eastAsia"/>
                      <w:highlight w:val="none"/>
                      <w:lang w:val="en-US" w:eastAsia="zh-CN"/>
                    </w:rPr>
                    <w:t>边角料回收系统</w:t>
                  </w:r>
                </w:p>
              </w:tc>
              <w:tc>
                <w:tcPr>
                  <w:tcW w:w="2764" w:type="dxa"/>
                  <w:noWrap w:val="0"/>
                  <w:vAlign w:val="center"/>
                </w:tcPr>
                <w:p w14:paraId="604B2EED">
                  <w:pPr>
                    <w:widowControl/>
                    <w:jc w:val="center"/>
                    <w:textAlignment w:val="top"/>
                    <w:rPr>
                      <w:rFonts w:hint="default"/>
                      <w:highlight w:val="none"/>
                      <w:lang w:val="en-US" w:eastAsia="zh-CN"/>
                    </w:rPr>
                  </w:pPr>
                  <w:r>
                    <w:rPr>
                      <w:rFonts w:hint="eastAsia"/>
                      <w:highlight w:val="none"/>
                      <w:lang w:val="en-US" w:eastAsia="zh-CN"/>
                    </w:rPr>
                    <w:t>旋齿式破碎机</w:t>
                  </w:r>
                </w:p>
              </w:tc>
              <w:tc>
                <w:tcPr>
                  <w:tcW w:w="1659" w:type="dxa"/>
                  <w:noWrap w:val="0"/>
                  <w:vAlign w:val="center"/>
                </w:tcPr>
                <w:p w14:paraId="3A18E8EB">
                  <w:pPr>
                    <w:widowControl/>
                    <w:jc w:val="center"/>
                    <w:textAlignment w:val="center"/>
                    <w:rPr>
                      <w:rFonts w:hint="eastAsia"/>
                      <w:highlight w:val="none"/>
                      <w:lang w:eastAsia="zh-CN"/>
                    </w:rPr>
                  </w:pPr>
                  <w:r>
                    <w:rPr>
                      <w:rFonts w:hint="eastAsia"/>
                      <w:highlight w:val="none"/>
                      <w:lang w:val="en-US" w:eastAsia="zh-CN"/>
                    </w:rPr>
                    <w:t>2</w:t>
                  </w:r>
                </w:p>
              </w:tc>
              <w:tc>
                <w:tcPr>
                  <w:tcW w:w="1364" w:type="dxa"/>
                  <w:tcBorders>
                    <w:right w:val="single" w:color="auto" w:sz="12" w:space="0"/>
                  </w:tcBorders>
                  <w:noWrap w:val="0"/>
                  <w:vAlign w:val="center"/>
                </w:tcPr>
                <w:p w14:paraId="2AD5A0BE">
                  <w:pPr>
                    <w:widowControl/>
                    <w:jc w:val="center"/>
                    <w:textAlignment w:val="top"/>
                    <w:rPr>
                      <w:highlight w:val="none"/>
                    </w:rPr>
                  </w:pPr>
                  <w:r>
                    <w:rPr>
                      <w:rFonts w:hint="eastAsia"/>
                      <w:highlight w:val="none"/>
                      <w:lang w:eastAsia="zh-CN"/>
                    </w:rPr>
                    <w:t>-</w:t>
                  </w:r>
                </w:p>
              </w:tc>
            </w:tr>
            <w:tr w14:paraId="4A32A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0D45BE13">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23</w:t>
                  </w:r>
                </w:p>
              </w:tc>
              <w:tc>
                <w:tcPr>
                  <w:tcW w:w="1188" w:type="dxa"/>
                  <w:vMerge w:val="continue"/>
                  <w:tcBorders>
                    <w:top w:val="single" w:color="auto" w:sz="4" w:space="0"/>
                    <w:bottom w:val="single" w:color="auto" w:sz="4" w:space="0"/>
                  </w:tcBorders>
                  <w:noWrap w:val="0"/>
                  <w:vAlign w:val="center"/>
                </w:tcPr>
                <w:p w14:paraId="6E30A917">
                  <w:pPr>
                    <w:widowControl/>
                    <w:jc w:val="center"/>
                    <w:textAlignment w:val="center"/>
                    <w:rPr>
                      <w:highlight w:val="none"/>
                    </w:rPr>
                  </w:pPr>
                </w:p>
              </w:tc>
              <w:tc>
                <w:tcPr>
                  <w:tcW w:w="2764" w:type="dxa"/>
                  <w:noWrap w:val="0"/>
                  <w:vAlign w:val="center"/>
                </w:tcPr>
                <w:p w14:paraId="5F003D16">
                  <w:pPr>
                    <w:widowControl/>
                    <w:jc w:val="center"/>
                    <w:textAlignment w:val="top"/>
                    <w:rPr>
                      <w:rFonts w:hint="default"/>
                      <w:highlight w:val="none"/>
                      <w:lang w:val="en-US" w:eastAsia="zh-CN"/>
                    </w:rPr>
                  </w:pPr>
                  <w:r>
                    <w:rPr>
                      <w:rFonts w:hint="eastAsia"/>
                      <w:highlight w:val="none"/>
                      <w:lang w:val="en-US" w:eastAsia="zh-CN"/>
                    </w:rPr>
                    <w:t>150挤出机</w:t>
                  </w:r>
                </w:p>
              </w:tc>
              <w:tc>
                <w:tcPr>
                  <w:tcW w:w="1659" w:type="dxa"/>
                  <w:noWrap w:val="0"/>
                  <w:vAlign w:val="center"/>
                </w:tcPr>
                <w:p w14:paraId="27749CD2">
                  <w:pPr>
                    <w:widowControl/>
                    <w:jc w:val="center"/>
                    <w:textAlignment w:val="center"/>
                    <w:rPr>
                      <w:highlight w:val="none"/>
                    </w:rPr>
                  </w:pPr>
                  <w:r>
                    <w:rPr>
                      <w:highlight w:val="none"/>
                    </w:rPr>
                    <w:t>2</w:t>
                  </w:r>
                </w:p>
              </w:tc>
              <w:tc>
                <w:tcPr>
                  <w:tcW w:w="1364" w:type="dxa"/>
                  <w:tcBorders>
                    <w:right w:val="single" w:color="auto" w:sz="12" w:space="0"/>
                  </w:tcBorders>
                  <w:noWrap w:val="0"/>
                  <w:vAlign w:val="center"/>
                </w:tcPr>
                <w:p w14:paraId="3FF585E9">
                  <w:pPr>
                    <w:widowControl/>
                    <w:jc w:val="center"/>
                    <w:textAlignment w:val="bottom"/>
                    <w:rPr>
                      <w:highlight w:val="none"/>
                    </w:rPr>
                  </w:pPr>
                  <w:r>
                    <w:rPr>
                      <w:rFonts w:hint="eastAsia"/>
                      <w:highlight w:val="none"/>
                      <w:lang w:eastAsia="zh-CN"/>
                    </w:rPr>
                    <w:t>-</w:t>
                  </w:r>
                </w:p>
              </w:tc>
            </w:tr>
            <w:tr w14:paraId="432D2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53281962">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24</w:t>
                  </w:r>
                </w:p>
              </w:tc>
              <w:tc>
                <w:tcPr>
                  <w:tcW w:w="1188" w:type="dxa"/>
                  <w:vMerge w:val="continue"/>
                  <w:tcBorders>
                    <w:top w:val="single" w:color="auto" w:sz="4" w:space="0"/>
                    <w:bottom w:val="single" w:color="auto" w:sz="4" w:space="0"/>
                  </w:tcBorders>
                  <w:noWrap w:val="0"/>
                  <w:vAlign w:val="center"/>
                </w:tcPr>
                <w:p w14:paraId="0FA7FFC6">
                  <w:pPr>
                    <w:widowControl/>
                    <w:jc w:val="center"/>
                    <w:textAlignment w:val="center"/>
                    <w:rPr>
                      <w:highlight w:val="none"/>
                    </w:rPr>
                  </w:pPr>
                </w:p>
              </w:tc>
              <w:tc>
                <w:tcPr>
                  <w:tcW w:w="2764" w:type="dxa"/>
                  <w:noWrap w:val="0"/>
                  <w:vAlign w:val="center"/>
                </w:tcPr>
                <w:p w14:paraId="39E0D31C">
                  <w:pPr>
                    <w:widowControl/>
                    <w:jc w:val="center"/>
                    <w:textAlignment w:val="top"/>
                    <w:rPr>
                      <w:rFonts w:hint="default"/>
                      <w:highlight w:val="none"/>
                      <w:lang w:val="en-US" w:eastAsia="zh-CN"/>
                    </w:rPr>
                  </w:pPr>
                  <w:r>
                    <w:rPr>
                      <w:rFonts w:hint="eastAsia"/>
                      <w:highlight w:val="none"/>
                      <w:lang w:val="en-US" w:eastAsia="zh-CN"/>
                    </w:rPr>
                    <w:t>旋齿式切粒机</w:t>
                  </w:r>
                </w:p>
              </w:tc>
              <w:tc>
                <w:tcPr>
                  <w:tcW w:w="1659" w:type="dxa"/>
                  <w:noWrap w:val="0"/>
                  <w:vAlign w:val="center"/>
                </w:tcPr>
                <w:p w14:paraId="5900B801">
                  <w:pPr>
                    <w:widowControl/>
                    <w:jc w:val="center"/>
                    <w:textAlignment w:val="center"/>
                    <w:rPr>
                      <w:rFonts w:hint="eastAsia"/>
                      <w:highlight w:val="none"/>
                      <w:lang w:eastAsia="zh-CN"/>
                    </w:rPr>
                  </w:pPr>
                  <w:r>
                    <w:rPr>
                      <w:rFonts w:hint="eastAsia"/>
                      <w:highlight w:val="none"/>
                      <w:lang w:val="en-US" w:eastAsia="zh-CN"/>
                    </w:rPr>
                    <w:t>2</w:t>
                  </w:r>
                </w:p>
              </w:tc>
              <w:tc>
                <w:tcPr>
                  <w:tcW w:w="1364" w:type="dxa"/>
                  <w:noWrap w:val="0"/>
                  <w:vAlign w:val="center"/>
                </w:tcPr>
                <w:p w14:paraId="1FB3822D">
                  <w:pPr>
                    <w:widowControl/>
                    <w:jc w:val="center"/>
                    <w:textAlignment w:val="top"/>
                    <w:rPr>
                      <w:highlight w:val="none"/>
                    </w:rPr>
                  </w:pPr>
                  <w:r>
                    <w:rPr>
                      <w:rFonts w:hint="eastAsia"/>
                      <w:highlight w:val="none"/>
                      <w:lang w:eastAsia="zh-CN"/>
                    </w:rPr>
                    <w:t>-</w:t>
                  </w:r>
                </w:p>
              </w:tc>
            </w:tr>
            <w:tr w14:paraId="6688A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66018B1B">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25</w:t>
                  </w:r>
                </w:p>
              </w:tc>
              <w:tc>
                <w:tcPr>
                  <w:tcW w:w="1188" w:type="dxa"/>
                  <w:vMerge w:val="continue"/>
                  <w:tcBorders>
                    <w:top w:val="single" w:color="auto" w:sz="4" w:space="0"/>
                    <w:bottom w:val="single" w:color="auto" w:sz="4" w:space="0"/>
                  </w:tcBorders>
                  <w:noWrap w:val="0"/>
                  <w:vAlign w:val="center"/>
                </w:tcPr>
                <w:p w14:paraId="2B4348E0">
                  <w:pPr>
                    <w:widowControl/>
                    <w:jc w:val="center"/>
                    <w:textAlignment w:val="center"/>
                    <w:rPr>
                      <w:highlight w:val="none"/>
                    </w:rPr>
                  </w:pPr>
                </w:p>
              </w:tc>
              <w:tc>
                <w:tcPr>
                  <w:tcW w:w="2764" w:type="dxa"/>
                  <w:tcBorders>
                    <w:bottom w:val="single" w:color="auto" w:sz="4" w:space="0"/>
                  </w:tcBorders>
                  <w:noWrap w:val="0"/>
                  <w:vAlign w:val="center"/>
                </w:tcPr>
                <w:p w14:paraId="74C7D80E">
                  <w:pPr>
                    <w:widowControl/>
                    <w:jc w:val="center"/>
                    <w:textAlignment w:val="top"/>
                    <w:rPr>
                      <w:rFonts w:hint="eastAsia"/>
                      <w:highlight w:val="none"/>
                      <w:lang w:eastAsia="zh-CN"/>
                    </w:rPr>
                  </w:pPr>
                  <w:r>
                    <w:rPr>
                      <w:rFonts w:hint="eastAsia"/>
                      <w:highlight w:val="none"/>
                      <w:lang w:val="en-US" w:eastAsia="zh-CN"/>
                    </w:rPr>
                    <w:t>缝包机</w:t>
                  </w:r>
                </w:p>
              </w:tc>
              <w:tc>
                <w:tcPr>
                  <w:tcW w:w="1659" w:type="dxa"/>
                  <w:noWrap w:val="0"/>
                  <w:vAlign w:val="center"/>
                </w:tcPr>
                <w:p w14:paraId="6353B2C1">
                  <w:pPr>
                    <w:widowControl/>
                    <w:jc w:val="center"/>
                    <w:textAlignment w:val="center"/>
                    <w:rPr>
                      <w:rFonts w:hint="eastAsia"/>
                      <w:highlight w:val="none"/>
                      <w:lang w:eastAsia="zh-CN"/>
                    </w:rPr>
                  </w:pPr>
                  <w:r>
                    <w:rPr>
                      <w:rFonts w:hint="eastAsia"/>
                      <w:highlight w:val="none"/>
                      <w:lang w:val="en-US" w:eastAsia="zh-CN"/>
                    </w:rPr>
                    <w:t>2</w:t>
                  </w:r>
                </w:p>
              </w:tc>
              <w:tc>
                <w:tcPr>
                  <w:tcW w:w="1364" w:type="dxa"/>
                  <w:noWrap w:val="0"/>
                  <w:vAlign w:val="center"/>
                </w:tcPr>
                <w:p w14:paraId="1ACD25EA">
                  <w:pPr>
                    <w:widowControl/>
                    <w:jc w:val="center"/>
                    <w:textAlignment w:val="top"/>
                    <w:rPr>
                      <w:highlight w:val="none"/>
                    </w:rPr>
                  </w:pPr>
                  <w:r>
                    <w:rPr>
                      <w:rFonts w:hint="eastAsia"/>
                      <w:highlight w:val="none"/>
                      <w:lang w:eastAsia="zh-CN"/>
                    </w:rPr>
                    <w:t>-</w:t>
                  </w:r>
                </w:p>
              </w:tc>
            </w:tr>
            <w:tr w14:paraId="56E36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25" w:hRule="atLeast"/>
                <w:jc w:val="center"/>
              </w:trPr>
              <w:tc>
                <w:tcPr>
                  <w:tcW w:w="927" w:type="dxa"/>
                  <w:noWrap w:val="0"/>
                  <w:vAlign w:val="center"/>
                </w:tcPr>
                <w:p w14:paraId="2D796CEE">
                  <w:pPr>
                    <w:numPr>
                      <w:ilvl w:val="0"/>
                      <w:numId w:val="0"/>
                    </w:numPr>
                    <w:autoSpaceDE w:val="0"/>
                    <w:autoSpaceDN w:val="0"/>
                    <w:adjustRightInd w:val="0"/>
                    <w:ind w:leftChars="0"/>
                    <w:jc w:val="center"/>
                    <w:rPr>
                      <w:rFonts w:hint="default"/>
                      <w:highlight w:val="none"/>
                      <w:lang w:val="en-US" w:eastAsia="zh-CN"/>
                    </w:rPr>
                  </w:pPr>
                  <w:r>
                    <w:rPr>
                      <w:rFonts w:hint="eastAsia"/>
                      <w:highlight w:val="none"/>
                      <w:lang w:val="en-US" w:eastAsia="zh-CN"/>
                    </w:rPr>
                    <w:t>26</w:t>
                  </w:r>
                </w:p>
              </w:tc>
              <w:tc>
                <w:tcPr>
                  <w:tcW w:w="1188" w:type="dxa"/>
                  <w:tcBorders>
                    <w:top w:val="single" w:color="auto" w:sz="4" w:space="0"/>
                  </w:tcBorders>
                  <w:noWrap w:val="0"/>
                  <w:vAlign w:val="center"/>
                </w:tcPr>
                <w:p w14:paraId="0C8B70F5">
                  <w:pPr>
                    <w:widowControl/>
                    <w:jc w:val="center"/>
                    <w:textAlignment w:val="center"/>
                    <w:rPr>
                      <w:highlight w:val="none"/>
                    </w:rPr>
                  </w:pPr>
                </w:p>
              </w:tc>
              <w:tc>
                <w:tcPr>
                  <w:tcW w:w="2764" w:type="dxa"/>
                  <w:tcBorders>
                    <w:top w:val="single" w:color="auto" w:sz="4" w:space="0"/>
                  </w:tcBorders>
                  <w:noWrap w:val="0"/>
                  <w:vAlign w:val="center"/>
                </w:tcPr>
                <w:p w14:paraId="771A3E1C">
                  <w:pPr>
                    <w:widowControl/>
                    <w:jc w:val="center"/>
                    <w:textAlignment w:val="top"/>
                    <w:rPr>
                      <w:rFonts w:hint="default"/>
                      <w:highlight w:val="none"/>
                      <w:lang w:val="en-US" w:eastAsia="zh-CN"/>
                    </w:rPr>
                  </w:pPr>
                  <w:r>
                    <w:rPr>
                      <w:rFonts w:hint="eastAsia"/>
                      <w:highlight w:val="none"/>
                      <w:lang w:val="en-US" w:eastAsia="zh-CN"/>
                    </w:rPr>
                    <w:t>循环水槽（3m×0.5m×0.4m）</w:t>
                  </w:r>
                </w:p>
              </w:tc>
              <w:tc>
                <w:tcPr>
                  <w:tcW w:w="1659" w:type="dxa"/>
                  <w:noWrap w:val="0"/>
                  <w:vAlign w:val="center"/>
                </w:tcPr>
                <w:p w14:paraId="621878A2">
                  <w:pPr>
                    <w:widowControl/>
                    <w:jc w:val="center"/>
                    <w:textAlignment w:val="center"/>
                    <w:rPr>
                      <w:highlight w:val="none"/>
                    </w:rPr>
                  </w:pPr>
                  <w:r>
                    <w:rPr>
                      <w:highlight w:val="none"/>
                    </w:rPr>
                    <w:t>1</w:t>
                  </w:r>
                </w:p>
              </w:tc>
              <w:tc>
                <w:tcPr>
                  <w:tcW w:w="1364" w:type="dxa"/>
                  <w:noWrap w:val="0"/>
                  <w:vAlign w:val="center"/>
                </w:tcPr>
                <w:p w14:paraId="2F6892A7">
                  <w:pPr>
                    <w:widowControl/>
                    <w:jc w:val="center"/>
                    <w:textAlignment w:val="top"/>
                    <w:rPr>
                      <w:rFonts w:hint="default"/>
                      <w:highlight w:val="none"/>
                      <w:lang w:val="en-US" w:eastAsia="zh-CN"/>
                    </w:rPr>
                  </w:pPr>
                  <w:r>
                    <w:rPr>
                      <w:rFonts w:hint="eastAsia"/>
                      <w:highlight w:val="none"/>
                      <w:lang w:val="en-US" w:eastAsia="zh-CN"/>
                    </w:rPr>
                    <w:t>容积0.6m</w:t>
                  </w:r>
                </w:p>
              </w:tc>
            </w:tr>
          </w:tbl>
          <w:p w14:paraId="34F8CE8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b/>
                <w:bCs/>
                <w:highlight w:val="none"/>
              </w:rPr>
            </w:pPr>
            <w:r>
              <w:rPr>
                <w:b/>
                <w:bCs/>
                <w:highlight w:val="none"/>
              </w:rPr>
              <w:t>表2</w:t>
            </w:r>
            <w:r>
              <w:rPr>
                <w:rFonts w:hint="eastAsia"/>
                <w:b/>
                <w:bCs/>
                <w:highlight w:val="none"/>
                <w:lang w:val="en-US" w:eastAsia="zh-CN"/>
              </w:rPr>
              <w:t>-10</w:t>
            </w:r>
            <w:r>
              <w:rPr>
                <w:b/>
                <w:bCs/>
                <w:highlight w:val="none"/>
              </w:rPr>
              <w:t xml:space="preserve">   </w:t>
            </w:r>
            <w:r>
              <w:rPr>
                <w:rFonts w:hint="eastAsia"/>
                <w:b/>
                <w:bCs/>
                <w:highlight w:val="none"/>
                <w:lang w:val="en-US" w:eastAsia="zh-CN"/>
              </w:rPr>
              <w:t>在建项目</w:t>
            </w:r>
            <w:r>
              <w:rPr>
                <w:b/>
                <w:bCs/>
                <w:highlight w:val="none"/>
              </w:rPr>
              <w:t>主要生产设备及设施表</w:t>
            </w:r>
          </w:p>
          <w:tbl>
            <w:tblPr>
              <w:tblStyle w:val="20"/>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99"/>
              <w:gridCol w:w="1590"/>
              <w:gridCol w:w="855"/>
              <w:gridCol w:w="1921"/>
              <w:gridCol w:w="2635"/>
            </w:tblGrid>
            <w:tr w14:paraId="01703D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9" w:type="dxa"/>
                  <w:tcBorders>
                    <w:tl2br w:val="nil"/>
                    <w:tr2bl w:val="nil"/>
                  </w:tcBorders>
                  <w:noWrap w:val="0"/>
                  <w:vAlign w:val="center"/>
                </w:tcPr>
                <w:p w14:paraId="7DF5497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序号</w:t>
                  </w:r>
                </w:p>
              </w:tc>
              <w:tc>
                <w:tcPr>
                  <w:tcW w:w="1590" w:type="dxa"/>
                  <w:tcBorders>
                    <w:tl2br w:val="nil"/>
                    <w:tr2bl w:val="nil"/>
                  </w:tcBorders>
                  <w:noWrap w:val="0"/>
                  <w:vAlign w:val="center"/>
                </w:tcPr>
                <w:p w14:paraId="7CD1F38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设备名称</w:t>
                  </w:r>
                </w:p>
              </w:tc>
              <w:tc>
                <w:tcPr>
                  <w:tcW w:w="855" w:type="dxa"/>
                  <w:tcBorders>
                    <w:tl2br w:val="nil"/>
                    <w:tr2bl w:val="nil"/>
                  </w:tcBorders>
                  <w:noWrap w:val="0"/>
                  <w:vAlign w:val="center"/>
                </w:tcPr>
                <w:p w14:paraId="259B2C3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数量</w:t>
                  </w:r>
                </w:p>
              </w:tc>
              <w:tc>
                <w:tcPr>
                  <w:tcW w:w="1921" w:type="dxa"/>
                  <w:tcBorders>
                    <w:tl2br w:val="nil"/>
                    <w:tr2bl w:val="nil"/>
                  </w:tcBorders>
                  <w:noWrap w:val="0"/>
                  <w:vAlign w:val="center"/>
                </w:tcPr>
                <w:p w14:paraId="1E031DF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规格型号</w:t>
                  </w:r>
                </w:p>
              </w:tc>
              <w:tc>
                <w:tcPr>
                  <w:tcW w:w="2635" w:type="dxa"/>
                  <w:tcBorders>
                    <w:tl2br w:val="nil"/>
                    <w:tr2bl w:val="nil"/>
                  </w:tcBorders>
                  <w:noWrap w:val="0"/>
                  <w:vAlign w:val="center"/>
                </w:tcPr>
                <w:p w14:paraId="67D399D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备注</w:t>
                  </w:r>
                </w:p>
              </w:tc>
            </w:tr>
            <w:tr w14:paraId="387BAE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9" w:type="dxa"/>
                  <w:tcBorders>
                    <w:tl2br w:val="nil"/>
                    <w:tr2bl w:val="nil"/>
                  </w:tcBorders>
                  <w:noWrap w:val="0"/>
                  <w:vAlign w:val="center"/>
                </w:tcPr>
                <w:p w14:paraId="455DB45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1</w:t>
                  </w:r>
                </w:p>
              </w:tc>
              <w:tc>
                <w:tcPr>
                  <w:tcW w:w="1590" w:type="dxa"/>
                  <w:tcBorders>
                    <w:tl2br w:val="nil"/>
                    <w:tr2bl w:val="nil"/>
                  </w:tcBorders>
                  <w:noWrap w:val="0"/>
                  <w:vAlign w:val="center"/>
                </w:tcPr>
                <w:p w14:paraId="7F45C1D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燃气锅炉本体</w:t>
                  </w:r>
                </w:p>
              </w:tc>
              <w:tc>
                <w:tcPr>
                  <w:tcW w:w="855" w:type="dxa"/>
                  <w:tcBorders>
                    <w:tl2br w:val="nil"/>
                    <w:tr2bl w:val="nil"/>
                  </w:tcBorders>
                  <w:noWrap w:val="0"/>
                  <w:vAlign w:val="center"/>
                </w:tcPr>
                <w:p w14:paraId="1405798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r>
                    <w:rPr>
                      <w:rFonts w:hint="eastAsia"/>
                      <w:highlight w:val="none"/>
                      <w:lang w:val="en-US" w:eastAsia="zh-CN"/>
                    </w:rPr>
                    <w:t>1</w:t>
                  </w:r>
                  <w:r>
                    <w:rPr>
                      <w:rFonts w:hint="default"/>
                      <w:highlight w:val="none"/>
                    </w:rPr>
                    <w:t>套</w:t>
                  </w:r>
                </w:p>
              </w:tc>
              <w:tc>
                <w:tcPr>
                  <w:tcW w:w="1921" w:type="dxa"/>
                  <w:tcBorders>
                    <w:tl2br w:val="nil"/>
                    <w:tr2bl w:val="nil"/>
                  </w:tcBorders>
                  <w:noWrap w:val="0"/>
                  <w:vAlign w:val="center"/>
                </w:tcPr>
                <w:p w14:paraId="36BD089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rPr>
                  </w:pPr>
                  <w:r>
                    <w:rPr>
                      <w:rFonts w:hint="eastAsia"/>
                      <w:highlight w:val="none"/>
                      <w:lang w:val="en-US" w:eastAsia="zh-CN"/>
                    </w:rPr>
                    <w:t>WDR2—1.25—D</w:t>
                  </w:r>
                </w:p>
              </w:tc>
              <w:tc>
                <w:tcPr>
                  <w:tcW w:w="2635" w:type="dxa"/>
                  <w:tcBorders>
                    <w:tl2br w:val="nil"/>
                    <w:tr2bl w:val="nil"/>
                  </w:tcBorders>
                  <w:noWrap w:val="0"/>
                  <w:vAlign w:val="center"/>
                </w:tcPr>
                <w:p w14:paraId="741FC5A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额定蒸发量2t</w:t>
                  </w:r>
                  <w:r>
                    <w:rPr>
                      <w:rFonts w:hint="default"/>
                      <w:highlight w:val="none"/>
                    </w:rPr>
                    <w:t>/h</w:t>
                  </w:r>
                  <w:r>
                    <w:rPr>
                      <w:rFonts w:hint="eastAsia"/>
                      <w:highlight w:val="none"/>
                      <w:lang w:eastAsia="zh-CN"/>
                    </w:rPr>
                    <w:t>，</w:t>
                  </w:r>
                  <w:r>
                    <w:rPr>
                      <w:rFonts w:hint="eastAsia"/>
                      <w:highlight w:val="none"/>
                      <w:lang w:val="en-US" w:eastAsia="zh-CN"/>
                    </w:rPr>
                    <w:t>额定压力1.25MPa，锅炉效率90%</w:t>
                  </w:r>
                </w:p>
              </w:tc>
            </w:tr>
            <w:tr w14:paraId="7A1A9F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9" w:type="dxa"/>
                  <w:tcBorders>
                    <w:tl2br w:val="nil"/>
                    <w:tr2bl w:val="nil"/>
                  </w:tcBorders>
                  <w:noWrap w:val="0"/>
                  <w:vAlign w:val="center"/>
                </w:tcPr>
                <w:p w14:paraId="398CF06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2</w:t>
                  </w:r>
                </w:p>
              </w:tc>
              <w:tc>
                <w:tcPr>
                  <w:tcW w:w="1590" w:type="dxa"/>
                  <w:tcBorders>
                    <w:tl2br w:val="nil"/>
                    <w:tr2bl w:val="nil"/>
                  </w:tcBorders>
                  <w:noWrap w:val="0"/>
                  <w:vAlign w:val="center"/>
                </w:tcPr>
                <w:p w14:paraId="50ACBBF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超低氮燃烧器</w:t>
                  </w:r>
                </w:p>
              </w:tc>
              <w:tc>
                <w:tcPr>
                  <w:tcW w:w="855" w:type="dxa"/>
                  <w:tcBorders>
                    <w:tl2br w:val="nil"/>
                    <w:tr2bl w:val="nil"/>
                  </w:tcBorders>
                  <w:noWrap w:val="0"/>
                  <w:vAlign w:val="center"/>
                </w:tcPr>
                <w:p w14:paraId="4BFE69A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rPr>
                  </w:pPr>
                  <w:r>
                    <w:rPr>
                      <w:rFonts w:hint="eastAsia"/>
                      <w:highlight w:val="none"/>
                      <w:lang w:val="en-US" w:eastAsia="zh-CN"/>
                    </w:rPr>
                    <w:t>1</w:t>
                  </w:r>
                  <w:r>
                    <w:rPr>
                      <w:rFonts w:hint="default"/>
                      <w:highlight w:val="none"/>
                    </w:rPr>
                    <w:t>台</w:t>
                  </w:r>
                </w:p>
              </w:tc>
              <w:tc>
                <w:tcPr>
                  <w:tcW w:w="1921" w:type="dxa"/>
                  <w:tcBorders>
                    <w:tl2br w:val="nil"/>
                    <w:tr2bl w:val="nil"/>
                  </w:tcBorders>
                  <w:noWrap w:val="0"/>
                  <w:vAlign w:val="center"/>
                </w:tcPr>
                <w:p w14:paraId="7F107DE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RS200 BLL＋FGR</w:t>
                  </w:r>
                </w:p>
              </w:tc>
              <w:tc>
                <w:tcPr>
                  <w:tcW w:w="2635" w:type="dxa"/>
                  <w:tcBorders>
                    <w:tl2br w:val="nil"/>
                    <w:tr2bl w:val="nil"/>
                  </w:tcBorders>
                  <w:noWrap w:val="0"/>
                  <w:vAlign w:val="center"/>
                </w:tcPr>
                <w:p w14:paraId="1292B33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新增，自身再循环燃烧器</w:t>
                  </w:r>
                </w:p>
              </w:tc>
            </w:tr>
            <w:tr w14:paraId="52EA49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99" w:type="dxa"/>
                  <w:tcBorders>
                    <w:tl2br w:val="nil"/>
                    <w:tr2bl w:val="nil"/>
                  </w:tcBorders>
                  <w:noWrap w:val="0"/>
                  <w:vAlign w:val="center"/>
                </w:tcPr>
                <w:p w14:paraId="3719ABF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3</w:t>
                  </w:r>
                </w:p>
              </w:tc>
              <w:tc>
                <w:tcPr>
                  <w:tcW w:w="1590" w:type="dxa"/>
                  <w:tcBorders>
                    <w:tl2br w:val="nil"/>
                    <w:tr2bl w:val="nil"/>
                  </w:tcBorders>
                  <w:noWrap w:val="0"/>
                  <w:vAlign w:val="center"/>
                </w:tcPr>
                <w:p w14:paraId="3DA7957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软水制备系统</w:t>
                  </w:r>
                </w:p>
              </w:tc>
              <w:tc>
                <w:tcPr>
                  <w:tcW w:w="855" w:type="dxa"/>
                  <w:tcBorders>
                    <w:tl2br w:val="nil"/>
                    <w:tr2bl w:val="nil"/>
                  </w:tcBorders>
                  <w:noWrap w:val="0"/>
                  <w:vAlign w:val="center"/>
                </w:tcPr>
                <w:p w14:paraId="57416A3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1套</w:t>
                  </w:r>
                </w:p>
              </w:tc>
              <w:tc>
                <w:tcPr>
                  <w:tcW w:w="1921" w:type="dxa"/>
                  <w:tcBorders>
                    <w:tl2br w:val="nil"/>
                    <w:tr2bl w:val="nil"/>
                  </w:tcBorders>
                  <w:noWrap w:val="0"/>
                  <w:vAlign w:val="center"/>
                </w:tcPr>
                <w:p w14:paraId="6D79B8B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w:t>
                  </w:r>
                </w:p>
              </w:tc>
              <w:tc>
                <w:tcPr>
                  <w:tcW w:w="2635" w:type="dxa"/>
                  <w:tcBorders>
                    <w:tl2br w:val="nil"/>
                    <w:tr2bl w:val="nil"/>
                  </w:tcBorders>
                  <w:noWrap w:val="0"/>
                  <w:vAlign w:val="center"/>
                </w:tcPr>
                <w:p w14:paraId="77748AD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依托原有</w:t>
                  </w:r>
                </w:p>
              </w:tc>
            </w:tr>
          </w:tbl>
          <w:p w14:paraId="16DCDE39">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eastAsia"/>
                <w:highlight w:val="none"/>
                <w:lang w:val="en-US" w:eastAsia="zh-CN"/>
              </w:rPr>
            </w:pPr>
            <w:r>
              <w:rPr>
                <w:rFonts w:hint="eastAsia"/>
                <w:highlight w:val="none"/>
                <w:lang w:val="en-US" w:eastAsia="zh-CN"/>
              </w:rPr>
              <w:t>（3）平面布置：厂区大门位于北侧，设有办公及辅助用房，厂区中部东侧为XPS挤塑板生产车间，西侧为危废间、库房等。厂区东南侧为聚苯板生产车间和干粉砂浆车间。</w:t>
            </w:r>
          </w:p>
          <w:p w14:paraId="6EEF3F0E">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eastAsia"/>
                <w:highlight w:val="none"/>
                <w:lang w:val="zh-CN" w:eastAsia="zh-CN"/>
              </w:rPr>
            </w:pPr>
            <w:r>
              <w:rPr>
                <w:rFonts w:hint="eastAsia"/>
                <w:highlight w:val="none"/>
                <w:lang w:val="en-US" w:eastAsia="zh-CN"/>
              </w:rPr>
              <w:t>（4）周边关系：唐山市宝鼎建材有限公司位于唐山市高新区老庄子镇李官屯村东，其</w:t>
            </w:r>
            <w:r>
              <w:rPr>
                <w:rFonts w:hint="eastAsia"/>
                <w:highlight w:val="none"/>
                <w:lang w:val="zh-CN" w:eastAsia="zh-CN"/>
              </w:rPr>
              <w:t>东侧</w:t>
            </w:r>
            <w:r>
              <w:rPr>
                <w:rFonts w:hint="eastAsia"/>
                <w:highlight w:val="none"/>
                <w:lang w:val="en-US" w:eastAsia="zh-CN"/>
              </w:rPr>
              <w:t>和南侧</w:t>
            </w:r>
            <w:r>
              <w:rPr>
                <w:rFonts w:hint="eastAsia"/>
                <w:highlight w:val="none"/>
                <w:lang w:val="zh-CN" w:eastAsia="zh-CN"/>
              </w:rPr>
              <w:t>为</w:t>
            </w:r>
            <w:r>
              <w:rPr>
                <w:rFonts w:hint="eastAsia"/>
                <w:highlight w:val="none"/>
                <w:lang w:val="en-US" w:eastAsia="zh-CN"/>
              </w:rPr>
              <w:t>盛华世家仓储购物有限公司</w:t>
            </w:r>
            <w:r>
              <w:rPr>
                <w:rFonts w:hint="eastAsia"/>
                <w:highlight w:val="none"/>
                <w:lang w:val="zh-CN" w:eastAsia="zh-CN"/>
              </w:rPr>
              <w:t>，</w:t>
            </w:r>
            <w:r>
              <w:rPr>
                <w:rFonts w:hint="eastAsia"/>
                <w:highlight w:val="none"/>
                <w:lang w:val="en-US" w:eastAsia="zh-CN"/>
              </w:rPr>
              <w:t>西侧</w:t>
            </w:r>
            <w:r>
              <w:rPr>
                <w:rFonts w:hint="eastAsia"/>
                <w:highlight w:val="none"/>
                <w:lang w:val="zh-CN" w:eastAsia="zh-CN"/>
              </w:rPr>
              <w:t>为</w:t>
            </w:r>
            <w:r>
              <w:rPr>
                <w:rFonts w:hint="eastAsia"/>
                <w:highlight w:val="none"/>
                <w:lang w:val="en-US" w:eastAsia="zh-CN"/>
              </w:rPr>
              <w:t>农田</w:t>
            </w:r>
            <w:r>
              <w:rPr>
                <w:rFonts w:hint="eastAsia"/>
                <w:highlight w:val="none"/>
                <w:lang w:val="zh-CN" w:eastAsia="zh-CN"/>
              </w:rPr>
              <w:t>；</w:t>
            </w:r>
            <w:r>
              <w:rPr>
                <w:rFonts w:hint="eastAsia"/>
                <w:highlight w:val="none"/>
                <w:lang w:val="en-US" w:eastAsia="zh-CN"/>
              </w:rPr>
              <w:t>北</w:t>
            </w:r>
            <w:r>
              <w:rPr>
                <w:rFonts w:hint="eastAsia"/>
                <w:highlight w:val="none"/>
                <w:lang w:val="zh-CN" w:eastAsia="zh-CN"/>
              </w:rPr>
              <w:t>侧</w:t>
            </w:r>
            <w:r>
              <w:rPr>
                <w:rFonts w:hint="eastAsia"/>
                <w:highlight w:val="none"/>
                <w:lang w:val="en-US" w:eastAsia="zh-CN"/>
              </w:rPr>
              <w:t>隔乡村道路</w:t>
            </w:r>
            <w:r>
              <w:rPr>
                <w:rFonts w:hint="eastAsia"/>
                <w:highlight w:val="none"/>
                <w:lang w:val="zh-CN" w:eastAsia="zh-CN"/>
              </w:rPr>
              <w:t>为</w:t>
            </w:r>
            <w:r>
              <w:rPr>
                <w:rFonts w:hint="eastAsia"/>
                <w:highlight w:val="none"/>
                <w:lang w:val="en-US" w:eastAsia="zh-CN"/>
              </w:rPr>
              <w:t>闲置厂区</w:t>
            </w:r>
            <w:r>
              <w:rPr>
                <w:rFonts w:hint="eastAsia"/>
                <w:highlight w:val="none"/>
                <w:lang w:val="zh-CN" w:eastAsia="zh-CN"/>
              </w:rPr>
              <w:t>。</w:t>
            </w:r>
          </w:p>
          <w:p w14:paraId="59F2910B">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eastAsia"/>
                <w:highlight w:val="none"/>
                <w:lang w:val="en-US" w:eastAsia="zh-CN"/>
              </w:rPr>
            </w:pPr>
            <w:r>
              <w:rPr>
                <w:rFonts w:hint="eastAsia"/>
                <w:highlight w:val="none"/>
                <w:lang w:val="en-US" w:eastAsia="zh-CN"/>
              </w:rPr>
              <w:t>二、原有项目环保手续情况</w:t>
            </w:r>
          </w:p>
          <w:p w14:paraId="727C2666">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eastAsia"/>
                <w:highlight w:val="none"/>
                <w:lang w:val="en-US" w:eastAsia="zh-CN"/>
              </w:rPr>
              <w:t>现有工程情况如下：</w:t>
            </w:r>
            <w:r>
              <w:rPr>
                <w:rFonts w:hint="default"/>
                <w:highlight w:val="none"/>
                <w:lang w:val="en-US" w:eastAsia="zh-CN"/>
              </w:rPr>
              <w:t>于</w:t>
            </w:r>
            <w:r>
              <w:rPr>
                <w:rFonts w:hint="eastAsia"/>
                <w:highlight w:val="none"/>
                <w:lang w:val="en-US" w:eastAsia="zh-CN"/>
              </w:rPr>
              <w:t>2013</w:t>
            </w:r>
            <w:r>
              <w:rPr>
                <w:rFonts w:hint="default"/>
                <w:highlight w:val="none"/>
                <w:lang w:val="en-US" w:eastAsia="zh-CN"/>
              </w:rPr>
              <w:t>年</w:t>
            </w:r>
            <w:r>
              <w:rPr>
                <w:rFonts w:hint="eastAsia"/>
                <w:highlight w:val="none"/>
                <w:lang w:val="en-US" w:eastAsia="zh-CN"/>
              </w:rPr>
              <w:t>1</w:t>
            </w:r>
            <w:r>
              <w:rPr>
                <w:rFonts w:hint="default"/>
                <w:highlight w:val="none"/>
                <w:lang w:val="en-US" w:eastAsia="zh-CN"/>
              </w:rPr>
              <w:t>月</w:t>
            </w:r>
            <w:r>
              <w:rPr>
                <w:rFonts w:hint="eastAsia"/>
                <w:highlight w:val="none"/>
                <w:lang w:val="en-US" w:eastAsia="zh-CN"/>
              </w:rPr>
              <w:t>编制了《唐山市宝鼎建材有限公司迁建保温材料生产线项目环境影响报告表》</w:t>
            </w:r>
            <w:r>
              <w:rPr>
                <w:rFonts w:hint="default"/>
                <w:highlight w:val="none"/>
                <w:lang w:val="en-US" w:eastAsia="zh-CN"/>
              </w:rPr>
              <w:t>，批复文号为</w:t>
            </w:r>
            <w:r>
              <w:rPr>
                <w:rFonts w:hint="eastAsia"/>
                <w:highlight w:val="none"/>
                <w:lang w:val="en-US" w:eastAsia="zh-CN"/>
              </w:rPr>
              <w:t>丰环审(2013)014号，并2013年8月14日经唐山市环境保护局丰润分局验收，验收文号丰环验（2013）078</w:t>
            </w:r>
            <w:r>
              <w:rPr>
                <w:rFonts w:hint="default"/>
                <w:highlight w:val="none"/>
                <w:lang w:eastAsia="zh-CN"/>
              </w:rPr>
              <w:t>；</w:t>
            </w:r>
            <w:r>
              <w:rPr>
                <w:rFonts w:hint="eastAsia"/>
                <w:highlight w:val="none"/>
                <w:lang w:val="en-US" w:eastAsia="zh-CN"/>
              </w:rPr>
              <w:t>2013</w:t>
            </w:r>
            <w:r>
              <w:rPr>
                <w:rFonts w:hint="default"/>
                <w:highlight w:val="none"/>
                <w:lang w:val="en-US" w:eastAsia="zh-CN"/>
              </w:rPr>
              <w:t>年</w:t>
            </w:r>
            <w:r>
              <w:rPr>
                <w:rFonts w:hint="eastAsia"/>
                <w:highlight w:val="none"/>
                <w:lang w:val="en-US" w:eastAsia="zh-CN"/>
              </w:rPr>
              <w:t>3</w:t>
            </w:r>
            <w:r>
              <w:rPr>
                <w:rFonts w:hint="default"/>
                <w:highlight w:val="none"/>
                <w:lang w:val="en-US" w:eastAsia="zh-CN"/>
              </w:rPr>
              <w:t>月</w:t>
            </w:r>
            <w:r>
              <w:rPr>
                <w:rFonts w:hint="eastAsia"/>
                <w:highlight w:val="none"/>
                <w:lang w:val="en-US" w:eastAsia="zh-CN"/>
              </w:rPr>
              <w:t>编制了《唐山市宝鼎建材有限公司保温材料生产线技术改造环境影响报告表》</w:t>
            </w:r>
            <w:r>
              <w:rPr>
                <w:rFonts w:hint="default"/>
                <w:highlight w:val="none"/>
                <w:lang w:val="en-US" w:eastAsia="zh-CN"/>
              </w:rPr>
              <w:t>，批复文号为</w:t>
            </w:r>
            <w:r>
              <w:rPr>
                <w:rFonts w:hint="eastAsia"/>
                <w:highlight w:val="none"/>
                <w:lang w:val="en-US" w:eastAsia="zh-CN"/>
              </w:rPr>
              <w:t>丰环审(2013)033号，并2013年8月14日经唐山市环境保护局丰润分局验收，验收文号丰环验（2013）079</w:t>
            </w:r>
            <w:r>
              <w:rPr>
                <w:rFonts w:hint="default"/>
                <w:highlight w:val="none"/>
                <w:lang w:eastAsia="zh-CN"/>
              </w:rPr>
              <w:t>；</w:t>
            </w:r>
            <w:r>
              <w:rPr>
                <w:rFonts w:hint="eastAsia"/>
                <w:highlight w:val="none"/>
                <w:lang w:val="en-US" w:eastAsia="zh-CN"/>
              </w:rPr>
              <w:t>2019年1月编制了《唐山市宝鼎建材有限公司技改项目环境影响报告表》，</w:t>
            </w:r>
            <w:r>
              <w:rPr>
                <w:rFonts w:hint="default"/>
                <w:highlight w:val="none"/>
                <w:lang w:val="en-US" w:eastAsia="zh-CN"/>
              </w:rPr>
              <w:t>批复文号为</w:t>
            </w:r>
            <w:r>
              <w:rPr>
                <w:rFonts w:hint="eastAsia"/>
                <w:highlight w:val="none"/>
                <w:lang w:val="en-US" w:eastAsia="zh-CN"/>
              </w:rPr>
              <w:t>唐高环评表(2019)40号，并2019年11月17日进行了自主验收</w:t>
            </w:r>
            <w:r>
              <w:rPr>
                <w:rFonts w:hint="default"/>
                <w:highlight w:val="none"/>
                <w:lang w:eastAsia="zh-CN"/>
              </w:rPr>
              <w:t>；</w:t>
            </w:r>
            <w:r>
              <w:rPr>
                <w:rFonts w:hint="eastAsia"/>
                <w:highlight w:val="none"/>
                <w:lang w:val="en-US" w:eastAsia="zh-CN"/>
              </w:rPr>
              <w:t>2021年11月编制了《唐山市宝鼎建材有限公司2t/h蒸汽锅炉改建项目环境影响报告表》，</w:t>
            </w:r>
            <w:r>
              <w:rPr>
                <w:rFonts w:hint="default"/>
                <w:highlight w:val="none"/>
                <w:lang w:val="en-US" w:eastAsia="zh-CN"/>
              </w:rPr>
              <w:t>批复文号为</w:t>
            </w:r>
            <w:r>
              <w:rPr>
                <w:rFonts w:hint="eastAsia"/>
                <w:highlight w:val="none"/>
                <w:lang w:val="en-US" w:eastAsia="zh-CN"/>
              </w:rPr>
              <w:t>唐高行审环表(2021)33号，未验收。</w:t>
            </w:r>
          </w:p>
          <w:p w14:paraId="1746E503">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eastAsia"/>
                <w:highlight w:val="none"/>
                <w:lang w:val="en-US" w:eastAsia="zh-CN"/>
              </w:rPr>
              <w:t>2020年5</w:t>
            </w:r>
            <w:r>
              <w:rPr>
                <w:rFonts w:hint="default"/>
                <w:highlight w:val="none"/>
                <w:lang w:val="en-US" w:eastAsia="zh-CN"/>
              </w:rPr>
              <w:t>月</w:t>
            </w:r>
            <w:r>
              <w:rPr>
                <w:rFonts w:hint="eastAsia"/>
                <w:highlight w:val="none"/>
                <w:lang w:val="en-US" w:eastAsia="zh-CN"/>
              </w:rPr>
              <w:t>31</w:t>
            </w:r>
            <w:r>
              <w:rPr>
                <w:rFonts w:hint="default"/>
                <w:highlight w:val="none"/>
                <w:lang w:val="en-US" w:eastAsia="zh-CN"/>
              </w:rPr>
              <w:t>日，</w:t>
            </w:r>
            <w:r>
              <w:rPr>
                <w:rFonts w:hint="eastAsia"/>
                <w:highlight w:val="none"/>
                <w:lang w:val="en-US" w:eastAsia="zh-CN"/>
              </w:rPr>
              <w:t>唐山市宝鼎建材有限公司进行了排污许可登记，登记编号：91130293677356877R001U，有效期2020年5月31日至2025年5月30日。2021年12年20日，变更了排污许可登记。</w:t>
            </w:r>
          </w:p>
          <w:p w14:paraId="68948457">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eastAsia"/>
                <w:highlight w:val="none"/>
                <w:lang w:val="en-US" w:eastAsia="zh-CN"/>
              </w:rPr>
            </w:pPr>
            <w:r>
              <w:rPr>
                <w:rFonts w:hint="eastAsia"/>
                <w:highlight w:val="none"/>
                <w:lang w:val="en-US" w:eastAsia="zh-CN"/>
              </w:rPr>
              <w:t>2019年7月进行应急预案的编制工作，并于2019年7月24日通过了唐山市生态环境局高新技术产业开发区分局审批备案，备案编号130262-2019-063-2。</w:t>
            </w:r>
          </w:p>
          <w:p w14:paraId="1603E63A">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eastAsia"/>
                <w:highlight w:val="none"/>
                <w:lang w:val="en-US" w:eastAsia="zh-CN"/>
              </w:rPr>
            </w:pPr>
            <w:r>
              <w:rPr>
                <w:rFonts w:hint="eastAsia"/>
                <w:highlight w:val="none"/>
                <w:lang w:val="en-US" w:eastAsia="zh-CN"/>
              </w:rPr>
              <w:t>企业各环评及验收手续见表2-11。</w:t>
            </w:r>
          </w:p>
          <w:p w14:paraId="2915855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b/>
                <w:bCs/>
                <w:highlight w:val="none"/>
                <w:lang w:val="en-US" w:eastAsia="zh-CN"/>
              </w:rPr>
            </w:pPr>
            <w:r>
              <w:rPr>
                <w:rFonts w:hint="eastAsia"/>
                <w:b/>
                <w:bCs/>
                <w:highlight w:val="none"/>
                <w:lang w:val="en-US" w:eastAsia="zh-CN"/>
              </w:rPr>
              <w:t>表2-11 企业环保手续一览表</w:t>
            </w:r>
          </w:p>
          <w:tbl>
            <w:tblPr>
              <w:tblStyle w:val="20"/>
              <w:tblW w:w="7941" w:type="dxa"/>
              <w:tblInd w:w="0" w:type="dxa"/>
              <w:tblLayout w:type="fixed"/>
              <w:tblCellMar>
                <w:top w:w="0" w:type="dxa"/>
                <w:left w:w="0" w:type="dxa"/>
                <w:bottom w:w="0" w:type="dxa"/>
                <w:right w:w="0" w:type="dxa"/>
              </w:tblCellMar>
            </w:tblPr>
            <w:tblGrid>
              <w:gridCol w:w="363"/>
              <w:gridCol w:w="1922"/>
              <w:gridCol w:w="937"/>
              <w:gridCol w:w="927"/>
              <w:gridCol w:w="2"/>
              <w:gridCol w:w="926"/>
              <w:gridCol w:w="1031"/>
              <w:gridCol w:w="1007"/>
              <w:gridCol w:w="826"/>
            </w:tblGrid>
            <w:tr w14:paraId="295A7377">
              <w:tblPrEx>
                <w:tblCellMar>
                  <w:top w:w="0" w:type="dxa"/>
                  <w:left w:w="0" w:type="dxa"/>
                  <w:bottom w:w="0" w:type="dxa"/>
                  <w:right w:w="0" w:type="dxa"/>
                </w:tblCellMar>
              </w:tblPrEx>
              <w:trPr>
                <w:trHeight w:val="425" w:hRule="atLeast"/>
              </w:trPr>
              <w:tc>
                <w:tcPr>
                  <w:tcW w:w="228" w:type="pct"/>
                  <w:vMerge w:val="restart"/>
                  <w:tcBorders>
                    <w:top w:val="single" w:color="000000" w:sz="12" w:space="0"/>
                    <w:left w:val="single" w:color="000000" w:sz="4" w:space="0"/>
                    <w:bottom w:val="single" w:color="000000" w:sz="4" w:space="0"/>
                    <w:right w:val="single" w:color="000000" w:sz="4" w:space="0"/>
                  </w:tcBorders>
                  <w:noWrap w:val="0"/>
                  <w:tcMar>
                    <w:top w:w="15" w:type="dxa"/>
                    <w:left w:w="15" w:type="dxa"/>
                    <w:right w:w="15" w:type="dxa"/>
                  </w:tcMar>
                  <w:vAlign w:val="center"/>
                </w:tcPr>
                <w:p w14:paraId="4ABDFAFF">
                  <w:pPr>
                    <w:widowControl/>
                    <w:jc w:val="center"/>
                    <w:textAlignment w:val="center"/>
                    <w:rPr>
                      <w:highlight w:val="none"/>
                    </w:rPr>
                  </w:pPr>
                  <w:r>
                    <w:rPr>
                      <w:rFonts w:hint="default"/>
                      <w:highlight w:val="none"/>
                    </w:rPr>
                    <w:t>序号</w:t>
                  </w:r>
                </w:p>
              </w:tc>
              <w:tc>
                <w:tcPr>
                  <w:tcW w:w="1210" w:type="pct"/>
                  <w:vMerge w:val="restart"/>
                  <w:tcBorders>
                    <w:top w:val="single" w:color="000000" w:sz="12" w:space="0"/>
                    <w:left w:val="single" w:color="000000" w:sz="4" w:space="0"/>
                    <w:bottom w:val="single" w:color="000000" w:sz="4" w:space="0"/>
                    <w:right w:val="single" w:color="000000" w:sz="4" w:space="0"/>
                  </w:tcBorders>
                  <w:noWrap w:val="0"/>
                  <w:tcMar>
                    <w:top w:w="15" w:type="dxa"/>
                    <w:left w:w="15" w:type="dxa"/>
                    <w:right w:w="15" w:type="dxa"/>
                  </w:tcMar>
                  <w:vAlign w:val="center"/>
                </w:tcPr>
                <w:p w14:paraId="38F63484">
                  <w:pPr>
                    <w:widowControl/>
                    <w:jc w:val="center"/>
                    <w:textAlignment w:val="center"/>
                    <w:rPr>
                      <w:highlight w:val="none"/>
                    </w:rPr>
                  </w:pPr>
                  <w:r>
                    <w:rPr>
                      <w:rFonts w:hint="default"/>
                      <w:highlight w:val="none"/>
                    </w:rPr>
                    <w:t>建设项目名称</w:t>
                  </w:r>
                </w:p>
              </w:tc>
              <w:tc>
                <w:tcPr>
                  <w:tcW w:w="1757" w:type="pct"/>
                  <w:gridSpan w:val="4"/>
                  <w:tcBorders>
                    <w:top w:val="single" w:color="000000" w:sz="12" w:space="0"/>
                    <w:left w:val="single" w:color="000000" w:sz="4" w:space="0"/>
                    <w:bottom w:val="single" w:color="000000" w:sz="4" w:space="0"/>
                    <w:right w:val="single" w:color="000000" w:sz="4" w:space="0"/>
                  </w:tcBorders>
                  <w:noWrap w:val="0"/>
                  <w:tcMar>
                    <w:top w:w="15" w:type="dxa"/>
                    <w:left w:w="15" w:type="dxa"/>
                    <w:right w:w="15" w:type="dxa"/>
                  </w:tcMar>
                  <w:vAlign w:val="center"/>
                </w:tcPr>
                <w:p w14:paraId="71F062B9">
                  <w:pPr>
                    <w:widowControl/>
                    <w:jc w:val="center"/>
                    <w:textAlignment w:val="center"/>
                    <w:rPr>
                      <w:highlight w:val="none"/>
                    </w:rPr>
                  </w:pPr>
                  <w:r>
                    <w:rPr>
                      <w:rFonts w:hint="default"/>
                      <w:highlight w:val="none"/>
                    </w:rPr>
                    <w:t>环评文件</w:t>
                  </w:r>
                </w:p>
              </w:tc>
              <w:tc>
                <w:tcPr>
                  <w:tcW w:w="1803" w:type="pct"/>
                  <w:gridSpan w:val="3"/>
                  <w:tcBorders>
                    <w:top w:val="single" w:color="000000" w:sz="12" w:space="0"/>
                    <w:left w:val="single" w:color="000000" w:sz="4" w:space="0"/>
                    <w:bottom w:val="single" w:color="000000" w:sz="4" w:space="0"/>
                    <w:right w:val="single" w:color="000000" w:sz="12" w:space="0"/>
                  </w:tcBorders>
                  <w:noWrap w:val="0"/>
                  <w:tcMar>
                    <w:top w:w="15" w:type="dxa"/>
                    <w:left w:w="15" w:type="dxa"/>
                    <w:right w:w="15" w:type="dxa"/>
                  </w:tcMar>
                  <w:vAlign w:val="center"/>
                </w:tcPr>
                <w:p w14:paraId="02B09280">
                  <w:pPr>
                    <w:widowControl/>
                    <w:jc w:val="center"/>
                    <w:textAlignment w:val="center"/>
                    <w:rPr>
                      <w:highlight w:val="none"/>
                    </w:rPr>
                  </w:pPr>
                  <w:r>
                    <w:rPr>
                      <w:rFonts w:hint="default"/>
                      <w:highlight w:val="none"/>
                    </w:rPr>
                    <w:t>验收文件</w:t>
                  </w:r>
                </w:p>
              </w:tc>
            </w:tr>
            <w:tr w14:paraId="1331742E">
              <w:tblPrEx>
                <w:tblCellMar>
                  <w:top w:w="0" w:type="dxa"/>
                  <w:left w:w="0" w:type="dxa"/>
                  <w:bottom w:w="0" w:type="dxa"/>
                  <w:right w:w="0" w:type="dxa"/>
                </w:tblCellMar>
              </w:tblPrEx>
              <w:trPr>
                <w:trHeight w:val="425" w:hRule="atLeast"/>
              </w:trPr>
              <w:tc>
                <w:tcPr>
                  <w:tcW w:w="22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EC2127">
                  <w:pPr>
                    <w:jc w:val="center"/>
                    <w:rPr>
                      <w:highlight w:val="none"/>
                    </w:rPr>
                  </w:pPr>
                </w:p>
              </w:tc>
              <w:tc>
                <w:tcPr>
                  <w:tcW w:w="121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688B05">
                  <w:pPr>
                    <w:jc w:val="center"/>
                    <w:rPr>
                      <w:highlight w:val="none"/>
                    </w:rPr>
                  </w:pPr>
                </w:p>
              </w:tc>
              <w:tc>
                <w:tcPr>
                  <w:tcW w:w="5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2695F3">
                  <w:pPr>
                    <w:widowControl/>
                    <w:jc w:val="center"/>
                    <w:textAlignment w:val="center"/>
                    <w:rPr>
                      <w:highlight w:val="none"/>
                    </w:rPr>
                  </w:pPr>
                  <w:r>
                    <w:rPr>
                      <w:rFonts w:hint="default"/>
                      <w:highlight w:val="none"/>
                    </w:rPr>
                    <w:t>审批单位</w:t>
                  </w:r>
                </w:p>
              </w:tc>
              <w:tc>
                <w:tcPr>
                  <w:tcW w:w="5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FF6C02">
                  <w:pPr>
                    <w:widowControl/>
                    <w:jc w:val="center"/>
                    <w:textAlignment w:val="center"/>
                    <w:rPr>
                      <w:highlight w:val="none"/>
                    </w:rPr>
                  </w:pPr>
                  <w:r>
                    <w:rPr>
                      <w:rFonts w:hint="default"/>
                      <w:highlight w:val="none"/>
                    </w:rPr>
                    <w:t>批准文号</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553B5D">
                  <w:pPr>
                    <w:widowControl/>
                    <w:jc w:val="center"/>
                    <w:textAlignment w:val="center"/>
                    <w:rPr>
                      <w:highlight w:val="none"/>
                    </w:rPr>
                  </w:pPr>
                  <w:r>
                    <w:rPr>
                      <w:rFonts w:hint="default"/>
                      <w:highlight w:val="none"/>
                    </w:rPr>
                    <w:t>批准时间</w:t>
                  </w:r>
                </w:p>
              </w:tc>
              <w:tc>
                <w:tcPr>
                  <w:tcW w:w="6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E09919">
                  <w:pPr>
                    <w:widowControl/>
                    <w:jc w:val="center"/>
                    <w:textAlignment w:val="center"/>
                    <w:rPr>
                      <w:highlight w:val="none"/>
                    </w:rPr>
                  </w:pPr>
                  <w:r>
                    <w:rPr>
                      <w:rFonts w:hint="default"/>
                      <w:highlight w:val="none"/>
                    </w:rPr>
                    <w:t>验收单位</w:t>
                  </w:r>
                </w:p>
              </w:tc>
              <w:tc>
                <w:tcPr>
                  <w:tcW w:w="63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E12944">
                  <w:pPr>
                    <w:widowControl/>
                    <w:jc w:val="center"/>
                    <w:textAlignment w:val="center"/>
                    <w:rPr>
                      <w:highlight w:val="none"/>
                    </w:rPr>
                  </w:pPr>
                  <w:r>
                    <w:rPr>
                      <w:rFonts w:hint="default"/>
                      <w:highlight w:val="none"/>
                    </w:rPr>
                    <w:t>验收文号</w:t>
                  </w:r>
                </w:p>
              </w:tc>
              <w:tc>
                <w:tcPr>
                  <w:tcW w:w="520" w:type="pct"/>
                  <w:tcBorders>
                    <w:top w:val="single" w:color="000000" w:sz="4" w:space="0"/>
                    <w:left w:val="single" w:color="000000" w:sz="4" w:space="0"/>
                    <w:bottom w:val="single" w:color="000000" w:sz="4" w:space="0"/>
                    <w:right w:val="single" w:color="000000" w:sz="12" w:space="0"/>
                  </w:tcBorders>
                  <w:noWrap/>
                  <w:tcMar>
                    <w:top w:w="15" w:type="dxa"/>
                    <w:left w:w="15" w:type="dxa"/>
                    <w:right w:w="15" w:type="dxa"/>
                  </w:tcMar>
                  <w:vAlign w:val="center"/>
                </w:tcPr>
                <w:p w14:paraId="587453EA">
                  <w:pPr>
                    <w:widowControl/>
                    <w:jc w:val="center"/>
                    <w:textAlignment w:val="center"/>
                    <w:rPr>
                      <w:highlight w:val="none"/>
                    </w:rPr>
                  </w:pPr>
                  <w:r>
                    <w:rPr>
                      <w:rFonts w:hint="default"/>
                      <w:highlight w:val="none"/>
                    </w:rPr>
                    <w:t>验收时间</w:t>
                  </w:r>
                </w:p>
              </w:tc>
            </w:tr>
            <w:tr w14:paraId="23662C6D">
              <w:tblPrEx>
                <w:tblCellMar>
                  <w:top w:w="0" w:type="dxa"/>
                  <w:left w:w="0" w:type="dxa"/>
                  <w:bottom w:w="0" w:type="dxa"/>
                  <w:right w:w="0" w:type="dxa"/>
                </w:tblCellMar>
              </w:tblPrEx>
              <w:trPr>
                <w:trHeight w:val="425" w:hRule="atLeast"/>
              </w:trPr>
              <w:tc>
                <w:tcPr>
                  <w:tcW w:w="2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D4F0C1">
                  <w:pPr>
                    <w:widowControl/>
                    <w:jc w:val="center"/>
                    <w:textAlignment w:val="center"/>
                    <w:rPr>
                      <w:rFonts w:ascii="Times New Roman" w:hAnsi="Times New Roman" w:eastAsia="宋体" w:cs="Times New Roman"/>
                      <w:kern w:val="2"/>
                      <w:sz w:val="21"/>
                      <w:szCs w:val="24"/>
                      <w:highlight w:val="none"/>
                      <w:lang w:val="en-US" w:eastAsia="zh-CN" w:bidi="ar-SA"/>
                    </w:rPr>
                  </w:pPr>
                  <w:r>
                    <w:rPr>
                      <w:highlight w:val="none"/>
                    </w:rPr>
                    <w:t>1</w:t>
                  </w:r>
                </w:p>
              </w:tc>
              <w:tc>
                <w:tcPr>
                  <w:tcW w:w="12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05CF5">
                  <w:pPr>
                    <w:widowControl/>
                    <w:jc w:val="center"/>
                    <w:textAlignment w:val="center"/>
                    <w:rPr>
                      <w:rFonts w:hint="eastAsia"/>
                      <w:highlight w:val="none"/>
                      <w:lang w:val="en-US" w:eastAsia="zh-CN"/>
                    </w:rPr>
                  </w:pPr>
                  <w:r>
                    <w:rPr>
                      <w:rFonts w:hint="eastAsia"/>
                      <w:highlight w:val="none"/>
                      <w:lang w:val="en-US" w:eastAsia="zh-CN"/>
                    </w:rPr>
                    <w:t>唐山市宝鼎建材有限公司项目环境影响报告表</w:t>
                  </w:r>
                </w:p>
              </w:tc>
              <w:tc>
                <w:tcPr>
                  <w:tcW w:w="5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049EC">
                  <w:pPr>
                    <w:widowControl/>
                    <w:jc w:val="center"/>
                    <w:textAlignment w:val="center"/>
                    <w:rPr>
                      <w:rFonts w:hint="eastAsia"/>
                      <w:highlight w:val="none"/>
                      <w:lang w:val="en-US" w:eastAsia="zh-CN"/>
                    </w:rPr>
                  </w:pPr>
                  <w:r>
                    <w:rPr>
                      <w:rFonts w:hint="eastAsia"/>
                      <w:highlight w:val="none"/>
                      <w:lang w:val="en-US" w:eastAsia="zh-CN"/>
                    </w:rPr>
                    <w:t>唐山市环境保护局丰润分局</w:t>
                  </w:r>
                </w:p>
              </w:tc>
              <w:tc>
                <w:tcPr>
                  <w:tcW w:w="5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64A5B">
                  <w:pPr>
                    <w:widowControl/>
                    <w:jc w:val="center"/>
                    <w:textAlignment w:val="center"/>
                    <w:rPr>
                      <w:rFonts w:hint="eastAsia"/>
                      <w:highlight w:val="none"/>
                      <w:lang w:val="en-US" w:eastAsia="zh-CN"/>
                    </w:rPr>
                  </w:pPr>
                  <w:r>
                    <w:rPr>
                      <w:rFonts w:hint="eastAsia"/>
                      <w:highlight w:val="none"/>
                      <w:lang w:val="en-US" w:eastAsia="zh-CN"/>
                    </w:rPr>
                    <w:t>丰环审(2013)014号</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8D4876">
                  <w:pPr>
                    <w:spacing w:line="300" w:lineRule="exact"/>
                    <w:jc w:val="center"/>
                    <w:rPr>
                      <w:rFonts w:hint="eastAsia"/>
                      <w:highlight w:val="none"/>
                      <w:lang w:val="en-US" w:eastAsia="zh-CN"/>
                    </w:rPr>
                  </w:pPr>
                  <w:r>
                    <w:rPr>
                      <w:rFonts w:ascii="Times New Roman" w:hAnsi="Times New Roman" w:cs="Times New Roman"/>
                      <w:bCs/>
                      <w:snapToGrid w:val="0"/>
                      <w:kern w:val="0"/>
                      <w:szCs w:val="21"/>
                      <w:highlight w:val="none"/>
                    </w:rPr>
                    <w:t>2013年2月1日</w:t>
                  </w:r>
                </w:p>
              </w:tc>
              <w:tc>
                <w:tcPr>
                  <w:tcW w:w="6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CA1AF">
                  <w:pPr>
                    <w:spacing w:line="300" w:lineRule="exact"/>
                    <w:jc w:val="center"/>
                    <w:rPr>
                      <w:rFonts w:hint="eastAsia"/>
                      <w:highlight w:val="none"/>
                      <w:lang w:val="en-US" w:eastAsia="zh-CN"/>
                    </w:rPr>
                  </w:pPr>
                  <w:r>
                    <w:rPr>
                      <w:rFonts w:ascii="Times New Roman" w:hAnsi="Times New Roman" w:cs="Times New Roman"/>
                      <w:bCs/>
                      <w:snapToGrid w:val="0"/>
                      <w:kern w:val="0"/>
                      <w:szCs w:val="21"/>
                      <w:highlight w:val="none"/>
                    </w:rPr>
                    <w:t>唐山市环境保护局丰润分局</w:t>
                  </w:r>
                </w:p>
              </w:tc>
              <w:tc>
                <w:tcPr>
                  <w:tcW w:w="63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BA5CFF">
                  <w:pPr>
                    <w:spacing w:line="300" w:lineRule="exact"/>
                    <w:jc w:val="center"/>
                    <w:rPr>
                      <w:rFonts w:hint="eastAsia"/>
                      <w:highlight w:val="none"/>
                      <w:lang w:val="en-US" w:eastAsia="zh-CN"/>
                    </w:rPr>
                  </w:pPr>
                  <w:r>
                    <w:rPr>
                      <w:rFonts w:ascii="Times New Roman" w:hAnsi="Times New Roman" w:cs="Times New Roman"/>
                      <w:bCs/>
                      <w:snapToGrid w:val="0"/>
                      <w:kern w:val="0"/>
                      <w:szCs w:val="21"/>
                      <w:highlight w:val="none"/>
                    </w:rPr>
                    <w:t>丰环验[2013]078号</w:t>
                  </w:r>
                </w:p>
              </w:tc>
              <w:tc>
                <w:tcPr>
                  <w:tcW w:w="520" w:type="pct"/>
                  <w:tcBorders>
                    <w:top w:val="single" w:color="000000" w:sz="4" w:space="0"/>
                    <w:left w:val="single" w:color="000000" w:sz="4" w:space="0"/>
                    <w:bottom w:val="single" w:color="000000" w:sz="4" w:space="0"/>
                    <w:right w:val="single" w:color="000000" w:sz="12" w:space="0"/>
                  </w:tcBorders>
                  <w:noWrap/>
                  <w:tcMar>
                    <w:top w:w="15" w:type="dxa"/>
                    <w:left w:w="15" w:type="dxa"/>
                    <w:right w:w="15" w:type="dxa"/>
                  </w:tcMar>
                  <w:vAlign w:val="center"/>
                </w:tcPr>
                <w:p w14:paraId="254D88DD">
                  <w:pPr>
                    <w:spacing w:line="300" w:lineRule="exact"/>
                    <w:jc w:val="center"/>
                    <w:rPr>
                      <w:rFonts w:hint="eastAsia"/>
                      <w:highlight w:val="none"/>
                      <w:lang w:val="en-US" w:eastAsia="zh-CN"/>
                    </w:rPr>
                  </w:pPr>
                  <w:r>
                    <w:rPr>
                      <w:rFonts w:ascii="Times New Roman" w:hAnsi="Times New Roman" w:cs="Times New Roman"/>
                      <w:bCs/>
                      <w:snapToGrid w:val="0"/>
                      <w:kern w:val="0"/>
                      <w:szCs w:val="21"/>
                      <w:highlight w:val="none"/>
                    </w:rPr>
                    <w:t>2013年8月14日</w:t>
                  </w:r>
                </w:p>
              </w:tc>
            </w:tr>
            <w:tr w14:paraId="35111E52">
              <w:tblPrEx>
                <w:tblCellMar>
                  <w:top w:w="0" w:type="dxa"/>
                  <w:left w:w="0" w:type="dxa"/>
                  <w:bottom w:w="0" w:type="dxa"/>
                  <w:right w:w="0" w:type="dxa"/>
                </w:tblCellMar>
              </w:tblPrEx>
              <w:trPr>
                <w:trHeight w:val="425" w:hRule="atLeast"/>
              </w:trPr>
              <w:tc>
                <w:tcPr>
                  <w:tcW w:w="228"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A9853">
                  <w:pPr>
                    <w:widowControl/>
                    <w:jc w:val="center"/>
                    <w:textAlignment w:val="center"/>
                    <w:rPr>
                      <w:rFonts w:hint="eastAsia" w:eastAsia="宋体"/>
                      <w:highlight w:val="none"/>
                      <w:lang w:eastAsia="zh-CN"/>
                    </w:rPr>
                  </w:pPr>
                  <w:r>
                    <w:rPr>
                      <w:rFonts w:hint="eastAsia"/>
                      <w:highlight w:val="none"/>
                      <w:lang w:val="en-US" w:eastAsia="zh-CN"/>
                    </w:rPr>
                    <w:t>2</w:t>
                  </w:r>
                </w:p>
              </w:tc>
              <w:tc>
                <w:tcPr>
                  <w:tcW w:w="1210"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1A4ADB">
                  <w:pPr>
                    <w:widowControl/>
                    <w:jc w:val="center"/>
                    <w:textAlignment w:val="center"/>
                    <w:rPr>
                      <w:highlight w:val="none"/>
                    </w:rPr>
                  </w:pPr>
                  <w:r>
                    <w:rPr>
                      <w:rFonts w:hint="eastAsia"/>
                      <w:highlight w:val="none"/>
                      <w:lang w:val="en-US" w:eastAsia="zh-CN"/>
                    </w:rPr>
                    <w:t>唐山市宝鼎建材有限公司保温材料生产线技术改造项目环境影响报告表</w:t>
                  </w:r>
                </w:p>
              </w:tc>
              <w:tc>
                <w:tcPr>
                  <w:tcW w:w="58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5B023F">
                  <w:pPr>
                    <w:widowControl/>
                    <w:jc w:val="center"/>
                    <w:textAlignment w:val="center"/>
                    <w:rPr>
                      <w:rFonts w:hint="default"/>
                      <w:highlight w:val="none"/>
                      <w:lang w:val="en-US" w:eastAsia="zh-CN"/>
                    </w:rPr>
                  </w:pPr>
                  <w:r>
                    <w:rPr>
                      <w:rFonts w:hint="eastAsia"/>
                      <w:highlight w:val="none"/>
                      <w:lang w:val="en-US" w:eastAsia="zh-CN"/>
                    </w:rPr>
                    <w:t>唐山市环境环保局丰润分局</w:t>
                  </w:r>
                </w:p>
              </w:tc>
              <w:tc>
                <w:tcPr>
                  <w:tcW w:w="584" w:type="pct"/>
                  <w:gridSpan w:val="2"/>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B073B">
                  <w:pPr>
                    <w:widowControl/>
                    <w:jc w:val="center"/>
                    <w:textAlignment w:val="center"/>
                    <w:rPr>
                      <w:highlight w:val="none"/>
                    </w:rPr>
                  </w:pPr>
                  <w:r>
                    <w:rPr>
                      <w:rFonts w:hint="eastAsia"/>
                      <w:highlight w:val="none"/>
                      <w:lang w:val="en-US" w:eastAsia="zh-CN"/>
                    </w:rPr>
                    <w:t>丰环审(2013)033号</w:t>
                  </w:r>
                </w:p>
              </w:tc>
              <w:tc>
                <w:tcPr>
                  <w:tcW w:w="583"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92D7E">
                  <w:pPr>
                    <w:spacing w:line="300" w:lineRule="exact"/>
                    <w:jc w:val="center"/>
                    <w:rPr>
                      <w:rFonts w:hint="default"/>
                      <w:highlight w:val="none"/>
                      <w:lang w:val="en-US" w:eastAsia="zh-CN"/>
                    </w:rPr>
                  </w:pPr>
                  <w:r>
                    <w:rPr>
                      <w:rFonts w:ascii="Times New Roman" w:hAnsi="Times New Roman" w:cs="Times New Roman"/>
                      <w:bCs/>
                      <w:snapToGrid w:val="0"/>
                      <w:kern w:val="0"/>
                      <w:szCs w:val="21"/>
                      <w:highlight w:val="none"/>
                    </w:rPr>
                    <w:t>2013年3月14日</w:t>
                  </w:r>
                </w:p>
              </w:tc>
              <w:tc>
                <w:tcPr>
                  <w:tcW w:w="649"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1817E">
                  <w:pPr>
                    <w:spacing w:line="300" w:lineRule="exact"/>
                    <w:jc w:val="center"/>
                    <w:rPr>
                      <w:rFonts w:hint="default"/>
                      <w:highlight w:val="none"/>
                      <w:lang w:val="en-US" w:eastAsia="zh-CN"/>
                    </w:rPr>
                  </w:pPr>
                  <w:r>
                    <w:rPr>
                      <w:rFonts w:ascii="Times New Roman" w:hAnsi="Times New Roman" w:cs="Times New Roman"/>
                      <w:bCs/>
                      <w:snapToGrid w:val="0"/>
                      <w:kern w:val="0"/>
                      <w:szCs w:val="21"/>
                      <w:highlight w:val="none"/>
                    </w:rPr>
                    <w:t>唐山市环境保护局丰润分局</w:t>
                  </w:r>
                </w:p>
              </w:tc>
              <w:tc>
                <w:tcPr>
                  <w:tcW w:w="634"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A74BDB">
                  <w:pPr>
                    <w:spacing w:line="300" w:lineRule="exact"/>
                    <w:jc w:val="center"/>
                    <w:rPr>
                      <w:rFonts w:hint="default"/>
                      <w:highlight w:val="none"/>
                      <w:lang w:val="en-US"/>
                    </w:rPr>
                  </w:pPr>
                  <w:r>
                    <w:rPr>
                      <w:rFonts w:ascii="Times New Roman" w:hAnsi="Times New Roman" w:cs="Times New Roman"/>
                      <w:bCs/>
                      <w:snapToGrid w:val="0"/>
                      <w:kern w:val="0"/>
                      <w:szCs w:val="21"/>
                      <w:highlight w:val="none"/>
                    </w:rPr>
                    <w:t>丰环验[2013]079号</w:t>
                  </w:r>
                </w:p>
              </w:tc>
              <w:tc>
                <w:tcPr>
                  <w:tcW w:w="520" w:type="pct"/>
                  <w:vMerge w:val="restart"/>
                  <w:tcBorders>
                    <w:top w:val="single" w:color="000000" w:sz="4" w:space="0"/>
                    <w:left w:val="single" w:color="000000" w:sz="4" w:space="0"/>
                    <w:bottom w:val="single" w:color="000000" w:sz="4" w:space="0"/>
                    <w:right w:val="single" w:color="000000" w:sz="12" w:space="0"/>
                  </w:tcBorders>
                  <w:noWrap/>
                  <w:tcMar>
                    <w:top w:w="15" w:type="dxa"/>
                    <w:left w:w="15" w:type="dxa"/>
                    <w:right w:w="15" w:type="dxa"/>
                  </w:tcMar>
                  <w:vAlign w:val="center"/>
                </w:tcPr>
                <w:p w14:paraId="2D24B692">
                  <w:pPr>
                    <w:spacing w:line="300" w:lineRule="exact"/>
                    <w:jc w:val="center"/>
                    <w:rPr>
                      <w:rFonts w:hint="default"/>
                      <w:highlight w:val="none"/>
                      <w:lang w:val="en-US" w:eastAsia="zh-CN"/>
                    </w:rPr>
                  </w:pPr>
                  <w:r>
                    <w:rPr>
                      <w:rFonts w:ascii="Times New Roman" w:hAnsi="Times New Roman" w:cs="Times New Roman"/>
                      <w:bCs/>
                      <w:snapToGrid w:val="0"/>
                      <w:kern w:val="0"/>
                      <w:szCs w:val="21"/>
                      <w:highlight w:val="none"/>
                    </w:rPr>
                    <w:t>2013年8月14日</w:t>
                  </w:r>
                </w:p>
              </w:tc>
            </w:tr>
            <w:tr w14:paraId="3EBAAA73">
              <w:tblPrEx>
                <w:tblCellMar>
                  <w:top w:w="0" w:type="dxa"/>
                  <w:left w:w="0" w:type="dxa"/>
                  <w:bottom w:w="0" w:type="dxa"/>
                  <w:right w:w="0" w:type="dxa"/>
                </w:tblCellMar>
              </w:tblPrEx>
              <w:trPr>
                <w:trHeight w:val="425" w:hRule="atLeast"/>
              </w:trPr>
              <w:tc>
                <w:tcPr>
                  <w:tcW w:w="228"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BA2B53">
                  <w:pPr>
                    <w:jc w:val="center"/>
                    <w:rPr>
                      <w:rFonts w:hint="eastAsia" w:ascii="Times New Roman" w:hAnsi="Times New Roman" w:eastAsia="宋体" w:cs="Times New Roman"/>
                      <w:kern w:val="2"/>
                      <w:sz w:val="21"/>
                      <w:szCs w:val="24"/>
                      <w:highlight w:val="none"/>
                      <w:lang w:val="en-US" w:eastAsia="zh-CN" w:bidi="ar-SA"/>
                    </w:rPr>
                  </w:pPr>
                </w:p>
              </w:tc>
              <w:tc>
                <w:tcPr>
                  <w:tcW w:w="1210"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105E6E">
                  <w:pPr>
                    <w:jc w:val="center"/>
                    <w:rPr>
                      <w:highlight w:val="none"/>
                    </w:rPr>
                  </w:pPr>
                </w:p>
              </w:tc>
              <w:tc>
                <w:tcPr>
                  <w:tcW w:w="58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3371F">
                  <w:pPr>
                    <w:jc w:val="center"/>
                    <w:rPr>
                      <w:highlight w:val="none"/>
                    </w:rPr>
                  </w:pPr>
                </w:p>
              </w:tc>
              <w:tc>
                <w:tcPr>
                  <w:tcW w:w="584" w:type="pct"/>
                  <w:gridSpan w:val="2"/>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5319D7">
                  <w:pPr>
                    <w:jc w:val="center"/>
                    <w:rPr>
                      <w:highlight w:val="none"/>
                    </w:rPr>
                  </w:pPr>
                </w:p>
              </w:tc>
              <w:tc>
                <w:tcPr>
                  <w:tcW w:w="583"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692389">
                  <w:pPr>
                    <w:jc w:val="center"/>
                    <w:rPr>
                      <w:highlight w:val="none"/>
                    </w:rPr>
                  </w:pPr>
                </w:p>
              </w:tc>
              <w:tc>
                <w:tcPr>
                  <w:tcW w:w="649"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F6DFC8">
                  <w:pPr>
                    <w:jc w:val="center"/>
                    <w:rPr>
                      <w:highlight w:val="none"/>
                    </w:rPr>
                  </w:pPr>
                </w:p>
              </w:tc>
              <w:tc>
                <w:tcPr>
                  <w:tcW w:w="634"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3DCA99">
                  <w:pPr>
                    <w:jc w:val="center"/>
                    <w:rPr>
                      <w:highlight w:val="none"/>
                    </w:rPr>
                  </w:pPr>
                </w:p>
              </w:tc>
              <w:tc>
                <w:tcPr>
                  <w:tcW w:w="520" w:type="pct"/>
                  <w:vMerge w:val="continue"/>
                  <w:tcBorders>
                    <w:top w:val="single" w:color="000000" w:sz="4" w:space="0"/>
                    <w:left w:val="single" w:color="000000" w:sz="4" w:space="0"/>
                    <w:bottom w:val="single" w:color="000000" w:sz="4" w:space="0"/>
                    <w:right w:val="single" w:color="000000" w:sz="12" w:space="0"/>
                  </w:tcBorders>
                  <w:noWrap/>
                  <w:tcMar>
                    <w:top w:w="15" w:type="dxa"/>
                    <w:left w:w="15" w:type="dxa"/>
                    <w:right w:w="15" w:type="dxa"/>
                  </w:tcMar>
                  <w:vAlign w:val="center"/>
                </w:tcPr>
                <w:p w14:paraId="5F4BEF5B">
                  <w:pPr>
                    <w:jc w:val="center"/>
                    <w:rPr>
                      <w:highlight w:val="none"/>
                    </w:rPr>
                  </w:pPr>
                </w:p>
              </w:tc>
            </w:tr>
            <w:tr w14:paraId="2C209A15">
              <w:tblPrEx>
                <w:tblCellMar>
                  <w:top w:w="0" w:type="dxa"/>
                  <w:left w:w="0" w:type="dxa"/>
                  <w:bottom w:w="0" w:type="dxa"/>
                  <w:right w:w="0" w:type="dxa"/>
                </w:tblCellMar>
              </w:tblPrEx>
              <w:trPr>
                <w:trHeight w:val="425" w:hRule="atLeast"/>
              </w:trPr>
              <w:tc>
                <w:tcPr>
                  <w:tcW w:w="22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1110EE">
                  <w:pPr>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3</w:t>
                  </w:r>
                </w:p>
              </w:tc>
              <w:tc>
                <w:tcPr>
                  <w:tcW w:w="121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A4314">
                  <w:pPr>
                    <w:jc w:val="center"/>
                    <w:rPr>
                      <w:highlight w:val="none"/>
                    </w:rPr>
                  </w:pPr>
                  <w:r>
                    <w:rPr>
                      <w:rFonts w:hint="eastAsia"/>
                      <w:highlight w:val="none"/>
                      <w:lang w:val="en-US" w:eastAsia="zh-CN"/>
                    </w:rPr>
                    <w:t>唐山市宝鼎建材有限公司技改项目环境影响报告表</w:t>
                  </w:r>
                </w:p>
              </w:tc>
              <w:tc>
                <w:tcPr>
                  <w:tcW w:w="58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E7A2A6">
                  <w:pPr>
                    <w:jc w:val="center"/>
                    <w:rPr>
                      <w:highlight w:val="none"/>
                    </w:rPr>
                  </w:pPr>
                  <w:r>
                    <w:rPr>
                      <w:rFonts w:hint="eastAsia"/>
                      <w:highlight w:val="none"/>
                      <w:lang w:val="en-US" w:eastAsia="zh-CN"/>
                    </w:rPr>
                    <w:t>唐山市环境环保局高新技术产业开发区分局</w:t>
                  </w:r>
                </w:p>
              </w:tc>
              <w:tc>
                <w:tcPr>
                  <w:tcW w:w="58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6D5C32">
                  <w:pPr>
                    <w:jc w:val="center"/>
                    <w:rPr>
                      <w:highlight w:val="none"/>
                    </w:rPr>
                  </w:pPr>
                  <w:r>
                    <w:rPr>
                      <w:rFonts w:hint="eastAsia"/>
                      <w:highlight w:val="none"/>
                      <w:lang w:val="en-US" w:eastAsia="zh-CN"/>
                    </w:rPr>
                    <w:t>唐高环评表(2019)40号</w:t>
                  </w:r>
                </w:p>
              </w:tc>
              <w:tc>
                <w:tcPr>
                  <w:tcW w:w="58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C9ADF7">
                  <w:pPr>
                    <w:jc w:val="center"/>
                    <w:rPr>
                      <w:rFonts w:hint="default"/>
                      <w:highlight w:val="none"/>
                      <w:lang w:val="en-US" w:eastAsia="zh-CN"/>
                    </w:rPr>
                  </w:pPr>
                  <w:r>
                    <w:rPr>
                      <w:rFonts w:hint="eastAsia"/>
                      <w:highlight w:val="none"/>
                      <w:lang w:val="en-US" w:eastAsia="zh-CN"/>
                    </w:rPr>
                    <w:t>2019年6月19日</w:t>
                  </w:r>
                </w:p>
              </w:tc>
              <w:tc>
                <w:tcPr>
                  <w:tcW w:w="64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A4E69">
                  <w:pPr>
                    <w:jc w:val="center"/>
                    <w:rPr>
                      <w:rFonts w:hint="eastAsia"/>
                      <w:highlight w:val="none"/>
                      <w:lang w:val="en-US" w:eastAsia="zh-CN"/>
                    </w:rPr>
                  </w:pPr>
                  <w:r>
                    <w:rPr>
                      <w:rFonts w:hint="eastAsia"/>
                      <w:highlight w:val="none"/>
                      <w:lang w:val="en-US" w:eastAsia="zh-CN"/>
                    </w:rPr>
                    <w:t>唐山市宝鼎建材有限公司</w:t>
                  </w:r>
                </w:p>
              </w:tc>
              <w:tc>
                <w:tcPr>
                  <w:tcW w:w="63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08A888">
                  <w:pPr>
                    <w:jc w:val="center"/>
                    <w:rPr>
                      <w:rFonts w:hint="default"/>
                      <w:highlight w:val="none"/>
                      <w:lang w:val="en-US" w:eastAsia="zh-CN"/>
                    </w:rPr>
                  </w:pPr>
                  <w:r>
                    <w:rPr>
                      <w:rFonts w:hint="eastAsia"/>
                      <w:highlight w:val="none"/>
                      <w:lang w:val="en-US" w:eastAsia="zh-CN"/>
                    </w:rPr>
                    <w:t>自主验收</w:t>
                  </w:r>
                </w:p>
              </w:tc>
              <w:tc>
                <w:tcPr>
                  <w:tcW w:w="520" w:type="pct"/>
                  <w:tcBorders>
                    <w:top w:val="single" w:color="000000" w:sz="4" w:space="0"/>
                    <w:left w:val="single" w:color="000000" w:sz="4" w:space="0"/>
                    <w:bottom w:val="single" w:color="000000" w:sz="4" w:space="0"/>
                    <w:right w:val="single" w:color="000000" w:sz="12" w:space="0"/>
                  </w:tcBorders>
                  <w:noWrap/>
                  <w:tcMar>
                    <w:top w:w="15" w:type="dxa"/>
                    <w:left w:w="15" w:type="dxa"/>
                    <w:right w:w="15" w:type="dxa"/>
                  </w:tcMar>
                  <w:vAlign w:val="center"/>
                </w:tcPr>
                <w:p w14:paraId="7690B41A">
                  <w:pPr>
                    <w:jc w:val="center"/>
                    <w:rPr>
                      <w:rFonts w:hint="default"/>
                      <w:highlight w:val="none"/>
                      <w:lang w:val="en-US" w:eastAsia="zh-CN"/>
                    </w:rPr>
                  </w:pPr>
                  <w:r>
                    <w:rPr>
                      <w:rFonts w:hint="eastAsia"/>
                      <w:highlight w:val="none"/>
                      <w:lang w:val="en-US" w:eastAsia="zh-CN"/>
                    </w:rPr>
                    <w:t>2019年11月17日</w:t>
                  </w:r>
                </w:p>
              </w:tc>
            </w:tr>
            <w:tr w14:paraId="6B896D74">
              <w:tblPrEx>
                <w:tblCellMar>
                  <w:top w:w="0" w:type="dxa"/>
                  <w:left w:w="0" w:type="dxa"/>
                  <w:bottom w:w="0" w:type="dxa"/>
                  <w:right w:w="0" w:type="dxa"/>
                </w:tblCellMar>
              </w:tblPrEx>
              <w:trPr>
                <w:trHeight w:val="425" w:hRule="atLeast"/>
              </w:trPr>
              <w:tc>
                <w:tcPr>
                  <w:tcW w:w="228" w:type="pct"/>
                  <w:tcBorders>
                    <w:top w:val="single" w:color="000000" w:sz="4" w:space="0"/>
                    <w:left w:val="single" w:color="000000" w:sz="4" w:space="0"/>
                    <w:bottom w:val="single" w:color="000000" w:sz="12" w:space="0"/>
                    <w:right w:val="single" w:color="000000" w:sz="4" w:space="0"/>
                  </w:tcBorders>
                  <w:noWrap w:val="0"/>
                  <w:tcMar>
                    <w:top w:w="15" w:type="dxa"/>
                    <w:left w:w="15" w:type="dxa"/>
                    <w:right w:w="15" w:type="dxa"/>
                  </w:tcMar>
                  <w:vAlign w:val="center"/>
                </w:tcPr>
                <w:p w14:paraId="2744C267">
                  <w:pPr>
                    <w:jc w:val="center"/>
                    <w:rPr>
                      <w:rFonts w:hint="default"/>
                      <w:highlight w:val="none"/>
                      <w:lang w:val="en-US" w:eastAsia="zh-CN"/>
                    </w:rPr>
                  </w:pPr>
                  <w:r>
                    <w:rPr>
                      <w:rFonts w:hint="eastAsia"/>
                      <w:highlight w:val="none"/>
                      <w:lang w:val="en-US" w:eastAsia="zh-CN"/>
                    </w:rPr>
                    <w:t>4</w:t>
                  </w:r>
                </w:p>
              </w:tc>
              <w:tc>
                <w:tcPr>
                  <w:tcW w:w="1210" w:type="pct"/>
                  <w:tcBorders>
                    <w:top w:val="single" w:color="000000" w:sz="4" w:space="0"/>
                    <w:left w:val="single" w:color="000000" w:sz="4" w:space="0"/>
                    <w:bottom w:val="single" w:color="000000" w:sz="12" w:space="0"/>
                    <w:right w:val="single" w:color="000000" w:sz="4" w:space="0"/>
                  </w:tcBorders>
                  <w:noWrap w:val="0"/>
                  <w:tcMar>
                    <w:top w:w="15" w:type="dxa"/>
                    <w:left w:w="15" w:type="dxa"/>
                    <w:right w:w="15" w:type="dxa"/>
                  </w:tcMar>
                  <w:vAlign w:val="center"/>
                </w:tcPr>
                <w:p w14:paraId="19AA5B28">
                  <w:pPr>
                    <w:jc w:val="center"/>
                    <w:rPr>
                      <w:rFonts w:hint="eastAsia"/>
                      <w:highlight w:val="none"/>
                      <w:lang w:val="en-US" w:eastAsia="zh-CN"/>
                    </w:rPr>
                  </w:pPr>
                  <w:r>
                    <w:rPr>
                      <w:rFonts w:hint="eastAsia"/>
                      <w:highlight w:val="none"/>
                      <w:lang w:val="en-US" w:eastAsia="zh-CN"/>
                    </w:rPr>
                    <w:t>唐山市宝鼎建材有限公司2t/h蒸汽锅炉改建项目环境影响报告表</w:t>
                  </w:r>
                </w:p>
              </w:tc>
              <w:tc>
                <w:tcPr>
                  <w:tcW w:w="589" w:type="pct"/>
                  <w:tcBorders>
                    <w:top w:val="single" w:color="000000" w:sz="4" w:space="0"/>
                    <w:left w:val="single" w:color="000000" w:sz="4" w:space="0"/>
                    <w:bottom w:val="single" w:color="000000" w:sz="12" w:space="0"/>
                    <w:right w:val="single" w:color="000000" w:sz="4" w:space="0"/>
                  </w:tcBorders>
                  <w:noWrap w:val="0"/>
                  <w:tcMar>
                    <w:top w:w="15" w:type="dxa"/>
                    <w:left w:w="15" w:type="dxa"/>
                    <w:right w:w="15" w:type="dxa"/>
                  </w:tcMar>
                  <w:vAlign w:val="center"/>
                </w:tcPr>
                <w:p w14:paraId="0D4E60F2">
                  <w:pPr>
                    <w:jc w:val="center"/>
                    <w:rPr>
                      <w:rFonts w:hint="eastAsia"/>
                      <w:highlight w:val="none"/>
                      <w:lang w:val="en-US" w:eastAsia="zh-CN"/>
                    </w:rPr>
                  </w:pPr>
                  <w:r>
                    <w:rPr>
                      <w:rFonts w:hint="eastAsia"/>
                      <w:highlight w:val="none"/>
                      <w:lang w:val="en-US" w:eastAsia="zh-CN"/>
                    </w:rPr>
                    <w:t>唐山市环境环保局高新技术产业开发区分局</w:t>
                  </w:r>
                </w:p>
              </w:tc>
              <w:tc>
                <w:tcPr>
                  <w:tcW w:w="583" w:type="pct"/>
                  <w:tcBorders>
                    <w:top w:val="single" w:color="000000" w:sz="4" w:space="0"/>
                    <w:left w:val="single" w:color="000000" w:sz="4" w:space="0"/>
                    <w:bottom w:val="single" w:color="000000" w:sz="12" w:space="0"/>
                    <w:right w:val="single" w:color="000000" w:sz="4" w:space="0"/>
                  </w:tcBorders>
                  <w:noWrap w:val="0"/>
                  <w:tcMar>
                    <w:top w:w="15" w:type="dxa"/>
                    <w:left w:w="15" w:type="dxa"/>
                    <w:right w:w="15" w:type="dxa"/>
                  </w:tcMar>
                  <w:vAlign w:val="center"/>
                </w:tcPr>
                <w:p w14:paraId="68405890">
                  <w:pPr>
                    <w:jc w:val="center"/>
                    <w:rPr>
                      <w:rFonts w:hint="default"/>
                      <w:highlight w:val="none"/>
                      <w:lang w:val="en-US" w:eastAsia="zh-CN"/>
                    </w:rPr>
                  </w:pPr>
                  <w:r>
                    <w:rPr>
                      <w:rFonts w:hint="eastAsia"/>
                      <w:highlight w:val="none"/>
                      <w:lang w:val="en-US" w:eastAsia="zh-CN"/>
                    </w:rPr>
                    <w:t>唐高行审环表(2021)33号</w:t>
                  </w:r>
                </w:p>
              </w:tc>
              <w:tc>
                <w:tcPr>
                  <w:tcW w:w="584" w:type="pct"/>
                  <w:gridSpan w:val="2"/>
                  <w:tcBorders>
                    <w:top w:val="single" w:color="000000" w:sz="4" w:space="0"/>
                    <w:left w:val="single" w:color="000000" w:sz="4" w:space="0"/>
                    <w:bottom w:val="single" w:color="000000" w:sz="12" w:space="0"/>
                    <w:right w:val="single" w:color="000000" w:sz="4" w:space="0"/>
                  </w:tcBorders>
                  <w:noWrap w:val="0"/>
                  <w:tcMar>
                    <w:top w:w="15" w:type="dxa"/>
                    <w:left w:w="15" w:type="dxa"/>
                    <w:right w:w="15" w:type="dxa"/>
                  </w:tcMar>
                  <w:vAlign w:val="center"/>
                </w:tcPr>
                <w:p w14:paraId="2E09110A">
                  <w:pPr>
                    <w:jc w:val="center"/>
                    <w:rPr>
                      <w:rFonts w:hint="default"/>
                      <w:highlight w:val="none"/>
                      <w:lang w:val="en-US" w:eastAsia="zh-CN"/>
                    </w:rPr>
                  </w:pPr>
                  <w:r>
                    <w:rPr>
                      <w:rFonts w:hint="eastAsia"/>
                      <w:highlight w:val="none"/>
                      <w:lang w:val="en-US" w:eastAsia="zh-CN"/>
                    </w:rPr>
                    <w:t>2021年12月16日</w:t>
                  </w:r>
                </w:p>
              </w:tc>
              <w:tc>
                <w:tcPr>
                  <w:tcW w:w="649" w:type="pct"/>
                  <w:tcBorders>
                    <w:top w:val="single" w:color="000000" w:sz="4" w:space="0"/>
                    <w:left w:val="single" w:color="000000" w:sz="4" w:space="0"/>
                    <w:bottom w:val="single" w:color="000000" w:sz="12" w:space="0"/>
                    <w:right w:val="single" w:color="000000" w:sz="4" w:space="0"/>
                  </w:tcBorders>
                  <w:noWrap w:val="0"/>
                  <w:tcMar>
                    <w:top w:w="15" w:type="dxa"/>
                    <w:left w:w="15" w:type="dxa"/>
                    <w:right w:w="15" w:type="dxa"/>
                  </w:tcMar>
                  <w:vAlign w:val="center"/>
                </w:tcPr>
                <w:p w14:paraId="2AEF687B">
                  <w:pPr>
                    <w:jc w:val="center"/>
                    <w:rPr>
                      <w:rFonts w:hint="eastAsia"/>
                      <w:highlight w:val="none"/>
                      <w:lang w:val="en-US" w:eastAsia="zh-CN"/>
                    </w:rPr>
                  </w:pPr>
                  <w:r>
                    <w:rPr>
                      <w:rFonts w:hint="eastAsia"/>
                      <w:highlight w:val="none"/>
                      <w:lang w:val="en-US" w:eastAsia="zh-CN"/>
                    </w:rPr>
                    <w:t>唐山市宝鼎建材有限公司</w:t>
                  </w:r>
                </w:p>
              </w:tc>
              <w:tc>
                <w:tcPr>
                  <w:tcW w:w="634" w:type="pct"/>
                  <w:tcBorders>
                    <w:top w:val="single" w:color="000000" w:sz="4" w:space="0"/>
                    <w:left w:val="single" w:color="000000" w:sz="4" w:space="0"/>
                    <w:bottom w:val="single" w:color="000000" w:sz="12" w:space="0"/>
                    <w:right w:val="single" w:color="000000" w:sz="4" w:space="0"/>
                  </w:tcBorders>
                  <w:noWrap w:val="0"/>
                  <w:tcMar>
                    <w:top w:w="15" w:type="dxa"/>
                    <w:left w:w="15" w:type="dxa"/>
                    <w:right w:w="15" w:type="dxa"/>
                  </w:tcMar>
                  <w:vAlign w:val="center"/>
                </w:tcPr>
                <w:p w14:paraId="4A9CFFC8">
                  <w:pPr>
                    <w:jc w:val="center"/>
                    <w:rPr>
                      <w:rFonts w:hint="eastAsia"/>
                      <w:highlight w:val="none"/>
                      <w:lang w:val="en-US" w:eastAsia="zh-CN"/>
                    </w:rPr>
                  </w:pPr>
                  <w:r>
                    <w:rPr>
                      <w:rFonts w:hint="eastAsia"/>
                      <w:highlight w:val="none"/>
                      <w:lang w:val="en-US" w:eastAsia="zh-CN"/>
                    </w:rPr>
                    <w:t>未验收</w:t>
                  </w:r>
                </w:p>
              </w:tc>
              <w:tc>
                <w:tcPr>
                  <w:tcW w:w="520" w:type="pct"/>
                  <w:tcBorders>
                    <w:top w:val="single" w:color="000000" w:sz="4" w:space="0"/>
                    <w:left w:val="single" w:color="000000" w:sz="4" w:space="0"/>
                    <w:bottom w:val="single" w:color="000000" w:sz="12" w:space="0"/>
                    <w:right w:val="single" w:color="000000" w:sz="12" w:space="0"/>
                  </w:tcBorders>
                  <w:noWrap/>
                  <w:tcMar>
                    <w:top w:w="15" w:type="dxa"/>
                    <w:left w:w="15" w:type="dxa"/>
                    <w:right w:w="15" w:type="dxa"/>
                  </w:tcMar>
                  <w:vAlign w:val="center"/>
                </w:tcPr>
                <w:p w14:paraId="42C82368">
                  <w:pPr>
                    <w:jc w:val="center"/>
                    <w:rPr>
                      <w:rFonts w:hint="default"/>
                      <w:highlight w:val="none"/>
                      <w:lang w:val="en-US" w:eastAsia="zh-CN"/>
                    </w:rPr>
                  </w:pPr>
                  <w:r>
                    <w:rPr>
                      <w:rFonts w:hint="eastAsia"/>
                      <w:highlight w:val="none"/>
                      <w:lang w:val="en-US" w:eastAsia="zh-CN"/>
                    </w:rPr>
                    <w:t>/</w:t>
                  </w:r>
                </w:p>
              </w:tc>
            </w:tr>
          </w:tbl>
          <w:p w14:paraId="767589E4">
            <w:pPr>
              <w:keepNext w:val="0"/>
              <w:keepLines w:val="0"/>
              <w:pageBreakBefore w:val="0"/>
              <w:widowControl w:val="0"/>
              <w:numPr>
                <w:ilvl w:val="0"/>
                <w:numId w:val="0"/>
              </w:numPr>
              <w:kinsoku/>
              <w:wordWrap/>
              <w:overflowPunct/>
              <w:topLinePunct w:val="0"/>
              <w:autoSpaceDE/>
              <w:autoSpaceDN/>
              <w:bidi w:val="0"/>
              <w:spacing w:line="400" w:lineRule="exact"/>
              <w:ind w:leftChars="200" w:right="0" w:rightChars="0"/>
              <w:jc w:val="both"/>
              <w:textAlignment w:val="auto"/>
              <w:rPr>
                <w:rFonts w:hint="eastAsia"/>
                <w:highlight w:val="none"/>
                <w:lang w:val="en-US" w:eastAsia="zh-CN"/>
              </w:rPr>
            </w:pPr>
            <w:r>
              <w:rPr>
                <w:rFonts w:hint="eastAsia"/>
                <w:highlight w:val="none"/>
                <w:lang w:val="en-US" w:eastAsia="zh-CN"/>
              </w:rPr>
              <w:t>三、原有工程水平衡</w:t>
            </w:r>
          </w:p>
          <w:p w14:paraId="7D13E73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唐山市宝鼎建材有限公司</w:t>
            </w:r>
            <w:r>
              <w:rPr>
                <w:rFonts w:hint="eastAsia" w:cs="Times New Roman"/>
                <w:highlight w:val="none"/>
                <w:lang w:val="en-US" w:eastAsia="zh-CN"/>
              </w:rPr>
              <w:t>原有</w:t>
            </w:r>
            <w:r>
              <w:rPr>
                <w:rFonts w:hint="eastAsia" w:ascii="Times New Roman" w:hAnsi="Times New Roman" w:cs="Times New Roman"/>
                <w:highlight w:val="none"/>
                <w:lang w:val="en-US" w:eastAsia="zh-CN"/>
              </w:rPr>
              <w:t>生产用水总量为</w:t>
            </w:r>
            <w:r>
              <w:rPr>
                <w:rFonts w:hint="eastAsia" w:cs="Times New Roman"/>
                <w:highlight w:val="none"/>
                <w:lang w:val="en-US" w:eastAsia="zh-CN"/>
              </w:rPr>
              <w:t>4384</w:t>
            </w:r>
            <w:r>
              <w:rPr>
                <w:rFonts w:hint="eastAsia" w:ascii="Times New Roman" w:hAnsi="Times New Roman" w:cs="Times New Roman"/>
                <w:highlight w:val="none"/>
                <w:lang w:val="en-US" w:eastAsia="zh-CN"/>
              </w:rPr>
              <w:t>t/a</w:t>
            </w:r>
            <w:r>
              <w:rPr>
                <w:rFonts w:hint="eastAsia" w:cs="Times New Roman"/>
                <w:highlight w:val="none"/>
                <w:lang w:val="en-US" w:eastAsia="zh-CN"/>
              </w:rPr>
              <w:t>，</w:t>
            </w:r>
            <w:r>
              <w:rPr>
                <w:rFonts w:hint="eastAsia" w:ascii="Times New Roman" w:hAnsi="Times New Roman" w:cs="Times New Roman"/>
                <w:highlight w:val="none"/>
                <w:lang w:val="en-US" w:eastAsia="zh-CN"/>
              </w:rPr>
              <w:t>其中新鲜水用量为</w:t>
            </w:r>
            <w:r>
              <w:rPr>
                <w:rFonts w:hint="eastAsia" w:cs="Times New Roman"/>
                <w:highlight w:val="none"/>
                <w:lang w:val="en-US" w:eastAsia="zh-CN"/>
              </w:rPr>
              <w:t>21.2t/d（4364t/a），</w:t>
            </w:r>
            <w:r>
              <w:rPr>
                <w:rFonts w:hint="eastAsia" w:ascii="Times New Roman" w:hAnsi="Times New Roman" w:cs="Times New Roman"/>
                <w:highlight w:val="none"/>
                <w:lang w:val="en-US" w:eastAsia="zh-CN"/>
              </w:rPr>
              <w:t>循环</w:t>
            </w:r>
            <w:r>
              <w:rPr>
                <w:rFonts w:hint="eastAsia" w:cs="Times New Roman"/>
                <w:highlight w:val="none"/>
                <w:lang w:val="en-US" w:eastAsia="zh-CN"/>
              </w:rPr>
              <w:t>水池固定存水20t</w:t>
            </w:r>
            <w:r>
              <w:rPr>
                <w:rFonts w:hint="eastAsia" w:ascii="Times New Roman" w:hAnsi="Times New Roman" w:cs="Times New Roman"/>
                <w:highlight w:val="none"/>
                <w:lang w:val="en-US" w:eastAsia="zh-CN"/>
              </w:rPr>
              <w:t>，二次用水量为</w:t>
            </w:r>
            <w:r>
              <w:rPr>
                <w:rFonts w:hint="eastAsia" w:cs="Times New Roman"/>
                <w:highlight w:val="none"/>
                <w:lang w:val="en-US" w:eastAsia="zh-CN"/>
              </w:rPr>
              <w:t>4.8</w:t>
            </w:r>
            <w:r>
              <w:rPr>
                <w:rFonts w:hint="eastAsia" w:ascii="Times New Roman" w:hAnsi="Times New Roman" w:cs="Times New Roman"/>
                <w:highlight w:val="none"/>
                <w:lang w:val="en-US" w:eastAsia="zh-CN"/>
              </w:rPr>
              <w:t>t/d（</w:t>
            </w:r>
            <w:r>
              <w:rPr>
                <w:rFonts w:hint="eastAsia" w:cs="Times New Roman"/>
                <w:highlight w:val="none"/>
                <w:lang w:val="en-US" w:eastAsia="zh-CN"/>
              </w:rPr>
              <w:t>960</w:t>
            </w:r>
            <w:r>
              <w:rPr>
                <w:rFonts w:hint="eastAsia" w:ascii="Times New Roman" w:hAnsi="Times New Roman" w:cs="Times New Roman"/>
                <w:highlight w:val="none"/>
                <w:lang w:val="en-US" w:eastAsia="zh-CN"/>
              </w:rPr>
              <w:t>t/a）</w:t>
            </w:r>
            <w:r>
              <w:rPr>
                <w:rFonts w:hint="eastAsia" w:cs="Times New Roman"/>
                <w:highlight w:val="none"/>
                <w:lang w:val="en-US" w:eastAsia="zh-CN"/>
              </w:rPr>
              <w:t>。</w:t>
            </w:r>
          </w:p>
          <w:p w14:paraId="0D7389B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生产用水循环使用不外排，生活用水主要为职工饮用、盥洗和食堂用水，用水量为1.2t/d（324t/a）,污水产生量为0.96t/d（259.2t/a），排入化粪池内，定期清掏。</w:t>
            </w:r>
          </w:p>
          <w:p w14:paraId="3C3E7866">
            <w:pPr>
              <w:pStyle w:val="2"/>
              <w:rPr>
                <w:rFonts w:hint="default"/>
                <w:highlight w:val="none"/>
                <w:lang w:val="en-US" w:eastAsia="zh-CN"/>
              </w:rPr>
            </w:pPr>
            <w:r>
              <w:rPr>
                <w:rFonts w:hint="eastAsia"/>
                <w:highlight w:val="none"/>
                <w:lang w:val="en-US" w:eastAsia="zh-CN"/>
              </w:rPr>
              <w:t xml:space="preserve">    </w:t>
            </w:r>
            <w:r>
              <w:rPr>
                <w:rFonts w:hint="default"/>
                <w:highlight w:val="none"/>
                <w:lang w:val="en-US" w:eastAsia="zh-CN"/>
              </w:rPr>
              <w:drawing>
                <wp:inline distT="0" distB="0" distL="114300" distR="114300">
                  <wp:extent cx="4208145" cy="3360420"/>
                  <wp:effectExtent l="0" t="0" r="0" b="11430"/>
                  <wp:docPr id="2" name="ECB019B1-382A-4266-B25C-5B523AA43C14-2" descr="C:/Users/Administrator/AppData/Local/Temp/wps.GGqhcY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2" descr="C:/Users/Administrator/AppData/Local/Temp/wps.GGqhcYwps"/>
                          <pic:cNvPicPr>
                            <a:picLocks noChangeAspect="1"/>
                          </pic:cNvPicPr>
                        </pic:nvPicPr>
                        <pic:blipFill>
                          <a:blip r:embed="rId9"/>
                          <a:srcRect l="9451" t="8131" r="3024" b="4928"/>
                          <a:stretch>
                            <a:fillRect/>
                          </a:stretch>
                        </pic:blipFill>
                        <pic:spPr>
                          <a:xfrm>
                            <a:off x="0" y="0"/>
                            <a:ext cx="4208145" cy="3360420"/>
                          </a:xfrm>
                          <a:prstGeom prst="rect">
                            <a:avLst/>
                          </a:prstGeom>
                        </pic:spPr>
                      </pic:pic>
                    </a:graphicData>
                  </a:graphic>
                </wp:inline>
              </w:drawing>
            </w:r>
            <w:r>
              <w:rPr>
                <w:rFonts w:hint="eastAsia"/>
                <w:highlight w:val="none"/>
                <w:lang w:val="en-US" w:eastAsia="zh-CN"/>
              </w:rPr>
              <w:t xml:space="preserve">                                                     </w:t>
            </w:r>
          </w:p>
          <w:p w14:paraId="2B006CA7">
            <w:pPr>
              <w:pStyle w:val="17"/>
              <w:keepNext w:val="0"/>
              <w:keepLines w:val="0"/>
              <w:pageBreakBefore w:val="0"/>
              <w:kinsoku/>
              <w:wordWrap/>
              <w:overflowPunct/>
              <w:topLinePunct w:val="0"/>
              <w:bidi w:val="0"/>
              <w:spacing w:after="0" w:line="240" w:lineRule="auto"/>
              <w:ind w:left="0" w:leftChars="0" w:right="-22"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b/>
                <w:bCs/>
                <w:sz w:val="21"/>
                <w:szCs w:val="21"/>
                <w:highlight w:val="none"/>
              </w:rPr>
              <w:t>图2-</w:t>
            </w:r>
            <w:r>
              <w:rPr>
                <w:rFonts w:hint="eastAsia" w:ascii="宋体" w:hAnsi="宋体" w:eastAsia="宋体" w:cs="宋体"/>
                <w:b/>
                <w:bCs/>
                <w:sz w:val="21"/>
                <w:szCs w:val="21"/>
                <w:highlight w:val="none"/>
                <w:lang w:val="en-US" w:eastAsia="zh-CN"/>
              </w:rPr>
              <w:t>3  原有项目水平衡图</w:t>
            </w:r>
          </w:p>
          <w:p w14:paraId="48BB6134">
            <w:pPr>
              <w:keepNext w:val="0"/>
              <w:keepLines w:val="0"/>
              <w:pageBreakBefore w:val="0"/>
              <w:widowControl w:val="0"/>
              <w:numPr>
                <w:ilvl w:val="0"/>
                <w:numId w:val="0"/>
              </w:numPr>
              <w:kinsoku/>
              <w:wordWrap/>
              <w:overflowPunct/>
              <w:topLinePunct w:val="0"/>
              <w:autoSpaceDE/>
              <w:autoSpaceDN/>
              <w:bidi w:val="0"/>
              <w:spacing w:line="400" w:lineRule="exact"/>
              <w:ind w:leftChars="200" w:right="0" w:rightChars="0"/>
              <w:jc w:val="both"/>
              <w:textAlignment w:val="auto"/>
              <w:rPr>
                <w:rFonts w:hint="eastAsia"/>
                <w:highlight w:val="none"/>
                <w:lang w:val="en-US" w:eastAsia="zh-CN"/>
              </w:rPr>
            </w:pPr>
            <w:r>
              <w:rPr>
                <w:rFonts w:hint="eastAsia"/>
                <w:highlight w:val="none"/>
                <w:lang w:val="en-US" w:eastAsia="zh-CN"/>
              </w:rPr>
              <w:t>四、现有工程工艺流程</w:t>
            </w:r>
          </w:p>
          <w:p w14:paraId="34D5DC8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（一）保温砂浆和干粉砂浆生产线</w:t>
            </w:r>
          </w:p>
          <w:p w14:paraId="6328A0FE">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采用3台无重力混合搅拌机进行混合搅拌，并采用2台自动灌装机包装成品，生产过程自动化程度高，节省人力、物力，生产过产生的废气经通风系统引至布袋除尘器处理，污染物排放浓度低。</w:t>
            </w:r>
            <w:r>
              <w:rPr>
                <w:rFonts w:hint="eastAsia"/>
                <w:highlight w:val="none"/>
                <w:lang w:val="en-US" w:eastAsia="zh-CN"/>
              </w:rPr>
              <w:t>具体生产工艺如下：</w:t>
            </w:r>
          </w:p>
          <w:p w14:paraId="5DBE181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（1</w:t>
            </w:r>
            <w:r>
              <w:rPr>
                <w:rFonts w:hint="eastAsia"/>
                <w:highlight w:val="none"/>
                <w:lang w:val="en-US" w:eastAsia="zh-CN"/>
              </w:rPr>
              <w:t>）</w:t>
            </w:r>
            <w:r>
              <w:rPr>
                <w:rFonts w:hint="default"/>
                <w:highlight w:val="none"/>
                <w:lang w:val="en-US" w:eastAsia="zh-CN"/>
              </w:rPr>
              <w:t>原料储运：将外购来的水泥由水泥罐车运进厂后通过气力输送直接打入水泥罐内（水泥罐9座单个容量140t</w:t>
            </w:r>
            <w:r>
              <w:rPr>
                <w:rFonts w:hint="eastAsia"/>
                <w:highlight w:val="none"/>
                <w:lang w:val="en-US" w:eastAsia="zh-CN"/>
              </w:rPr>
              <w:t>)</w:t>
            </w:r>
            <w:r>
              <w:rPr>
                <w:rFonts w:hint="default"/>
                <w:highlight w:val="none"/>
                <w:lang w:val="en-US" w:eastAsia="zh-CN"/>
              </w:rPr>
              <w:t>、石英砂由运输车注入到相应的原料罐内（容量100t),胶粉为袋装由人工卸至生产车间内。</w:t>
            </w:r>
          </w:p>
          <w:p w14:paraId="537DC713">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（2</w:t>
            </w:r>
            <w:r>
              <w:rPr>
                <w:rFonts w:hint="eastAsia"/>
                <w:highlight w:val="none"/>
                <w:lang w:val="en-US" w:eastAsia="zh-CN"/>
              </w:rPr>
              <w:t>）</w:t>
            </w:r>
            <w:r>
              <w:rPr>
                <w:rFonts w:hint="default"/>
                <w:highlight w:val="none"/>
                <w:lang w:val="en-US" w:eastAsia="zh-CN"/>
              </w:rPr>
              <w:t>入料、搅拌</w:t>
            </w:r>
          </w:p>
          <w:p w14:paraId="091D7445">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将水泥、石英砂由蛟龙提升机送入喂料器，胶粉由人工称量后倒入喂料器，再经提升机自动进入无重力卧式搅拌机进行搅拌混匀。</w:t>
            </w:r>
          </w:p>
          <w:p w14:paraId="47E1E7A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（3</w:t>
            </w:r>
            <w:r>
              <w:rPr>
                <w:rFonts w:hint="eastAsia"/>
                <w:highlight w:val="none"/>
                <w:lang w:val="en-US" w:eastAsia="zh-CN"/>
              </w:rPr>
              <w:t>）</w:t>
            </w:r>
            <w:r>
              <w:rPr>
                <w:rFonts w:hint="default"/>
                <w:highlight w:val="none"/>
                <w:lang w:val="en-US" w:eastAsia="zh-CN"/>
              </w:rPr>
              <w:t>储料、包装：</w:t>
            </w:r>
          </w:p>
          <w:p w14:paraId="3AA8D2A5">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原料经由无重力卧式搅拌机搅匀后，通过连接管道进入自动灌装机装袋封口后即为成品，规格为25kg/袋。</w:t>
            </w:r>
          </w:p>
          <w:p w14:paraId="5FE1E93C">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砂浆主要生产工艺流程及排污节点图如下：</w:t>
            </w:r>
          </w:p>
          <w:p w14:paraId="15E7CD4F">
            <w:pPr>
              <w:keepNext w:val="0"/>
              <w:keepLines w:val="0"/>
              <w:pageBreakBefore w:val="0"/>
              <w:widowControl/>
              <w:kinsoku/>
              <w:wordWrap/>
              <w:overflowPunct/>
              <w:topLinePunct w:val="0"/>
              <w:autoSpaceDE/>
              <w:autoSpaceDN/>
              <w:bidi w:val="0"/>
              <w:adjustRightInd w:val="0"/>
              <w:snapToGrid w:val="0"/>
              <w:spacing w:line="400" w:lineRule="exact"/>
              <w:ind w:left="0" w:leftChars="0" w:firstLine="0" w:firstLineChars="0"/>
              <w:jc w:val="center"/>
              <w:textAlignment w:val="auto"/>
              <w:outlineLvl w:val="9"/>
              <w:rPr>
                <w:rFonts w:hint="eastAsia"/>
                <w:b/>
                <w:bCs/>
                <w:highlight w:val="none"/>
                <w:lang w:val="en-US" w:eastAsia="zh-CN"/>
              </w:rPr>
            </w:pPr>
            <w:r>
              <w:rPr>
                <w:rFonts w:hint="default"/>
                <w:b/>
                <w:bCs/>
                <w:highlight w:val="none"/>
                <w:lang w:val="en-US" w:eastAsia="zh-CN"/>
              </w:rPr>
              <w:drawing>
                <wp:anchor distT="0" distB="0" distL="114935" distR="114935" simplePos="0" relativeHeight="251661312" behindDoc="0" locked="0" layoutInCell="1" allowOverlap="1">
                  <wp:simplePos x="0" y="0"/>
                  <wp:positionH relativeFrom="column">
                    <wp:posOffset>195580</wp:posOffset>
                  </wp:positionH>
                  <wp:positionV relativeFrom="paragraph">
                    <wp:posOffset>44450</wp:posOffset>
                  </wp:positionV>
                  <wp:extent cx="4692650" cy="3823335"/>
                  <wp:effectExtent l="0" t="0" r="0" b="5715"/>
                  <wp:wrapTopAndBottom/>
                  <wp:docPr id="14" name="ECB019B1-382A-4266-B25C-5B523AA43C14-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CB019B1-382A-4266-B25C-5B523AA43C14-3" descr="wps"/>
                          <pic:cNvPicPr>
                            <a:picLocks noChangeAspect="1"/>
                          </pic:cNvPicPr>
                        </pic:nvPicPr>
                        <pic:blipFill>
                          <a:blip r:embed="rId10"/>
                          <a:srcRect l="6420" t="8775" r="3502" b="5420"/>
                          <a:stretch>
                            <a:fillRect/>
                          </a:stretch>
                        </pic:blipFill>
                        <pic:spPr>
                          <a:xfrm>
                            <a:off x="0" y="0"/>
                            <a:ext cx="4692650" cy="3823335"/>
                          </a:xfrm>
                          <a:prstGeom prst="rect">
                            <a:avLst/>
                          </a:prstGeom>
                        </pic:spPr>
                      </pic:pic>
                    </a:graphicData>
                  </a:graphic>
                </wp:anchor>
              </w:drawing>
            </w:r>
            <w:r>
              <w:rPr>
                <w:rFonts w:hint="eastAsia"/>
                <w:b/>
                <w:bCs/>
                <w:highlight w:val="none"/>
                <w:lang w:val="en-US" w:eastAsia="zh-CN"/>
              </w:rPr>
              <w:t>图2-4   砂浆生产工艺流程及排污节点图</w:t>
            </w:r>
          </w:p>
          <w:p w14:paraId="25164D18">
            <w:pPr>
              <w:keepNext w:val="0"/>
              <w:keepLines w:val="0"/>
              <w:pageBreakBefore w:val="0"/>
              <w:widowControl/>
              <w:numPr>
                <w:ilvl w:val="0"/>
                <w:numId w:val="8"/>
              </w:numPr>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XPS挤塑板和聚苯板生产线</w:t>
            </w:r>
          </w:p>
          <w:p w14:paraId="2B25EAC3">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公司生产XPS挤塑板工艺中，淘汰了含有氢氯氟烃（HCFCs)的发泡剂，采用目前最先进的惰性气体发泡技术－CO2组合发泡剂；在生产过程中，利用环保型原料，不产生有害气体，没有废水排放，所形成的固体边角料，可回收处理再利用。项目工艺布局简单合理，自动化程度高，电耗低，生产成本低、工艺成熟、安全可靠，处于国内</w:t>
            </w:r>
          </w:p>
          <w:p w14:paraId="01C5ABF0">
            <w:pPr>
              <w:keepNext w:val="0"/>
              <w:keepLines w:val="0"/>
              <w:pageBreakBefore w:val="0"/>
              <w:widowControl/>
              <w:kinsoku/>
              <w:wordWrap/>
              <w:overflowPunct/>
              <w:topLinePunct w:val="0"/>
              <w:autoSpaceDE/>
              <w:autoSpaceDN/>
              <w:bidi w:val="0"/>
              <w:adjustRightInd w:val="0"/>
              <w:snapToGrid w:val="0"/>
              <w:spacing w:line="400" w:lineRule="exact"/>
              <w:textAlignment w:val="auto"/>
              <w:outlineLvl w:val="9"/>
              <w:rPr>
                <w:rFonts w:hint="default"/>
                <w:highlight w:val="none"/>
                <w:lang w:val="en-US" w:eastAsia="zh-CN"/>
              </w:rPr>
            </w:pPr>
            <w:r>
              <w:rPr>
                <w:rFonts w:hint="default"/>
                <w:highlight w:val="none"/>
                <w:lang w:val="en-US" w:eastAsia="zh-CN"/>
              </w:rPr>
              <w:t>同行业先进水平。具体工艺分析如下：</w:t>
            </w:r>
          </w:p>
          <w:p w14:paraId="381004BF">
            <w:pPr>
              <w:keepNext w:val="0"/>
              <w:keepLines w:val="0"/>
              <w:pageBreakBefore w:val="0"/>
              <w:widowControl/>
              <w:numPr>
                <w:ilvl w:val="0"/>
                <w:numId w:val="9"/>
              </w:numPr>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XPS挤塑板生产工艺流程：</w:t>
            </w:r>
          </w:p>
          <w:p w14:paraId="05CC9E11">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①上料混合：人工将聚苯乙烯颗粒投入上料机，由上料机将聚苯乙烯颗粒投入混合机，同时阻燃剂、色母料经计量配比后进入混合机，进行混合。</w:t>
            </w:r>
          </w:p>
          <w:p w14:paraId="4E75F81C">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fldChar w:fldCharType="begin"/>
            </w:r>
            <w:r>
              <w:rPr>
                <w:rFonts w:hint="default"/>
                <w:highlight w:val="none"/>
                <w:lang w:val="en-US" w:eastAsia="zh-CN"/>
              </w:rPr>
              <w:instrText xml:space="preserve"> = 2 \* GB3 \* MERGEFORMAT </w:instrText>
            </w:r>
            <w:r>
              <w:rPr>
                <w:rFonts w:hint="default"/>
                <w:highlight w:val="none"/>
                <w:lang w:val="en-US" w:eastAsia="zh-CN"/>
              </w:rPr>
              <w:fldChar w:fldCharType="separate"/>
            </w:r>
            <w:r>
              <w:rPr>
                <w:highlight w:val="none"/>
              </w:rPr>
              <w:t>②</w:t>
            </w:r>
            <w:r>
              <w:rPr>
                <w:rFonts w:hint="default"/>
                <w:highlight w:val="none"/>
                <w:lang w:val="en-US" w:eastAsia="zh-CN"/>
              </w:rPr>
              <w:fldChar w:fldCharType="end"/>
            </w:r>
            <w:r>
              <w:rPr>
                <w:rFonts w:hint="default"/>
                <w:highlight w:val="none"/>
                <w:lang w:val="en-US" w:eastAsia="zh-CN"/>
              </w:rPr>
              <w:t>一级挤出塑化混合：混合均匀的物料采用螺旋输送形式注入一级挤出机进行加热、熔融；同时将发泡剂注入一级挤出机中部，使得初步熔融的原料与发泡剂均匀混合。</w:t>
            </w:r>
          </w:p>
          <w:p w14:paraId="062BD7B1">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③挤出：混合均匀的物料在压力作用下通过自动换网系统，对其进行过滤后进入二级挤出机。</w:t>
            </w:r>
          </w:p>
          <w:p w14:paraId="7E279BED">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④二级挤出熔融混炼：物料在二级挤出机中得到高效均匀混合，整机加热区温度在165℃~180℃左右。</w:t>
            </w:r>
          </w:p>
          <w:p w14:paraId="038BE5BD">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⑤经机头磨具挤出：在挤出机压力作用下，使物料通过机头模具，得到符合客户要求厚度的</w:t>
            </w:r>
            <w:r>
              <w:rPr>
                <w:rFonts w:hint="eastAsia"/>
                <w:highlight w:val="none"/>
                <w:lang w:val="en-US" w:eastAsia="zh-CN"/>
              </w:rPr>
              <w:t>XPS挤塑板</w:t>
            </w:r>
            <w:r>
              <w:rPr>
                <w:rFonts w:hint="default"/>
                <w:highlight w:val="none"/>
                <w:lang w:val="en-US" w:eastAsia="zh-CN"/>
              </w:rPr>
              <w:t>。</w:t>
            </w:r>
          </w:p>
          <w:p w14:paraId="30990F4F">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⑥冷却成型：由于</w:t>
            </w:r>
            <w:r>
              <w:rPr>
                <w:rFonts w:hint="eastAsia"/>
                <w:highlight w:val="none"/>
                <w:lang w:val="en-US" w:eastAsia="zh-CN"/>
              </w:rPr>
              <w:t>XPS挤塑板</w:t>
            </w:r>
            <w:r>
              <w:rPr>
                <w:rFonts w:hint="default"/>
                <w:highlight w:val="none"/>
                <w:lang w:val="en-US" w:eastAsia="zh-CN"/>
              </w:rPr>
              <w:t>仍处于熔融状态，故生产线中的冷却定型装置通过循环冷却水对</w:t>
            </w:r>
            <w:r>
              <w:rPr>
                <w:rFonts w:hint="eastAsia"/>
                <w:highlight w:val="none"/>
                <w:lang w:val="en-US" w:eastAsia="zh-CN"/>
              </w:rPr>
              <w:t>XPS挤塑板</w:t>
            </w:r>
            <w:r>
              <w:rPr>
                <w:rFonts w:hint="default"/>
                <w:highlight w:val="none"/>
                <w:lang w:val="en-US" w:eastAsia="zh-CN"/>
              </w:rPr>
              <w:t>进行间接冷却定型。</w:t>
            </w:r>
          </w:p>
          <w:p w14:paraId="7BCA1652">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⑦一级牵引：通过牵引机给予刚刚成型制品的起初动力，使生产过程继续运行。</w:t>
            </w:r>
          </w:p>
          <w:p w14:paraId="16E6E7C0">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⑧输送送冷：成型制品在导辊架上得到进一步自然冷却。</w:t>
            </w:r>
          </w:p>
          <w:p w14:paraId="24680E08">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⑨二级牵引：二级牵引可充分保证板材在生产过程中的前进动力，同时给纵向切割板材余边提高动力。</w:t>
            </w:r>
          </w:p>
          <w:p w14:paraId="5BF25BFC">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default"/>
                <w:highlight w:val="none"/>
                <w:lang w:val="en-US" w:eastAsia="zh-CN"/>
              </w:rPr>
            </w:pPr>
            <w:r>
              <w:rPr>
                <w:rFonts w:hint="default"/>
                <w:highlight w:val="none"/>
                <w:lang w:val="en-US" w:eastAsia="zh-CN"/>
              </w:rPr>
              <w:t>⑩纵向、横向切割：根据产品规格，对制品进行切割。纵向切割使得板材切面光泽整齐无毛刺。纵向切割后，根据客户需要，采用丝杆传动，带动刀片切割成一定长度（横向切割），被切割成定长的制品由传送带自动进入包装区，由工人包装后，暂存、待售。</w:t>
            </w:r>
          </w:p>
          <w:p w14:paraId="72BC3CDC">
            <w:pPr>
              <w:keepNext w:val="0"/>
              <w:keepLines w:val="0"/>
              <w:pageBreakBefore w:val="0"/>
              <w:widowControl/>
              <w:kinsoku/>
              <w:wordWrap/>
              <w:overflowPunct/>
              <w:topLinePunct w:val="0"/>
              <w:autoSpaceDE/>
              <w:autoSpaceDN/>
              <w:bidi w:val="0"/>
              <w:adjustRightInd w:val="0"/>
              <w:snapToGrid w:val="0"/>
              <w:spacing w:line="400" w:lineRule="exact"/>
              <w:ind w:firstLine="420" w:firstLineChars="200"/>
              <w:textAlignment w:val="auto"/>
              <w:outlineLvl w:val="9"/>
              <w:rPr>
                <w:rFonts w:hint="eastAsia"/>
                <w:highlight w:val="none"/>
                <w:lang w:val="en-US" w:eastAsia="zh-CN"/>
              </w:rPr>
            </w:pPr>
            <w:r>
              <w:rPr>
                <w:rFonts w:hint="default"/>
                <w:highlight w:val="none"/>
                <w:lang w:val="en-US" w:eastAsia="zh-CN"/>
              </w:rPr>
              <w:t>XPS挤塑板生产工艺流程及排污节点见下图</w:t>
            </w:r>
            <w:r>
              <w:rPr>
                <w:rFonts w:hint="eastAsia"/>
                <w:highlight w:val="none"/>
                <w:lang w:val="en-US" w:eastAsia="zh-CN"/>
              </w:rPr>
              <w:t>：</w:t>
            </w:r>
          </w:p>
          <w:p w14:paraId="5C886BA7">
            <w:pPr>
              <w:pStyle w:val="2"/>
              <w:rPr>
                <w:rFonts w:hint="eastAsia"/>
                <w:highlight w:val="none"/>
                <w:lang w:val="en-US" w:eastAsia="zh-CN"/>
              </w:rPr>
            </w:pPr>
          </w:p>
          <w:p w14:paraId="2DD28247">
            <w:pPr>
              <w:pStyle w:val="2"/>
              <w:rPr>
                <w:rFonts w:hint="eastAsia"/>
                <w:highlight w:val="none"/>
                <w:lang w:val="en-US" w:eastAsia="zh-CN"/>
              </w:rPr>
            </w:pPr>
          </w:p>
          <w:p w14:paraId="189CD001">
            <w:pPr>
              <w:rPr>
                <w:rFonts w:hint="eastAsia"/>
                <w:highlight w:val="none"/>
                <w:lang w:val="en-US" w:eastAsia="zh-CN"/>
              </w:rPr>
            </w:pPr>
          </w:p>
          <w:p w14:paraId="67554E72">
            <w:pPr>
              <w:pStyle w:val="2"/>
              <w:rPr>
                <w:rFonts w:hint="eastAsia"/>
                <w:highlight w:val="none"/>
                <w:lang w:val="en-US" w:eastAsia="zh-CN"/>
              </w:rPr>
            </w:pPr>
          </w:p>
          <w:p w14:paraId="203AE067">
            <w:pPr>
              <w:rPr>
                <w:rFonts w:hint="eastAsia"/>
                <w:highlight w:val="none"/>
                <w:lang w:val="en-US" w:eastAsia="zh-CN"/>
              </w:rPr>
            </w:pPr>
          </w:p>
          <w:p w14:paraId="3D408BAC">
            <w:pPr>
              <w:pStyle w:val="2"/>
              <w:rPr>
                <w:rFonts w:hint="eastAsia"/>
                <w:highlight w:val="none"/>
                <w:lang w:val="en-US" w:eastAsia="zh-CN"/>
              </w:rPr>
            </w:pPr>
          </w:p>
          <w:p w14:paraId="18D29283">
            <w:pPr>
              <w:rPr>
                <w:rFonts w:hint="eastAsia"/>
                <w:highlight w:val="none"/>
                <w:lang w:val="en-US" w:eastAsia="zh-CN"/>
              </w:rPr>
            </w:pPr>
          </w:p>
          <w:p w14:paraId="1499FCF0">
            <w:pPr>
              <w:pStyle w:val="2"/>
              <w:rPr>
                <w:rFonts w:hint="eastAsia"/>
                <w:highlight w:val="none"/>
                <w:lang w:val="en-US" w:eastAsia="zh-CN"/>
              </w:rPr>
            </w:pPr>
          </w:p>
          <w:p w14:paraId="55E8D26E">
            <w:pPr>
              <w:rPr>
                <w:rFonts w:hint="eastAsia"/>
                <w:highlight w:val="none"/>
                <w:lang w:val="en-US" w:eastAsia="zh-CN"/>
              </w:rPr>
            </w:pPr>
          </w:p>
          <w:p w14:paraId="347BA90F">
            <w:pPr>
              <w:pStyle w:val="2"/>
              <w:rPr>
                <w:rFonts w:hint="eastAsia"/>
                <w:highlight w:val="none"/>
                <w:lang w:val="en-US" w:eastAsia="zh-CN"/>
              </w:rPr>
            </w:pPr>
          </w:p>
          <w:p w14:paraId="7C7A0789">
            <w:pPr>
              <w:rPr>
                <w:rFonts w:hint="eastAsia"/>
                <w:highlight w:val="none"/>
                <w:lang w:val="en-US" w:eastAsia="zh-CN"/>
              </w:rPr>
            </w:pPr>
          </w:p>
          <w:p w14:paraId="61DD4EC4">
            <w:pPr>
              <w:pStyle w:val="17"/>
              <w:rPr>
                <w:rFonts w:hint="default"/>
                <w:highlight w:val="none"/>
                <w:lang w:val="en-US" w:eastAsia="zh-CN"/>
              </w:rPr>
            </w:pPr>
            <w:r>
              <w:rPr>
                <w:highlight w:val="none"/>
              </w:rPr>
              <mc:AlternateContent>
                <mc:Choice Requires="wps">
                  <w:drawing>
                    <wp:anchor distT="0" distB="0" distL="114300" distR="114300" simplePos="0" relativeHeight="251663360" behindDoc="0" locked="0" layoutInCell="1" allowOverlap="1">
                      <wp:simplePos x="0" y="0"/>
                      <wp:positionH relativeFrom="column">
                        <wp:posOffset>842010</wp:posOffset>
                      </wp:positionH>
                      <wp:positionV relativeFrom="paragraph">
                        <wp:posOffset>7822565</wp:posOffset>
                      </wp:positionV>
                      <wp:extent cx="742950" cy="171450"/>
                      <wp:effectExtent l="6350" t="6350" r="12700" b="12700"/>
                      <wp:wrapNone/>
                      <wp:docPr id="16" name="矩形 16"/>
                      <wp:cNvGraphicFramePr/>
                      <a:graphic xmlns:a="http://schemas.openxmlformats.org/drawingml/2006/main">
                        <a:graphicData uri="http://schemas.microsoft.com/office/word/2010/wordprocessingShape">
                          <wps:wsp>
                            <wps:cNvSpPr/>
                            <wps:spPr>
                              <a:xfrm>
                                <a:off x="2379980" y="8763635"/>
                                <a:ext cx="742950" cy="17145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3pt;margin-top:615.95pt;height:13.5pt;width:58.5pt;z-index:251663360;v-text-anchor:middle;mso-width-relative:page;mso-height-relative:page;" filled="f" stroked="t" coordsize="21600,21600" o:gfxdata="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3+0y/tgAAAANAQAADwAAAAAAAAABACAAAAAiAAAAZHJzL2Rv&#10;d25yZXYueG1sUEsBAhQAFAAAAAgAh07iQMQwY8BzAgAA1wQAAA4AAAAAAAAAAQAgAAAAJwEAAGRy&#10;cy9lMm9Eb2MueG1sUEsFBgAAAAAGAAYAWQEAAAwGAAAAAA==&#10;">
                      <v:fill on="f" focussize="0,0"/>
                      <v:stroke weight="1pt" color="#000000 [3213]" miterlimit="8" joinstyle="miter" dashstyle="dash"/>
                      <v:imagedata o:title=""/>
                      <o:lock v:ext="edit" aspectratio="f"/>
                    </v:rect>
                  </w:pict>
                </mc:Fallback>
              </mc:AlternateContent>
            </w:r>
            <w:r>
              <w:rPr>
                <w:rFonts w:hint="default"/>
                <w:highlight w:val="none"/>
                <w:lang w:val="en-US" w:eastAsia="zh-CN"/>
              </w:rPr>
              <w:drawing>
                <wp:anchor distT="0" distB="0" distL="114935" distR="114935" simplePos="0" relativeHeight="251662336" behindDoc="0" locked="0" layoutInCell="1" allowOverlap="1">
                  <wp:simplePos x="0" y="0"/>
                  <wp:positionH relativeFrom="column">
                    <wp:posOffset>-49530</wp:posOffset>
                  </wp:positionH>
                  <wp:positionV relativeFrom="paragraph">
                    <wp:posOffset>-6118860</wp:posOffset>
                  </wp:positionV>
                  <wp:extent cx="4842510" cy="7844790"/>
                  <wp:effectExtent l="0" t="0" r="0" b="0"/>
                  <wp:wrapTopAndBottom/>
                  <wp:docPr id="15" name="ECB019B1-382A-4266-B25C-5B523AA43C14-4" descr="C:/Users/Administrator/AppData/Local/Temp/wps.TbSOHJ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CB019B1-382A-4266-B25C-5B523AA43C14-4" descr="C:/Users/Administrator/AppData/Local/Temp/wps.TbSOHJwps"/>
                          <pic:cNvPicPr>
                            <a:picLocks noChangeAspect="1"/>
                          </pic:cNvPicPr>
                        </pic:nvPicPr>
                        <pic:blipFill>
                          <a:blip r:embed="rId11"/>
                          <a:srcRect t="2478" b="1974"/>
                          <a:stretch>
                            <a:fillRect/>
                          </a:stretch>
                        </pic:blipFill>
                        <pic:spPr>
                          <a:xfrm>
                            <a:off x="0" y="0"/>
                            <a:ext cx="4842510" cy="7844790"/>
                          </a:xfrm>
                          <a:prstGeom prst="rect">
                            <a:avLst/>
                          </a:prstGeom>
                        </pic:spPr>
                      </pic:pic>
                    </a:graphicData>
                  </a:graphic>
                </wp:anchor>
              </w:drawing>
            </w:r>
            <w:r>
              <w:rPr>
                <w:rFonts w:hint="eastAsia"/>
                <w:highlight w:val="none"/>
                <w:lang w:val="en-US" w:eastAsia="zh-CN"/>
              </w:rPr>
              <w:t>注：             区域为VOCs产生和排放节点。</w:t>
            </w:r>
          </w:p>
          <w:p w14:paraId="3AF3D631">
            <w:pPr>
              <w:keepNext w:val="0"/>
              <w:keepLines w:val="0"/>
              <w:pageBreakBefore w:val="0"/>
              <w:widowControl/>
              <w:kinsoku/>
              <w:wordWrap/>
              <w:overflowPunct/>
              <w:topLinePunct w:val="0"/>
              <w:autoSpaceDE/>
              <w:autoSpaceDN/>
              <w:bidi w:val="0"/>
              <w:adjustRightInd w:val="0"/>
              <w:snapToGrid w:val="0"/>
              <w:spacing w:line="420" w:lineRule="exact"/>
              <w:ind w:firstLine="422" w:firstLineChars="200"/>
              <w:jc w:val="center"/>
              <w:textAlignment w:val="auto"/>
              <w:outlineLvl w:val="9"/>
              <w:rPr>
                <w:rFonts w:hint="eastAsia"/>
                <w:b/>
                <w:bCs/>
                <w:highlight w:val="none"/>
                <w:lang w:val="en-US" w:eastAsia="zh-CN"/>
              </w:rPr>
            </w:pPr>
            <w:r>
              <w:rPr>
                <w:rFonts w:hint="eastAsia"/>
                <w:b/>
                <w:bCs/>
                <w:highlight w:val="none"/>
                <w:lang w:val="en-US" w:eastAsia="zh-CN"/>
              </w:rPr>
              <w:t>图2-5  XPS挤塑板生产工艺流程及排污节点图</w:t>
            </w:r>
          </w:p>
          <w:p w14:paraId="28EC4DD9">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eastAsia"/>
                <w:highlight w:val="none"/>
                <w:lang w:val="en-US" w:eastAsia="zh-CN"/>
              </w:rPr>
            </w:pPr>
            <w:r>
              <w:rPr>
                <w:rFonts w:hint="eastAsia"/>
                <w:highlight w:val="none"/>
                <w:lang w:val="en-US" w:eastAsia="zh-CN"/>
              </w:rPr>
              <w:t>（2）</w:t>
            </w:r>
            <w:r>
              <w:rPr>
                <w:rFonts w:hint="default"/>
                <w:highlight w:val="none"/>
                <w:lang w:val="en-US" w:eastAsia="zh-CN"/>
              </w:rPr>
              <w:t>聚苯板生产工艺流程如下</w:t>
            </w:r>
            <w:r>
              <w:rPr>
                <w:rFonts w:hint="eastAsia"/>
                <w:highlight w:val="none"/>
                <w:lang w:val="en-US" w:eastAsia="zh-CN"/>
              </w:rPr>
              <w:t>：</w:t>
            </w:r>
          </w:p>
          <w:p w14:paraId="7AA734CE">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default"/>
                <w:highlight w:val="none"/>
                <w:lang w:val="en-US" w:eastAsia="zh-CN"/>
              </w:rPr>
            </w:pPr>
            <w:r>
              <w:rPr>
                <w:rFonts w:hint="default"/>
                <w:highlight w:val="none"/>
                <w:lang w:val="en-US" w:eastAsia="zh-CN"/>
              </w:rPr>
              <w:t>①发泡：可发性聚苯乙烯颗粒由工人投入料斗，由风送入EPS发泡机内发泡，使可发性聚苯乙烯颗粒变的蓬松而易于加工，发泡后的颗粒风送至库区。</w:t>
            </w:r>
          </w:p>
          <w:p w14:paraId="13EDC151">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default"/>
                <w:highlight w:val="none"/>
                <w:lang w:val="en-US" w:eastAsia="zh-CN"/>
              </w:rPr>
            </w:pPr>
            <w:r>
              <w:rPr>
                <w:rFonts w:hint="default"/>
                <w:highlight w:val="none"/>
                <w:lang w:val="en-US" w:eastAsia="zh-CN"/>
              </w:rPr>
              <w:t>②成型：发泡后的物料由风送至成型机压制成型，成型机以蒸汽为热源（由锅炉提供），在温度和压力作用下，发泡颗粒被压制成保温材料－聚苯板，该过程在密闭环境中完成。</w:t>
            </w:r>
          </w:p>
          <w:p w14:paraId="45F2C232">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right="0" w:rightChars="0" w:firstLine="420" w:firstLineChars="200"/>
              <w:jc w:val="left"/>
              <w:textAlignment w:val="auto"/>
              <w:rPr>
                <w:rFonts w:hint="default"/>
                <w:highlight w:val="none"/>
                <w:lang w:val="en-US" w:eastAsia="zh-CN"/>
              </w:rPr>
            </w:pPr>
            <w:r>
              <w:rPr>
                <w:rFonts w:hint="default"/>
                <w:highlight w:val="none"/>
                <w:lang w:val="en-US" w:eastAsia="zh-CN"/>
              </w:rPr>
              <w:t>③切割：根据客户需求，利用切割机通过电阻丝切割，将厚的保温材料加工为各种规格的保温板产品。</w:t>
            </w:r>
          </w:p>
          <w:p w14:paraId="37C13A91">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right="0" w:rightChars="0" w:firstLine="420" w:firstLineChars="200"/>
              <w:jc w:val="left"/>
              <w:textAlignment w:val="auto"/>
              <w:rPr>
                <w:rFonts w:hint="default"/>
                <w:highlight w:val="none"/>
                <w:lang w:val="en-US" w:eastAsia="zh-CN"/>
              </w:rPr>
            </w:pPr>
            <w:r>
              <w:rPr>
                <w:rFonts w:hint="default"/>
                <w:highlight w:val="none"/>
                <w:lang w:val="en-US" w:eastAsia="zh-CN"/>
              </w:rPr>
              <w:t>④入库、待售：将加工完成的保温板存放于成品库区，待售。</w:t>
            </w:r>
          </w:p>
          <w:p w14:paraId="0DB6EB0D">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right="0" w:rightChars="0" w:firstLine="420" w:firstLineChars="200"/>
              <w:jc w:val="left"/>
              <w:textAlignment w:val="auto"/>
              <w:rPr>
                <w:rFonts w:hint="default"/>
                <w:highlight w:val="none"/>
                <w:lang w:val="en-US" w:eastAsia="zh-CN"/>
              </w:rPr>
            </w:pPr>
            <w:r>
              <w:rPr>
                <w:rFonts w:hint="default"/>
                <w:highlight w:val="none"/>
                <w:lang w:val="en-US" w:eastAsia="zh-CN"/>
              </w:rPr>
              <w:t>聚苯板生产工艺流程及排污节点见</w:t>
            </w:r>
            <w:r>
              <w:rPr>
                <w:rFonts w:hint="eastAsia"/>
                <w:highlight w:val="none"/>
                <w:lang w:val="en-US" w:eastAsia="zh-CN"/>
              </w:rPr>
              <w:t>下图。</w:t>
            </w:r>
          </w:p>
          <w:p w14:paraId="5A242ADE">
            <w:pPr>
              <w:pStyle w:val="17"/>
              <w:rPr>
                <w:rFonts w:hint="default"/>
                <w:highlight w:val="none"/>
                <w:lang w:val="en-US" w:eastAsia="zh-CN"/>
              </w:rPr>
            </w:pPr>
            <w:r>
              <w:rPr>
                <w:sz w:val="21"/>
                <w:highlight w:val="none"/>
              </w:rPr>
              <mc:AlternateContent>
                <mc:Choice Requires="wps">
                  <w:drawing>
                    <wp:anchor distT="0" distB="0" distL="114300" distR="114300" simplePos="0" relativeHeight="251671552" behindDoc="0" locked="0" layoutInCell="1" allowOverlap="1">
                      <wp:simplePos x="0" y="0"/>
                      <wp:positionH relativeFrom="column">
                        <wp:posOffset>2199640</wp:posOffset>
                      </wp:positionH>
                      <wp:positionV relativeFrom="paragraph">
                        <wp:posOffset>111125</wp:posOffset>
                      </wp:positionV>
                      <wp:extent cx="904875" cy="609600"/>
                      <wp:effectExtent l="6350" t="6350" r="22225" b="12700"/>
                      <wp:wrapNone/>
                      <wp:docPr id="4" name="矩形 4"/>
                      <wp:cNvGraphicFramePr/>
                      <a:graphic xmlns:a="http://schemas.openxmlformats.org/drawingml/2006/main">
                        <a:graphicData uri="http://schemas.microsoft.com/office/word/2010/wordprocessingShape">
                          <wps:wsp>
                            <wps:cNvSpPr/>
                            <wps:spPr>
                              <a:xfrm>
                                <a:off x="3718560" y="3724910"/>
                                <a:ext cx="904875"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73.2pt;margin-top:8.75pt;height:48pt;width:71.25pt;z-index:251671552;v-text-anchor:middle;mso-width-relative:page;mso-height-relative:page;" fillcolor="#FFFFFF [3212]" filled="t" stroked="t" coordsize="21600,21600" o:gfxdata="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jlO1g9gAAAAKAQAADwAAAAAAAAABACAAAAAiAAAAZHJz&#10;L2Rvd25yZXYueG1sUEsBAhQAFAAAAAgAh07iQKAEwa12AgAA/wQAAA4AAAAAAAAAAQAgAAAAJwEA&#10;AGRycy9lMm9Eb2MueG1sUEsFBgAAAAAGAAYAWQEAAA8GAAAAAA==&#10;">
                      <v:fill on="t" focussize="0,0"/>
                      <v:stroke weight="1pt" color="#FFFFFF [3212]" miterlimit="8" joinstyle="miter"/>
                      <v:imagedata o:title=""/>
                      <o:lock v:ext="edit" aspectratio="f"/>
                    </v:rect>
                  </w:pict>
                </mc:Fallback>
              </mc:AlternateContent>
            </w:r>
            <w:r>
              <w:rPr>
                <w:rFonts w:hint="default"/>
                <w:highlight w:val="none"/>
                <w:lang w:val="en-US" w:eastAsia="zh-CN"/>
              </w:rPr>
              <w:drawing>
                <wp:anchor distT="0" distB="0" distL="114935" distR="114935" simplePos="0" relativeHeight="251664384" behindDoc="0" locked="0" layoutInCell="1" allowOverlap="1">
                  <wp:simplePos x="0" y="0"/>
                  <wp:positionH relativeFrom="column">
                    <wp:posOffset>-21590</wp:posOffset>
                  </wp:positionH>
                  <wp:positionV relativeFrom="paragraph">
                    <wp:posOffset>33655</wp:posOffset>
                  </wp:positionV>
                  <wp:extent cx="5119370" cy="2765425"/>
                  <wp:effectExtent l="0" t="0" r="5080" b="0"/>
                  <wp:wrapTopAndBottom/>
                  <wp:docPr id="19" name="ECB019B1-382A-4266-B25C-5B523AA43C14-5" descr="C:/Users/Administrator/AppData/Local/Temp/wps.NvNFGA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ECB019B1-382A-4266-B25C-5B523AA43C14-5" descr="C:/Users/Administrator/AppData/Local/Temp/wps.NvNFGAwps"/>
                          <pic:cNvPicPr>
                            <a:picLocks noChangeAspect="1"/>
                          </pic:cNvPicPr>
                        </pic:nvPicPr>
                        <pic:blipFill>
                          <a:blip r:embed="rId12"/>
                          <a:srcRect l="4503" t="8775" r="3190" b="5420"/>
                          <a:stretch>
                            <a:fillRect/>
                          </a:stretch>
                        </pic:blipFill>
                        <pic:spPr>
                          <a:xfrm>
                            <a:off x="0" y="0"/>
                            <a:ext cx="5119370" cy="2765425"/>
                          </a:xfrm>
                          <a:prstGeom prst="rect">
                            <a:avLst/>
                          </a:prstGeom>
                        </pic:spPr>
                      </pic:pic>
                    </a:graphicData>
                  </a:graphic>
                </wp:anchor>
              </w:drawing>
            </w:r>
            <w:r>
              <w:rPr>
                <w:highlight w:val="none"/>
              </w:rPr>
              <mc:AlternateContent>
                <mc:Choice Requires="wps">
                  <w:drawing>
                    <wp:anchor distT="0" distB="0" distL="114300" distR="114300" simplePos="0" relativeHeight="251666432" behindDoc="0" locked="0" layoutInCell="1" allowOverlap="1">
                      <wp:simplePos x="0" y="0"/>
                      <wp:positionH relativeFrom="column">
                        <wp:posOffset>832485</wp:posOffset>
                      </wp:positionH>
                      <wp:positionV relativeFrom="paragraph">
                        <wp:posOffset>2793365</wp:posOffset>
                      </wp:positionV>
                      <wp:extent cx="742950" cy="171450"/>
                      <wp:effectExtent l="6350" t="6350" r="12700" b="12700"/>
                      <wp:wrapNone/>
                      <wp:docPr id="21" name="矩形 21"/>
                      <wp:cNvGraphicFramePr/>
                      <a:graphic xmlns:a="http://schemas.openxmlformats.org/drawingml/2006/main">
                        <a:graphicData uri="http://schemas.microsoft.com/office/word/2010/wordprocessingShape">
                          <wps:wsp>
                            <wps:cNvSpPr/>
                            <wps:spPr>
                              <a:xfrm>
                                <a:off x="0" y="0"/>
                                <a:ext cx="742950" cy="17145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5.55pt;margin-top:219.95pt;height:13.5pt;width:58.5pt;z-index:251666432;v-text-anchor:middle;mso-width-relative:page;mso-height-relative:page;" filled="f" stroked="t" coordsize="21600,21600" o:gfxdata="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e27j8NcAAAALAQAADwAAAAAAAAABACAAAAAiAAAAZHJzL2Rvd25yZXYueG1sUEsBAhQA&#10;FAAAAAgAh07iQFjn7r9lAgAAywQAAA4AAAAAAAAAAQAgAAAAJgEAAGRycy9lMm9Eb2MueG1sUEsF&#10;BgAAAAAGAAYAWQEAAP0FAAAAAA==&#10;">
                      <v:fill on="f" focussize="0,0"/>
                      <v:stroke weight="1pt" color="#000000 [3213]" miterlimit="8" joinstyle="miter" dashstyle="dash"/>
                      <v:imagedata o:title=""/>
                      <o:lock v:ext="edit" aspectratio="f"/>
                    </v:rect>
                  </w:pict>
                </mc:Fallback>
              </mc:AlternateContent>
            </w:r>
            <w:r>
              <w:rPr>
                <w:highlight w:val="none"/>
              </w:rPr>
              <mc:AlternateContent>
                <mc:Choice Requires="wps">
                  <w:drawing>
                    <wp:anchor distT="0" distB="0" distL="114300" distR="114300" simplePos="0" relativeHeight="251665408" behindDoc="0" locked="0" layoutInCell="1" allowOverlap="1">
                      <wp:simplePos x="0" y="0"/>
                      <wp:positionH relativeFrom="column">
                        <wp:posOffset>822960</wp:posOffset>
                      </wp:positionH>
                      <wp:positionV relativeFrom="paragraph">
                        <wp:posOffset>7727315</wp:posOffset>
                      </wp:positionV>
                      <wp:extent cx="742950" cy="171450"/>
                      <wp:effectExtent l="6350" t="6350" r="12700" b="12700"/>
                      <wp:wrapNone/>
                      <wp:docPr id="22" name="矩形 22"/>
                      <wp:cNvGraphicFramePr/>
                      <a:graphic xmlns:a="http://schemas.openxmlformats.org/drawingml/2006/main">
                        <a:graphicData uri="http://schemas.microsoft.com/office/word/2010/wordprocessingShape">
                          <wps:wsp>
                            <wps:cNvSpPr/>
                            <wps:spPr>
                              <a:xfrm>
                                <a:off x="2379980" y="8763635"/>
                                <a:ext cx="742950" cy="17145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4.8pt;margin-top:608.45pt;height:13.5pt;width:58.5pt;z-index:251665408;v-text-anchor:middle;mso-width-relative:page;mso-height-relative:page;" filled="f" stroked="t" coordsize="21600,21600" o:gfxdata="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Sle3BtgAAAANAQAADwAAAAAAAAABACAAAAAiAAAAZHJzL2Rv&#10;d25yZXYueG1sUEsBAhQAFAAAAAgAh07iQNm7CUtzAgAA1wQAAA4AAAAAAAAAAQAgAAAAJwEAAGRy&#10;cy9lMm9Eb2MueG1sUEsFBgAAAAAGAAYAWQEAAAwGAAAAAA==&#10;">
                      <v:fill on="f" focussize="0,0"/>
                      <v:stroke weight="1pt" color="#000000 [3213]" miterlimit="8" joinstyle="miter" dashstyle="dash"/>
                      <v:imagedata o:title=""/>
                      <o:lock v:ext="edit" aspectratio="f"/>
                    </v:rect>
                  </w:pict>
                </mc:Fallback>
              </mc:AlternateContent>
            </w:r>
            <w:r>
              <w:rPr>
                <w:rFonts w:hint="eastAsia"/>
                <w:highlight w:val="none"/>
                <w:lang w:val="en-US" w:eastAsia="zh-CN"/>
              </w:rPr>
              <w:t xml:space="preserve">注：             区域为VOCs产生和排放节点。 </w:t>
            </w:r>
          </w:p>
          <w:p w14:paraId="0FCAA9E6">
            <w:pPr>
              <w:keepNext w:val="0"/>
              <w:keepLines w:val="0"/>
              <w:pageBreakBefore w:val="0"/>
              <w:widowControl/>
              <w:kinsoku/>
              <w:wordWrap/>
              <w:overflowPunct/>
              <w:topLinePunct w:val="0"/>
              <w:autoSpaceDE/>
              <w:autoSpaceDN/>
              <w:bidi w:val="0"/>
              <w:adjustRightInd w:val="0"/>
              <w:snapToGrid w:val="0"/>
              <w:spacing w:line="400" w:lineRule="exact"/>
              <w:ind w:firstLine="422" w:firstLineChars="200"/>
              <w:jc w:val="center"/>
              <w:textAlignment w:val="auto"/>
              <w:outlineLvl w:val="9"/>
              <w:rPr>
                <w:rFonts w:hint="eastAsia"/>
                <w:b/>
                <w:bCs/>
                <w:highlight w:val="none"/>
                <w:lang w:val="en-US" w:eastAsia="zh-CN"/>
              </w:rPr>
            </w:pPr>
            <w:r>
              <w:rPr>
                <w:rFonts w:hint="eastAsia"/>
                <w:b/>
                <w:bCs/>
                <w:highlight w:val="none"/>
                <w:lang w:val="en-US" w:eastAsia="zh-CN"/>
              </w:rPr>
              <w:t>图2-6  聚苯板生产工艺流程及排污节点图</w:t>
            </w:r>
          </w:p>
          <w:p w14:paraId="0C4CB968">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default"/>
                <w:highlight w:val="none"/>
                <w:lang w:val="en-US" w:eastAsia="zh-CN"/>
              </w:rPr>
            </w:pPr>
            <w:r>
              <w:rPr>
                <w:rFonts w:hint="default"/>
                <w:highlight w:val="none"/>
                <w:lang w:val="en-US" w:eastAsia="zh-CN"/>
              </w:rPr>
              <w:t>（3</w:t>
            </w:r>
            <w:r>
              <w:rPr>
                <w:rFonts w:hint="eastAsia"/>
                <w:highlight w:val="none"/>
                <w:lang w:val="en-US" w:eastAsia="zh-CN"/>
              </w:rPr>
              <w:t>）</w:t>
            </w:r>
            <w:r>
              <w:rPr>
                <w:rFonts w:hint="default"/>
                <w:highlight w:val="none"/>
                <w:lang w:val="en-US" w:eastAsia="zh-CN"/>
              </w:rPr>
              <w:t>边角料回收造粒生产工艺流程如下：</w:t>
            </w:r>
          </w:p>
          <w:p w14:paraId="0A61BE39">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default"/>
                <w:highlight w:val="none"/>
                <w:lang w:val="en-US" w:eastAsia="zh-CN"/>
              </w:rPr>
            </w:pPr>
            <w:r>
              <w:rPr>
                <w:rFonts w:hint="default"/>
                <w:highlight w:val="none"/>
                <w:lang w:val="en-US" w:eastAsia="zh-CN"/>
              </w:rPr>
              <w:t>①上料破碎：人工将边角料放入旋齿式破碎机内进行破碎。</w:t>
            </w:r>
          </w:p>
          <w:p w14:paraId="314B974B">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default"/>
                <w:highlight w:val="none"/>
                <w:lang w:val="en-US" w:eastAsia="zh-CN"/>
              </w:rPr>
            </w:pPr>
            <w:r>
              <w:rPr>
                <w:rFonts w:hint="default"/>
                <w:highlight w:val="none"/>
                <w:lang w:val="en-US" w:eastAsia="zh-CN"/>
              </w:rPr>
              <w:t>②挤出熔融：破碎好的边角料采用螺旋输送形式送入150挤出机进行加热、熔融。在挤出机压力作用下，使物料通过机头模具，得到细条形板。</w:t>
            </w:r>
          </w:p>
          <w:p w14:paraId="71884A19">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default"/>
                <w:highlight w:val="none"/>
                <w:lang w:val="en-US" w:eastAsia="zh-CN"/>
              </w:rPr>
            </w:pPr>
            <w:r>
              <w:rPr>
                <w:rFonts w:hint="default"/>
                <w:highlight w:val="none"/>
                <w:lang w:val="en-US" w:eastAsia="zh-CN"/>
              </w:rPr>
              <w:t>③切粒：由牵引机将细条板送入旋齿式切粒机内进行切粒。</w:t>
            </w:r>
          </w:p>
          <w:p w14:paraId="5032D2F9">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default"/>
                <w:highlight w:val="none"/>
                <w:lang w:val="en-US" w:eastAsia="zh-CN"/>
              </w:rPr>
            </w:pPr>
            <w:r>
              <w:rPr>
                <w:rFonts w:hint="default"/>
                <w:highlight w:val="none"/>
                <w:lang w:val="en-US" w:eastAsia="zh-CN"/>
              </w:rPr>
              <w:t>④装袋：切好的粒状废料装袋封口后存于原料库区回用。</w:t>
            </w:r>
          </w:p>
          <w:p w14:paraId="19C7782D">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default"/>
                <w:highlight w:val="none"/>
                <w:lang w:val="en-US" w:eastAsia="zh-CN"/>
              </w:rPr>
            </w:pPr>
            <w:r>
              <w:rPr>
                <w:rFonts w:hint="default"/>
                <w:highlight w:val="none"/>
                <w:lang w:val="en-US" w:eastAsia="zh-CN"/>
              </w:rPr>
              <w:t>边角料回收造粒工艺流程及排污节点见</w:t>
            </w:r>
            <w:r>
              <w:rPr>
                <w:rFonts w:hint="eastAsia"/>
                <w:highlight w:val="none"/>
                <w:lang w:val="en-US" w:eastAsia="zh-CN"/>
              </w:rPr>
              <w:t>下图。</w:t>
            </w:r>
          </w:p>
          <w:p w14:paraId="2B6FE139">
            <w:pPr>
              <w:pStyle w:val="17"/>
              <w:rPr>
                <w:rFonts w:hint="default"/>
                <w:highlight w:val="none"/>
                <w:lang w:val="en-US" w:eastAsia="zh-CN"/>
              </w:rPr>
            </w:pPr>
          </w:p>
          <w:p w14:paraId="440B9AA9">
            <w:pPr>
              <w:pStyle w:val="18"/>
              <w:rPr>
                <w:rFonts w:hint="default"/>
                <w:highlight w:val="none"/>
                <w:lang w:val="en-US" w:eastAsia="zh-CN"/>
              </w:rPr>
            </w:pPr>
          </w:p>
          <w:p w14:paraId="32CA7244">
            <w:pPr>
              <w:pStyle w:val="17"/>
              <w:ind w:left="0" w:leftChars="0" w:firstLine="420" w:firstLineChars="200"/>
              <w:rPr>
                <w:rFonts w:hint="default"/>
                <w:highlight w:val="none"/>
                <w:lang w:val="en-US" w:eastAsia="zh-CN"/>
              </w:rPr>
            </w:pPr>
            <w:r>
              <w:rPr>
                <w:highlight w:val="none"/>
              </w:rPr>
              <mc:AlternateContent>
                <mc:Choice Requires="wps">
                  <w:drawing>
                    <wp:anchor distT="0" distB="0" distL="114300" distR="114300" simplePos="0" relativeHeight="251668480" behindDoc="0" locked="0" layoutInCell="1" allowOverlap="1">
                      <wp:simplePos x="0" y="0"/>
                      <wp:positionH relativeFrom="column">
                        <wp:posOffset>594360</wp:posOffset>
                      </wp:positionH>
                      <wp:positionV relativeFrom="paragraph">
                        <wp:posOffset>1345565</wp:posOffset>
                      </wp:positionV>
                      <wp:extent cx="742950" cy="171450"/>
                      <wp:effectExtent l="6350" t="6350" r="12700" b="12700"/>
                      <wp:wrapNone/>
                      <wp:docPr id="23" name="矩形 23"/>
                      <wp:cNvGraphicFramePr/>
                      <a:graphic xmlns:a="http://schemas.openxmlformats.org/drawingml/2006/main">
                        <a:graphicData uri="http://schemas.microsoft.com/office/word/2010/wordprocessingShape">
                          <wps:wsp>
                            <wps:cNvSpPr/>
                            <wps:spPr>
                              <a:xfrm>
                                <a:off x="0" y="0"/>
                                <a:ext cx="742950" cy="17145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8pt;margin-top:105.95pt;height:13.5pt;width:58.5pt;z-index:251668480;v-text-anchor:middle;mso-width-relative:page;mso-height-relative:page;" filled="f" stroked="t" coordsize="21600,21600" o:gfxdata="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IfCOKNYAAAAKAQAADwAAAAAAAAABACAAAAAiAAAAZHJzL2Rvd25yZXYueG1sUEsBAhQA&#10;FAAAAAgAh07iQLKRj7lmAgAAywQAAA4AAAAAAAAAAQAgAAAAJQEAAGRycy9lMm9Eb2MueG1sUEsF&#10;BgAAAAAGAAYAWQEAAP0FAAAAAA==&#10;">
                      <v:fill on="f" focussize="0,0"/>
                      <v:stroke weight="1pt" color="#000000 [3213]" miterlimit="8" joinstyle="miter" dashstyle="dash"/>
                      <v:imagedata o:title=""/>
                      <o:lock v:ext="edit" aspectratio="f"/>
                    </v:rect>
                  </w:pict>
                </mc:Fallback>
              </mc:AlternateContent>
            </w:r>
            <w:r>
              <w:rPr>
                <w:rFonts w:hint="default"/>
                <w:highlight w:val="none"/>
                <w:lang w:val="en-US" w:eastAsia="zh-CN"/>
              </w:rPr>
              <w:drawing>
                <wp:anchor distT="0" distB="0" distL="114935" distR="114935" simplePos="0" relativeHeight="251667456" behindDoc="0" locked="0" layoutInCell="1" allowOverlap="1">
                  <wp:simplePos x="0" y="0"/>
                  <wp:positionH relativeFrom="column">
                    <wp:posOffset>-18415</wp:posOffset>
                  </wp:positionH>
                  <wp:positionV relativeFrom="paragraph">
                    <wp:posOffset>-3175</wp:posOffset>
                  </wp:positionV>
                  <wp:extent cx="5113020" cy="1330960"/>
                  <wp:effectExtent l="0" t="0" r="11430" b="0"/>
                  <wp:wrapTopAndBottom/>
                  <wp:docPr id="26" name="ECB019B1-382A-4266-B25C-5B523AA43C14-6" descr="C:/Users/Administrator/AppData/Local/Temp/wps.DtrysV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CB019B1-382A-4266-B25C-5B523AA43C14-6" descr="C:/Users/Administrator/AppData/Local/Temp/wps.DtrysVwps"/>
                          <pic:cNvPicPr>
                            <a:picLocks noChangeAspect="1"/>
                          </pic:cNvPicPr>
                        </pic:nvPicPr>
                        <pic:blipFill>
                          <a:blip r:embed="rId13"/>
                          <a:srcRect l="5659" t="17093" r="2917" b="5420"/>
                          <a:stretch>
                            <a:fillRect/>
                          </a:stretch>
                        </pic:blipFill>
                        <pic:spPr>
                          <a:xfrm>
                            <a:off x="0" y="0"/>
                            <a:ext cx="5113020" cy="1330960"/>
                          </a:xfrm>
                          <a:prstGeom prst="rect">
                            <a:avLst/>
                          </a:prstGeom>
                        </pic:spPr>
                      </pic:pic>
                    </a:graphicData>
                  </a:graphic>
                </wp:anchor>
              </w:drawing>
            </w:r>
            <w:r>
              <w:rPr>
                <w:rFonts w:hint="eastAsia"/>
                <w:highlight w:val="none"/>
                <w:lang w:val="en-US" w:eastAsia="zh-CN"/>
              </w:rPr>
              <w:t>注：             区域为VOCs产生和排放节点。</w:t>
            </w:r>
          </w:p>
          <w:p w14:paraId="26AA1E6D">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outlineLvl w:val="9"/>
              <w:rPr>
                <w:rFonts w:hint="eastAsia"/>
                <w:b/>
                <w:bCs/>
                <w:highlight w:val="none"/>
                <w:lang w:val="en-US" w:eastAsia="zh-CN"/>
              </w:rPr>
            </w:pPr>
            <w:r>
              <w:rPr>
                <w:rFonts w:hint="eastAsia"/>
                <w:b/>
                <w:bCs/>
                <w:highlight w:val="none"/>
                <w:lang w:val="en-US" w:eastAsia="zh-CN"/>
              </w:rPr>
              <w:t>图2-7  边角料回收造粒工艺流程及排污节点图</w:t>
            </w:r>
          </w:p>
          <w:p w14:paraId="6ECA9E78">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eastAsia"/>
                <w:highlight w:val="none"/>
                <w:lang w:val="en-US" w:eastAsia="zh-CN"/>
              </w:rPr>
            </w:pPr>
            <w:r>
              <w:rPr>
                <w:rFonts w:hint="eastAsia"/>
                <w:highlight w:val="none"/>
                <w:lang w:val="en-US" w:eastAsia="zh-CN"/>
              </w:rPr>
              <w:t>五、在建工程的工艺流程图</w:t>
            </w:r>
          </w:p>
          <w:p w14:paraId="45E923A6">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default"/>
                <w:highlight w:val="none"/>
                <w:lang w:val="en-US" w:eastAsia="zh-CN"/>
              </w:rPr>
            </w:pPr>
            <w:r>
              <w:rPr>
                <w:rFonts w:hint="eastAsia"/>
                <w:highlight w:val="none"/>
                <w:lang w:val="en-US" w:eastAsia="zh-CN"/>
              </w:rPr>
              <w:t>在建工程为改建工程，用1台2t/h采用低氮燃烧器燃烧的燃气锅炉替代原有1台2t/h燃生物质锅炉</w:t>
            </w:r>
            <w:r>
              <w:rPr>
                <w:rFonts w:hint="default"/>
                <w:highlight w:val="none"/>
                <w:lang w:val="en-US" w:eastAsia="zh-CN"/>
              </w:rPr>
              <w:t>。</w:t>
            </w:r>
            <w:r>
              <w:rPr>
                <w:rFonts w:hint="eastAsia"/>
                <w:highlight w:val="none"/>
                <w:lang w:val="en-US" w:eastAsia="zh-CN"/>
              </w:rPr>
              <w:t>其中锅炉的低氮燃烧器采用国内领先的低氮燃烧＋烟气循环的低氮处理技术，采用此技术后，实现NOx,的排放浓度低于30mg/m³的要求。满足《关于做好2020年锅炉治理工作的通知》(冀气领办[2020] 16号）中对于低氮燃烧器的相关要求。</w:t>
            </w:r>
          </w:p>
          <w:p w14:paraId="5A540D2F">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left"/>
              <w:textAlignment w:val="auto"/>
              <w:rPr>
                <w:rFonts w:hint="default"/>
                <w:highlight w:val="none"/>
                <w:lang w:val="en-US" w:eastAsia="zh-CN"/>
              </w:rPr>
            </w:pPr>
            <w:r>
              <w:rPr>
                <w:rFonts w:hint="eastAsia"/>
                <w:highlight w:val="none"/>
                <w:lang w:val="en-US" w:eastAsia="zh-CN"/>
              </w:rPr>
              <w:t>在建项目</w:t>
            </w:r>
            <w:r>
              <w:rPr>
                <w:rFonts w:hint="default"/>
                <w:highlight w:val="none"/>
                <w:lang w:val="en-US" w:eastAsia="zh-CN"/>
              </w:rPr>
              <w:t>生产工艺流程及排污节点见图</w:t>
            </w:r>
            <w:r>
              <w:rPr>
                <w:rFonts w:hint="eastAsia"/>
                <w:highlight w:val="none"/>
                <w:lang w:val="en-US" w:eastAsia="zh-CN"/>
              </w:rPr>
              <w:t>2-8</w:t>
            </w:r>
            <w:r>
              <w:rPr>
                <w:rFonts w:hint="default"/>
                <w:highlight w:val="none"/>
                <w:lang w:val="en-US" w:eastAsia="zh-CN"/>
              </w:rPr>
              <w:t>。</w:t>
            </w:r>
          </w:p>
          <w:p w14:paraId="6DC68E3B">
            <w:pPr>
              <w:spacing w:line="500" w:lineRule="exact"/>
              <w:ind w:firstLine="1890" w:firstLineChars="900"/>
              <w:rPr>
                <w:rFonts w:hint="default"/>
                <w:highlight w:val="none"/>
              </w:rPr>
            </w:pPr>
            <w:r>
              <w:rPr>
                <w:rFonts w:hint="default"/>
                <w:highlight w:val="none"/>
              </w:rPr>
              <w:pict>
                <v:shape id="_x0000_s1026" o:spid="_x0000_s1026" o:spt="75" type="#_x0000_t75" style="position:absolute;left:0pt;margin-left:14.85pt;margin-top:2.9pt;height:138.85pt;width:354.8pt;mso-wrap-distance-bottom:0pt;mso-wrap-distance-left:9pt;mso-wrap-distance-right:9pt;mso-wrap-distance-top:0pt;z-index:251669504;mso-width-relative:page;mso-height-relative:page;" o:ole="t" filled="f" o:preferrelative="t" stroked="f" coordsize="21600,21600">
                  <v:path/>
                  <v:fill on="f" focussize="0,0"/>
                  <v:stroke on="f"/>
                  <v:imagedata r:id="rId15" o:title=""/>
                  <o:lock v:ext="edit" aspectratio="f"/>
                  <w10:wrap type="square"/>
                </v:shape>
                <o:OLEObject Type="Embed" ProgID="Visio.Drawing.11" ShapeID="_x0000_s1026" DrawAspect="Content" ObjectID="_1468075725" r:id="rId14">
                  <o:LockedField>false</o:LockedField>
                </o:OLEObject>
              </w:pict>
            </w:r>
            <w:r>
              <w:rPr>
                <w:rFonts w:hint="default"/>
                <w:highlight w:val="none"/>
              </w:rPr>
              <w:t>图</w:t>
            </w:r>
          </w:p>
          <w:p w14:paraId="11BFEA32">
            <w:pPr>
              <w:spacing w:line="500" w:lineRule="exact"/>
              <w:ind w:firstLine="1890" w:firstLineChars="900"/>
              <w:rPr>
                <w:rFonts w:hint="default"/>
                <w:highlight w:val="none"/>
              </w:rPr>
            </w:pPr>
          </w:p>
          <w:p w14:paraId="6BC0E4D8">
            <w:pPr>
              <w:spacing w:line="500" w:lineRule="exact"/>
              <w:ind w:firstLine="1890" w:firstLineChars="900"/>
              <w:rPr>
                <w:rFonts w:hint="default"/>
                <w:highlight w:val="none"/>
              </w:rPr>
            </w:pPr>
          </w:p>
          <w:p w14:paraId="75DAA771">
            <w:pPr>
              <w:spacing w:line="500" w:lineRule="exact"/>
              <w:ind w:firstLine="1890" w:firstLineChars="900"/>
              <w:rPr>
                <w:rFonts w:hint="default"/>
                <w:highlight w:val="none"/>
              </w:rPr>
            </w:pPr>
          </w:p>
          <w:p w14:paraId="2F2A71DE">
            <w:pPr>
              <w:spacing w:line="500" w:lineRule="exact"/>
              <w:ind w:firstLine="1890" w:firstLineChars="900"/>
              <w:rPr>
                <w:rFonts w:hint="default"/>
                <w:highlight w:val="none"/>
              </w:rPr>
            </w:pPr>
          </w:p>
          <w:p w14:paraId="3C9BD022">
            <w:pPr>
              <w:keepNext w:val="0"/>
              <w:keepLines w:val="0"/>
              <w:pageBreakBefore w:val="0"/>
              <w:widowControl w:val="0"/>
              <w:kinsoku/>
              <w:wordWrap/>
              <w:overflowPunct/>
              <w:topLinePunct w:val="0"/>
              <w:autoSpaceDE/>
              <w:autoSpaceDN/>
              <w:bidi w:val="0"/>
              <w:adjustRightInd/>
              <w:snapToGrid/>
              <w:spacing w:line="400" w:lineRule="exact"/>
              <w:ind w:firstLine="1890" w:firstLineChars="900"/>
              <w:jc w:val="center"/>
              <w:textAlignment w:val="auto"/>
              <w:rPr>
                <w:rFonts w:hint="default"/>
                <w:highlight w:val="none"/>
                <w:lang w:val="en-US" w:eastAsia="zh-CN"/>
              </w:rPr>
            </w:pPr>
            <w:r>
              <w:rPr>
                <w:rFonts w:hint="eastAsia"/>
                <w:highlight w:val="none"/>
                <w:lang w:val="en-US" w:eastAsia="zh-CN"/>
              </w:rPr>
              <w:t>2</w:t>
            </w:r>
            <w:r>
              <w:rPr>
                <w:rFonts w:hint="eastAsia"/>
                <w:b/>
                <w:bCs/>
                <w:highlight w:val="none"/>
                <w:lang w:val="en-US" w:eastAsia="zh-CN"/>
              </w:rPr>
              <w:t>图2-8</w:t>
            </w:r>
            <w:r>
              <w:rPr>
                <w:rFonts w:hint="default"/>
                <w:b/>
                <w:bCs/>
                <w:highlight w:val="none"/>
              </w:rPr>
              <w:tab/>
            </w:r>
            <w:r>
              <w:rPr>
                <w:rFonts w:hint="eastAsia"/>
                <w:b/>
                <w:bCs/>
                <w:highlight w:val="none"/>
                <w:lang w:val="en-US" w:eastAsia="zh-CN"/>
              </w:rPr>
              <w:t>在建项目</w:t>
            </w:r>
            <w:r>
              <w:rPr>
                <w:rFonts w:hint="default"/>
                <w:b/>
                <w:bCs/>
                <w:highlight w:val="none"/>
              </w:rPr>
              <w:t>生产工艺流程及排污节点图</w:t>
            </w:r>
          </w:p>
          <w:p w14:paraId="3624478D">
            <w:pPr>
              <w:pStyle w:val="17"/>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highlight w:val="none"/>
                <w:lang w:val="en-US" w:eastAsia="zh-CN"/>
              </w:rPr>
            </w:pPr>
            <w:r>
              <w:rPr>
                <w:rFonts w:hint="eastAsia"/>
                <w:highlight w:val="none"/>
                <w:lang w:val="en-US" w:eastAsia="zh-CN"/>
              </w:rPr>
              <w:t>主要污染工序：软化水设备产生的废水、锅炉产生的废气和废水。</w:t>
            </w:r>
          </w:p>
          <w:p w14:paraId="635628F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highlight w:val="none"/>
                <w:lang w:val="en-US" w:eastAsia="zh-CN"/>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废气：</w:t>
            </w:r>
            <w:r>
              <w:rPr>
                <w:rFonts w:hint="eastAsia"/>
                <w:highlight w:val="none"/>
                <w:lang w:val="en-US" w:eastAsia="zh-CN"/>
              </w:rPr>
              <w:t>在建项目生产过程中产生的废气主要为有组织排放的蒸汽锅炉燃烧天然气产生的废气</w:t>
            </w:r>
            <w:r>
              <w:rPr>
                <w:rFonts w:hint="eastAsia"/>
                <w:highlight w:val="none"/>
              </w:rPr>
              <w:t>。</w:t>
            </w:r>
            <w:r>
              <w:rPr>
                <w:rFonts w:hint="eastAsia"/>
                <w:highlight w:val="none"/>
                <w:lang w:val="en-US" w:eastAsia="zh-CN"/>
              </w:rPr>
              <w:t>在建项目有1台燃用天然气的蒸汽锅炉，运行时间1600h/a，每小时额定用量约为140Nm³/h，原料为液化天然气，液化天然气为清洁能源，燃烧产生的主要污染物为SO</w:t>
            </w:r>
            <w:r>
              <w:rPr>
                <w:rFonts w:hint="eastAsia"/>
                <w:highlight w:val="none"/>
                <w:vertAlign w:val="subscript"/>
                <w:lang w:val="en-US" w:eastAsia="zh-CN"/>
              </w:rPr>
              <w:t>2</w:t>
            </w:r>
            <w:r>
              <w:rPr>
                <w:rFonts w:hint="eastAsia"/>
                <w:highlight w:val="none"/>
                <w:lang w:val="en-US" w:eastAsia="zh-CN"/>
              </w:rPr>
              <w:t>、NO</w:t>
            </w:r>
            <w:r>
              <w:rPr>
                <w:rFonts w:hint="eastAsia"/>
                <w:highlight w:val="none"/>
                <w:vertAlign w:val="subscript"/>
                <w:lang w:val="en-US" w:eastAsia="zh-CN"/>
              </w:rPr>
              <w:t>X</w:t>
            </w:r>
            <w:r>
              <w:rPr>
                <w:rFonts w:hint="eastAsia"/>
                <w:highlight w:val="none"/>
                <w:lang w:val="en-US" w:eastAsia="zh-CN"/>
              </w:rPr>
              <w:t>、烟尘（颗粒物），燃烧废气经一根15m高排气筒排放。</w:t>
            </w:r>
          </w:p>
          <w:p w14:paraId="0C07842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废水：</w:t>
            </w:r>
            <w:r>
              <w:rPr>
                <w:rFonts w:hint="eastAsia"/>
                <w:highlight w:val="none"/>
                <w:lang w:val="en-US" w:eastAsia="zh-CN"/>
              </w:rPr>
              <w:t>在建项目废水主要为软化水装置浓盐水和锅炉排污水，在建项目职工为项目现有职工，因此无新增生活废水排放。在建项目软化装置浓盐水和锅炉排污水全部排放于循环水池，不外排。</w:t>
            </w:r>
          </w:p>
          <w:p w14:paraId="1EBB0D9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噪声：主要为</w:t>
            </w:r>
            <w:r>
              <w:rPr>
                <w:rFonts w:hint="eastAsia"/>
                <w:highlight w:val="none"/>
                <w:lang w:val="en-US" w:eastAsia="zh-CN"/>
              </w:rPr>
              <w:t>机泵</w:t>
            </w:r>
            <w:r>
              <w:rPr>
                <w:rFonts w:hint="eastAsia"/>
                <w:highlight w:val="none"/>
              </w:rPr>
              <w:t>等设备运行时产生的噪声，噪声源强约75</w:t>
            </w:r>
            <w:r>
              <w:rPr>
                <w:rFonts w:hint="eastAsia"/>
                <w:highlight w:val="none"/>
                <w:lang w:val="pt-BR"/>
              </w:rPr>
              <w:t>~</w:t>
            </w:r>
            <w:r>
              <w:rPr>
                <w:rFonts w:hint="eastAsia"/>
                <w:highlight w:val="none"/>
                <w:lang w:val="en-US" w:eastAsia="zh-CN"/>
              </w:rPr>
              <w:t>85</w:t>
            </w:r>
            <w:r>
              <w:rPr>
                <w:rFonts w:hint="eastAsia"/>
                <w:highlight w:val="none"/>
              </w:rPr>
              <w:t>dB(A)。</w:t>
            </w:r>
          </w:p>
          <w:p w14:paraId="5349B8A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200"/>
              <w:textAlignment w:val="auto"/>
              <w:rPr>
                <w:rFonts w:hint="eastAsia"/>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固废：</w:t>
            </w:r>
            <w:r>
              <w:rPr>
                <w:rFonts w:hint="eastAsia"/>
                <w:highlight w:val="none"/>
                <w:lang w:val="en-US" w:eastAsia="zh-CN"/>
              </w:rPr>
              <w:t>在建项目技改后经营过程无新增生产固废产生，在建项目软化水装置产的离子交换树脂</w:t>
            </w:r>
            <w:r>
              <w:rPr>
                <w:rFonts w:hint="eastAsia"/>
                <w:highlight w:val="none"/>
              </w:rPr>
              <w:t>和职工生活垃圾等</w:t>
            </w:r>
            <w:r>
              <w:rPr>
                <w:rFonts w:hint="eastAsia"/>
                <w:highlight w:val="none"/>
                <w:lang w:val="en-US" w:eastAsia="zh-CN"/>
              </w:rPr>
              <w:t>固废全部为现有项目产生</w:t>
            </w:r>
            <w:r>
              <w:rPr>
                <w:rFonts w:hint="eastAsia"/>
                <w:highlight w:val="none"/>
              </w:rPr>
              <w:t>。</w:t>
            </w:r>
          </w:p>
          <w:p w14:paraId="40DA41D0">
            <w:pPr>
              <w:pStyle w:val="6"/>
              <w:keepNext w:val="0"/>
              <w:keepLines w:val="0"/>
              <w:pageBreakBefore w:val="0"/>
              <w:widowControl w:val="0"/>
              <w:kinsoku/>
              <w:wordWrap/>
              <w:overflowPunct/>
              <w:topLinePunct w:val="0"/>
              <w:bidi w:val="0"/>
              <w:spacing w:line="400" w:lineRule="exact"/>
              <w:ind w:left="0" w:leftChars="0" w:firstLine="420" w:firstLineChars="200"/>
              <w:rPr>
                <w:rFonts w:hint="eastAsia"/>
                <w:highlight w:val="none"/>
                <w:lang w:val="en-US" w:eastAsia="zh-CN"/>
              </w:rPr>
            </w:pPr>
            <w:r>
              <w:rPr>
                <w:rFonts w:hint="eastAsia"/>
                <w:highlight w:val="none"/>
                <w:lang w:val="en-US" w:eastAsia="zh-CN"/>
              </w:rPr>
              <w:t>六、原有污染物排放情况</w:t>
            </w:r>
          </w:p>
          <w:p w14:paraId="49961AD1">
            <w:pPr>
              <w:pStyle w:val="6"/>
              <w:keepNext w:val="0"/>
              <w:keepLines w:val="0"/>
              <w:pageBreakBefore w:val="0"/>
              <w:widowControl w:val="0"/>
              <w:kinsoku/>
              <w:wordWrap/>
              <w:overflowPunct/>
              <w:topLinePunct w:val="0"/>
              <w:bidi w:val="0"/>
              <w:spacing w:line="400" w:lineRule="exact"/>
              <w:ind w:left="0" w:leftChars="0" w:firstLine="420" w:firstLineChars="200"/>
              <w:rPr>
                <w:rFonts w:hint="eastAsia"/>
                <w:highlight w:val="none"/>
                <w:lang w:val="en-US" w:eastAsia="zh-CN"/>
              </w:rPr>
            </w:pPr>
            <w:r>
              <w:rPr>
                <w:rFonts w:hint="eastAsia"/>
                <w:highlight w:val="none"/>
                <w:lang w:val="en-US" w:eastAsia="zh-CN"/>
              </w:rPr>
              <w:t>1、废气：</w:t>
            </w:r>
          </w:p>
          <w:p w14:paraId="4B081F73">
            <w:pPr>
              <w:pStyle w:val="6"/>
              <w:keepNext w:val="0"/>
              <w:keepLines w:val="0"/>
              <w:pageBreakBefore w:val="0"/>
              <w:widowControl w:val="0"/>
              <w:kinsoku/>
              <w:wordWrap/>
              <w:overflowPunct/>
              <w:topLinePunct w:val="0"/>
              <w:bidi w:val="0"/>
              <w:spacing w:line="400" w:lineRule="exact"/>
              <w:ind w:left="0" w:leftChars="0" w:firstLine="420" w:firstLineChars="200"/>
              <w:rPr>
                <w:rFonts w:hint="default"/>
                <w:highlight w:val="none"/>
                <w:lang w:val="en-US" w:eastAsia="zh-CN"/>
              </w:rPr>
            </w:pPr>
            <w:r>
              <w:rPr>
                <w:rFonts w:hint="eastAsia"/>
                <w:highlight w:val="none"/>
                <w:lang w:val="en-US" w:eastAsia="zh-CN"/>
              </w:rPr>
              <w:t>（1）有组织废气</w:t>
            </w:r>
          </w:p>
          <w:p w14:paraId="64CEB4C6">
            <w:pPr>
              <w:pStyle w:val="2"/>
              <w:keepNext w:val="0"/>
              <w:keepLines w:val="0"/>
              <w:pageBreakBefore w:val="0"/>
              <w:widowControl w:val="0"/>
              <w:numPr>
                <w:ilvl w:val="0"/>
                <w:numId w:val="0"/>
              </w:numPr>
              <w:kinsoku/>
              <w:wordWrap/>
              <w:overflowPunct/>
              <w:topLinePunct w:val="0"/>
              <w:autoSpaceDE/>
              <w:autoSpaceDN/>
              <w:bidi w:val="0"/>
              <w:spacing w:line="400" w:lineRule="exact"/>
              <w:ind w:left="0" w:right="0" w:rightChars="0" w:firstLine="420" w:firstLineChars="200"/>
              <w:jc w:val="left"/>
              <w:textAlignment w:val="auto"/>
              <w:rPr>
                <w:rFonts w:hint="default"/>
                <w:highlight w:val="none"/>
                <w:lang w:val="en-US" w:eastAsia="zh-CN"/>
              </w:rPr>
            </w:pPr>
            <w:r>
              <w:rPr>
                <w:rFonts w:hint="eastAsia"/>
                <w:highlight w:val="none"/>
                <w:lang w:val="en-US" w:eastAsia="zh-CN"/>
              </w:rPr>
              <w:t>原有工程污染物排放主要为废气排放，本项目现有锅炉废气排放口（P1），XPS挤塑板、聚苯板、造粒机生产工序催化燃烧有机废气处理设施废气排放口（P2），干粉保温砂浆1#生产线1号地面布袋除尘器排放口（P3），干粉保温砂浆1#生产线顶部总除尘器排放口（P4），干粉保温砂浆2#生产线地面布袋除尘器排放口（P5），干粉保温砂浆2#生产线顶部总除尘器排放口（P6），造粒工艺生产线布袋除尘器排放口（P7）,共计7个排气筒。本项目XPS挤塑板、聚苯板车间年工作时间为6240h/a，锅炉为辅助生产设备年工作时间为1600h/a，干粉保温砂浆为2080h/a。</w:t>
            </w:r>
          </w:p>
          <w:p w14:paraId="03B183AC">
            <w:pPr>
              <w:keepNext w:val="0"/>
              <w:keepLines w:val="0"/>
              <w:pageBreakBefore w:val="0"/>
              <w:widowControl w:val="0"/>
              <w:kinsoku/>
              <w:wordWrap/>
              <w:overflowPunct/>
              <w:topLinePunct w:val="0"/>
              <w:bidi w:val="0"/>
              <w:adjustRightInd w:val="0"/>
              <w:snapToGrid w:val="0"/>
              <w:spacing w:line="400" w:lineRule="exact"/>
              <w:ind w:firstLine="480"/>
              <w:textAlignment w:val="baseline"/>
              <w:outlineLvl w:val="0"/>
              <w:rPr>
                <w:rFonts w:hint="default"/>
                <w:highlight w:val="none"/>
                <w:lang w:val="en-US" w:eastAsia="zh-CN"/>
              </w:rPr>
            </w:pPr>
            <w:r>
              <w:rPr>
                <w:rFonts w:hint="eastAsia"/>
                <w:highlight w:val="none"/>
                <w:lang w:val="en-US" w:eastAsia="zh-CN"/>
              </w:rPr>
              <w:t>排放口P2-P7的检测数据依据2021年11月唐山荣恒环境检测有限公司检测报告数据（唐山荣恒（2021）环检（排）第10322号），P1的检测数据现有工程依据2019年4月16日唐山荣恒环境检测有限公司检测报告数据（唐山荣恒（2019）环检（排）第03172号）生物质锅炉最新的检测报告，P1的检测数据在建工程依据2021年11月唐山荣恒环境检测有限公司检测报告数据（唐山荣恒（2021）环检（排）第10322号），</w:t>
            </w:r>
            <w:r>
              <w:rPr>
                <w:highlight w:val="none"/>
              </w:rPr>
              <w:t>有组织排放量核算见表</w:t>
            </w:r>
            <w:r>
              <w:rPr>
                <w:rFonts w:hint="eastAsia"/>
                <w:highlight w:val="none"/>
                <w:lang w:val="en-US" w:eastAsia="zh-CN"/>
              </w:rPr>
              <w:t>2-10。</w:t>
            </w:r>
          </w:p>
          <w:p w14:paraId="1C64D822">
            <w:pPr>
              <w:keepNext w:val="0"/>
              <w:keepLines w:val="0"/>
              <w:pageBreakBefore w:val="0"/>
              <w:widowControl/>
              <w:kinsoku/>
              <w:wordWrap/>
              <w:overflowPunct/>
              <w:topLinePunct w:val="0"/>
              <w:autoSpaceDE/>
              <w:autoSpaceDN/>
              <w:bidi w:val="0"/>
              <w:adjustRightInd w:val="0"/>
              <w:snapToGrid w:val="0"/>
              <w:spacing w:line="360" w:lineRule="auto"/>
              <w:ind w:firstLine="422" w:firstLineChars="200"/>
              <w:jc w:val="center"/>
              <w:textAlignment w:val="auto"/>
              <w:outlineLvl w:val="9"/>
              <w:rPr>
                <w:rFonts w:hint="eastAsia"/>
                <w:b/>
                <w:bCs/>
                <w:highlight w:val="none"/>
                <w:lang w:val="en-US" w:eastAsia="zh-CN"/>
              </w:rPr>
            </w:pPr>
            <w:r>
              <w:rPr>
                <w:rFonts w:hint="eastAsia"/>
                <w:b/>
                <w:bCs/>
                <w:highlight w:val="none"/>
                <w:lang w:val="en-US" w:eastAsia="zh-CN"/>
              </w:rPr>
              <w:t>表2-10   原有项目大气污染物有组织排放量核算表</w:t>
            </w:r>
          </w:p>
          <w:tbl>
            <w:tblPr>
              <w:tblStyle w:val="20"/>
              <w:tblW w:w="79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5"/>
              <w:gridCol w:w="605"/>
              <w:gridCol w:w="780"/>
              <w:gridCol w:w="915"/>
              <w:gridCol w:w="1065"/>
              <w:gridCol w:w="1365"/>
              <w:gridCol w:w="885"/>
              <w:gridCol w:w="930"/>
              <w:gridCol w:w="1006"/>
            </w:tblGrid>
            <w:tr w14:paraId="2B1B6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 w:type="dxa"/>
                  <w:vMerge w:val="restart"/>
                  <w:noWrap w:val="0"/>
                  <w:vAlign w:val="center"/>
                </w:tcPr>
                <w:p w14:paraId="7EB9A3E2">
                  <w:pPr>
                    <w:spacing w:line="0" w:lineRule="atLeast"/>
                    <w:jc w:val="center"/>
                    <w:rPr>
                      <w:rFonts w:hint="eastAsia"/>
                      <w:highlight w:val="none"/>
                    </w:rPr>
                  </w:pPr>
                  <w:r>
                    <w:rPr>
                      <w:rFonts w:hint="eastAsia"/>
                      <w:highlight w:val="none"/>
                    </w:rPr>
                    <w:t>序号</w:t>
                  </w:r>
                </w:p>
              </w:tc>
              <w:tc>
                <w:tcPr>
                  <w:tcW w:w="605" w:type="dxa"/>
                  <w:vMerge w:val="restart"/>
                  <w:noWrap w:val="0"/>
                  <w:vAlign w:val="center"/>
                </w:tcPr>
                <w:p w14:paraId="240001C8">
                  <w:pPr>
                    <w:spacing w:line="0" w:lineRule="atLeast"/>
                    <w:jc w:val="center"/>
                    <w:rPr>
                      <w:rFonts w:hint="eastAsia"/>
                      <w:highlight w:val="none"/>
                    </w:rPr>
                  </w:pPr>
                  <w:r>
                    <w:rPr>
                      <w:rFonts w:hint="eastAsia"/>
                      <w:highlight w:val="none"/>
                    </w:rPr>
                    <w:t>排放口编号</w:t>
                  </w:r>
                </w:p>
              </w:tc>
              <w:tc>
                <w:tcPr>
                  <w:tcW w:w="780" w:type="dxa"/>
                  <w:vMerge w:val="restart"/>
                  <w:noWrap w:val="0"/>
                  <w:vAlign w:val="center"/>
                </w:tcPr>
                <w:p w14:paraId="787C1D05">
                  <w:pPr>
                    <w:spacing w:line="0" w:lineRule="atLeast"/>
                    <w:jc w:val="center"/>
                    <w:rPr>
                      <w:rFonts w:hint="eastAsia"/>
                      <w:highlight w:val="none"/>
                    </w:rPr>
                  </w:pPr>
                  <w:r>
                    <w:rPr>
                      <w:rFonts w:hint="eastAsia"/>
                      <w:highlight w:val="none"/>
                    </w:rPr>
                    <w:t>污染物</w:t>
                  </w:r>
                </w:p>
              </w:tc>
              <w:tc>
                <w:tcPr>
                  <w:tcW w:w="3345" w:type="dxa"/>
                  <w:gridSpan w:val="3"/>
                  <w:noWrap w:val="0"/>
                  <w:vAlign w:val="center"/>
                </w:tcPr>
                <w:p w14:paraId="4CEAFDD4">
                  <w:pPr>
                    <w:spacing w:line="0" w:lineRule="atLeast"/>
                    <w:jc w:val="center"/>
                    <w:rPr>
                      <w:rFonts w:hint="default"/>
                      <w:highlight w:val="none"/>
                      <w:lang w:val="en-US" w:eastAsia="zh-CN"/>
                    </w:rPr>
                  </w:pPr>
                  <w:r>
                    <w:rPr>
                      <w:rFonts w:hint="eastAsia"/>
                      <w:highlight w:val="none"/>
                      <w:lang w:val="en-US" w:eastAsia="zh-CN"/>
                    </w:rPr>
                    <w:t>现有项目</w:t>
                  </w:r>
                </w:p>
              </w:tc>
              <w:tc>
                <w:tcPr>
                  <w:tcW w:w="2821" w:type="dxa"/>
                  <w:gridSpan w:val="3"/>
                  <w:noWrap w:val="0"/>
                  <w:vAlign w:val="center"/>
                </w:tcPr>
                <w:p w14:paraId="2D61348F">
                  <w:pPr>
                    <w:spacing w:line="0" w:lineRule="atLeast"/>
                    <w:jc w:val="center"/>
                    <w:rPr>
                      <w:rFonts w:hint="eastAsia"/>
                      <w:highlight w:val="none"/>
                      <w:lang w:val="en-US" w:eastAsia="zh-CN"/>
                    </w:rPr>
                  </w:pPr>
                  <w:r>
                    <w:rPr>
                      <w:rFonts w:hint="eastAsia"/>
                      <w:highlight w:val="none"/>
                      <w:lang w:val="en-US" w:eastAsia="zh-CN"/>
                    </w:rPr>
                    <w:t>在建项目</w:t>
                  </w:r>
                </w:p>
              </w:tc>
            </w:tr>
            <w:tr w14:paraId="4E49A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 w:type="dxa"/>
                  <w:vMerge w:val="continue"/>
                  <w:noWrap w:val="0"/>
                  <w:vAlign w:val="center"/>
                </w:tcPr>
                <w:p w14:paraId="005C83A0">
                  <w:pPr>
                    <w:spacing w:line="0" w:lineRule="atLeast"/>
                    <w:jc w:val="center"/>
                    <w:rPr>
                      <w:rFonts w:hint="eastAsia"/>
                      <w:highlight w:val="none"/>
                    </w:rPr>
                  </w:pPr>
                </w:p>
              </w:tc>
              <w:tc>
                <w:tcPr>
                  <w:tcW w:w="605" w:type="dxa"/>
                  <w:vMerge w:val="continue"/>
                  <w:noWrap w:val="0"/>
                  <w:vAlign w:val="center"/>
                </w:tcPr>
                <w:p w14:paraId="55147653">
                  <w:pPr>
                    <w:spacing w:line="0" w:lineRule="atLeast"/>
                    <w:jc w:val="center"/>
                    <w:rPr>
                      <w:rFonts w:hint="eastAsia"/>
                      <w:highlight w:val="none"/>
                    </w:rPr>
                  </w:pPr>
                </w:p>
              </w:tc>
              <w:tc>
                <w:tcPr>
                  <w:tcW w:w="780" w:type="dxa"/>
                  <w:vMerge w:val="continue"/>
                  <w:noWrap w:val="0"/>
                  <w:vAlign w:val="center"/>
                </w:tcPr>
                <w:p w14:paraId="0C2E1C9A">
                  <w:pPr>
                    <w:spacing w:line="0" w:lineRule="atLeast"/>
                    <w:jc w:val="center"/>
                    <w:rPr>
                      <w:rFonts w:hint="eastAsia"/>
                      <w:highlight w:val="none"/>
                    </w:rPr>
                  </w:pPr>
                </w:p>
              </w:tc>
              <w:tc>
                <w:tcPr>
                  <w:tcW w:w="915" w:type="dxa"/>
                  <w:noWrap w:val="0"/>
                  <w:vAlign w:val="center"/>
                </w:tcPr>
                <w:p w14:paraId="769BBB3C">
                  <w:pPr>
                    <w:spacing w:line="0" w:lineRule="atLeast"/>
                    <w:jc w:val="center"/>
                    <w:rPr>
                      <w:rFonts w:hint="eastAsia"/>
                      <w:highlight w:val="none"/>
                    </w:rPr>
                  </w:pPr>
                  <w:r>
                    <w:rPr>
                      <w:rFonts w:hint="eastAsia"/>
                      <w:highlight w:val="none"/>
                    </w:rPr>
                    <w:t>核算排放浓度（mg/m</w:t>
                  </w:r>
                  <w:r>
                    <w:rPr>
                      <w:rFonts w:hint="eastAsia"/>
                      <w:highlight w:val="none"/>
                      <w:vertAlign w:val="superscript"/>
                    </w:rPr>
                    <w:t>3</w:t>
                  </w:r>
                  <w:r>
                    <w:rPr>
                      <w:rFonts w:hint="eastAsia"/>
                      <w:highlight w:val="none"/>
                    </w:rPr>
                    <w:t>）</w:t>
                  </w:r>
                </w:p>
              </w:tc>
              <w:tc>
                <w:tcPr>
                  <w:tcW w:w="1065" w:type="dxa"/>
                  <w:noWrap w:val="0"/>
                  <w:vAlign w:val="center"/>
                </w:tcPr>
                <w:p w14:paraId="2CDB5D7A">
                  <w:pPr>
                    <w:spacing w:line="0" w:lineRule="atLeast"/>
                    <w:jc w:val="center"/>
                    <w:rPr>
                      <w:rFonts w:hint="eastAsia"/>
                      <w:highlight w:val="none"/>
                    </w:rPr>
                  </w:pPr>
                  <w:r>
                    <w:rPr>
                      <w:rFonts w:hint="eastAsia"/>
                      <w:highlight w:val="none"/>
                    </w:rPr>
                    <w:t>核算排放速率（kg/h）</w:t>
                  </w:r>
                </w:p>
              </w:tc>
              <w:tc>
                <w:tcPr>
                  <w:tcW w:w="1365" w:type="dxa"/>
                  <w:noWrap w:val="0"/>
                  <w:vAlign w:val="center"/>
                </w:tcPr>
                <w:p w14:paraId="55F0DF65">
                  <w:pPr>
                    <w:spacing w:line="0" w:lineRule="atLeast"/>
                    <w:jc w:val="center"/>
                    <w:rPr>
                      <w:rFonts w:hint="eastAsia"/>
                      <w:highlight w:val="none"/>
                    </w:rPr>
                  </w:pPr>
                  <w:r>
                    <w:rPr>
                      <w:rFonts w:hint="eastAsia"/>
                      <w:highlight w:val="none"/>
                    </w:rPr>
                    <w:t>核算年排放量（t/a）</w:t>
                  </w:r>
                </w:p>
              </w:tc>
              <w:tc>
                <w:tcPr>
                  <w:tcW w:w="885" w:type="dxa"/>
                  <w:noWrap w:val="0"/>
                  <w:vAlign w:val="center"/>
                </w:tcPr>
                <w:p w14:paraId="392E9925">
                  <w:pPr>
                    <w:spacing w:line="0" w:lineRule="atLeast"/>
                    <w:jc w:val="center"/>
                    <w:rPr>
                      <w:rFonts w:hint="eastAsia"/>
                      <w:highlight w:val="none"/>
                      <w:lang w:val="en-US" w:eastAsia="zh-CN"/>
                    </w:rPr>
                  </w:pPr>
                  <w:r>
                    <w:rPr>
                      <w:rFonts w:hint="eastAsia"/>
                      <w:highlight w:val="none"/>
                    </w:rPr>
                    <w:t>核算排放浓度（mg/m</w:t>
                  </w:r>
                  <w:r>
                    <w:rPr>
                      <w:rFonts w:hint="eastAsia"/>
                      <w:highlight w:val="none"/>
                      <w:vertAlign w:val="superscript"/>
                    </w:rPr>
                    <w:t>3</w:t>
                  </w:r>
                  <w:r>
                    <w:rPr>
                      <w:rFonts w:hint="eastAsia"/>
                      <w:highlight w:val="none"/>
                    </w:rPr>
                    <w:t>）</w:t>
                  </w:r>
                </w:p>
              </w:tc>
              <w:tc>
                <w:tcPr>
                  <w:tcW w:w="930" w:type="dxa"/>
                  <w:noWrap w:val="0"/>
                  <w:vAlign w:val="center"/>
                </w:tcPr>
                <w:p w14:paraId="1BBDABEB">
                  <w:pPr>
                    <w:spacing w:line="0" w:lineRule="atLeast"/>
                    <w:jc w:val="center"/>
                    <w:rPr>
                      <w:rFonts w:hint="eastAsia"/>
                      <w:highlight w:val="none"/>
                      <w:lang w:val="en-US" w:eastAsia="zh-CN"/>
                    </w:rPr>
                  </w:pPr>
                  <w:r>
                    <w:rPr>
                      <w:rFonts w:hint="eastAsia"/>
                      <w:highlight w:val="none"/>
                    </w:rPr>
                    <w:t>核算排放速率（kg/h）</w:t>
                  </w:r>
                </w:p>
              </w:tc>
              <w:tc>
                <w:tcPr>
                  <w:tcW w:w="1006" w:type="dxa"/>
                  <w:noWrap w:val="0"/>
                  <w:vAlign w:val="center"/>
                </w:tcPr>
                <w:p w14:paraId="704D15FD">
                  <w:pPr>
                    <w:spacing w:line="0" w:lineRule="atLeast"/>
                    <w:jc w:val="center"/>
                    <w:rPr>
                      <w:rFonts w:hint="eastAsia"/>
                      <w:highlight w:val="none"/>
                      <w:lang w:val="en-US" w:eastAsia="zh-CN"/>
                    </w:rPr>
                  </w:pPr>
                  <w:r>
                    <w:rPr>
                      <w:rFonts w:hint="eastAsia"/>
                      <w:highlight w:val="none"/>
                    </w:rPr>
                    <w:t>核算年排放量（t/a）</w:t>
                  </w:r>
                </w:p>
              </w:tc>
            </w:tr>
            <w:tr w14:paraId="0F098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86" w:type="dxa"/>
                  <w:gridSpan w:val="9"/>
                  <w:noWrap w:val="0"/>
                  <w:vAlign w:val="center"/>
                </w:tcPr>
                <w:p w14:paraId="7FD03D61">
                  <w:pPr>
                    <w:spacing w:line="0" w:lineRule="atLeast"/>
                    <w:jc w:val="center"/>
                    <w:rPr>
                      <w:rFonts w:hint="eastAsia"/>
                      <w:highlight w:val="none"/>
                    </w:rPr>
                  </w:pPr>
                  <w:r>
                    <w:rPr>
                      <w:rFonts w:hint="eastAsia"/>
                      <w:highlight w:val="none"/>
                    </w:rPr>
                    <w:t>一般排放口</w:t>
                  </w:r>
                </w:p>
              </w:tc>
            </w:tr>
            <w:tr w14:paraId="4F719F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 w:type="dxa"/>
                  <w:vMerge w:val="restart"/>
                  <w:noWrap w:val="0"/>
                  <w:vAlign w:val="center"/>
                </w:tcPr>
                <w:p w14:paraId="117CFD90">
                  <w:pPr>
                    <w:spacing w:line="0" w:lineRule="atLeast"/>
                    <w:jc w:val="center"/>
                    <w:rPr>
                      <w:rFonts w:hint="eastAsia"/>
                      <w:highlight w:val="none"/>
                    </w:rPr>
                  </w:pPr>
                  <w:r>
                    <w:rPr>
                      <w:rFonts w:hint="eastAsia"/>
                      <w:highlight w:val="none"/>
                    </w:rPr>
                    <w:t>1</w:t>
                  </w:r>
                </w:p>
              </w:tc>
              <w:tc>
                <w:tcPr>
                  <w:tcW w:w="605" w:type="dxa"/>
                  <w:vMerge w:val="restart"/>
                  <w:noWrap w:val="0"/>
                  <w:vAlign w:val="center"/>
                </w:tcPr>
                <w:p w14:paraId="1DB10849">
                  <w:pPr>
                    <w:spacing w:line="0" w:lineRule="atLeast"/>
                    <w:jc w:val="center"/>
                    <w:rPr>
                      <w:rFonts w:hint="eastAsia"/>
                      <w:highlight w:val="none"/>
                    </w:rPr>
                  </w:pPr>
                  <w:r>
                    <w:rPr>
                      <w:rFonts w:hint="eastAsia"/>
                      <w:highlight w:val="none"/>
                    </w:rPr>
                    <w:t>DA001</w:t>
                  </w:r>
                </w:p>
              </w:tc>
              <w:tc>
                <w:tcPr>
                  <w:tcW w:w="780" w:type="dxa"/>
                  <w:noWrap w:val="0"/>
                  <w:vAlign w:val="center"/>
                </w:tcPr>
                <w:p w14:paraId="7688FDB1">
                  <w:pPr>
                    <w:keepNext w:val="0"/>
                    <w:keepLines w:val="0"/>
                    <w:pageBreakBefore w:val="0"/>
                    <w:widowControl w:val="0"/>
                    <w:kinsoku/>
                    <w:wordWrap/>
                    <w:overflowPunct/>
                    <w:topLinePunct w:val="0"/>
                    <w:autoSpaceDE/>
                    <w:autoSpaceDN/>
                    <w:bidi w:val="0"/>
                    <w:adjustRightInd/>
                    <w:snapToGrid/>
                    <w:spacing w:line="0" w:lineRule="atLeast"/>
                    <w:ind w:firstLine="0"/>
                    <w:jc w:val="center"/>
                    <w:textAlignment w:val="auto"/>
                    <w:rPr>
                      <w:rFonts w:hint="default"/>
                      <w:highlight w:val="none"/>
                      <w:lang w:val="en-US" w:eastAsia="zh-CN"/>
                    </w:rPr>
                  </w:pPr>
                  <w:r>
                    <w:rPr>
                      <w:rFonts w:hint="eastAsia"/>
                      <w:highlight w:val="none"/>
                      <w:lang w:val="en-US" w:eastAsia="zh-CN"/>
                    </w:rPr>
                    <w:t>颗粒物</w:t>
                  </w:r>
                </w:p>
              </w:tc>
              <w:tc>
                <w:tcPr>
                  <w:tcW w:w="915" w:type="dxa"/>
                  <w:noWrap w:val="0"/>
                  <w:vAlign w:val="center"/>
                </w:tcPr>
                <w:p w14:paraId="7BD8EA8F">
                  <w:pPr>
                    <w:spacing w:line="0" w:lineRule="atLeast"/>
                    <w:jc w:val="center"/>
                    <w:rPr>
                      <w:rFonts w:hint="default"/>
                      <w:highlight w:val="none"/>
                      <w:lang w:val="en-US" w:eastAsia="zh-CN"/>
                    </w:rPr>
                  </w:pPr>
                  <w:r>
                    <w:rPr>
                      <w:rFonts w:hint="eastAsia"/>
                      <w:highlight w:val="none"/>
                      <w:lang w:val="en-US" w:eastAsia="zh-CN"/>
                    </w:rPr>
                    <w:t>26</w:t>
                  </w:r>
                </w:p>
              </w:tc>
              <w:tc>
                <w:tcPr>
                  <w:tcW w:w="1065" w:type="dxa"/>
                  <w:noWrap w:val="0"/>
                  <w:vAlign w:val="center"/>
                </w:tcPr>
                <w:p w14:paraId="3B48507E">
                  <w:pPr>
                    <w:spacing w:line="0" w:lineRule="atLeast"/>
                    <w:jc w:val="center"/>
                    <w:rPr>
                      <w:rFonts w:hint="default"/>
                      <w:highlight w:val="none"/>
                      <w:lang w:val="en-US"/>
                    </w:rPr>
                  </w:pPr>
                  <w:r>
                    <w:rPr>
                      <w:rFonts w:hint="eastAsia"/>
                      <w:highlight w:val="none"/>
                      <w:lang w:val="en-US" w:eastAsia="zh-CN"/>
                    </w:rPr>
                    <w:t>0.072</w:t>
                  </w:r>
                </w:p>
              </w:tc>
              <w:tc>
                <w:tcPr>
                  <w:tcW w:w="1365" w:type="dxa"/>
                  <w:noWrap w:val="0"/>
                  <w:vAlign w:val="center"/>
                </w:tcPr>
                <w:p w14:paraId="357B08BE">
                  <w:pPr>
                    <w:spacing w:line="0" w:lineRule="atLeast"/>
                    <w:jc w:val="center"/>
                    <w:rPr>
                      <w:rFonts w:hint="default"/>
                      <w:highlight w:val="none"/>
                      <w:lang w:val="en-US" w:eastAsia="zh-CN"/>
                    </w:rPr>
                  </w:pPr>
                  <w:r>
                    <w:rPr>
                      <w:rFonts w:hint="eastAsia"/>
                      <w:highlight w:val="none"/>
                      <w:lang w:val="en-US" w:eastAsia="zh-CN"/>
                    </w:rPr>
                    <w:t>0.1152</w:t>
                  </w:r>
                </w:p>
              </w:tc>
              <w:tc>
                <w:tcPr>
                  <w:tcW w:w="885" w:type="dxa"/>
                  <w:noWrap w:val="0"/>
                  <w:vAlign w:val="center"/>
                </w:tcPr>
                <w:p w14:paraId="277E5D53">
                  <w:pPr>
                    <w:spacing w:line="0" w:lineRule="atLeast"/>
                    <w:jc w:val="center"/>
                    <w:rPr>
                      <w:rFonts w:hint="default"/>
                      <w:highlight w:val="none"/>
                      <w:lang w:val="en-US" w:eastAsia="zh-CN"/>
                    </w:rPr>
                  </w:pPr>
                  <w:r>
                    <w:rPr>
                      <w:rFonts w:hint="eastAsia"/>
                      <w:highlight w:val="none"/>
                      <w:lang w:val="en-US" w:eastAsia="zh-CN"/>
                    </w:rPr>
                    <w:t>3.9</w:t>
                  </w:r>
                </w:p>
              </w:tc>
              <w:tc>
                <w:tcPr>
                  <w:tcW w:w="930" w:type="dxa"/>
                  <w:noWrap w:val="0"/>
                  <w:vAlign w:val="center"/>
                </w:tcPr>
                <w:p w14:paraId="01A2D8C1">
                  <w:pPr>
                    <w:spacing w:line="0" w:lineRule="atLeast"/>
                    <w:jc w:val="center"/>
                    <w:rPr>
                      <w:rFonts w:hint="default"/>
                      <w:highlight w:val="none"/>
                      <w:lang w:val="en-US" w:eastAsia="zh-CN"/>
                    </w:rPr>
                  </w:pPr>
                  <w:r>
                    <w:rPr>
                      <w:rFonts w:hint="eastAsia"/>
                      <w:highlight w:val="none"/>
                      <w:lang w:val="en-US" w:eastAsia="zh-CN"/>
                    </w:rPr>
                    <w:t>0.006</w:t>
                  </w:r>
                </w:p>
              </w:tc>
              <w:tc>
                <w:tcPr>
                  <w:tcW w:w="1006" w:type="dxa"/>
                  <w:noWrap w:val="0"/>
                  <w:vAlign w:val="center"/>
                </w:tcPr>
                <w:p w14:paraId="7659C6E8">
                  <w:pPr>
                    <w:pStyle w:val="26"/>
                    <w:spacing w:beforeLines="0" w:afterLines="0" w:line="240" w:lineRule="auto"/>
                    <w:rPr>
                      <w:rFonts w:hint="default"/>
                      <w:highlight w:val="none"/>
                      <w:lang w:val="en-US" w:eastAsia="zh-CN"/>
                    </w:rPr>
                  </w:pPr>
                  <w:r>
                    <w:rPr>
                      <w:rFonts w:hint="eastAsia"/>
                      <w:highlight w:val="none"/>
                      <w:lang w:val="en-US" w:eastAsia="zh-CN"/>
                    </w:rPr>
                    <w:t>9.6</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r>
            <w:tr w14:paraId="655B3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 w:type="dxa"/>
                  <w:vMerge w:val="continue"/>
                  <w:noWrap w:val="0"/>
                  <w:vAlign w:val="center"/>
                </w:tcPr>
                <w:p w14:paraId="4711AAE0">
                  <w:pPr>
                    <w:spacing w:line="0" w:lineRule="atLeast"/>
                    <w:jc w:val="center"/>
                    <w:rPr>
                      <w:rFonts w:hint="eastAsia"/>
                      <w:highlight w:val="none"/>
                    </w:rPr>
                  </w:pPr>
                </w:p>
              </w:tc>
              <w:tc>
                <w:tcPr>
                  <w:tcW w:w="605" w:type="dxa"/>
                  <w:vMerge w:val="continue"/>
                  <w:noWrap w:val="0"/>
                  <w:vAlign w:val="center"/>
                </w:tcPr>
                <w:p w14:paraId="6506AB2A">
                  <w:pPr>
                    <w:spacing w:line="0" w:lineRule="atLeast"/>
                    <w:jc w:val="center"/>
                    <w:rPr>
                      <w:rFonts w:hint="eastAsia"/>
                      <w:highlight w:val="none"/>
                    </w:rPr>
                  </w:pPr>
                </w:p>
              </w:tc>
              <w:tc>
                <w:tcPr>
                  <w:tcW w:w="780" w:type="dxa"/>
                  <w:noWrap w:val="0"/>
                  <w:vAlign w:val="center"/>
                </w:tcPr>
                <w:p w14:paraId="0E838857">
                  <w:pPr>
                    <w:spacing w:line="0" w:lineRule="atLeast"/>
                    <w:jc w:val="center"/>
                    <w:rPr>
                      <w:rFonts w:hint="default"/>
                      <w:highlight w:val="none"/>
                      <w:lang w:val="en-US" w:eastAsia="zh-CN"/>
                    </w:rPr>
                  </w:pPr>
                  <w:r>
                    <w:rPr>
                      <w:rFonts w:hint="default"/>
                      <w:highlight w:val="none"/>
                    </w:rPr>
                    <w:t>SO</w:t>
                  </w:r>
                  <w:r>
                    <w:rPr>
                      <w:rFonts w:hint="default"/>
                      <w:highlight w:val="none"/>
                      <w:vertAlign w:val="subscript"/>
                    </w:rPr>
                    <w:t>2</w:t>
                  </w:r>
                </w:p>
              </w:tc>
              <w:tc>
                <w:tcPr>
                  <w:tcW w:w="915" w:type="dxa"/>
                  <w:noWrap w:val="0"/>
                  <w:vAlign w:val="center"/>
                </w:tcPr>
                <w:p w14:paraId="580D978A">
                  <w:pPr>
                    <w:spacing w:line="0" w:lineRule="atLeast"/>
                    <w:jc w:val="center"/>
                    <w:rPr>
                      <w:rFonts w:hint="default"/>
                      <w:highlight w:val="none"/>
                      <w:lang w:val="en-US" w:eastAsia="zh-CN"/>
                    </w:rPr>
                  </w:pPr>
                  <w:r>
                    <w:rPr>
                      <w:rFonts w:hint="eastAsia"/>
                      <w:highlight w:val="none"/>
                      <w:lang w:val="en-US" w:eastAsia="zh-CN"/>
                    </w:rPr>
                    <w:t>4</w:t>
                  </w:r>
                </w:p>
              </w:tc>
              <w:tc>
                <w:tcPr>
                  <w:tcW w:w="1065" w:type="dxa"/>
                  <w:noWrap w:val="0"/>
                  <w:vAlign w:val="center"/>
                </w:tcPr>
                <w:p w14:paraId="04F0CA1E">
                  <w:pPr>
                    <w:spacing w:line="0" w:lineRule="atLeast"/>
                    <w:jc w:val="center"/>
                    <w:rPr>
                      <w:rFonts w:hint="default"/>
                      <w:highlight w:val="none"/>
                      <w:lang w:val="en-US" w:eastAsia="zh-CN"/>
                    </w:rPr>
                  </w:pPr>
                  <w:r>
                    <w:rPr>
                      <w:rFonts w:hint="eastAsia"/>
                      <w:highlight w:val="none"/>
                      <w:lang w:val="en-US" w:eastAsia="zh-CN"/>
                    </w:rPr>
                    <w:t>0.012</w:t>
                  </w:r>
                </w:p>
              </w:tc>
              <w:tc>
                <w:tcPr>
                  <w:tcW w:w="1365" w:type="dxa"/>
                  <w:noWrap w:val="0"/>
                  <w:vAlign w:val="center"/>
                </w:tcPr>
                <w:p w14:paraId="61165B32">
                  <w:pPr>
                    <w:spacing w:line="0" w:lineRule="atLeast"/>
                    <w:jc w:val="center"/>
                    <w:rPr>
                      <w:rFonts w:hint="default"/>
                      <w:highlight w:val="none"/>
                      <w:lang w:val="en-US" w:eastAsia="zh-CN"/>
                    </w:rPr>
                  </w:pPr>
                  <w:r>
                    <w:rPr>
                      <w:rFonts w:hint="eastAsia"/>
                      <w:highlight w:val="none"/>
                      <w:lang w:val="en-US" w:eastAsia="zh-CN"/>
                    </w:rPr>
                    <w:t>0.0192</w:t>
                  </w:r>
                </w:p>
              </w:tc>
              <w:tc>
                <w:tcPr>
                  <w:tcW w:w="885" w:type="dxa"/>
                  <w:noWrap w:val="0"/>
                  <w:vAlign w:val="center"/>
                </w:tcPr>
                <w:p w14:paraId="53CBAFC2">
                  <w:pPr>
                    <w:spacing w:line="0" w:lineRule="atLeast"/>
                    <w:jc w:val="center"/>
                    <w:rPr>
                      <w:rFonts w:hint="default"/>
                      <w:highlight w:val="none"/>
                      <w:lang w:val="en-US" w:eastAsia="zh-CN"/>
                    </w:rPr>
                  </w:pPr>
                  <w:r>
                    <w:rPr>
                      <w:rFonts w:hint="eastAsia"/>
                      <w:highlight w:val="none"/>
                      <w:lang w:val="en-US" w:eastAsia="zh-CN"/>
                    </w:rPr>
                    <w:t>4</w:t>
                  </w:r>
                </w:p>
              </w:tc>
              <w:tc>
                <w:tcPr>
                  <w:tcW w:w="930" w:type="dxa"/>
                  <w:noWrap w:val="0"/>
                  <w:vAlign w:val="center"/>
                </w:tcPr>
                <w:p w14:paraId="36E99354">
                  <w:pPr>
                    <w:spacing w:line="0" w:lineRule="atLeast"/>
                    <w:jc w:val="center"/>
                    <w:rPr>
                      <w:rFonts w:hint="default"/>
                      <w:highlight w:val="none"/>
                      <w:lang w:val="en-US" w:eastAsia="zh-CN"/>
                    </w:rPr>
                  </w:pPr>
                  <w:r>
                    <w:rPr>
                      <w:rFonts w:hint="eastAsia"/>
                      <w:highlight w:val="none"/>
                      <w:lang w:val="en-US" w:eastAsia="zh-CN"/>
                    </w:rPr>
                    <w:t>0.006</w:t>
                  </w:r>
                </w:p>
              </w:tc>
              <w:tc>
                <w:tcPr>
                  <w:tcW w:w="1006" w:type="dxa"/>
                  <w:noWrap w:val="0"/>
                  <w:vAlign w:val="center"/>
                </w:tcPr>
                <w:p w14:paraId="3B206895">
                  <w:pPr>
                    <w:spacing w:line="0" w:lineRule="atLeast"/>
                    <w:jc w:val="center"/>
                    <w:rPr>
                      <w:rFonts w:hint="eastAsia"/>
                      <w:highlight w:val="none"/>
                      <w:lang w:val="en-US" w:eastAsia="zh-CN"/>
                    </w:rPr>
                  </w:pPr>
                  <w:r>
                    <w:rPr>
                      <w:rFonts w:hint="eastAsia"/>
                      <w:highlight w:val="none"/>
                      <w:lang w:val="en-US" w:eastAsia="zh-CN"/>
                    </w:rPr>
                    <w:t>9.6</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r>
            <w:tr w14:paraId="054CAB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 w:type="dxa"/>
                  <w:vMerge w:val="continue"/>
                  <w:noWrap w:val="0"/>
                  <w:vAlign w:val="center"/>
                </w:tcPr>
                <w:p w14:paraId="6F784D54">
                  <w:pPr>
                    <w:spacing w:line="0" w:lineRule="atLeast"/>
                    <w:jc w:val="center"/>
                    <w:rPr>
                      <w:rFonts w:hint="eastAsia"/>
                      <w:highlight w:val="none"/>
                    </w:rPr>
                  </w:pPr>
                </w:p>
              </w:tc>
              <w:tc>
                <w:tcPr>
                  <w:tcW w:w="605" w:type="dxa"/>
                  <w:vMerge w:val="continue"/>
                  <w:noWrap w:val="0"/>
                  <w:vAlign w:val="center"/>
                </w:tcPr>
                <w:p w14:paraId="15204E2F">
                  <w:pPr>
                    <w:spacing w:line="0" w:lineRule="atLeast"/>
                    <w:jc w:val="center"/>
                    <w:rPr>
                      <w:rFonts w:hint="eastAsia"/>
                      <w:highlight w:val="none"/>
                    </w:rPr>
                  </w:pPr>
                </w:p>
              </w:tc>
              <w:tc>
                <w:tcPr>
                  <w:tcW w:w="780" w:type="dxa"/>
                  <w:noWrap w:val="0"/>
                  <w:vAlign w:val="center"/>
                </w:tcPr>
                <w:p w14:paraId="5ED4F946">
                  <w:pPr>
                    <w:spacing w:line="0" w:lineRule="atLeast"/>
                    <w:jc w:val="center"/>
                    <w:rPr>
                      <w:rFonts w:hint="default"/>
                      <w:highlight w:val="none"/>
                      <w:lang w:val="en-US" w:eastAsia="zh-CN"/>
                    </w:rPr>
                  </w:pPr>
                  <w:r>
                    <w:rPr>
                      <w:rFonts w:hint="default"/>
                      <w:highlight w:val="none"/>
                    </w:rPr>
                    <w:t>NO</w:t>
                  </w:r>
                  <w:r>
                    <w:rPr>
                      <w:rFonts w:hint="default"/>
                      <w:highlight w:val="none"/>
                      <w:vertAlign w:val="subscript"/>
                    </w:rPr>
                    <w:t>X</w:t>
                  </w:r>
                </w:p>
              </w:tc>
              <w:tc>
                <w:tcPr>
                  <w:tcW w:w="915" w:type="dxa"/>
                  <w:noWrap w:val="0"/>
                  <w:vAlign w:val="center"/>
                </w:tcPr>
                <w:p w14:paraId="6E5C6BF5">
                  <w:pPr>
                    <w:spacing w:line="0" w:lineRule="atLeast"/>
                    <w:jc w:val="center"/>
                    <w:rPr>
                      <w:rFonts w:hint="default"/>
                      <w:highlight w:val="none"/>
                      <w:lang w:val="en-US" w:eastAsia="zh-CN"/>
                    </w:rPr>
                  </w:pPr>
                  <w:r>
                    <w:rPr>
                      <w:rFonts w:hint="eastAsia"/>
                      <w:highlight w:val="none"/>
                      <w:lang w:val="en-US" w:eastAsia="zh-CN"/>
                    </w:rPr>
                    <w:t>130</w:t>
                  </w:r>
                </w:p>
              </w:tc>
              <w:tc>
                <w:tcPr>
                  <w:tcW w:w="1065" w:type="dxa"/>
                  <w:noWrap w:val="0"/>
                  <w:vAlign w:val="center"/>
                </w:tcPr>
                <w:p w14:paraId="4A956378">
                  <w:pPr>
                    <w:spacing w:line="0" w:lineRule="atLeast"/>
                    <w:jc w:val="center"/>
                    <w:rPr>
                      <w:rFonts w:hint="default"/>
                      <w:highlight w:val="none"/>
                      <w:lang w:val="en-US" w:eastAsia="zh-CN"/>
                    </w:rPr>
                  </w:pPr>
                  <w:r>
                    <w:rPr>
                      <w:rFonts w:hint="eastAsia"/>
                      <w:highlight w:val="none"/>
                      <w:lang w:val="en-US" w:eastAsia="zh-CN"/>
                    </w:rPr>
                    <w:t>0.526</w:t>
                  </w:r>
                </w:p>
              </w:tc>
              <w:tc>
                <w:tcPr>
                  <w:tcW w:w="1365" w:type="dxa"/>
                  <w:noWrap w:val="0"/>
                  <w:vAlign w:val="center"/>
                </w:tcPr>
                <w:p w14:paraId="4AC233AB">
                  <w:pPr>
                    <w:spacing w:line="0" w:lineRule="atLeast"/>
                    <w:jc w:val="center"/>
                    <w:rPr>
                      <w:rFonts w:hint="default"/>
                      <w:highlight w:val="none"/>
                      <w:lang w:val="en-US" w:eastAsia="zh-CN"/>
                    </w:rPr>
                  </w:pPr>
                  <w:r>
                    <w:rPr>
                      <w:rFonts w:hint="eastAsia"/>
                      <w:highlight w:val="none"/>
                      <w:lang w:val="en-US" w:eastAsia="zh-CN"/>
                    </w:rPr>
                    <w:t>0.8416</w:t>
                  </w:r>
                </w:p>
              </w:tc>
              <w:tc>
                <w:tcPr>
                  <w:tcW w:w="885" w:type="dxa"/>
                  <w:noWrap w:val="0"/>
                  <w:vAlign w:val="center"/>
                </w:tcPr>
                <w:p w14:paraId="7FF86D05">
                  <w:pPr>
                    <w:spacing w:line="0" w:lineRule="atLeast"/>
                    <w:jc w:val="center"/>
                    <w:rPr>
                      <w:rFonts w:hint="default"/>
                      <w:highlight w:val="none"/>
                      <w:lang w:val="en-US" w:eastAsia="zh-CN"/>
                    </w:rPr>
                  </w:pPr>
                  <w:r>
                    <w:rPr>
                      <w:rFonts w:hint="eastAsia"/>
                      <w:highlight w:val="none"/>
                      <w:lang w:val="en-US" w:eastAsia="zh-CN"/>
                    </w:rPr>
                    <w:t>21</w:t>
                  </w:r>
                </w:p>
              </w:tc>
              <w:tc>
                <w:tcPr>
                  <w:tcW w:w="930" w:type="dxa"/>
                  <w:noWrap w:val="0"/>
                  <w:vAlign w:val="center"/>
                </w:tcPr>
                <w:p w14:paraId="195029BE">
                  <w:pPr>
                    <w:spacing w:line="0" w:lineRule="atLeast"/>
                    <w:jc w:val="center"/>
                    <w:rPr>
                      <w:rFonts w:hint="default"/>
                      <w:highlight w:val="none"/>
                      <w:lang w:val="en-US" w:eastAsia="zh-CN"/>
                    </w:rPr>
                  </w:pPr>
                  <w:r>
                    <w:rPr>
                      <w:rFonts w:hint="eastAsia"/>
                      <w:highlight w:val="none"/>
                      <w:lang w:val="en-US" w:eastAsia="zh-CN"/>
                    </w:rPr>
                    <w:t>0.030</w:t>
                  </w:r>
                </w:p>
              </w:tc>
              <w:tc>
                <w:tcPr>
                  <w:tcW w:w="1006" w:type="dxa"/>
                  <w:noWrap w:val="0"/>
                  <w:vAlign w:val="center"/>
                </w:tcPr>
                <w:p w14:paraId="365DDEA1">
                  <w:pPr>
                    <w:spacing w:line="0" w:lineRule="atLeast"/>
                    <w:jc w:val="center"/>
                    <w:rPr>
                      <w:rFonts w:hint="eastAsia"/>
                      <w:highlight w:val="none"/>
                      <w:lang w:val="en-US" w:eastAsia="zh-CN"/>
                    </w:rPr>
                  </w:pPr>
                  <w:r>
                    <w:rPr>
                      <w:rFonts w:hint="eastAsia"/>
                      <w:highlight w:val="none"/>
                      <w:lang w:val="en-US" w:eastAsia="zh-CN"/>
                    </w:rPr>
                    <w:t>0.048</w:t>
                  </w:r>
                </w:p>
              </w:tc>
            </w:tr>
            <w:tr w14:paraId="227B8D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 w:type="dxa"/>
                  <w:vMerge w:val="restart"/>
                  <w:noWrap w:val="0"/>
                  <w:vAlign w:val="center"/>
                </w:tcPr>
                <w:p w14:paraId="6C4A0792">
                  <w:pPr>
                    <w:spacing w:line="0" w:lineRule="atLeast"/>
                    <w:jc w:val="center"/>
                    <w:rPr>
                      <w:rFonts w:hint="default"/>
                      <w:highlight w:val="none"/>
                      <w:lang w:val="en-US" w:eastAsia="zh-CN"/>
                    </w:rPr>
                  </w:pPr>
                  <w:r>
                    <w:rPr>
                      <w:rFonts w:hint="eastAsia"/>
                      <w:highlight w:val="none"/>
                      <w:lang w:val="en-US" w:eastAsia="zh-CN"/>
                    </w:rPr>
                    <w:t>2</w:t>
                  </w:r>
                </w:p>
              </w:tc>
              <w:tc>
                <w:tcPr>
                  <w:tcW w:w="605" w:type="dxa"/>
                  <w:vMerge w:val="restart"/>
                  <w:noWrap w:val="0"/>
                  <w:vAlign w:val="center"/>
                </w:tcPr>
                <w:p w14:paraId="3827B03E">
                  <w:pPr>
                    <w:spacing w:line="0" w:lineRule="atLeast"/>
                    <w:jc w:val="center"/>
                    <w:rPr>
                      <w:rFonts w:hint="eastAsia"/>
                      <w:highlight w:val="none"/>
                    </w:rPr>
                  </w:pPr>
                  <w:r>
                    <w:rPr>
                      <w:rFonts w:hint="eastAsia"/>
                      <w:highlight w:val="none"/>
                    </w:rPr>
                    <w:t>DA00</w:t>
                  </w:r>
                  <w:r>
                    <w:rPr>
                      <w:rFonts w:hint="eastAsia"/>
                      <w:highlight w:val="none"/>
                      <w:lang w:val="en-US" w:eastAsia="zh-CN"/>
                    </w:rPr>
                    <w:t>2</w:t>
                  </w:r>
                </w:p>
              </w:tc>
              <w:tc>
                <w:tcPr>
                  <w:tcW w:w="780" w:type="dxa"/>
                  <w:noWrap w:val="0"/>
                  <w:vAlign w:val="center"/>
                </w:tcPr>
                <w:p w14:paraId="4E32F169">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center"/>
                    <w:textAlignment w:val="auto"/>
                    <w:rPr>
                      <w:rFonts w:hint="eastAsia"/>
                      <w:highlight w:val="none"/>
                      <w:lang w:eastAsia="zh-CN"/>
                    </w:rPr>
                  </w:pPr>
                  <w:r>
                    <w:rPr>
                      <w:rFonts w:hint="eastAsia"/>
                      <w:highlight w:val="none"/>
                      <w:lang w:val="en-US" w:eastAsia="zh-CN"/>
                    </w:rPr>
                    <w:t>非甲烷总烃</w:t>
                  </w:r>
                </w:p>
              </w:tc>
              <w:tc>
                <w:tcPr>
                  <w:tcW w:w="915" w:type="dxa"/>
                  <w:noWrap w:val="0"/>
                  <w:vAlign w:val="center"/>
                </w:tcPr>
                <w:p w14:paraId="2B7E7295">
                  <w:pPr>
                    <w:spacing w:line="0" w:lineRule="atLeast"/>
                    <w:jc w:val="center"/>
                    <w:rPr>
                      <w:rFonts w:hint="default"/>
                      <w:highlight w:val="none"/>
                      <w:lang w:val="en-US" w:eastAsia="zh-CN"/>
                    </w:rPr>
                  </w:pPr>
                  <w:r>
                    <w:rPr>
                      <w:rFonts w:hint="eastAsia"/>
                      <w:highlight w:val="none"/>
                      <w:lang w:val="en-US" w:eastAsia="zh-CN"/>
                    </w:rPr>
                    <w:t>4.62</w:t>
                  </w:r>
                </w:p>
              </w:tc>
              <w:tc>
                <w:tcPr>
                  <w:tcW w:w="1065" w:type="dxa"/>
                  <w:noWrap w:val="0"/>
                  <w:vAlign w:val="center"/>
                </w:tcPr>
                <w:p w14:paraId="4E3F16A0">
                  <w:pPr>
                    <w:spacing w:line="0" w:lineRule="atLeast"/>
                    <w:jc w:val="center"/>
                    <w:rPr>
                      <w:rFonts w:hint="default"/>
                      <w:highlight w:val="none"/>
                      <w:lang w:val="en-US" w:eastAsia="zh-CN"/>
                    </w:rPr>
                  </w:pPr>
                  <w:r>
                    <w:rPr>
                      <w:rFonts w:hint="eastAsia"/>
                      <w:highlight w:val="none"/>
                      <w:lang w:val="en-US" w:eastAsia="zh-CN"/>
                    </w:rPr>
                    <w:t>0.057</w:t>
                  </w:r>
                </w:p>
              </w:tc>
              <w:tc>
                <w:tcPr>
                  <w:tcW w:w="1365" w:type="dxa"/>
                  <w:noWrap w:val="0"/>
                  <w:vAlign w:val="center"/>
                </w:tcPr>
                <w:p w14:paraId="337AC779">
                  <w:pPr>
                    <w:spacing w:line="0" w:lineRule="atLeast"/>
                    <w:jc w:val="center"/>
                    <w:rPr>
                      <w:rFonts w:hint="default"/>
                      <w:highlight w:val="none"/>
                      <w:lang w:val="en-US" w:eastAsia="zh-CN"/>
                    </w:rPr>
                  </w:pPr>
                  <w:r>
                    <w:rPr>
                      <w:rFonts w:hint="eastAsia"/>
                      <w:highlight w:val="none"/>
                      <w:lang w:val="en-US" w:eastAsia="zh-CN"/>
                    </w:rPr>
                    <w:t>0.35568</w:t>
                  </w:r>
                </w:p>
              </w:tc>
              <w:tc>
                <w:tcPr>
                  <w:tcW w:w="885" w:type="dxa"/>
                  <w:noWrap w:val="0"/>
                  <w:vAlign w:val="center"/>
                </w:tcPr>
                <w:p w14:paraId="36369E96">
                  <w:pPr>
                    <w:spacing w:line="0" w:lineRule="atLeast"/>
                    <w:jc w:val="center"/>
                    <w:rPr>
                      <w:rFonts w:hint="eastAsia"/>
                      <w:highlight w:val="none"/>
                      <w:lang w:val="en-US" w:eastAsia="zh-CN"/>
                    </w:rPr>
                  </w:pPr>
                </w:p>
              </w:tc>
              <w:tc>
                <w:tcPr>
                  <w:tcW w:w="930" w:type="dxa"/>
                  <w:noWrap w:val="0"/>
                  <w:vAlign w:val="center"/>
                </w:tcPr>
                <w:p w14:paraId="3A7390BC">
                  <w:pPr>
                    <w:spacing w:line="0" w:lineRule="atLeast"/>
                    <w:jc w:val="center"/>
                    <w:rPr>
                      <w:rFonts w:hint="eastAsia"/>
                      <w:highlight w:val="none"/>
                      <w:lang w:val="en-US" w:eastAsia="zh-CN"/>
                    </w:rPr>
                  </w:pPr>
                </w:p>
              </w:tc>
              <w:tc>
                <w:tcPr>
                  <w:tcW w:w="1006" w:type="dxa"/>
                  <w:noWrap w:val="0"/>
                  <w:vAlign w:val="center"/>
                </w:tcPr>
                <w:p w14:paraId="472B40E4">
                  <w:pPr>
                    <w:spacing w:line="0" w:lineRule="atLeast"/>
                    <w:jc w:val="center"/>
                    <w:rPr>
                      <w:rFonts w:hint="eastAsia"/>
                      <w:highlight w:val="none"/>
                      <w:lang w:val="en-US" w:eastAsia="zh-CN"/>
                    </w:rPr>
                  </w:pPr>
                </w:p>
              </w:tc>
            </w:tr>
            <w:tr w14:paraId="1E2B4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 w:type="dxa"/>
                  <w:vMerge w:val="continue"/>
                  <w:noWrap w:val="0"/>
                  <w:vAlign w:val="center"/>
                </w:tcPr>
                <w:p w14:paraId="65FE91F8">
                  <w:pPr>
                    <w:spacing w:line="0" w:lineRule="atLeast"/>
                    <w:jc w:val="center"/>
                    <w:rPr>
                      <w:rFonts w:hint="eastAsia"/>
                      <w:highlight w:val="none"/>
                      <w:lang w:eastAsia="zh-CN"/>
                    </w:rPr>
                  </w:pPr>
                </w:p>
              </w:tc>
              <w:tc>
                <w:tcPr>
                  <w:tcW w:w="605" w:type="dxa"/>
                  <w:vMerge w:val="continue"/>
                  <w:noWrap w:val="0"/>
                  <w:vAlign w:val="center"/>
                </w:tcPr>
                <w:p w14:paraId="31F097F7">
                  <w:pPr>
                    <w:spacing w:line="0" w:lineRule="atLeast"/>
                    <w:jc w:val="center"/>
                    <w:rPr>
                      <w:rFonts w:hint="eastAsia"/>
                      <w:highlight w:val="none"/>
                    </w:rPr>
                  </w:pPr>
                </w:p>
              </w:tc>
              <w:tc>
                <w:tcPr>
                  <w:tcW w:w="780" w:type="dxa"/>
                  <w:noWrap w:val="0"/>
                  <w:vAlign w:val="center"/>
                </w:tcPr>
                <w:p w14:paraId="6BF63DE5">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center"/>
                    <w:textAlignment w:val="auto"/>
                    <w:rPr>
                      <w:rFonts w:hint="eastAsia"/>
                      <w:highlight w:val="none"/>
                      <w:lang w:eastAsia="zh-CN"/>
                    </w:rPr>
                  </w:pPr>
                  <w:r>
                    <w:rPr>
                      <w:rFonts w:hint="eastAsia"/>
                      <w:highlight w:val="none"/>
                      <w:lang w:val="en-US" w:eastAsia="zh-CN"/>
                    </w:rPr>
                    <w:t>苯</w:t>
                  </w:r>
                </w:p>
              </w:tc>
              <w:tc>
                <w:tcPr>
                  <w:tcW w:w="915" w:type="dxa"/>
                  <w:noWrap w:val="0"/>
                  <w:vAlign w:val="center"/>
                </w:tcPr>
                <w:p w14:paraId="760E93EA">
                  <w:pPr>
                    <w:spacing w:line="0" w:lineRule="atLeast"/>
                    <w:jc w:val="center"/>
                    <w:rPr>
                      <w:rFonts w:hint="default"/>
                      <w:highlight w:val="none"/>
                      <w:lang w:val="en-US" w:eastAsia="zh-CN"/>
                    </w:rPr>
                  </w:pPr>
                  <w:r>
                    <w:rPr>
                      <w:rFonts w:hint="eastAsia"/>
                      <w:highlight w:val="none"/>
                      <w:lang w:val="en-US" w:eastAsia="zh-CN"/>
                    </w:rPr>
                    <w:t>0.0073</w:t>
                  </w:r>
                </w:p>
              </w:tc>
              <w:tc>
                <w:tcPr>
                  <w:tcW w:w="1065" w:type="dxa"/>
                  <w:noWrap w:val="0"/>
                  <w:vAlign w:val="center"/>
                </w:tcPr>
                <w:p w14:paraId="072ED1B8">
                  <w:pPr>
                    <w:spacing w:line="0" w:lineRule="atLeast"/>
                    <w:jc w:val="center"/>
                    <w:rPr>
                      <w:rFonts w:hint="default"/>
                      <w:highlight w:val="none"/>
                      <w:lang w:val="en-US" w:eastAsia="zh-CN"/>
                    </w:rPr>
                  </w:pPr>
                  <w:r>
                    <w:rPr>
                      <w:rFonts w:hint="eastAsia"/>
                      <w:highlight w:val="none"/>
                      <w:lang w:val="en-US" w:eastAsia="zh-CN"/>
                    </w:rPr>
                    <w:t>9.09</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-5</w:t>
                  </w:r>
                </w:p>
              </w:tc>
              <w:tc>
                <w:tcPr>
                  <w:tcW w:w="1365" w:type="dxa"/>
                  <w:noWrap w:val="0"/>
                  <w:vAlign w:val="center"/>
                </w:tcPr>
                <w:p w14:paraId="3812FDC3">
                  <w:pPr>
                    <w:spacing w:line="0" w:lineRule="atLeast"/>
                    <w:jc w:val="center"/>
                    <w:rPr>
                      <w:rFonts w:hint="default"/>
                      <w:highlight w:val="none"/>
                      <w:lang w:val="en-US" w:eastAsia="zh-CN"/>
                    </w:rPr>
                  </w:pPr>
                  <w:r>
                    <w:rPr>
                      <w:rFonts w:hint="eastAsia"/>
                      <w:highlight w:val="none"/>
                      <w:lang w:val="en-US" w:eastAsia="zh-CN"/>
                    </w:rPr>
                    <w:t>0.565344</w:t>
                  </w:r>
                </w:p>
              </w:tc>
              <w:tc>
                <w:tcPr>
                  <w:tcW w:w="885" w:type="dxa"/>
                  <w:noWrap w:val="0"/>
                  <w:vAlign w:val="center"/>
                </w:tcPr>
                <w:p w14:paraId="2FA0B362">
                  <w:pPr>
                    <w:spacing w:line="0" w:lineRule="atLeast"/>
                    <w:jc w:val="center"/>
                    <w:rPr>
                      <w:rFonts w:hint="eastAsia"/>
                      <w:highlight w:val="none"/>
                      <w:lang w:val="en-US" w:eastAsia="zh-CN"/>
                    </w:rPr>
                  </w:pPr>
                </w:p>
              </w:tc>
              <w:tc>
                <w:tcPr>
                  <w:tcW w:w="930" w:type="dxa"/>
                  <w:noWrap w:val="0"/>
                  <w:vAlign w:val="center"/>
                </w:tcPr>
                <w:p w14:paraId="636C3D0A">
                  <w:pPr>
                    <w:spacing w:line="0" w:lineRule="atLeast"/>
                    <w:jc w:val="center"/>
                    <w:rPr>
                      <w:rFonts w:hint="eastAsia"/>
                      <w:highlight w:val="none"/>
                      <w:lang w:val="en-US" w:eastAsia="zh-CN"/>
                    </w:rPr>
                  </w:pPr>
                </w:p>
              </w:tc>
              <w:tc>
                <w:tcPr>
                  <w:tcW w:w="1006" w:type="dxa"/>
                  <w:noWrap w:val="0"/>
                  <w:vAlign w:val="center"/>
                </w:tcPr>
                <w:p w14:paraId="372726E6">
                  <w:pPr>
                    <w:spacing w:line="0" w:lineRule="atLeast"/>
                    <w:jc w:val="center"/>
                    <w:rPr>
                      <w:rFonts w:hint="eastAsia"/>
                      <w:highlight w:val="none"/>
                      <w:lang w:val="en-US" w:eastAsia="zh-CN"/>
                    </w:rPr>
                  </w:pPr>
                </w:p>
              </w:tc>
            </w:tr>
            <w:tr w14:paraId="5B159D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 w:type="dxa"/>
                  <w:vMerge w:val="continue"/>
                  <w:noWrap w:val="0"/>
                  <w:vAlign w:val="center"/>
                </w:tcPr>
                <w:p w14:paraId="3EE2951A">
                  <w:pPr>
                    <w:spacing w:line="0" w:lineRule="atLeast"/>
                    <w:jc w:val="center"/>
                    <w:rPr>
                      <w:rFonts w:hint="default"/>
                      <w:highlight w:val="none"/>
                      <w:lang w:val="en-US" w:eastAsia="zh-CN"/>
                    </w:rPr>
                  </w:pPr>
                </w:p>
              </w:tc>
              <w:tc>
                <w:tcPr>
                  <w:tcW w:w="605" w:type="dxa"/>
                  <w:vMerge w:val="continue"/>
                  <w:noWrap w:val="0"/>
                  <w:vAlign w:val="center"/>
                </w:tcPr>
                <w:p w14:paraId="693EF7F2">
                  <w:pPr>
                    <w:spacing w:line="0" w:lineRule="atLeast"/>
                    <w:jc w:val="center"/>
                    <w:rPr>
                      <w:rFonts w:hint="eastAsia"/>
                      <w:highlight w:val="none"/>
                    </w:rPr>
                  </w:pPr>
                </w:p>
              </w:tc>
              <w:tc>
                <w:tcPr>
                  <w:tcW w:w="780" w:type="dxa"/>
                  <w:noWrap w:val="0"/>
                  <w:vAlign w:val="center"/>
                </w:tcPr>
                <w:p w14:paraId="51FA7F03">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center"/>
                    <w:textAlignment w:val="auto"/>
                    <w:rPr>
                      <w:rFonts w:hint="default"/>
                      <w:highlight w:val="none"/>
                      <w:lang w:val="en-US" w:eastAsia="zh-CN"/>
                    </w:rPr>
                  </w:pPr>
                  <w:r>
                    <w:rPr>
                      <w:rFonts w:hint="eastAsia"/>
                      <w:highlight w:val="none"/>
                      <w:lang w:val="en-US" w:eastAsia="zh-CN"/>
                    </w:rPr>
                    <w:t>甲苯</w:t>
                  </w:r>
                </w:p>
              </w:tc>
              <w:tc>
                <w:tcPr>
                  <w:tcW w:w="915" w:type="dxa"/>
                  <w:noWrap w:val="0"/>
                  <w:vAlign w:val="center"/>
                </w:tcPr>
                <w:p w14:paraId="7BF6EB2A">
                  <w:pPr>
                    <w:spacing w:line="0" w:lineRule="atLeast"/>
                    <w:jc w:val="center"/>
                    <w:rPr>
                      <w:rFonts w:hint="default"/>
                      <w:highlight w:val="none"/>
                      <w:lang w:val="en-US" w:eastAsia="zh-CN"/>
                    </w:rPr>
                  </w:pPr>
                  <w:r>
                    <w:rPr>
                      <w:rFonts w:hint="eastAsia"/>
                      <w:highlight w:val="none"/>
                      <w:lang w:val="en-US" w:eastAsia="zh-CN"/>
                    </w:rPr>
                    <w:t>0.0148</w:t>
                  </w:r>
                </w:p>
              </w:tc>
              <w:tc>
                <w:tcPr>
                  <w:tcW w:w="1065" w:type="dxa"/>
                  <w:noWrap w:val="0"/>
                  <w:vAlign w:val="center"/>
                </w:tcPr>
                <w:p w14:paraId="57E3571C">
                  <w:pPr>
                    <w:spacing w:line="0" w:lineRule="atLeast"/>
                    <w:jc w:val="center"/>
                    <w:rPr>
                      <w:rFonts w:hint="default"/>
                      <w:highlight w:val="none"/>
                      <w:lang w:val="en-US" w:eastAsia="zh-CN"/>
                    </w:rPr>
                  </w:pPr>
                  <w:r>
                    <w:rPr>
                      <w:rFonts w:hint="eastAsia"/>
                      <w:highlight w:val="none"/>
                      <w:lang w:val="en-US" w:eastAsia="zh-CN"/>
                    </w:rPr>
                    <w:t>1.84</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-4</w:t>
                  </w:r>
                </w:p>
              </w:tc>
              <w:tc>
                <w:tcPr>
                  <w:tcW w:w="1365" w:type="dxa"/>
                  <w:noWrap w:val="0"/>
                  <w:vAlign w:val="center"/>
                </w:tcPr>
                <w:p w14:paraId="441E287A">
                  <w:pPr>
                    <w:spacing w:line="0" w:lineRule="atLeast"/>
                    <w:jc w:val="center"/>
                    <w:rPr>
                      <w:rFonts w:hint="default"/>
                      <w:highlight w:val="none"/>
                      <w:lang w:val="en-US" w:eastAsia="zh-CN"/>
                    </w:rPr>
                  </w:pPr>
                  <w:r>
                    <w:rPr>
                      <w:rFonts w:hint="eastAsia"/>
                      <w:highlight w:val="none"/>
                      <w:lang w:val="en-US" w:eastAsia="zh-CN"/>
                    </w:rPr>
                    <w:t>1.14816</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885" w:type="dxa"/>
                  <w:noWrap w:val="0"/>
                  <w:vAlign w:val="center"/>
                </w:tcPr>
                <w:p w14:paraId="0EEBCCCD">
                  <w:pPr>
                    <w:spacing w:line="0" w:lineRule="atLeast"/>
                    <w:jc w:val="center"/>
                    <w:rPr>
                      <w:rFonts w:hint="eastAsia"/>
                      <w:highlight w:val="none"/>
                      <w:lang w:val="en-US" w:eastAsia="zh-CN"/>
                    </w:rPr>
                  </w:pPr>
                </w:p>
              </w:tc>
              <w:tc>
                <w:tcPr>
                  <w:tcW w:w="930" w:type="dxa"/>
                  <w:noWrap w:val="0"/>
                  <w:vAlign w:val="center"/>
                </w:tcPr>
                <w:p w14:paraId="3F0B5F99">
                  <w:pPr>
                    <w:spacing w:line="0" w:lineRule="atLeast"/>
                    <w:jc w:val="center"/>
                    <w:rPr>
                      <w:rFonts w:hint="eastAsia"/>
                      <w:highlight w:val="none"/>
                      <w:lang w:val="en-US" w:eastAsia="zh-CN"/>
                    </w:rPr>
                  </w:pPr>
                </w:p>
              </w:tc>
              <w:tc>
                <w:tcPr>
                  <w:tcW w:w="1006" w:type="dxa"/>
                  <w:noWrap w:val="0"/>
                  <w:vAlign w:val="center"/>
                </w:tcPr>
                <w:p w14:paraId="623469DD">
                  <w:pPr>
                    <w:spacing w:line="0" w:lineRule="atLeast"/>
                    <w:jc w:val="center"/>
                    <w:rPr>
                      <w:rFonts w:hint="eastAsia"/>
                      <w:highlight w:val="none"/>
                      <w:lang w:val="en-US" w:eastAsia="zh-CN"/>
                    </w:rPr>
                  </w:pPr>
                </w:p>
              </w:tc>
            </w:tr>
            <w:tr w14:paraId="3454D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 w:type="dxa"/>
                  <w:vMerge w:val="continue"/>
                  <w:noWrap w:val="0"/>
                  <w:vAlign w:val="center"/>
                </w:tcPr>
                <w:p w14:paraId="35302DBF">
                  <w:pPr>
                    <w:spacing w:line="0" w:lineRule="atLeast"/>
                    <w:jc w:val="center"/>
                    <w:rPr>
                      <w:rFonts w:hint="default"/>
                      <w:highlight w:val="none"/>
                      <w:lang w:val="en-US" w:eastAsia="zh-CN"/>
                    </w:rPr>
                  </w:pPr>
                </w:p>
              </w:tc>
              <w:tc>
                <w:tcPr>
                  <w:tcW w:w="605" w:type="dxa"/>
                  <w:vMerge w:val="continue"/>
                  <w:noWrap w:val="0"/>
                  <w:vAlign w:val="center"/>
                </w:tcPr>
                <w:p w14:paraId="2C4C1BEA">
                  <w:pPr>
                    <w:spacing w:line="0" w:lineRule="atLeast"/>
                    <w:jc w:val="center"/>
                    <w:rPr>
                      <w:rFonts w:hint="eastAsia"/>
                      <w:highlight w:val="none"/>
                    </w:rPr>
                  </w:pPr>
                </w:p>
              </w:tc>
              <w:tc>
                <w:tcPr>
                  <w:tcW w:w="780" w:type="dxa"/>
                  <w:noWrap w:val="0"/>
                  <w:vAlign w:val="center"/>
                </w:tcPr>
                <w:p w14:paraId="03FDB77D">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center"/>
                    <w:textAlignment w:val="auto"/>
                    <w:rPr>
                      <w:rFonts w:hint="default"/>
                      <w:highlight w:val="none"/>
                      <w:lang w:val="en-US" w:eastAsia="zh-CN"/>
                    </w:rPr>
                  </w:pPr>
                  <w:r>
                    <w:rPr>
                      <w:rFonts w:hint="eastAsia"/>
                      <w:highlight w:val="none"/>
                      <w:lang w:val="en-US" w:eastAsia="zh-CN"/>
                    </w:rPr>
                    <w:t>二甲苯</w:t>
                  </w:r>
                </w:p>
              </w:tc>
              <w:tc>
                <w:tcPr>
                  <w:tcW w:w="915" w:type="dxa"/>
                  <w:noWrap w:val="0"/>
                  <w:vAlign w:val="center"/>
                </w:tcPr>
                <w:p w14:paraId="748BB0FA">
                  <w:pPr>
                    <w:spacing w:line="0" w:lineRule="atLeast"/>
                    <w:jc w:val="center"/>
                    <w:rPr>
                      <w:rFonts w:hint="default"/>
                      <w:highlight w:val="none"/>
                      <w:lang w:val="en-US" w:eastAsia="zh-CN"/>
                    </w:rPr>
                  </w:pPr>
                  <w:r>
                    <w:rPr>
                      <w:rFonts w:hint="eastAsia"/>
                      <w:highlight w:val="none"/>
                      <w:lang w:val="en-US" w:eastAsia="zh-CN"/>
                    </w:rPr>
                    <w:t>0.0472</w:t>
                  </w:r>
                </w:p>
              </w:tc>
              <w:tc>
                <w:tcPr>
                  <w:tcW w:w="1065" w:type="dxa"/>
                  <w:noWrap w:val="0"/>
                  <w:vAlign w:val="center"/>
                </w:tcPr>
                <w:p w14:paraId="0FA3D005">
                  <w:pPr>
                    <w:spacing w:line="0" w:lineRule="atLeast"/>
                    <w:jc w:val="center"/>
                    <w:rPr>
                      <w:rFonts w:hint="default"/>
                      <w:highlight w:val="none"/>
                      <w:lang w:val="en-US" w:eastAsia="zh-CN"/>
                    </w:rPr>
                  </w:pPr>
                  <w:r>
                    <w:rPr>
                      <w:rFonts w:hint="eastAsia"/>
                      <w:highlight w:val="none"/>
                      <w:lang w:val="en-US" w:eastAsia="zh-CN"/>
                    </w:rPr>
                    <w:t>0.001</w:t>
                  </w:r>
                </w:p>
              </w:tc>
              <w:tc>
                <w:tcPr>
                  <w:tcW w:w="1365" w:type="dxa"/>
                  <w:noWrap w:val="0"/>
                  <w:vAlign w:val="center"/>
                </w:tcPr>
                <w:p w14:paraId="782B3928">
                  <w:pPr>
                    <w:spacing w:line="0" w:lineRule="atLeast"/>
                    <w:jc w:val="center"/>
                    <w:rPr>
                      <w:rFonts w:hint="eastAsia"/>
                      <w:highlight w:val="none"/>
                      <w:lang w:val="en-US" w:eastAsia="zh-CN"/>
                    </w:rPr>
                  </w:pPr>
                  <w:r>
                    <w:rPr>
                      <w:rFonts w:hint="eastAsia"/>
                      <w:highlight w:val="none"/>
                      <w:lang w:val="en-US" w:eastAsia="zh-CN"/>
                    </w:rPr>
                    <w:t>6.24</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885" w:type="dxa"/>
                  <w:noWrap w:val="0"/>
                  <w:vAlign w:val="center"/>
                </w:tcPr>
                <w:p w14:paraId="381B2BF1">
                  <w:pPr>
                    <w:spacing w:line="0" w:lineRule="atLeast"/>
                    <w:jc w:val="center"/>
                    <w:rPr>
                      <w:rFonts w:hint="eastAsia"/>
                      <w:highlight w:val="none"/>
                      <w:lang w:val="en-US" w:eastAsia="zh-CN"/>
                    </w:rPr>
                  </w:pPr>
                </w:p>
              </w:tc>
              <w:tc>
                <w:tcPr>
                  <w:tcW w:w="930" w:type="dxa"/>
                  <w:noWrap w:val="0"/>
                  <w:vAlign w:val="center"/>
                </w:tcPr>
                <w:p w14:paraId="30B35E7C">
                  <w:pPr>
                    <w:spacing w:line="0" w:lineRule="atLeast"/>
                    <w:jc w:val="center"/>
                    <w:rPr>
                      <w:rFonts w:hint="eastAsia"/>
                      <w:highlight w:val="none"/>
                      <w:lang w:val="en-US" w:eastAsia="zh-CN"/>
                    </w:rPr>
                  </w:pPr>
                </w:p>
              </w:tc>
              <w:tc>
                <w:tcPr>
                  <w:tcW w:w="1006" w:type="dxa"/>
                  <w:noWrap w:val="0"/>
                  <w:vAlign w:val="center"/>
                </w:tcPr>
                <w:p w14:paraId="621C46D5">
                  <w:pPr>
                    <w:spacing w:line="0" w:lineRule="atLeast"/>
                    <w:jc w:val="center"/>
                    <w:rPr>
                      <w:rFonts w:hint="eastAsia"/>
                      <w:highlight w:val="none"/>
                      <w:lang w:val="en-US" w:eastAsia="zh-CN"/>
                    </w:rPr>
                  </w:pPr>
                </w:p>
              </w:tc>
            </w:tr>
            <w:tr w14:paraId="4F413D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 w:type="dxa"/>
                  <w:noWrap w:val="0"/>
                  <w:vAlign w:val="center"/>
                </w:tcPr>
                <w:p w14:paraId="65A8011E">
                  <w:pPr>
                    <w:spacing w:line="0" w:lineRule="atLeast"/>
                    <w:jc w:val="center"/>
                    <w:rPr>
                      <w:rFonts w:hint="default"/>
                      <w:highlight w:val="none"/>
                      <w:lang w:val="en-US" w:eastAsia="zh-CN"/>
                    </w:rPr>
                  </w:pPr>
                  <w:r>
                    <w:rPr>
                      <w:rFonts w:hint="eastAsia"/>
                      <w:highlight w:val="none"/>
                      <w:lang w:val="en-US" w:eastAsia="zh-CN"/>
                    </w:rPr>
                    <w:t>3</w:t>
                  </w:r>
                </w:p>
              </w:tc>
              <w:tc>
                <w:tcPr>
                  <w:tcW w:w="605" w:type="dxa"/>
                  <w:noWrap w:val="0"/>
                  <w:vAlign w:val="center"/>
                </w:tcPr>
                <w:p w14:paraId="71C88501">
                  <w:pPr>
                    <w:spacing w:line="0" w:lineRule="atLeast"/>
                    <w:jc w:val="center"/>
                    <w:rPr>
                      <w:rFonts w:hint="eastAsia"/>
                      <w:highlight w:val="none"/>
                    </w:rPr>
                  </w:pPr>
                  <w:r>
                    <w:rPr>
                      <w:rFonts w:hint="eastAsia"/>
                      <w:highlight w:val="none"/>
                    </w:rPr>
                    <w:t>DA00</w:t>
                  </w:r>
                  <w:r>
                    <w:rPr>
                      <w:rFonts w:hint="eastAsia"/>
                      <w:highlight w:val="none"/>
                      <w:lang w:val="en-US" w:eastAsia="zh-CN"/>
                    </w:rPr>
                    <w:t>3</w:t>
                  </w:r>
                </w:p>
              </w:tc>
              <w:tc>
                <w:tcPr>
                  <w:tcW w:w="780" w:type="dxa"/>
                  <w:noWrap w:val="0"/>
                  <w:vAlign w:val="center"/>
                </w:tcPr>
                <w:p w14:paraId="1102D4A2">
                  <w:pPr>
                    <w:pStyle w:val="2"/>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center"/>
                    <w:textAlignment w:val="auto"/>
                    <w:rPr>
                      <w:rFonts w:hint="default"/>
                      <w:highlight w:val="none"/>
                    </w:rPr>
                  </w:pPr>
                  <w:r>
                    <w:rPr>
                      <w:rFonts w:hint="eastAsia"/>
                      <w:highlight w:val="none"/>
                    </w:rPr>
                    <w:t>颗粒物</w:t>
                  </w:r>
                </w:p>
              </w:tc>
              <w:tc>
                <w:tcPr>
                  <w:tcW w:w="915" w:type="dxa"/>
                  <w:noWrap w:val="0"/>
                  <w:vAlign w:val="center"/>
                </w:tcPr>
                <w:p w14:paraId="4991841E">
                  <w:pPr>
                    <w:spacing w:line="0" w:lineRule="atLeast"/>
                    <w:jc w:val="center"/>
                    <w:rPr>
                      <w:rFonts w:hint="default"/>
                      <w:highlight w:val="none"/>
                      <w:lang w:val="en-US"/>
                    </w:rPr>
                  </w:pPr>
                  <w:r>
                    <w:rPr>
                      <w:rFonts w:hint="eastAsia"/>
                      <w:highlight w:val="none"/>
                      <w:lang w:val="en-US" w:eastAsia="zh-CN"/>
                    </w:rPr>
                    <w:t>7.3</w:t>
                  </w:r>
                </w:p>
              </w:tc>
              <w:tc>
                <w:tcPr>
                  <w:tcW w:w="1065" w:type="dxa"/>
                  <w:noWrap w:val="0"/>
                  <w:vAlign w:val="center"/>
                </w:tcPr>
                <w:p w14:paraId="1F2304CA">
                  <w:pPr>
                    <w:spacing w:line="0" w:lineRule="atLeast"/>
                    <w:jc w:val="center"/>
                    <w:rPr>
                      <w:rFonts w:hint="default"/>
                      <w:highlight w:val="none"/>
                      <w:lang w:val="en-US" w:eastAsia="zh-CN"/>
                    </w:rPr>
                  </w:pPr>
                  <w:r>
                    <w:rPr>
                      <w:rFonts w:hint="eastAsia"/>
                      <w:highlight w:val="none"/>
                      <w:lang w:val="en-US" w:eastAsia="zh-CN"/>
                    </w:rPr>
                    <w:t>0.036</w:t>
                  </w:r>
                </w:p>
              </w:tc>
              <w:tc>
                <w:tcPr>
                  <w:tcW w:w="1365" w:type="dxa"/>
                  <w:noWrap w:val="0"/>
                  <w:vAlign w:val="center"/>
                </w:tcPr>
                <w:p w14:paraId="24A9E5F1">
                  <w:pPr>
                    <w:spacing w:line="0" w:lineRule="atLeast"/>
                    <w:jc w:val="center"/>
                    <w:rPr>
                      <w:rFonts w:hint="default"/>
                      <w:highlight w:val="none"/>
                      <w:lang w:val="en-US" w:eastAsia="zh-CN"/>
                    </w:rPr>
                  </w:pPr>
                  <w:r>
                    <w:rPr>
                      <w:rFonts w:hint="eastAsia"/>
                      <w:highlight w:val="none"/>
                      <w:lang w:val="en-US" w:eastAsia="zh-CN"/>
                    </w:rPr>
                    <w:t>0.07488</w:t>
                  </w:r>
                </w:p>
              </w:tc>
              <w:tc>
                <w:tcPr>
                  <w:tcW w:w="885" w:type="dxa"/>
                  <w:noWrap w:val="0"/>
                  <w:vAlign w:val="center"/>
                </w:tcPr>
                <w:p w14:paraId="7B13A3AB">
                  <w:pPr>
                    <w:spacing w:line="0" w:lineRule="atLeast"/>
                    <w:jc w:val="center"/>
                    <w:rPr>
                      <w:rFonts w:hint="eastAsia"/>
                      <w:highlight w:val="none"/>
                      <w:lang w:val="en-US" w:eastAsia="zh-CN"/>
                    </w:rPr>
                  </w:pPr>
                </w:p>
              </w:tc>
              <w:tc>
                <w:tcPr>
                  <w:tcW w:w="930" w:type="dxa"/>
                  <w:noWrap w:val="0"/>
                  <w:vAlign w:val="center"/>
                </w:tcPr>
                <w:p w14:paraId="3954C11F">
                  <w:pPr>
                    <w:spacing w:line="0" w:lineRule="atLeast"/>
                    <w:jc w:val="center"/>
                    <w:rPr>
                      <w:rFonts w:hint="eastAsia"/>
                      <w:highlight w:val="none"/>
                      <w:lang w:val="en-US" w:eastAsia="zh-CN"/>
                    </w:rPr>
                  </w:pPr>
                </w:p>
              </w:tc>
              <w:tc>
                <w:tcPr>
                  <w:tcW w:w="1006" w:type="dxa"/>
                  <w:noWrap w:val="0"/>
                  <w:vAlign w:val="center"/>
                </w:tcPr>
                <w:p w14:paraId="6392BC19">
                  <w:pPr>
                    <w:spacing w:line="0" w:lineRule="atLeast"/>
                    <w:jc w:val="center"/>
                    <w:rPr>
                      <w:rFonts w:hint="eastAsia"/>
                      <w:highlight w:val="none"/>
                      <w:lang w:val="en-US" w:eastAsia="zh-CN"/>
                    </w:rPr>
                  </w:pPr>
                </w:p>
              </w:tc>
            </w:tr>
            <w:tr w14:paraId="7008B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 w:type="dxa"/>
                  <w:noWrap w:val="0"/>
                  <w:vAlign w:val="center"/>
                </w:tcPr>
                <w:p w14:paraId="7DE26C27">
                  <w:pPr>
                    <w:spacing w:line="0" w:lineRule="atLeast"/>
                    <w:jc w:val="center"/>
                    <w:rPr>
                      <w:rFonts w:hint="default"/>
                      <w:highlight w:val="none"/>
                      <w:lang w:val="en-US" w:eastAsia="zh-CN"/>
                    </w:rPr>
                  </w:pPr>
                  <w:r>
                    <w:rPr>
                      <w:rFonts w:hint="eastAsia"/>
                      <w:highlight w:val="none"/>
                      <w:lang w:val="en-US" w:eastAsia="zh-CN"/>
                    </w:rPr>
                    <w:t>4</w:t>
                  </w:r>
                </w:p>
              </w:tc>
              <w:tc>
                <w:tcPr>
                  <w:tcW w:w="605" w:type="dxa"/>
                  <w:noWrap w:val="0"/>
                  <w:vAlign w:val="center"/>
                </w:tcPr>
                <w:p w14:paraId="0FB63104">
                  <w:pPr>
                    <w:spacing w:line="0" w:lineRule="atLeast"/>
                    <w:jc w:val="center"/>
                    <w:rPr>
                      <w:rFonts w:hint="eastAsia"/>
                      <w:highlight w:val="none"/>
                    </w:rPr>
                  </w:pPr>
                  <w:r>
                    <w:rPr>
                      <w:rFonts w:hint="eastAsia"/>
                      <w:highlight w:val="none"/>
                    </w:rPr>
                    <w:t>DA00</w:t>
                  </w:r>
                  <w:r>
                    <w:rPr>
                      <w:rFonts w:hint="eastAsia"/>
                      <w:highlight w:val="none"/>
                      <w:lang w:val="en-US" w:eastAsia="zh-CN"/>
                    </w:rPr>
                    <w:t>4</w:t>
                  </w:r>
                </w:p>
              </w:tc>
              <w:tc>
                <w:tcPr>
                  <w:tcW w:w="780" w:type="dxa"/>
                  <w:noWrap w:val="0"/>
                  <w:vAlign w:val="center"/>
                </w:tcPr>
                <w:p w14:paraId="445DB7B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center"/>
                    <w:textAlignment w:val="auto"/>
                    <w:rPr>
                      <w:rFonts w:hint="eastAsia"/>
                      <w:highlight w:val="none"/>
                    </w:rPr>
                  </w:pPr>
                  <w:r>
                    <w:rPr>
                      <w:rFonts w:hint="eastAsia"/>
                      <w:highlight w:val="none"/>
                    </w:rPr>
                    <w:t>颗粒物</w:t>
                  </w:r>
                </w:p>
              </w:tc>
              <w:tc>
                <w:tcPr>
                  <w:tcW w:w="915" w:type="dxa"/>
                  <w:noWrap w:val="0"/>
                  <w:vAlign w:val="center"/>
                </w:tcPr>
                <w:p w14:paraId="25EC13DE">
                  <w:pPr>
                    <w:spacing w:line="0" w:lineRule="atLeast"/>
                    <w:jc w:val="center"/>
                    <w:rPr>
                      <w:rFonts w:hint="default"/>
                      <w:highlight w:val="none"/>
                      <w:lang w:val="en-US" w:eastAsia="zh-CN"/>
                    </w:rPr>
                  </w:pPr>
                  <w:r>
                    <w:rPr>
                      <w:rFonts w:hint="eastAsia"/>
                      <w:highlight w:val="none"/>
                      <w:lang w:val="en-US" w:eastAsia="zh-CN"/>
                    </w:rPr>
                    <w:t>8.3</w:t>
                  </w:r>
                </w:p>
              </w:tc>
              <w:tc>
                <w:tcPr>
                  <w:tcW w:w="1065" w:type="dxa"/>
                  <w:noWrap w:val="0"/>
                  <w:vAlign w:val="center"/>
                </w:tcPr>
                <w:p w14:paraId="05A8703D">
                  <w:pPr>
                    <w:spacing w:line="0" w:lineRule="atLeast"/>
                    <w:jc w:val="center"/>
                    <w:rPr>
                      <w:rFonts w:hint="default"/>
                      <w:highlight w:val="none"/>
                      <w:lang w:val="en-US" w:eastAsia="zh-CN"/>
                    </w:rPr>
                  </w:pPr>
                  <w:r>
                    <w:rPr>
                      <w:rFonts w:hint="eastAsia"/>
                      <w:highlight w:val="none"/>
                      <w:lang w:val="en-US" w:eastAsia="zh-CN"/>
                    </w:rPr>
                    <w:t>0.039</w:t>
                  </w:r>
                </w:p>
              </w:tc>
              <w:tc>
                <w:tcPr>
                  <w:tcW w:w="1365" w:type="dxa"/>
                  <w:noWrap w:val="0"/>
                  <w:vAlign w:val="center"/>
                </w:tcPr>
                <w:p w14:paraId="1CA3165A">
                  <w:pPr>
                    <w:spacing w:line="0" w:lineRule="atLeast"/>
                    <w:jc w:val="center"/>
                    <w:rPr>
                      <w:rFonts w:hint="default"/>
                      <w:highlight w:val="none"/>
                      <w:lang w:val="en-US" w:eastAsia="zh-CN"/>
                    </w:rPr>
                  </w:pPr>
                  <w:r>
                    <w:rPr>
                      <w:rFonts w:hint="eastAsia"/>
                      <w:highlight w:val="none"/>
                      <w:lang w:val="en-US" w:eastAsia="zh-CN"/>
                    </w:rPr>
                    <w:t>0.08112</w:t>
                  </w:r>
                </w:p>
              </w:tc>
              <w:tc>
                <w:tcPr>
                  <w:tcW w:w="885" w:type="dxa"/>
                  <w:noWrap w:val="0"/>
                  <w:vAlign w:val="center"/>
                </w:tcPr>
                <w:p w14:paraId="03C6FADC">
                  <w:pPr>
                    <w:spacing w:line="0" w:lineRule="atLeast"/>
                    <w:jc w:val="center"/>
                    <w:rPr>
                      <w:rFonts w:hint="eastAsia"/>
                      <w:highlight w:val="none"/>
                      <w:lang w:val="en-US" w:eastAsia="zh-CN"/>
                    </w:rPr>
                  </w:pPr>
                </w:p>
              </w:tc>
              <w:tc>
                <w:tcPr>
                  <w:tcW w:w="930" w:type="dxa"/>
                  <w:noWrap w:val="0"/>
                  <w:vAlign w:val="center"/>
                </w:tcPr>
                <w:p w14:paraId="62C7D40D">
                  <w:pPr>
                    <w:spacing w:line="0" w:lineRule="atLeast"/>
                    <w:jc w:val="center"/>
                    <w:rPr>
                      <w:rFonts w:hint="eastAsia"/>
                      <w:highlight w:val="none"/>
                      <w:lang w:val="en-US" w:eastAsia="zh-CN"/>
                    </w:rPr>
                  </w:pPr>
                </w:p>
              </w:tc>
              <w:tc>
                <w:tcPr>
                  <w:tcW w:w="1006" w:type="dxa"/>
                  <w:noWrap w:val="0"/>
                  <w:vAlign w:val="center"/>
                </w:tcPr>
                <w:p w14:paraId="622C116B">
                  <w:pPr>
                    <w:spacing w:line="0" w:lineRule="atLeast"/>
                    <w:jc w:val="center"/>
                    <w:rPr>
                      <w:rFonts w:hint="eastAsia"/>
                      <w:highlight w:val="none"/>
                      <w:lang w:val="en-US" w:eastAsia="zh-CN"/>
                    </w:rPr>
                  </w:pPr>
                </w:p>
              </w:tc>
            </w:tr>
            <w:tr w14:paraId="55503B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 w:type="dxa"/>
                  <w:noWrap w:val="0"/>
                  <w:vAlign w:val="center"/>
                </w:tcPr>
                <w:p w14:paraId="242B8F3D">
                  <w:pPr>
                    <w:spacing w:line="0" w:lineRule="atLeast"/>
                    <w:jc w:val="center"/>
                    <w:rPr>
                      <w:rFonts w:hint="default"/>
                      <w:highlight w:val="none"/>
                      <w:lang w:val="en-US" w:eastAsia="zh-CN"/>
                    </w:rPr>
                  </w:pPr>
                  <w:r>
                    <w:rPr>
                      <w:rFonts w:hint="eastAsia"/>
                      <w:highlight w:val="none"/>
                      <w:lang w:val="en-US" w:eastAsia="zh-CN"/>
                    </w:rPr>
                    <w:t>5</w:t>
                  </w:r>
                </w:p>
              </w:tc>
              <w:tc>
                <w:tcPr>
                  <w:tcW w:w="605" w:type="dxa"/>
                  <w:noWrap w:val="0"/>
                  <w:vAlign w:val="center"/>
                </w:tcPr>
                <w:p w14:paraId="23772B46">
                  <w:pPr>
                    <w:spacing w:line="0" w:lineRule="atLeast"/>
                    <w:jc w:val="center"/>
                    <w:rPr>
                      <w:rFonts w:hint="eastAsia"/>
                      <w:highlight w:val="none"/>
                    </w:rPr>
                  </w:pPr>
                  <w:r>
                    <w:rPr>
                      <w:rFonts w:hint="eastAsia"/>
                      <w:highlight w:val="none"/>
                    </w:rPr>
                    <w:t>DA00</w:t>
                  </w:r>
                  <w:r>
                    <w:rPr>
                      <w:rFonts w:hint="eastAsia"/>
                      <w:highlight w:val="none"/>
                      <w:lang w:val="en-US" w:eastAsia="zh-CN"/>
                    </w:rPr>
                    <w:t>5</w:t>
                  </w:r>
                </w:p>
              </w:tc>
              <w:tc>
                <w:tcPr>
                  <w:tcW w:w="780" w:type="dxa"/>
                  <w:noWrap w:val="0"/>
                  <w:vAlign w:val="center"/>
                </w:tcPr>
                <w:p w14:paraId="4403413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jc w:val="center"/>
                    <w:textAlignment w:val="auto"/>
                    <w:rPr>
                      <w:rFonts w:hint="eastAsia"/>
                      <w:highlight w:val="none"/>
                    </w:rPr>
                  </w:pPr>
                  <w:r>
                    <w:rPr>
                      <w:rFonts w:hint="eastAsia"/>
                      <w:highlight w:val="none"/>
                    </w:rPr>
                    <w:t>颗粒物</w:t>
                  </w:r>
                </w:p>
              </w:tc>
              <w:tc>
                <w:tcPr>
                  <w:tcW w:w="915" w:type="dxa"/>
                  <w:noWrap w:val="0"/>
                  <w:vAlign w:val="center"/>
                </w:tcPr>
                <w:p w14:paraId="4F10BB55">
                  <w:pPr>
                    <w:spacing w:line="0" w:lineRule="atLeast"/>
                    <w:jc w:val="center"/>
                    <w:rPr>
                      <w:rFonts w:hint="default"/>
                      <w:highlight w:val="none"/>
                      <w:lang w:val="en-US" w:eastAsia="zh-CN"/>
                    </w:rPr>
                  </w:pPr>
                  <w:r>
                    <w:rPr>
                      <w:rFonts w:hint="eastAsia"/>
                      <w:highlight w:val="none"/>
                      <w:lang w:val="en-US" w:eastAsia="zh-CN"/>
                    </w:rPr>
                    <w:t>8.4</w:t>
                  </w:r>
                </w:p>
              </w:tc>
              <w:tc>
                <w:tcPr>
                  <w:tcW w:w="1065" w:type="dxa"/>
                  <w:noWrap w:val="0"/>
                  <w:vAlign w:val="center"/>
                </w:tcPr>
                <w:p w14:paraId="1BF346C3">
                  <w:pPr>
                    <w:spacing w:line="0" w:lineRule="atLeast"/>
                    <w:jc w:val="center"/>
                    <w:rPr>
                      <w:rFonts w:hint="default"/>
                      <w:highlight w:val="none"/>
                      <w:lang w:val="en-US" w:eastAsia="zh-CN"/>
                    </w:rPr>
                  </w:pPr>
                  <w:r>
                    <w:rPr>
                      <w:rFonts w:hint="eastAsia"/>
                      <w:highlight w:val="none"/>
                      <w:lang w:val="en-US" w:eastAsia="zh-CN"/>
                    </w:rPr>
                    <w:t>0.038</w:t>
                  </w:r>
                </w:p>
              </w:tc>
              <w:tc>
                <w:tcPr>
                  <w:tcW w:w="1365" w:type="dxa"/>
                  <w:noWrap w:val="0"/>
                  <w:vAlign w:val="center"/>
                </w:tcPr>
                <w:p w14:paraId="571B22BE">
                  <w:pPr>
                    <w:spacing w:line="0" w:lineRule="atLeast"/>
                    <w:jc w:val="center"/>
                    <w:rPr>
                      <w:rFonts w:hint="default"/>
                      <w:highlight w:val="none"/>
                      <w:lang w:val="en-US" w:eastAsia="zh-CN"/>
                    </w:rPr>
                  </w:pPr>
                  <w:r>
                    <w:rPr>
                      <w:rFonts w:hint="eastAsia"/>
                      <w:highlight w:val="none"/>
                      <w:lang w:val="en-US" w:eastAsia="zh-CN"/>
                    </w:rPr>
                    <w:t>0.07904</w:t>
                  </w:r>
                </w:p>
              </w:tc>
              <w:tc>
                <w:tcPr>
                  <w:tcW w:w="885" w:type="dxa"/>
                  <w:noWrap w:val="0"/>
                  <w:vAlign w:val="center"/>
                </w:tcPr>
                <w:p w14:paraId="201F89C2">
                  <w:pPr>
                    <w:spacing w:line="0" w:lineRule="atLeast"/>
                    <w:jc w:val="center"/>
                    <w:rPr>
                      <w:rFonts w:hint="eastAsia"/>
                      <w:highlight w:val="none"/>
                      <w:lang w:val="en-US" w:eastAsia="zh-CN"/>
                    </w:rPr>
                  </w:pPr>
                </w:p>
              </w:tc>
              <w:tc>
                <w:tcPr>
                  <w:tcW w:w="930" w:type="dxa"/>
                  <w:noWrap w:val="0"/>
                  <w:vAlign w:val="center"/>
                </w:tcPr>
                <w:p w14:paraId="2995DD9C">
                  <w:pPr>
                    <w:spacing w:line="0" w:lineRule="atLeast"/>
                    <w:jc w:val="center"/>
                    <w:rPr>
                      <w:rFonts w:hint="eastAsia"/>
                      <w:highlight w:val="none"/>
                      <w:lang w:val="en-US" w:eastAsia="zh-CN"/>
                    </w:rPr>
                  </w:pPr>
                </w:p>
              </w:tc>
              <w:tc>
                <w:tcPr>
                  <w:tcW w:w="1006" w:type="dxa"/>
                  <w:noWrap w:val="0"/>
                  <w:vAlign w:val="center"/>
                </w:tcPr>
                <w:p w14:paraId="316F909E">
                  <w:pPr>
                    <w:spacing w:line="0" w:lineRule="atLeast"/>
                    <w:jc w:val="center"/>
                    <w:rPr>
                      <w:rFonts w:hint="eastAsia"/>
                      <w:highlight w:val="none"/>
                      <w:lang w:val="en-US" w:eastAsia="zh-CN"/>
                    </w:rPr>
                  </w:pPr>
                </w:p>
              </w:tc>
            </w:tr>
            <w:tr w14:paraId="2B503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 w:type="dxa"/>
                  <w:noWrap w:val="0"/>
                  <w:vAlign w:val="center"/>
                </w:tcPr>
                <w:p w14:paraId="2CC52820">
                  <w:pPr>
                    <w:spacing w:line="0" w:lineRule="atLeast"/>
                    <w:jc w:val="center"/>
                    <w:rPr>
                      <w:rFonts w:hint="default"/>
                      <w:highlight w:val="none"/>
                      <w:lang w:val="en-US" w:eastAsia="zh-CN"/>
                    </w:rPr>
                  </w:pPr>
                  <w:r>
                    <w:rPr>
                      <w:rFonts w:hint="eastAsia"/>
                      <w:highlight w:val="none"/>
                      <w:lang w:val="en-US" w:eastAsia="zh-CN"/>
                    </w:rPr>
                    <w:t>6</w:t>
                  </w:r>
                </w:p>
              </w:tc>
              <w:tc>
                <w:tcPr>
                  <w:tcW w:w="605" w:type="dxa"/>
                  <w:noWrap w:val="0"/>
                  <w:vAlign w:val="center"/>
                </w:tcPr>
                <w:p w14:paraId="146FAA7C">
                  <w:pPr>
                    <w:spacing w:line="0" w:lineRule="atLeast"/>
                    <w:jc w:val="center"/>
                    <w:rPr>
                      <w:rFonts w:hint="eastAsia"/>
                      <w:highlight w:val="none"/>
                    </w:rPr>
                  </w:pPr>
                  <w:r>
                    <w:rPr>
                      <w:rFonts w:hint="eastAsia"/>
                      <w:highlight w:val="none"/>
                    </w:rPr>
                    <w:t>DA00</w:t>
                  </w:r>
                  <w:r>
                    <w:rPr>
                      <w:rFonts w:hint="eastAsia"/>
                      <w:highlight w:val="none"/>
                      <w:lang w:val="en-US" w:eastAsia="zh-CN"/>
                    </w:rPr>
                    <w:t>6</w:t>
                  </w:r>
                </w:p>
              </w:tc>
              <w:tc>
                <w:tcPr>
                  <w:tcW w:w="780" w:type="dxa"/>
                  <w:noWrap w:val="0"/>
                  <w:vAlign w:val="center"/>
                </w:tcPr>
                <w:p w14:paraId="36D7501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highlight w:val="none"/>
                    </w:rPr>
                  </w:pPr>
                  <w:r>
                    <w:rPr>
                      <w:rFonts w:hint="eastAsia"/>
                      <w:highlight w:val="none"/>
                    </w:rPr>
                    <w:t>颗粒物</w:t>
                  </w:r>
                </w:p>
              </w:tc>
              <w:tc>
                <w:tcPr>
                  <w:tcW w:w="915" w:type="dxa"/>
                  <w:noWrap w:val="0"/>
                  <w:vAlign w:val="center"/>
                </w:tcPr>
                <w:p w14:paraId="2529DD2A">
                  <w:pPr>
                    <w:spacing w:line="0" w:lineRule="atLeast"/>
                    <w:jc w:val="center"/>
                    <w:rPr>
                      <w:rFonts w:hint="default"/>
                      <w:highlight w:val="none"/>
                      <w:lang w:val="en-US" w:eastAsia="zh-CN"/>
                    </w:rPr>
                  </w:pPr>
                  <w:r>
                    <w:rPr>
                      <w:rFonts w:hint="eastAsia"/>
                      <w:highlight w:val="none"/>
                      <w:lang w:val="en-US" w:eastAsia="zh-CN"/>
                    </w:rPr>
                    <w:t>7.3</w:t>
                  </w:r>
                </w:p>
              </w:tc>
              <w:tc>
                <w:tcPr>
                  <w:tcW w:w="1065" w:type="dxa"/>
                  <w:noWrap w:val="0"/>
                  <w:vAlign w:val="center"/>
                </w:tcPr>
                <w:p w14:paraId="6239DC99">
                  <w:pPr>
                    <w:spacing w:line="0" w:lineRule="atLeast"/>
                    <w:jc w:val="center"/>
                    <w:rPr>
                      <w:rFonts w:hint="default"/>
                      <w:highlight w:val="none"/>
                      <w:lang w:val="en-US" w:eastAsia="zh-CN"/>
                    </w:rPr>
                  </w:pPr>
                  <w:r>
                    <w:rPr>
                      <w:rFonts w:hint="eastAsia"/>
                      <w:highlight w:val="none"/>
                      <w:lang w:val="en-US" w:eastAsia="zh-CN"/>
                    </w:rPr>
                    <w:t>0.034</w:t>
                  </w:r>
                </w:p>
              </w:tc>
              <w:tc>
                <w:tcPr>
                  <w:tcW w:w="1365" w:type="dxa"/>
                  <w:noWrap w:val="0"/>
                  <w:vAlign w:val="center"/>
                </w:tcPr>
                <w:p w14:paraId="20259875">
                  <w:pPr>
                    <w:spacing w:line="0" w:lineRule="atLeast"/>
                    <w:jc w:val="center"/>
                    <w:rPr>
                      <w:rFonts w:hint="default"/>
                      <w:highlight w:val="none"/>
                      <w:lang w:val="en-US" w:eastAsia="zh-CN"/>
                    </w:rPr>
                  </w:pPr>
                  <w:r>
                    <w:rPr>
                      <w:rFonts w:hint="eastAsia"/>
                      <w:highlight w:val="none"/>
                      <w:lang w:val="en-US" w:eastAsia="zh-CN"/>
                    </w:rPr>
                    <w:t>0.07072</w:t>
                  </w:r>
                </w:p>
              </w:tc>
              <w:tc>
                <w:tcPr>
                  <w:tcW w:w="885" w:type="dxa"/>
                  <w:noWrap w:val="0"/>
                  <w:vAlign w:val="center"/>
                </w:tcPr>
                <w:p w14:paraId="481EC5A4">
                  <w:pPr>
                    <w:spacing w:line="0" w:lineRule="atLeast"/>
                    <w:jc w:val="center"/>
                    <w:rPr>
                      <w:rFonts w:hint="eastAsia"/>
                      <w:highlight w:val="none"/>
                      <w:lang w:val="en-US" w:eastAsia="zh-CN"/>
                    </w:rPr>
                  </w:pPr>
                </w:p>
              </w:tc>
              <w:tc>
                <w:tcPr>
                  <w:tcW w:w="930" w:type="dxa"/>
                  <w:noWrap w:val="0"/>
                  <w:vAlign w:val="center"/>
                </w:tcPr>
                <w:p w14:paraId="413BFBCE">
                  <w:pPr>
                    <w:spacing w:line="0" w:lineRule="atLeast"/>
                    <w:jc w:val="center"/>
                    <w:rPr>
                      <w:rFonts w:hint="eastAsia"/>
                      <w:highlight w:val="none"/>
                      <w:lang w:val="en-US" w:eastAsia="zh-CN"/>
                    </w:rPr>
                  </w:pPr>
                </w:p>
              </w:tc>
              <w:tc>
                <w:tcPr>
                  <w:tcW w:w="1006" w:type="dxa"/>
                  <w:noWrap w:val="0"/>
                  <w:vAlign w:val="center"/>
                </w:tcPr>
                <w:p w14:paraId="0123A81C">
                  <w:pPr>
                    <w:spacing w:line="0" w:lineRule="atLeast"/>
                    <w:jc w:val="center"/>
                    <w:rPr>
                      <w:rFonts w:hint="eastAsia"/>
                      <w:highlight w:val="none"/>
                      <w:lang w:val="en-US" w:eastAsia="zh-CN"/>
                    </w:rPr>
                  </w:pPr>
                </w:p>
              </w:tc>
            </w:tr>
            <w:tr w14:paraId="230F36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5" w:type="dxa"/>
                  <w:noWrap w:val="0"/>
                  <w:vAlign w:val="center"/>
                </w:tcPr>
                <w:p w14:paraId="579266EA">
                  <w:pPr>
                    <w:spacing w:line="0" w:lineRule="atLeast"/>
                    <w:jc w:val="center"/>
                    <w:rPr>
                      <w:rFonts w:hint="default"/>
                      <w:highlight w:val="none"/>
                      <w:lang w:val="en-US" w:eastAsia="zh-CN"/>
                    </w:rPr>
                  </w:pPr>
                  <w:r>
                    <w:rPr>
                      <w:rFonts w:hint="eastAsia"/>
                      <w:highlight w:val="none"/>
                      <w:lang w:val="en-US" w:eastAsia="zh-CN"/>
                    </w:rPr>
                    <w:t>7</w:t>
                  </w:r>
                </w:p>
              </w:tc>
              <w:tc>
                <w:tcPr>
                  <w:tcW w:w="605" w:type="dxa"/>
                  <w:noWrap w:val="0"/>
                  <w:vAlign w:val="center"/>
                </w:tcPr>
                <w:p w14:paraId="5CC2A202">
                  <w:pPr>
                    <w:spacing w:line="0" w:lineRule="atLeast"/>
                    <w:jc w:val="center"/>
                    <w:rPr>
                      <w:rFonts w:hint="eastAsia"/>
                      <w:highlight w:val="none"/>
                    </w:rPr>
                  </w:pPr>
                  <w:r>
                    <w:rPr>
                      <w:rFonts w:hint="eastAsia"/>
                      <w:highlight w:val="none"/>
                    </w:rPr>
                    <w:t>DA00</w:t>
                  </w:r>
                  <w:r>
                    <w:rPr>
                      <w:rFonts w:hint="eastAsia"/>
                      <w:highlight w:val="none"/>
                      <w:lang w:val="en-US" w:eastAsia="zh-CN"/>
                    </w:rPr>
                    <w:t>7</w:t>
                  </w:r>
                </w:p>
              </w:tc>
              <w:tc>
                <w:tcPr>
                  <w:tcW w:w="780" w:type="dxa"/>
                  <w:noWrap w:val="0"/>
                  <w:vAlign w:val="center"/>
                </w:tcPr>
                <w:p w14:paraId="77EEA61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highlight w:val="none"/>
                    </w:rPr>
                  </w:pPr>
                  <w:r>
                    <w:rPr>
                      <w:rFonts w:hint="eastAsia"/>
                      <w:highlight w:val="none"/>
                    </w:rPr>
                    <w:t>颗粒物</w:t>
                  </w:r>
                </w:p>
              </w:tc>
              <w:tc>
                <w:tcPr>
                  <w:tcW w:w="915" w:type="dxa"/>
                  <w:noWrap w:val="0"/>
                  <w:vAlign w:val="center"/>
                </w:tcPr>
                <w:p w14:paraId="04D30B6D">
                  <w:pPr>
                    <w:spacing w:line="0" w:lineRule="atLeast"/>
                    <w:jc w:val="center"/>
                    <w:rPr>
                      <w:rFonts w:hint="default"/>
                      <w:highlight w:val="none"/>
                      <w:lang w:val="en-US" w:eastAsia="zh-CN"/>
                    </w:rPr>
                  </w:pPr>
                  <w:r>
                    <w:rPr>
                      <w:rFonts w:hint="eastAsia"/>
                      <w:highlight w:val="none"/>
                      <w:lang w:val="en-US" w:eastAsia="zh-CN"/>
                    </w:rPr>
                    <w:t>8.6</w:t>
                  </w:r>
                </w:p>
              </w:tc>
              <w:tc>
                <w:tcPr>
                  <w:tcW w:w="1065" w:type="dxa"/>
                  <w:noWrap w:val="0"/>
                  <w:vAlign w:val="center"/>
                </w:tcPr>
                <w:p w14:paraId="689D0364">
                  <w:pPr>
                    <w:spacing w:line="0" w:lineRule="atLeast"/>
                    <w:jc w:val="center"/>
                    <w:rPr>
                      <w:rFonts w:hint="default"/>
                      <w:highlight w:val="none"/>
                      <w:lang w:val="en-US" w:eastAsia="zh-CN"/>
                    </w:rPr>
                  </w:pPr>
                  <w:r>
                    <w:rPr>
                      <w:rFonts w:hint="eastAsia"/>
                      <w:highlight w:val="none"/>
                      <w:lang w:val="en-US" w:eastAsia="zh-CN"/>
                    </w:rPr>
                    <w:t>0.038</w:t>
                  </w:r>
                </w:p>
              </w:tc>
              <w:tc>
                <w:tcPr>
                  <w:tcW w:w="1365" w:type="dxa"/>
                  <w:noWrap w:val="0"/>
                  <w:vAlign w:val="center"/>
                </w:tcPr>
                <w:p w14:paraId="2D2E4E8B">
                  <w:pPr>
                    <w:spacing w:line="0" w:lineRule="atLeast"/>
                    <w:jc w:val="center"/>
                    <w:rPr>
                      <w:rFonts w:hint="default"/>
                      <w:highlight w:val="none"/>
                      <w:lang w:val="en-US" w:eastAsia="zh-CN"/>
                    </w:rPr>
                  </w:pPr>
                  <w:r>
                    <w:rPr>
                      <w:rFonts w:hint="eastAsia"/>
                      <w:highlight w:val="none"/>
                      <w:lang w:val="en-US" w:eastAsia="zh-CN"/>
                    </w:rPr>
                    <w:t>0.07904</w:t>
                  </w:r>
                </w:p>
              </w:tc>
              <w:tc>
                <w:tcPr>
                  <w:tcW w:w="885" w:type="dxa"/>
                  <w:noWrap w:val="0"/>
                  <w:vAlign w:val="center"/>
                </w:tcPr>
                <w:p w14:paraId="5BC1450C">
                  <w:pPr>
                    <w:spacing w:line="0" w:lineRule="atLeast"/>
                    <w:jc w:val="center"/>
                    <w:rPr>
                      <w:rFonts w:hint="eastAsia"/>
                      <w:highlight w:val="none"/>
                      <w:lang w:val="en-US" w:eastAsia="zh-CN"/>
                    </w:rPr>
                  </w:pPr>
                </w:p>
              </w:tc>
              <w:tc>
                <w:tcPr>
                  <w:tcW w:w="930" w:type="dxa"/>
                  <w:noWrap w:val="0"/>
                  <w:vAlign w:val="center"/>
                </w:tcPr>
                <w:p w14:paraId="03BD811B">
                  <w:pPr>
                    <w:spacing w:line="0" w:lineRule="atLeast"/>
                    <w:jc w:val="center"/>
                    <w:rPr>
                      <w:rFonts w:hint="eastAsia"/>
                      <w:highlight w:val="none"/>
                      <w:lang w:val="en-US" w:eastAsia="zh-CN"/>
                    </w:rPr>
                  </w:pPr>
                </w:p>
              </w:tc>
              <w:tc>
                <w:tcPr>
                  <w:tcW w:w="1006" w:type="dxa"/>
                  <w:noWrap w:val="0"/>
                  <w:vAlign w:val="center"/>
                </w:tcPr>
                <w:p w14:paraId="6028E186">
                  <w:pPr>
                    <w:spacing w:line="0" w:lineRule="atLeast"/>
                    <w:jc w:val="center"/>
                    <w:rPr>
                      <w:rFonts w:hint="eastAsia"/>
                      <w:highlight w:val="none"/>
                      <w:lang w:val="en-US" w:eastAsia="zh-CN"/>
                    </w:rPr>
                  </w:pPr>
                </w:p>
              </w:tc>
            </w:tr>
            <w:tr w14:paraId="080A3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0" w:type="dxa"/>
                  <w:gridSpan w:val="2"/>
                  <w:vMerge w:val="restart"/>
                  <w:noWrap w:val="0"/>
                  <w:vAlign w:val="center"/>
                </w:tcPr>
                <w:p w14:paraId="6AA07EE7">
                  <w:pPr>
                    <w:spacing w:line="0" w:lineRule="atLeast"/>
                    <w:jc w:val="center"/>
                    <w:rPr>
                      <w:rFonts w:hint="eastAsia"/>
                      <w:highlight w:val="none"/>
                    </w:rPr>
                  </w:pPr>
                  <w:r>
                    <w:rPr>
                      <w:rFonts w:hint="eastAsia"/>
                      <w:highlight w:val="none"/>
                      <w:lang w:val="en-US" w:eastAsia="zh-CN"/>
                    </w:rPr>
                    <w:t>原有项目</w:t>
                  </w:r>
                  <w:r>
                    <w:rPr>
                      <w:rFonts w:hint="eastAsia"/>
                      <w:highlight w:val="none"/>
                    </w:rPr>
                    <w:t>有组织排放总计</w:t>
                  </w:r>
                </w:p>
              </w:tc>
              <w:tc>
                <w:tcPr>
                  <w:tcW w:w="2760" w:type="dxa"/>
                  <w:gridSpan w:val="3"/>
                  <w:noWrap w:val="0"/>
                  <w:vAlign w:val="center"/>
                </w:tcPr>
                <w:p w14:paraId="5D7CBC95">
                  <w:pPr>
                    <w:spacing w:line="0" w:lineRule="atLeast"/>
                    <w:jc w:val="center"/>
                    <w:rPr>
                      <w:rFonts w:hint="eastAsia"/>
                      <w:highlight w:val="none"/>
                    </w:rPr>
                  </w:pPr>
                  <w:r>
                    <w:rPr>
                      <w:rFonts w:hint="eastAsia"/>
                      <w:highlight w:val="none"/>
                    </w:rPr>
                    <w:t>颗粒物</w:t>
                  </w:r>
                </w:p>
              </w:tc>
              <w:tc>
                <w:tcPr>
                  <w:tcW w:w="1365" w:type="dxa"/>
                  <w:noWrap w:val="0"/>
                  <w:vAlign w:val="center"/>
                </w:tcPr>
                <w:p w14:paraId="06494981">
                  <w:pPr>
                    <w:spacing w:line="0" w:lineRule="atLeast"/>
                    <w:jc w:val="center"/>
                    <w:rPr>
                      <w:rFonts w:hint="default"/>
                      <w:highlight w:val="none"/>
                      <w:lang w:val="en-US" w:eastAsia="zh-CN"/>
                    </w:rPr>
                  </w:pPr>
                  <w:r>
                    <w:rPr>
                      <w:rFonts w:hint="eastAsia"/>
                      <w:highlight w:val="none"/>
                      <w:lang w:val="en-US" w:eastAsia="zh-CN"/>
                    </w:rPr>
                    <w:t>0.3944t/a</w:t>
                  </w:r>
                </w:p>
              </w:tc>
              <w:tc>
                <w:tcPr>
                  <w:tcW w:w="885" w:type="dxa"/>
                  <w:noWrap w:val="0"/>
                  <w:vAlign w:val="center"/>
                </w:tcPr>
                <w:p w14:paraId="00BCFCB0">
                  <w:pPr>
                    <w:spacing w:line="0" w:lineRule="atLeast"/>
                    <w:jc w:val="center"/>
                    <w:rPr>
                      <w:rFonts w:hint="eastAsia"/>
                      <w:highlight w:val="none"/>
                      <w:lang w:val="en-US" w:eastAsia="zh-CN"/>
                    </w:rPr>
                  </w:pPr>
                </w:p>
              </w:tc>
              <w:tc>
                <w:tcPr>
                  <w:tcW w:w="930" w:type="dxa"/>
                  <w:noWrap w:val="0"/>
                  <w:vAlign w:val="center"/>
                </w:tcPr>
                <w:p w14:paraId="694B1563">
                  <w:pPr>
                    <w:spacing w:line="0" w:lineRule="atLeast"/>
                    <w:jc w:val="center"/>
                    <w:rPr>
                      <w:rFonts w:hint="eastAsia"/>
                      <w:highlight w:val="none"/>
                      <w:lang w:val="en-US" w:eastAsia="zh-CN"/>
                    </w:rPr>
                  </w:pPr>
                </w:p>
              </w:tc>
              <w:tc>
                <w:tcPr>
                  <w:tcW w:w="1006" w:type="dxa"/>
                  <w:noWrap w:val="0"/>
                  <w:vAlign w:val="center"/>
                </w:tcPr>
                <w:p w14:paraId="54D7B055">
                  <w:pPr>
                    <w:spacing w:line="0" w:lineRule="atLeast"/>
                    <w:jc w:val="center"/>
                    <w:rPr>
                      <w:rFonts w:hint="eastAsia"/>
                      <w:highlight w:val="none"/>
                      <w:lang w:val="en-US" w:eastAsia="zh-CN"/>
                    </w:rPr>
                  </w:pPr>
                </w:p>
              </w:tc>
            </w:tr>
            <w:tr w14:paraId="4993E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0" w:type="dxa"/>
                  <w:gridSpan w:val="2"/>
                  <w:vMerge w:val="continue"/>
                  <w:noWrap w:val="0"/>
                  <w:vAlign w:val="center"/>
                </w:tcPr>
                <w:p w14:paraId="7BA90AD4">
                  <w:pPr>
                    <w:spacing w:line="0" w:lineRule="atLeast"/>
                    <w:jc w:val="center"/>
                    <w:rPr>
                      <w:rFonts w:hint="eastAsia"/>
                      <w:highlight w:val="none"/>
                    </w:rPr>
                  </w:pPr>
                </w:p>
              </w:tc>
              <w:tc>
                <w:tcPr>
                  <w:tcW w:w="2760" w:type="dxa"/>
                  <w:gridSpan w:val="3"/>
                  <w:noWrap w:val="0"/>
                  <w:vAlign w:val="center"/>
                </w:tcPr>
                <w:p w14:paraId="364C5FE3">
                  <w:pPr>
                    <w:spacing w:line="0" w:lineRule="atLeast"/>
                    <w:jc w:val="center"/>
                    <w:rPr>
                      <w:rFonts w:hint="eastAsia"/>
                      <w:highlight w:val="none"/>
                    </w:rPr>
                  </w:pPr>
                  <w:r>
                    <w:rPr>
                      <w:rFonts w:hint="default"/>
                      <w:highlight w:val="none"/>
                    </w:rPr>
                    <w:t>SO</w:t>
                  </w:r>
                  <w:r>
                    <w:rPr>
                      <w:rFonts w:hint="default"/>
                      <w:highlight w:val="none"/>
                      <w:vertAlign w:val="subscript"/>
                    </w:rPr>
                    <w:t>2</w:t>
                  </w:r>
                </w:p>
              </w:tc>
              <w:tc>
                <w:tcPr>
                  <w:tcW w:w="1365" w:type="dxa"/>
                  <w:noWrap w:val="0"/>
                  <w:vAlign w:val="center"/>
                </w:tcPr>
                <w:p w14:paraId="18DE41EE">
                  <w:pPr>
                    <w:spacing w:line="0" w:lineRule="atLeast"/>
                    <w:jc w:val="center"/>
                    <w:rPr>
                      <w:rFonts w:hint="default"/>
                      <w:highlight w:val="none"/>
                      <w:lang w:val="en-US" w:eastAsia="zh-CN"/>
                    </w:rPr>
                  </w:pPr>
                  <w:r>
                    <w:rPr>
                      <w:rFonts w:hint="eastAsia"/>
                      <w:highlight w:val="none"/>
                      <w:lang w:val="en-US" w:eastAsia="zh-CN"/>
                    </w:rPr>
                    <w:t>9.6</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885" w:type="dxa"/>
                  <w:noWrap w:val="0"/>
                  <w:vAlign w:val="center"/>
                </w:tcPr>
                <w:p w14:paraId="53D10EB6">
                  <w:pPr>
                    <w:spacing w:line="0" w:lineRule="atLeast"/>
                    <w:jc w:val="center"/>
                    <w:rPr>
                      <w:rFonts w:hint="eastAsia"/>
                      <w:highlight w:val="none"/>
                      <w:lang w:val="en-US" w:eastAsia="zh-CN"/>
                    </w:rPr>
                  </w:pPr>
                </w:p>
              </w:tc>
              <w:tc>
                <w:tcPr>
                  <w:tcW w:w="930" w:type="dxa"/>
                  <w:noWrap w:val="0"/>
                  <w:vAlign w:val="center"/>
                </w:tcPr>
                <w:p w14:paraId="5BBFEB80">
                  <w:pPr>
                    <w:spacing w:line="0" w:lineRule="atLeast"/>
                    <w:jc w:val="center"/>
                    <w:rPr>
                      <w:rFonts w:hint="eastAsia"/>
                      <w:highlight w:val="none"/>
                      <w:lang w:val="en-US" w:eastAsia="zh-CN"/>
                    </w:rPr>
                  </w:pPr>
                </w:p>
              </w:tc>
              <w:tc>
                <w:tcPr>
                  <w:tcW w:w="1006" w:type="dxa"/>
                  <w:noWrap w:val="0"/>
                  <w:vAlign w:val="center"/>
                </w:tcPr>
                <w:p w14:paraId="5E1A5A9A">
                  <w:pPr>
                    <w:spacing w:line="0" w:lineRule="atLeast"/>
                    <w:jc w:val="center"/>
                    <w:rPr>
                      <w:rFonts w:hint="eastAsia"/>
                      <w:highlight w:val="none"/>
                      <w:lang w:val="en-US" w:eastAsia="zh-CN"/>
                    </w:rPr>
                  </w:pPr>
                </w:p>
              </w:tc>
            </w:tr>
            <w:tr w14:paraId="165D1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0" w:type="dxa"/>
                  <w:gridSpan w:val="2"/>
                  <w:vMerge w:val="continue"/>
                  <w:noWrap w:val="0"/>
                  <w:vAlign w:val="center"/>
                </w:tcPr>
                <w:p w14:paraId="2A826925">
                  <w:pPr>
                    <w:spacing w:line="0" w:lineRule="atLeast"/>
                    <w:jc w:val="center"/>
                    <w:rPr>
                      <w:rFonts w:hint="eastAsia"/>
                      <w:highlight w:val="none"/>
                    </w:rPr>
                  </w:pPr>
                </w:p>
              </w:tc>
              <w:tc>
                <w:tcPr>
                  <w:tcW w:w="2760" w:type="dxa"/>
                  <w:gridSpan w:val="3"/>
                  <w:noWrap w:val="0"/>
                  <w:vAlign w:val="center"/>
                </w:tcPr>
                <w:p w14:paraId="5A0DB093">
                  <w:pPr>
                    <w:spacing w:line="0" w:lineRule="atLeast"/>
                    <w:jc w:val="center"/>
                    <w:rPr>
                      <w:rFonts w:hint="eastAsia"/>
                      <w:highlight w:val="none"/>
                    </w:rPr>
                  </w:pPr>
                  <w:r>
                    <w:rPr>
                      <w:rFonts w:hint="default"/>
                      <w:highlight w:val="none"/>
                    </w:rPr>
                    <w:t>NO</w:t>
                  </w:r>
                  <w:r>
                    <w:rPr>
                      <w:rFonts w:hint="default"/>
                      <w:highlight w:val="none"/>
                      <w:vertAlign w:val="subscript"/>
                    </w:rPr>
                    <w:t>X</w:t>
                  </w:r>
                </w:p>
              </w:tc>
              <w:tc>
                <w:tcPr>
                  <w:tcW w:w="1365" w:type="dxa"/>
                  <w:noWrap w:val="0"/>
                  <w:vAlign w:val="center"/>
                </w:tcPr>
                <w:p w14:paraId="4F6C61F9">
                  <w:pPr>
                    <w:spacing w:line="0" w:lineRule="atLeast"/>
                    <w:jc w:val="center"/>
                    <w:rPr>
                      <w:rFonts w:hint="default"/>
                      <w:highlight w:val="none"/>
                      <w:lang w:val="en-US" w:eastAsia="zh-CN"/>
                    </w:rPr>
                  </w:pPr>
                  <w:r>
                    <w:rPr>
                      <w:rFonts w:hint="eastAsia"/>
                      <w:highlight w:val="none"/>
                      <w:lang w:val="en-US" w:eastAsia="zh-CN"/>
                    </w:rPr>
                    <w:t>0.048</w:t>
                  </w:r>
                </w:p>
              </w:tc>
              <w:tc>
                <w:tcPr>
                  <w:tcW w:w="885" w:type="dxa"/>
                  <w:noWrap w:val="0"/>
                  <w:vAlign w:val="center"/>
                </w:tcPr>
                <w:p w14:paraId="01CC0BC1">
                  <w:pPr>
                    <w:spacing w:line="0" w:lineRule="atLeast"/>
                    <w:jc w:val="center"/>
                    <w:rPr>
                      <w:rFonts w:hint="eastAsia"/>
                      <w:highlight w:val="none"/>
                      <w:lang w:val="en-US" w:eastAsia="zh-CN"/>
                    </w:rPr>
                  </w:pPr>
                </w:p>
              </w:tc>
              <w:tc>
                <w:tcPr>
                  <w:tcW w:w="930" w:type="dxa"/>
                  <w:noWrap w:val="0"/>
                  <w:vAlign w:val="center"/>
                </w:tcPr>
                <w:p w14:paraId="6B3E3421">
                  <w:pPr>
                    <w:spacing w:line="0" w:lineRule="atLeast"/>
                    <w:jc w:val="center"/>
                    <w:rPr>
                      <w:rFonts w:hint="eastAsia"/>
                      <w:highlight w:val="none"/>
                      <w:lang w:val="en-US" w:eastAsia="zh-CN"/>
                    </w:rPr>
                  </w:pPr>
                </w:p>
              </w:tc>
              <w:tc>
                <w:tcPr>
                  <w:tcW w:w="1006" w:type="dxa"/>
                  <w:noWrap w:val="0"/>
                  <w:vAlign w:val="center"/>
                </w:tcPr>
                <w:p w14:paraId="55445D66">
                  <w:pPr>
                    <w:spacing w:line="0" w:lineRule="atLeast"/>
                    <w:jc w:val="center"/>
                    <w:rPr>
                      <w:rFonts w:hint="eastAsia"/>
                      <w:highlight w:val="none"/>
                      <w:lang w:val="en-US" w:eastAsia="zh-CN"/>
                    </w:rPr>
                  </w:pPr>
                </w:p>
              </w:tc>
            </w:tr>
            <w:tr w14:paraId="43911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0" w:type="dxa"/>
                  <w:gridSpan w:val="2"/>
                  <w:vMerge w:val="continue"/>
                  <w:noWrap w:val="0"/>
                  <w:vAlign w:val="center"/>
                </w:tcPr>
                <w:p w14:paraId="26517CDD">
                  <w:pPr>
                    <w:spacing w:line="0" w:lineRule="atLeast"/>
                    <w:jc w:val="center"/>
                    <w:rPr>
                      <w:rFonts w:hint="eastAsia"/>
                      <w:highlight w:val="none"/>
                    </w:rPr>
                  </w:pPr>
                </w:p>
              </w:tc>
              <w:tc>
                <w:tcPr>
                  <w:tcW w:w="2760" w:type="dxa"/>
                  <w:gridSpan w:val="3"/>
                  <w:noWrap w:val="0"/>
                  <w:vAlign w:val="center"/>
                </w:tcPr>
                <w:p w14:paraId="4D8ED168">
                  <w:pPr>
                    <w:spacing w:line="0" w:lineRule="atLeast"/>
                    <w:jc w:val="center"/>
                    <w:rPr>
                      <w:rFonts w:hint="default"/>
                      <w:highlight w:val="none"/>
                      <w:lang w:val="en-US" w:eastAsia="zh-CN"/>
                    </w:rPr>
                  </w:pPr>
                  <w:r>
                    <w:rPr>
                      <w:rFonts w:hint="eastAsia"/>
                      <w:highlight w:val="none"/>
                      <w:lang w:val="en-US" w:eastAsia="zh-CN"/>
                    </w:rPr>
                    <w:t>非甲烷总烃</w:t>
                  </w:r>
                </w:p>
              </w:tc>
              <w:tc>
                <w:tcPr>
                  <w:tcW w:w="1365" w:type="dxa"/>
                  <w:noWrap w:val="0"/>
                  <w:vAlign w:val="center"/>
                </w:tcPr>
                <w:p w14:paraId="1EF6B27F">
                  <w:pPr>
                    <w:spacing w:line="0" w:lineRule="atLeast"/>
                    <w:jc w:val="center"/>
                    <w:rPr>
                      <w:rFonts w:hint="default"/>
                      <w:highlight w:val="none"/>
                      <w:lang w:val="en-US" w:eastAsia="zh-CN"/>
                    </w:rPr>
                  </w:pPr>
                  <w:r>
                    <w:rPr>
                      <w:rFonts w:hint="eastAsia"/>
                      <w:highlight w:val="none"/>
                      <w:lang w:val="en-US" w:eastAsia="zh-CN"/>
                    </w:rPr>
                    <w:t>0.35568</w:t>
                  </w:r>
                </w:p>
              </w:tc>
              <w:tc>
                <w:tcPr>
                  <w:tcW w:w="885" w:type="dxa"/>
                  <w:noWrap w:val="0"/>
                  <w:vAlign w:val="center"/>
                </w:tcPr>
                <w:p w14:paraId="3EDC1492">
                  <w:pPr>
                    <w:spacing w:line="0" w:lineRule="atLeast"/>
                    <w:jc w:val="center"/>
                    <w:rPr>
                      <w:rFonts w:hint="eastAsia"/>
                      <w:highlight w:val="none"/>
                      <w:lang w:val="en-US" w:eastAsia="zh-CN"/>
                    </w:rPr>
                  </w:pPr>
                </w:p>
              </w:tc>
              <w:tc>
                <w:tcPr>
                  <w:tcW w:w="930" w:type="dxa"/>
                  <w:noWrap w:val="0"/>
                  <w:vAlign w:val="center"/>
                </w:tcPr>
                <w:p w14:paraId="6A8F3934">
                  <w:pPr>
                    <w:spacing w:line="0" w:lineRule="atLeast"/>
                    <w:jc w:val="center"/>
                    <w:rPr>
                      <w:rFonts w:hint="eastAsia"/>
                      <w:highlight w:val="none"/>
                      <w:lang w:val="en-US" w:eastAsia="zh-CN"/>
                    </w:rPr>
                  </w:pPr>
                </w:p>
              </w:tc>
              <w:tc>
                <w:tcPr>
                  <w:tcW w:w="1006" w:type="dxa"/>
                  <w:noWrap w:val="0"/>
                  <w:vAlign w:val="center"/>
                </w:tcPr>
                <w:p w14:paraId="5133BC7F">
                  <w:pPr>
                    <w:spacing w:line="0" w:lineRule="atLeast"/>
                    <w:jc w:val="center"/>
                    <w:rPr>
                      <w:rFonts w:hint="eastAsia"/>
                      <w:highlight w:val="none"/>
                      <w:lang w:val="en-US" w:eastAsia="zh-CN"/>
                    </w:rPr>
                  </w:pPr>
                </w:p>
              </w:tc>
            </w:tr>
            <w:tr w14:paraId="7D33C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0" w:type="dxa"/>
                  <w:gridSpan w:val="2"/>
                  <w:vMerge w:val="continue"/>
                  <w:noWrap w:val="0"/>
                  <w:vAlign w:val="center"/>
                </w:tcPr>
                <w:p w14:paraId="44191954">
                  <w:pPr>
                    <w:spacing w:line="0" w:lineRule="atLeast"/>
                    <w:jc w:val="center"/>
                    <w:rPr>
                      <w:rFonts w:hint="eastAsia"/>
                      <w:highlight w:val="none"/>
                    </w:rPr>
                  </w:pPr>
                </w:p>
              </w:tc>
              <w:tc>
                <w:tcPr>
                  <w:tcW w:w="2760" w:type="dxa"/>
                  <w:gridSpan w:val="3"/>
                  <w:noWrap w:val="0"/>
                  <w:vAlign w:val="center"/>
                </w:tcPr>
                <w:p w14:paraId="3445B34A">
                  <w:pPr>
                    <w:spacing w:line="0" w:lineRule="atLeast"/>
                    <w:jc w:val="center"/>
                    <w:rPr>
                      <w:rFonts w:hint="default"/>
                      <w:highlight w:val="none"/>
                      <w:lang w:val="en-US" w:eastAsia="zh-CN"/>
                    </w:rPr>
                  </w:pPr>
                  <w:r>
                    <w:rPr>
                      <w:rFonts w:hint="eastAsia"/>
                      <w:highlight w:val="none"/>
                      <w:lang w:val="en-US" w:eastAsia="zh-CN"/>
                    </w:rPr>
                    <w:t>苯</w:t>
                  </w:r>
                </w:p>
              </w:tc>
              <w:tc>
                <w:tcPr>
                  <w:tcW w:w="1365" w:type="dxa"/>
                  <w:noWrap w:val="0"/>
                  <w:vAlign w:val="center"/>
                </w:tcPr>
                <w:p w14:paraId="451C0BB0">
                  <w:pPr>
                    <w:spacing w:line="0" w:lineRule="atLeast"/>
                    <w:jc w:val="center"/>
                    <w:rPr>
                      <w:rFonts w:hint="eastAsia"/>
                      <w:highlight w:val="none"/>
                      <w:lang w:val="en-US" w:eastAsia="zh-CN"/>
                    </w:rPr>
                  </w:pPr>
                  <w:r>
                    <w:rPr>
                      <w:rFonts w:hint="eastAsia"/>
                      <w:highlight w:val="none"/>
                      <w:lang w:val="en-US" w:eastAsia="zh-CN"/>
                    </w:rPr>
                    <w:t>0.565344</w:t>
                  </w:r>
                </w:p>
              </w:tc>
              <w:tc>
                <w:tcPr>
                  <w:tcW w:w="885" w:type="dxa"/>
                  <w:noWrap w:val="0"/>
                  <w:vAlign w:val="center"/>
                </w:tcPr>
                <w:p w14:paraId="5DF47503">
                  <w:pPr>
                    <w:spacing w:line="0" w:lineRule="atLeast"/>
                    <w:jc w:val="center"/>
                    <w:rPr>
                      <w:rFonts w:hint="eastAsia"/>
                      <w:highlight w:val="none"/>
                      <w:lang w:val="en-US" w:eastAsia="zh-CN"/>
                    </w:rPr>
                  </w:pPr>
                </w:p>
              </w:tc>
              <w:tc>
                <w:tcPr>
                  <w:tcW w:w="930" w:type="dxa"/>
                  <w:noWrap w:val="0"/>
                  <w:vAlign w:val="center"/>
                </w:tcPr>
                <w:p w14:paraId="2626E326">
                  <w:pPr>
                    <w:spacing w:line="0" w:lineRule="atLeast"/>
                    <w:jc w:val="center"/>
                    <w:rPr>
                      <w:rFonts w:hint="eastAsia"/>
                      <w:highlight w:val="none"/>
                      <w:lang w:val="en-US" w:eastAsia="zh-CN"/>
                    </w:rPr>
                  </w:pPr>
                </w:p>
              </w:tc>
              <w:tc>
                <w:tcPr>
                  <w:tcW w:w="1006" w:type="dxa"/>
                  <w:noWrap w:val="0"/>
                  <w:vAlign w:val="center"/>
                </w:tcPr>
                <w:p w14:paraId="05ECCEBF">
                  <w:pPr>
                    <w:spacing w:line="0" w:lineRule="atLeast"/>
                    <w:jc w:val="center"/>
                    <w:rPr>
                      <w:rFonts w:hint="eastAsia"/>
                      <w:highlight w:val="none"/>
                      <w:lang w:val="en-US" w:eastAsia="zh-CN"/>
                    </w:rPr>
                  </w:pPr>
                </w:p>
              </w:tc>
            </w:tr>
            <w:tr w14:paraId="2C9005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0" w:type="dxa"/>
                  <w:gridSpan w:val="2"/>
                  <w:vMerge w:val="continue"/>
                  <w:noWrap w:val="0"/>
                  <w:vAlign w:val="center"/>
                </w:tcPr>
                <w:p w14:paraId="1D926AAF">
                  <w:pPr>
                    <w:spacing w:line="0" w:lineRule="atLeast"/>
                    <w:jc w:val="center"/>
                    <w:rPr>
                      <w:rFonts w:hint="eastAsia"/>
                      <w:highlight w:val="none"/>
                    </w:rPr>
                  </w:pPr>
                </w:p>
              </w:tc>
              <w:tc>
                <w:tcPr>
                  <w:tcW w:w="2760" w:type="dxa"/>
                  <w:gridSpan w:val="3"/>
                  <w:noWrap w:val="0"/>
                  <w:vAlign w:val="center"/>
                </w:tcPr>
                <w:p w14:paraId="7DF4D5C1">
                  <w:pPr>
                    <w:spacing w:line="0" w:lineRule="atLeast"/>
                    <w:jc w:val="center"/>
                    <w:rPr>
                      <w:rFonts w:hint="default"/>
                      <w:highlight w:val="none"/>
                      <w:lang w:val="en-US" w:eastAsia="zh-CN"/>
                    </w:rPr>
                  </w:pPr>
                  <w:r>
                    <w:rPr>
                      <w:rFonts w:hint="eastAsia"/>
                      <w:highlight w:val="none"/>
                      <w:lang w:val="en-US" w:eastAsia="zh-CN"/>
                    </w:rPr>
                    <w:t>甲苯</w:t>
                  </w:r>
                </w:p>
              </w:tc>
              <w:tc>
                <w:tcPr>
                  <w:tcW w:w="1365" w:type="dxa"/>
                  <w:noWrap w:val="0"/>
                  <w:vAlign w:val="center"/>
                </w:tcPr>
                <w:p w14:paraId="4117CE63">
                  <w:pPr>
                    <w:spacing w:line="0" w:lineRule="atLeast"/>
                    <w:jc w:val="center"/>
                    <w:rPr>
                      <w:rFonts w:hint="eastAsia"/>
                      <w:highlight w:val="none"/>
                      <w:lang w:val="en-US" w:eastAsia="zh-CN"/>
                    </w:rPr>
                  </w:pPr>
                  <w:r>
                    <w:rPr>
                      <w:rFonts w:hint="eastAsia"/>
                      <w:highlight w:val="none"/>
                      <w:lang w:val="en-US" w:eastAsia="zh-CN"/>
                    </w:rPr>
                    <w:t>1.14816</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885" w:type="dxa"/>
                  <w:noWrap w:val="0"/>
                  <w:vAlign w:val="center"/>
                </w:tcPr>
                <w:p w14:paraId="72100CE0">
                  <w:pPr>
                    <w:spacing w:line="0" w:lineRule="atLeast"/>
                    <w:jc w:val="center"/>
                    <w:rPr>
                      <w:rFonts w:hint="eastAsia"/>
                      <w:highlight w:val="none"/>
                      <w:lang w:val="en-US" w:eastAsia="zh-CN"/>
                    </w:rPr>
                  </w:pPr>
                </w:p>
              </w:tc>
              <w:tc>
                <w:tcPr>
                  <w:tcW w:w="930" w:type="dxa"/>
                  <w:noWrap w:val="0"/>
                  <w:vAlign w:val="center"/>
                </w:tcPr>
                <w:p w14:paraId="3EF6C7A1">
                  <w:pPr>
                    <w:spacing w:line="0" w:lineRule="atLeast"/>
                    <w:jc w:val="center"/>
                    <w:rPr>
                      <w:rFonts w:hint="eastAsia"/>
                      <w:highlight w:val="none"/>
                      <w:lang w:val="en-US" w:eastAsia="zh-CN"/>
                    </w:rPr>
                  </w:pPr>
                </w:p>
              </w:tc>
              <w:tc>
                <w:tcPr>
                  <w:tcW w:w="1006" w:type="dxa"/>
                  <w:noWrap w:val="0"/>
                  <w:vAlign w:val="center"/>
                </w:tcPr>
                <w:p w14:paraId="45A0CF79">
                  <w:pPr>
                    <w:spacing w:line="0" w:lineRule="atLeast"/>
                    <w:jc w:val="center"/>
                    <w:rPr>
                      <w:rFonts w:hint="eastAsia"/>
                      <w:highlight w:val="none"/>
                      <w:lang w:val="en-US" w:eastAsia="zh-CN"/>
                    </w:rPr>
                  </w:pPr>
                </w:p>
              </w:tc>
            </w:tr>
            <w:tr w14:paraId="0DCA2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0" w:type="dxa"/>
                  <w:gridSpan w:val="2"/>
                  <w:vMerge w:val="continue"/>
                  <w:noWrap w:val="0"/>
                  <w:vAlign w:val="center"/>
                </w:tcPr>
                <w:p w14:paraId="6F3C259E">
                  <w:pPr>
                    <w:spacing w:line="0" w:lineRule="atLeast"/>
                    <w:jc w:val="center"/>
                    <w:rPr>
                      <w:rFonts w:hint="eastAsia"/>
                      <w:highlight w:val="none"/>
                    </w:rPr>
                  </w:pPr>
                </w:p>
              </w:tc>
              <w:tc>
                <w:tcPr>
                  <w:tcW w:w="2760" w:type="dxa"/>
                  <w:gridSpan w:val="3"/>
                  <w:noWrap w:val="0"/>
                  <w:vAlign w:val="center"/>
                </w:tcPr>
                <w:p w14:paraId="7E1BDCCE">
                  <w:pPr>
                    <w:spacing w:line="0" w:lineRule="atLeast"/>
                    <w:jc w:val="center"/>
                    <w:rPr>
                      <w:rFonts w:hint="default"/>
                      <w:highlight w:val="none"/>
                      <w:lang w:val="en-US" w:eastAsia="zh-CN"/>
                    </w:rPr>
                  </w:pPr>
                  <w:r>
                    <w:rPr>
                      <w:rFonts w:hint="eastAsia"/>
                      <w:highlight w:val="none"/>
                      <w:lang w:val="en-US" w:eastAsia="zh-CN"/>
                    </w:rPr>
                    <w:t>二甲苯</w:t>
                  </w:r>
                </w:p>
              </w:tc>
              <w:tc>
                <w:tcPr>
                  <w:tcW w:w="1365" w:type="dxa"/>
                  <w:noWrap w:val="0"/>
                  <w:vAlign w:val="center"/>
                </w:tcPr>
                <w:p w14:paraId="583088BD">
                  <w:pPr>
                    <w:spacing w:line="0" w:lineRule="atLeast"/>
                    <w:jc w:val="center"/>
                    <w:rPr>
                      <w:rFonts w:hint="eastAsia"/>
                      <w:highlight w:val="none"/>
                      <w:lang w:val="en-US" w:eastAsia="zh-CN"/>
                    </w:rPr>
                  </w:pPr>
                  <w:r>
                    <w:rPr>
                      <w:rFonts w:hint="eastAsia"/>
                      <w:highlight w:val="none"/>
                      <w:lang w:val="en-US" w:eastAsia="zh-CN"/>
                    </w:rPr>
                    <w:t>6.24</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885" w:type="dxa"/>
                  <w:noWrap w:val="0"/>
                  <w:vAlign w:val="center"/>
                </w:tcPr>
                <w:p w14:paraId="2F00DCDB">
                  <w:pPr>
                    <w:spacing w:line="0" w:lineRule="atLeast"/>
                    <w:jc w:val="center"/>
                    <w:rPr>
                      <w:rFonts w:hint="eastAsia"/>
                      <w:highlight w:val="none"/>
                      <w:lang w:val="en-US" w:eastAsia="zh-CN"/>
                    </w:rPr>
                  </w:pPr>
                </w:p>
              </w:tc>
              <w:tc>
                <w:tcPr>
                  <w:tcW w:w="930" w:type="dxa"/>
                  <w:noWrap w:val="0"/>
                  <w:vAlign w:val="center"/>
                </w:tcPr>
                <w:p w14:paraId="132C3659">
                  <w:pPr>
                    <w:spacing w:line="0" w:lineRule="atLeast"/>
                    <w:jc w:val="center"/>
                    <w:rPr>
                      <w:rFonts w:hint="eastAsia"/>
                      <w:highlight w:val="none"/>
                      <w:lang w:val="en-US" w:eastAsia="zh-CN"/>
                    </w:rPr>
                  </w:pPr>
                </w:p>
              </w:tc>
              <w:tc>
                <w:tcPr>
                  <w:tcW w:w="1006" w:type="dxa"/>
                  <w:noWrap w:val="0"/>
                  <w:vAlign w:val="center"/>
                </w:tcPr>
                <w:p w14:paraId="47A4214B">
                  <w:pPr>
                    <w:spacing w:line="0" w:lineRule="atLeast"/>
                    <w:jc w:val="center"/>
                    <w:rPr>
                      <w:rFonts w:hint="eastAsia"/>
                      <w:highlight w:val="none"/>
                      <w:lang w:val="en-US" w:eastAsia="zh-CN"/>
                    </w:rPr>
                  </w:pPr>
                </w:p>
              </w:tc>
            </w:tr>
          </w:tbl>
          <w:p w14:paraId="3A6BCA96">
            <w:pPr>
              <w:pStyle w:val="2"/>
              <w:keepNext w:val="0"/>
              <w:keepLines w:val="0"/>
              <w:pageBreakBefore w:val="0"/>
              <w:widowControl w:val="0"/>
              <w:numPr>
                <w:ilvl w:val="0"/>
                <w:numId w:val="0"/>
              </w:numPr>
              <w:kinsoku/>
              <w:wordWrap/>
              <w:overflowPunct/>
              <w:topLinePunct w:val="0"/>
              <w:autoSpaceDE/>
              <w:autoSpaceDN/>
              <w:bidi w:val="0"/>
              <w:spacing w:line="400" w:lineRule="exact"/>
              <w:ind w:left="0" w:right="0" w:rightChars="0" w:firstLine="420" w:firstLineChars="200"/>
              <w:jc w:val="left"/>
              <w:textAlignment w:val="auto"/>
              <w:rPr>
                <w:rFonts w:hint="eastAsia"/>
                <w:highlight w:val="none"/>
                <w:lang w:val="en-US" w:eastAsia="zh-CN"/>
              </w:rPr>
            </w:pPr>
            <w:r>
              <w:rPr>
                <w:rFonts w:hint="eastAsia"/>
                <w:highlight w:val="none"/>
                <w:lang w:val="en-US" w:eastAsia="zh-CN"/>
              </w:rPr>
              <w:t>根据检测数据，原有项目有组织废气排放总量如下：</w:t>
            </w:r>
          </w:p>
          <w:p w14:paraId="6BEF7ADD">
            <w:pPr>
              <w:keepNext w:val="0"/>
              <w:keepLines w:val="0"/>
              <w:pageBreakBefore w:val="0"/>
              <w:widowControl w:val="0"/>
              <w:kinsoku/>
              <w:wordWrap/>
              <w:overflowPunct/>
              <w:topLinePunct w:val="0"/>
              <w:autoSpaceDE/>
              <w:autoSpaceDN/>
              <w:bidi w:val="0"/>
              <w:spacing w:line="400" w:lineRule="exact"/>
              <w:ind w:left="0" w:right="0" w:firstLine="420" w:firstLineChars="200"/>
              <w:textAlignment w:val="auto"/>
              <w:rPr>
                <w:rFonts w:hint="eastAsia"/>
                <w:highlight w:val="none"/>
                <w:lang w:val="en-US" w:eastAsia="zh-CN"/>
              </w:rPr>
            </w:pPr>
            <w:r>
              <w:rPr>
                <w:rFonts w:hint="eastAsia"/>
                <w:highlight w:val="none"/>
                <w:lang w:val="en-US" w:eastAsia="zh-CN"/>
              </w:rPr>
              <w:t>废气：颗粒物：0.3944t/a，SO</w:t>
            </w:r>
            <w:r>
              <w:rPr>
                <w:rFonts w:hint="eastAsia"/>
                <w:highlight w:val="none"/>
                <w:vertAlign w:val="subscript"/>
                <w:lang w:val="en-US" w:eastAsia="zh-CN"/>
              </w:rPr>
              <w:t>2</w:t>
            </w:r>
            <w:r>
              <w:rPr>
                <w:rFonts w:hint="eastAsia"/>
                <w:highlight w:val="none"/>
                <w:lang w:val="en-US" w:eastAsia="zh-CN"/>
              </w:rPr>
              <w:t>：9.6</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-3</w:t>
            </w:r>
            <w:r>
              <w:rPr>
                <w:rFonts w:hint="eastAsia"/>
                <w:highlight w:val="none"/>
                <w:lang w:val="en-US" w:eastAsia="zh-CN"/>
              </w:rPr>
              <w:t>t/a，NOx：0.048t/a，非甲烷总烃：0.35568t/a，苯：0.565344t/a，甲苯：1.14816</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-3</w:t>
            </w:r>
            <w:r>
              <w:rPr>
                <w:rFonts w:hint="eastAsia"/>
                <w:highlight w:val="none"/>
                <w:lang w:val="en-US" w:eastAsia="zh-CN"/>
              </w:rPr>
              <w:t>t/a，二甲苯：6.24</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-3</w:t>
            </w:r>
            <w:r>
              <w:rPr>
                <w:rFonts w:hint="eastAsia"/>
                <w:highlight w:val="none"/>
                <w:lang w:val="en-US" w:eastAsia="zh-CN"/>
              </w:rPr>
              <w:t>t/a。</w:t>
            </w:r>
          </w:p>
          <w:p w14:paraId="6EFA7E38">
            <w:pPr>
              <w:pStyle w:val="6"/>
              <w:keepNext w:val="0"/>
              <w:keepLines w:val="0"/>
              <w:pageBreakBefore w:val="0"/>
              <w:kinsoku/>
              <w:wordWrap/>
              <w:overflowPunct/>
              <w:topLinePunct w:val="0"/>
              <w:bidi w:val="0"/>
              <w:spacing w:line="400" w:lineRule="exact"/>
              <w:ind w:left="0" w:leftChars="0" w:firstLine="420" w:firstLineChars="200"/>
              <w:rPr>
                <w:rFonts w:hint="default"/>
                <w:highlight w:val="none"/>
                <w:lang w:val="en-US" w:eastAsia="zh-CN"/>
              </w:rPr>
            </w:pPr>
            <w:r>
              <w:rPr>
                <w:rFonts w:hint="eastAsia"/>
                <w:highlight w:val="none"/>
                <w:lang w:val="en-US" w:eastAsia="zh-CN"/>
              </w:rPr>
              <w:t>（2）无组织废气</w:t>
            </w:r>
          </w:p>
          <w:p w14:paraId="13224E4A">
            <w:pPr>
              <w:keepNext w:val="0"/>
              <w:keepLines w:val="0"/>
              <w:pageBreakBefore w:val="0"/>
              <w:kinsoku/>
              <w:wordWrap/>
              <w:overflowPunct/>
              <w:topLinePunct w:val="0"/>
              <w:bidi w:val="0"/>
              <w:adjustRightInd w:val="0"/>
              <w:snapToGrid w:val="0"/>
              <w:spacing w:line="400" w:lineRule="exact"/>
              <w:ind w:firstLine="480"/>
              <w:jc w:val="left"/>
              <w:textAlignment w:val="baseline"/>
              <w:outlineLvl w:val="0"/>
              <w:rPr>
                <w:rFonts w:hint="eastAsia"/>
                <w:highlight w:val="none"/>
                <w:lang w:val="en-US" w:eastAsia="zh-CN"/>
              </w:rPr>
            </w:pPr>
            <w:r>
              <w:rPr>
                <w:rFonts w:hint="eastAsia"/>
                <w:highlight w:val="none"/>
                <w:lang w:val="en-US" w:eastAsia="zh-CN"/>
              </w:rPr>
              <w:t>依据2021年11月唐山荣恒环境检测有限公司检测报告数据（唐山荣恒（2021）环检（排）第10322号）中的数据，无组织总悬浮颗粒物的浓度最大值为0.485mg/m³，非甲烷总烃浓度的最大值为0.92mg/m³，未检测出苯、甲苯、二甲苯。满足《钢铁工业大气污染物超低排放标准》（DB13/2169-2018）表5中排放限值要求，同时满足《2019 年“十项重点工作”工作方案》的通知（唐办发﹝2019﹞3 号）中的限值：颗粒物≤0.5mg/m3，非甲烷总烃≤2.0mg/m³要求。</w:t>
            </w:r>
          </w:p>
          <w:p w14:paraId="64DDA6B2">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right="0" w:rightChars="0" w:firstLine="420" w:firstLineChars="200"/>
              <w:jc w:val="left"/>
              <w:textAlignment w:val="auto"/>
              <w:rPr>
                <w:rFonts w:hint="eastAsia"/>
                <w:highlight w:val="none"/>
                <w:lang w:val="en-US" w:eastAsia="zh-CN"/>
              </w:rPr>
            </w:pPr>
            <w:r>
              <w:rPr>
                <w:rFonts w:hint="eastAsia"/>
                <w:highlight w:val="none"/>
                <w:lang w:val="en-US" w:eastAsia="zh-CN"/>
              </w:rPr>
              <w:t>2、废水</w:t>
            </w:r>
          </w:p>
          <w:p w14:paraId="7A4A6928">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right="0" w:rightChars="0" w:firstLine="420" w:firstLineChars="200"/>
              <w:jc w:val="left"/>
              <w:textAlignment w:val="auto"/>
              <w:rPr>
                <w:rFonts w:hint="eastAsia"/>
                <w:highlight w:val="none"/>
                <w:lang w:val="en-US" w:eastAsia="zh-CN"/>
              </w:rPr>
            </w:pPr>
            <w:r>
              <w:rPr>
                <w:rFonts w:hint="eastAsia"/>
                <w:highlight w:val="none"/>
                <w:lang w:val="zh-CN" w:eastAsia="zh-CN"/>
              </w:rPr>
              <w:t>企业生产</w:t>
            </w:r>
            <w:r>
              <w:rPr>
                <w:rFonts w:hint="eastAsia"/>
                <w:highlight w:val="none"/>
                <w:lang w:val="en-US" w:eastAsia="zh-CN"/>
              </w:rPr>
              <w:t>废</w:t>
            </w:r>
            <w:r>
              <w:rPr>
                <w:rFonts w:hint="eastAsia"/>
                <w:highlight w:val="none"/>
                <w:lang w:val="zh-CN" w:eastAsia="zh-CN"/>
              </w:rPr>
              <w:t>水主要是</w:t>
            </w:r>
            <w:r>
              <w:rPr>
                <w:rFonts w:hint="eastAsia"/>
                <w:highlight w:val="none"/>
                <w:lang w:val="en-US" w:eastAsia="zh-CN"/>
              </w:rPr>
              <w:t>设备冷却</w:t>
            </w:r>
            <w:r>
              <w:rPr>
                <w:rFonts w:hint="eastAsia"/>
                <w:highlight w:val="none"/>
                <w:lang w:val="zh-CN" w:eastAsia="zh-CN"/>
              </w:rPr>
              <w:t>，</w:t>
            </w:r>
            <w:r>
              <w:rPr>
                <w:rFonts w:hint="eastAsia"/>
                <w:highlight w:val="none"/>
                <w:lang w:val="en-US" w:eastAsia="zh-CN"/>
              </w:rPr>
              <w:t>循环使用不外排。生活污水主要是食堂废水、盥洗废水及冲厕废水，食堂废水经隔油池处理后与其他生活污水一起排入化粪池，定期清掏，厂区内无废水污染物排放。</w:t>
            </w:r>
          </w:p>
          <w:p w14:paraId="6A93FDE6">
            <w:pPr>
              <w:keepNext w:val="0"/>
              <w:keepLines w:val="0"/>
              <w:pageBreakBefore w:val="0"/>
              <w:numPr>
                <w:ilvl w:val="0"/>
                <w:numId w:val="0"/>
              </w:numPr>
              <w:kinsoku/>
              <w:wordWrap/>
              <w:overflowPunct/>
              <w:topLinePunct w:val="0"/>
              <w:bidi w:val="0"/>
              <w:spacing w:line="400" w:lineRule="exact"/>
              <w:ind w:leftChars="0"/>
              <w:textAlignment w:val="auto"/>
              <w:rPr>
                <w:rFonts w:hint="eastAsia"/>
                <w:highlight w:val="none"/>
                <w:lang w:val="en-US" w:eastAsia="zh-CN"/>
              </w:rPr>
            </w:pPr>
            <w:r>
              <w:rPr>
                <w:rFonts w:hint="eastAsia"/>
                <w:highlight w:val="none"/>
                <w:lang w:val="en-US" w:eastAsia="zh-CN"/>
              </w:rPr>
              <w:t xml:space="preserve">    3、噪音</w:t>
            </w:r>
          </w:p>
          <w:p w14:paraId="0DF32EBC">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right="0" w:rightChars="0" w:firstLine="420" w:firstLineChars="200"/>
              <w:jc w:val="left"/>
              <w:textAlignment w:val="auto"/>
              <w:rPr>
                <w:rFonts w:hint="eastAsia"/>
                <w:highlight w:val="none"/>
                <w:lang w:val="zh-CN" w:eastAsia="zh-CN"/>
              </w:rPr>
            </w:pPr>
            <w:r>
              <w:rPr>
                <w:rFonts w:hint="eastAsia"/>
                <w:highlight w:val="none"/>
                <w:lang w:val="en-US" w:eastAsia="zh-CN"/>
              </w:rPr>
              <w:t>依据2021年11月唐山荣恒环境检测有限公司检测报告数据（唐山荣恒（2021）环检（排）第10322号）中的数据，</w:t>
            </w:r>
            <w:r>
              <w:rPr>
                <w:rFonts w:hint="default"/>
                <w:highlight w:val="none"/>
                <w:lang w:val="en-US" w:eastAsia="zh-CN"/>
              </w:rPr>
              <w:t>本项目</w:t>
            </w:r>
            <w:r>
              <w:rPr>
                <w:rFonts w:hint="default"/>
                <w:highlight w:val="none"/>
                <w:lang w:val="zh-CN" w:eastAsia="zh-CN"/>
              </w:rPr>
              <w:t>厂界昼间噪声</w:t>
            </w:r>
            <w:r>
              <w:rPr>
                <w:rFonts w:hint="eastAsia"/>
                <w:highlight w:val="none"/>
                <w:lang w:val="en-US" w:eastAsia="zh-CN"/>
              </w:rPr>
              <w:t>检测</w:t>
            </w:r>
            <w:r>
              <w:rPr>
                <w:rFonts w:hint="default"/>
                <w:highlight w:val="none"/>
                <w:lang w:val="zh-CN" w:eastAsia="zh-CN"/>
              </w:rPr>
              <w:t>结果为</w:t>
            </w:r>
            <w:r>
              <w:rPr>
                <w:rFonts w:hint="eastAsia"/>
                <w:highlight w:val="none"/>
                <w:lang w:val="en-US" w:eastAsia="zh-CN"/>
              </w:rPr>
              <w:t>58.0~59.4</w:t>
            </w:r>
            <w:r>
              <w:rPr>
                <w:rFonts w:hint="default"/>
                <w:highlight w:val="none"/>
                <w:lang w:val="zh-CN" w:eastAsia="zh-CN"/>
              </w:rPr>
              <w:t>dB(A)，厂界</w:t>
            </w:r>
            <w:r>
              <w:rPr>
                <w:rFonts w:hint="eastAsia"/>
                <w:highlight w:val="none"/>
                <w:lang w:val="en-US" w:eastAsia="zh-CN"/>
              </w:rPr>
              <w:t>夜</w:t>
            </w:r>
            <w:r>
              <w:rPr>
                <w:rFonts w:hint="default"/>
                <w:highlight w:val="none"/>
                <w:lang w:val="zh-CN" w:eastAsia="zh-CN"/>
              </w:rPr>
              <w:t>间噪声</w:t>
            </w:r>
            <w:r>
              <w:rPr>
                <w:rFonts w:hint="eastAsia"/>
                <w:highlight w:val="none"/>
                <w:lang w:val="en-US" w:eastAsia="zh-CN"/>
              </w:rPr>
              <w:t>检</w:t>
            </w:r>
            <w:r>
              <w:rPr>
                <w:rFonts w:hint="default"/>
                <w:highlight w:val="none"/>
                <w:lang w:val="zh-CN" w:eastAsia="zh-CN"/>
              </w:rPr>
              <w:t>测结果分别为</w:t>
            </w:r>
            <w:r>
              <w:rPr>
                <w:rFonts w:hint="eastAsia"/>
                <w:highlight w:val="none"/>
                <w:lang w:val="en-US" w:eastAsia="zh-CN"/>
              </w:rPr>
              <w:t>48.4~49.6</w:t>
            </w:r>
            <w:r>
              <w:rPr>
                <w:rFonts w:hint="default"/>
                <w:highlight w:val="none"/>
                <w:lang w:val="zh-CN" w:eastAsia="zh-CN"/>
              </w:rPr>
              <w:t>dB(A)</w:t>
            </w:r>
            <w:r>
              <w:rPr>
                <w:rFonts w:hint="eastAsia"/>
                <w:highlight w:val="none"/>
                <w:lang w:val="zh-CN" w:eastAsia="zh-CN"/>
              </w:rPr>
              <w:t>，</w:t>
            </w:r>
            <w:r>
              <w:rPr>
                <w:rFonts w:hint="default"/>
                <w:highlight w:val="none"/>
                <w:lang w:val="zh-CN" w:eastAsia="zh-CN"/>
              </w:rPr>
              <w:t>满足《工业企业厂界环境噪声排放标准》（GB 12348-2008）表1中2类标准</w:t>
            </w:r>
            <w:r>
              <w:rPr>
                <w:rFonts w:hint="eastAsia"/>
                <w:highlight w:val="none"/>
                <w:lang w:val="zh-CN" w:eastAsia="zh-CN"/>
              </w:rPr>
              <w:t>（</w:t>
            </w:r>
            <w:r>
              <w:rPr>
                <w:rFonts w:hint="default"/>
                <w:highlight w:val="none"/>
                <w:lang w:val="en-US" w:eastAsia="zh-CN"/>
              </w:rPr>
              <w:t>昼间6</w:t>
            </w:r>
            <w:r>
              <w:rPr>
                <w:rFonts w:hint="eastAsia"/>
                <w:highlight w:val="none"/>
                <w:lang w:val="en-US" w:eastAsia="zh-CN"/>
              </w:rPr>
              <w:t>0</w:t>
            </w:r>
            <w:r>
              <w:rPr>
                <w:rFonts w:hint="default"/>
                <w:highlight w:val="none"/>
                <w:lang w:val="zh-CN" w:eastAsia="zh-CN"/>
              </w:rPr>
              <w:t>dB(A)</w:t>
            </w:r>
            <w:r>
              <w:rPr>
                <w:rFonts w:hint="eastAsia"/>
                <w:highlight w:val="none"/>
                <w:lang w:val="zh-CN" w:eastAsia="zh-CN"/>
              </w:rPr>
              <w:t>，</w:t>
            </w:r>
            <w:r>
              <w:rPr>
                <w:rFonts w:hint="eastAsia"/>
                <w:highlight w:val="none"/>
                <w:lang w:val="en-US" w:eastAsia="zh-CN"/>
              </w:rPr>
              <w:t>夜间50</w:t>
            </w:r>
            <w:r>
              <w:rPr>
                <w:rFonts w:hint="default"/>
                <w:highlight w:val="none"/>
                <w:lang w:val="zh-CN" w:eastAsia="zh-CN"/>
              </w:rPr>
              <w:t>dB(A)</w:t>
            </w:r>
            <w:r>
              <w:rPr>
                <w:rFonts w:hint="eastAsia"/>
                <w:highlight w:val="none"/>
                <w:lang w:val="zh-CN" w:eastAsia="zh-CN"/>
              </w:rPr>
              <w:t>）</w:t>
            </w:r>
          </w:p>
          <w:p w14:paraId="7CA7857C">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right="0" w:rightChars="0" w:firstLine="420" w:firstLineChars="200"/>
              <w:jc w:val="left"/>
              <w:textAlignment w:val="auto"/>
              <w:rPr>
                <w:rFonts w:hint="eastAsia"/>
                <w:highlight w:val="none"/>
                <w:lang w:val="en-US" w:eastAsia="zh-CN"/>
              </w:rPr>
            </w:pPr>
            <w:r>
              <w:rPr>
                <w:rFonts w:hint="eastAsia"/>
                <w:highlight w:val="none"/>
                <w:lang w:val="en-US" w:eastAsia="zh-CN"/>
              </w:rPr>
              <w:t>4、固体废物</w:t>
            </w:r>
          </w:p>
          <w:p w14:paraId="32220DD4">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right="0" w:rightChars="0" w:firstLine="420" w:firstLineChars="200"/>
              <w:jc w:val="left"/>
              <w:textAlignment w:val="auto"/>
              <w:rPr>
                <w:rFonts w:hint="eastAsia"/>
                <w:highlight w:val="none"/>
                <w:lang w:val="en-US" w:eastAsia="zh-CN"/>
              </w:rPr>
            </w:pPr>
            <w:r>
              <w:rPr>
                <w:rFonts w:hint="eastAsia"/>
                <w:highlight w:val="none"/>
                <w:lang w:val="en-US" w:eastAsia="zh-CN"/>
              </w:rPr>
              <w:t>根据现有工程环评影响报告表资料，本项目产生的固体废物包括一般工业固废、危险废物和生活垃圾。一般工业固废：除尘器产生的除尘灰，回用于生产；XPS挤塑板、聚苯板切割产生的废边角料，经边角料回收造粒系统回收造粒后，返回生产工序作为原料使用；锅炉运行过程产生的离子交换树脂，集中收集，送废品回收站回收；危险废物：废润滑油、废油桶、废活性炭、废催化剂，用耐腐蚀的容器收集，暂存危废间内，定期交由有危废处置资质的公司处理；生活垃圾袋装化，集中收集，由环卫部门统一处理。上述固体废物均妥善处置，不外排。</w:t>
            </w:r>
          </w:p>
          <w:p w14:paraId="2C6BA255">
            <w:pPr>
              <w:keepNext w:val="0"/>
              <w:keepLines w:val="0"/>
              <w:pageBreakBefore w:val="0"/>
              <w:widowControl w:val="0"/>
              <w:kinsoku/>
              <w:wordWrap/>
              <w:overflowPunct/>
              <w:topLinePunct w:val="0"/>
              <w:autoSpaceDE w:val="0"/>
              <w:autoSpaceDN w:val="0"/>
              <w:bidi w:val="0"/>
              <w:adjustRightInd w:val="0"/>
              <w:snapToGrid/>
              <w:spacing w:line="400" w:lineRule="exact"/>
              <w:ind w:left="0" w:right="0" w:firstLine="420" w:firstLineChars="200"/>
              <w:textAlignment w:val="auto"/>
              <w:rPr>
                <w:rFonts w:hint="default"/>
                <w:highlight w:val="none"/>
                <w:lang w:val="en-US" w:eastAsia="zh-CN"/>
              </w:rPr>
            </w:pPr>
            <w:r>
              <w:rPr>
                <w:rFonts w:hint="eastAsia"/>
                <w:highlight w:val="none"/>
                <w:lang w:val="en-US" w:eastAsia="zh-CN"/>
              </w:rPr>
              <w:t>七</w:t>
            </w:r>
            <w:r>
              <w:rPr>
                <w:rFonts w:hint="eastAsia"/>
                <w:highlight w:val="none"/>
                <w:lang w:eastAsia="zh-CN"/>
              </w:rPr>
              <w:t>、</w:t>
            </w:r>
            <w:r>
              <w:rPr>
                <w:rFonts w:hint="eastAsia"/>
                <w:highlight w:val="none"/>
                <w:lang w:val="en-US" w:eastAsia="zh-CN"/>
              </w:rPr>
              <w:t>原有</w:t>
            </w:r>
            <w:r>
              <w:rPr>
                <w:rFonts w:hint="eastAsia"/>
                <w:highlight w:val="none"/>
                <w:lang w:eastAsia="zh-CN"/>
              </w:rPr>
              <w:t>工程</w:t>
            </w:r>
            <w:r>
              <w:rPr>
                <w:rFonts w:hint="eastAsia"/>
                <w:highlight w:val="none"/>
                <w:lang w:val="en-US" w:eastAsia="zh-CN"/>
              </w:rPr>
              <w:t>主要污染物排放量</w:t>
            </w:r>
          </w:p>
          <w:p w14:paraId="4DA78270">
            <w:pPr>
              <w:keepNext w:val="0"/>
              <w:keepLines w:val="0"/>
              <w:pageBreakBefore w:val="0"/>
              <w:widowControl w:val="0"/>
              <w:kinsoku/>
              <w:wordWrap/>
              <w:overflowPunct/>
              <w:topLinePunct w:val="0"/>
              <w:bidi w:val="0"/>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原有工程主要污染物排放（处理）情况表如下。</w:t>
            </w:r>
          </w:p>
          <w:tbl>
            <w:tblPr>
              <w:tblStyle w:val="21"/>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290"/>
              <w:gridCol w:w="1785"/>
              <w:gridCol w:w="4089"/>
            </w:tblGrid>
            <w:tr w14:paraId="58884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tcBorders>
                    <w:top w:val="single" w:color="auto" w:sz="12" w:space="0"/>
                    <w:bottom w:val="single" w:color="auto" w:sz="4" w:space="0"/>
                  </w:tcBorders>
                  <w:vAlign w:val="center"/>
                </w:tcPr>
                <w:p w14:paraId="6C75CB0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类别</w:t>
                  </w:r>
                </w:p>
              </w:tc>
              <w:tc>
                <w:tcPr>
                  <w:tcW w:w="1290" w:type="dxa"/>
                  <w:tcBorders>
                    <w:top w:val="single" w:color="auto" w:sz="12" w:space="0"/>
                    <w:bottom w:val="single" w:color="auto" w:sz="4" w:space="0"/>
                  </w:tcBorders>
                  <w:vAlign w:val="center"/>
                </w:tcPr>
                <w:p w14:paraId="30FB892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主要污染物</w:t>
                  </w:r>
                </w:p>
              </w:tc>
              <w:tc>
                <w:tcPr>
                  <w:tcW w:w="5874" w:type="dxa"/>
                  <w:gridSpan w:val="2"/>
                  <w:tcBorders>
                    <w:top w:val="single" w:color="auto" w:sz="12" w:space="0"/>
                    <w:bottom w:val="single" w:color="auto" w:sz="4" w:space="0"/>
                    <w:right w:val="single" w:color="auto" w:sz="12" w:space="0"/>
                  </w:tcBorders>
                  <w:vAlign w:val="center"/>
                </w:tcPr>
                <w:p w14:paraId="25F6C77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原有工程排放量（t/a）</w:t>
                  </w:r>
                </w:p>
              </w:tc>
            </w:tr>
            <w:tr w14:paraId="1094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vMerge w:val="restart"/>
                  <w:tcBorders>
                    <w:top w:val="single" w:color="auto" w:sz="4" w:space="0"/>
                    <w:left w:val="single" w:color="auto" w:sz="4" w:space="0"/>
                    <w:bottom w:val="single" w:color="auto" w:sz="4" w:space="0"/>
                  </w:tcBorders>
                  <w:vAlign w:val="center"/>
                </w:tcPr>
                <w:p w14:paraId="49ECEF1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废气</w:t>
                  </w:r>
                </w:p>
              </w:tc>
              <w:tc>
                <w:tcPr>
                  <w:tcW w:w="1290" w:type="dxa"/>
                  <w:tcBorders>
                    <w:top w:val="single" w:color="auto" w:sz="4" w:space="0"/>
                    <w:bottom w:val="single" w:color="auto" w:sz="4" w:space="0"/>
                  </w:tcBorders>
                  <w:vAlign w:val="center"/>
                </w:tcPr>
                <w:p w14:paraId="528F7C5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rPr>
                    <w:t>颗粒物</w:t>
                  </w:r>
                </w:p>
              </w:tc>
              <w:tc>
                <w:tcPr>
                  <w:tcW w:w="5874" w:type="dxa"/>
                  <w:gridSpan w:val="2"/>
                  <w:tcBorders>
                    <w:top w:val="single" w:color="auto" w:sz="4" w:space="0"/>
                    <w:bottom w:val="single" w:color="auto" w:sz="4" w:space="0"/>
                    <w:right w:val="single" w:color="auto" w:sz="12" w:space="0"/>
                  </w:tcBorders>
                  <w:vAlign w:val="center"/>
                </w:tcPr>
                <w:p w14:paraId="355159E7">
                  <w:pPr>
                    <w:spacing w:line="0" w:lineRule="atLeast"/>
                    <w:jc w:val="center"/>
                    <w:rPr>
                      <w:rFonts w:hint="default"/>
                      <w:highlight w:val="none"/>
                      <w:lang w:val="en-US" w:eastAsia="zh-CN"/>
                    </w:rPr>
                  </w:pPr>
                  <w:r>
                    <w:rPr>
                      <w:rFonts w:hint="eastAsia"/>
                      <w:highlight w:val="none"/>
                      <w:lang w:val="en-US" w:eastAsia="zh-CN"/>
                    </w:rPr>
                    <w:t>0.3944</w:t>
                  </w:r>
                </w:p>
              </w:tc>
            </w:tr>
            <w:tr w14:paraId="11207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vMerge w:val="continue"/>
                  <w:tcBorders>
                    <w:top w:val="single" w:color="auto" w:sz="4" w:space="0"/>
                    <w:left w:val="single" w:color="auto" w:sz="4" w:space="0"/>
                    <w:bottom w:val="single" w:color="auto" w:sz="4" w:space="0"/>
                  </w:tcBorders>
                  <w:vAlign w:val="center"/>
                </w:tcPr>
                <w:p w14:paraId="246A0A7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1290" w:type="dxa"/>
                  <w:tcBorders>
                    <w:top w:val="single" w:color="auto" w:sz="4" w:space="0"/>
                    <w:bottom w:val="single" w:color="auto" w:sz="4" w:space="0"/>
                  </w:tcBorders>
                  <w:vAlign w:val="center"/>
                </w:tcPr>
                <w:p w14:paraId="21A2F0B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default"/>
                      <w:highlight w:val="none"/>
                    </w:rPr>
                    <w:t>SO</w:t>
                  </w:r>
                  <w:r>
                    <w:rPr>
                      <w:rFonts w:hint="default"/>
                      <w:highlight w:val="none"/>
                      <w:vertAlign w:val="subscript"/>
                    </w:rPr>
                    <w:t>2</w:t>
                  </w:r>
                </w:p>
              </w:tc>
              <w:tc>
                <w:tcPr>
                  <w:tcW w:w="5874" w:type="dxa"/>
                  <w:gridSpan w:val="2"/>
                  <w:tcBorders>
                    <w:top w:val="single" w:color="auto" w:sz="4" w:space="0"/>
                    <w:bottom w:val="single" w:color="auto" w:sz="4" w:space="0"/>
                    <w:right w:val="single" w:color="auto" w:sz="12" w:space="0"/>
                  </w:tcBorders>
                  <w:vAlign w:val="center"/>
                </w:tcPr>
                <w:p w14:paraId="4B57F8D6">
                  <w:pPr>
                    <w:spacing w:line="0" w:lineRule="atLeast"/>
                    <w:jc w:val="center"/>
                    <w:rPr>
                      <w:rFonts w:hint="default"/>
                      <w:highlight w:val="none"/>
                      <w:lang w:val="en-US" w:eastAsia="zh-CN"/>
                    </w:rPr>
                  </w:pPr>
                  <w:r>
                    <w:rPr>
                      <w:rFonts w:hint="eastAsia"/>
                      <w:highlight w:val="none"/>
                      <w:lang w:val="en-US" w:eastAsia="zh-CN"/>
                    </w:rPr>
                    <w:t>9.6</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r>
            <w:tr w14:paraId="621E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vMerge w:val="continue"/>
                  <w:tcBorders>
                    <w:top w:val="single" w:color="auto" w:sz="4" w:space="0"/>
                    <w:left w:val="single" w:color="auto" w:sz="4" w:space="0"/>
                    <w:bottom w:val="single" w:color="auto" w:sz="4" w:space="0"/>
                  </w:tcBorders>
                  <w:vAlign w:val="center"/>
                </w:tcPr>
                <w:p w14:paraId="6171BE6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1290" w:type="dxa"/>
                  <w:tcBorders>
                    <w:top w:val="single" w:color="auto" w:sz="4" w:space="0"/>
                    <w:bottom w:val="single" w:color="auto" w:sz="4" w:space="0"/>
                  </w:tcBorders>
                  <w:vAlign w:val="center"/>
                </w:tcPr>
                <w:p w14:paraId="2C7286B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default"/>
                      <w:highlight w:val="none"/>
                    </w:rPr>
                    <w:t>NO</w:t>
                  </w:r>
                  <w:r>
                    <w:rPr>
                      <w:rFonts w:hint="default"/>
                      <w:highlight w:val="none"/>
                      <w:vertAlign w:val="subscript"/>
                    </w:rPr>
                    <w:t>X</w:t>
                  </w:r>
                </w:p>
              </w:tc>
              <w:tc>
                <w:tcPr>
                  <w:tcW w:w="5874" w:type="dxa"/>
                  <w:gridSpan w:val="2"/>
                  <w:tcBorders>
                    <w:top w:val="single" w:color="auto" w:sz="4" w:space="0"/>
                    <w:bottom w:val="single" w:color="auto" w:sz="4" w:space="0"/>
                    <w:right w:val="single" w:color="auto" w:sz="12" w:space="0"/>
                  </w:tcBorders>
                  <w:vAlign w:val="center"/>
                </w:tcPr>
                <w:p w14:paraId="771B9424">
                  <w:pPr>
                    <w:spacing w:line="0" w:lineRule="atLeast"/>
                    <w:jc w:val="center"/>
                    <w:rPr>
                      <w:rFonts w:hint="default"/>
                      <w:highlight w:val="none"/>
                      <w:lang w:val="en-US" w:eastAsia="zh-CN"/>
                    </w:rPr>
                  </w:pPr>
                  <w:r>
                    <w:rPr>
                      <w:rFonts w:hint="eastAsia"/>
                      <w:highlight w:val="none"/>
                      <w:lang w:val="en-US" w:eastAsia="zh-CN"/>
                    </w:rPr>
                    <w:t>0.048</w:t>
                  </w:r>
                </w:p>
              </w:tc>
            </w:tr>
            <w:tr w14:paraId="5688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vMerge w:val="continue"/>
                  <w:tcBorders>
                    <w:top w:val="single" w:color="auto" w:sz="4" w:space="0"/>
                    <w:left w:val="single" w:color="auto" w:sz="4" w:space="0"/>
                    <w:bottom w:val="single" w:color="auto" w:sz="4" w:space="0"/>
                  </w:tcBorders>
                  <w:vAlign w:val="center"/>
                </w:tcPr>
                <w:p w14:paraId="53D857F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1290" w:type="dxa"/>
                  <w:tcBorders>
                    <w:top w:val="single" w:color="auto" w:sz="4" w:space="0"/>
                    <w:bottom w:val="single" w:color="auto" w:sz="4" w:space="0"/>
                  </w:tcBorders>
                  <w:vAlign w:val="center"/>
                </w:tcPr>
                <w:p w14:paraId="2602B50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非甲烷总烃</w:t>
                  </w:r>
                </w:p>
              </w:tc>
              <w:tc>
                <w:tcPr>
                  <w:tcW w:w="5874" w:type="dxa"/>
                  <w:gridSpan w:val="2"/>
                  <w:tcBorders>
                    <w:top w:val="single" w:color="auto" w:sz="4" w:space="0"/>
                    <w:bottom w:val="single" w:color="auto" w:sz="4" w:space="0"/>
                    <w:right w:val="single" w:color="auto" w:sz="12" w:space="0"/>
                  </w:tcBorders>
                  <w:vAlign w:val="center"/>
                </w:tcPr>
                <w:p w14:paraId="4F5150EE">
                  <w:pPr>
                    <w:spacing w:line="0" w:lineRule="atLeast"/>
                    <w:jc w:val="center"/>
                    <w:rPr>
                      <w:rFonts w:hint="default"/>
                      <w:highlight w:val="none"/>
                      <w:lang w:val="en-US" w:eastAsia="zh-CN"/>
                    </w:rPr>
                  </w:pPr>
                  <w:r>
                    <w:rPr>
                      <w:rFonts w:hint="eastAsia"/>
                      <w:highlight w:val="none"/>
                      <w:lang w:val="en-US" w:eastAsia="zh-CN"/>
                    </w:rPr>
                    <w:t>0.35568</w:t>
                  </w:r>
                </w:p>
              </w:tc>
            </w:tr>
            <w:tr w14:paraId="03CB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vMerge w:val="continue"/>
                  <w:tcBorders>
                    <w:top w:val="single" w:color="auto" w:sz="4" w:space="0"/>
                    <w:left w:val="single" w:color="auto" w:sz="4" w:space="0"/>
                    <w:bottom w:val="single" w:color="auto" w:sz="4" w:space="0"/>
                  </w:tcBorders>
                  <w:vAlign w:val="center"/>
                </w:tcPr>
                <w:p w14:paraId="7355AAE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1290" w:type="dxa"/>
                  <w:tcBorders>
                    <w:top w:val="single" w:color="auto" w:sz="4" w:space="0"/>
                    <w:bottom w:val="single" w:color="auto" w:sz="4" w:space="0"/>
                  </w:tcBorders>
                  <w:vAlign w:val="center"/>
                </w:tcPr>
                <w:p w14:paraId="6F1C5E4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苯</w:t>
                  </w:r>
                </w:p>
              </w:tc>
              <w:tc>
                <w:tcPr>
                  <w:tcW w:w="5874" w:type="dxa"/>
                  <w:gridSpan w:val="2"/>
                  <w:tcBorders>
                    <w:top w:val="single" w:color="auto" w:sz="4" w:space="0"/>
                    <w:bottom w:val="single" w:color="auto" w:sz="4" w:space="0"/>
                    <w:right w:val="single" w:color="auto" w:sz="12" w:space="0"/>
                  </w:tcBorders>
                  <w:vAlign w:val="center"/>
                </w:tcPr>
                <w:p w14:paraId="238F7245">
                  <w:pPr>
                    <w:spacing w:line="0" w:lineRule="atLeast"/>
                    <w:jc w:val="center"/>
                    <w:rPr>
                      <w:rFonts w:hint="default"/>
                      <w:highlight w:val="none"/>
                      <w:lang w:val="en-US" w:eastAsia="zh-CN"/>
                    </w:rPr>
                  </w:pPr>
                  <w:r>
                    <w:rPr>
                      <w:rFonts w:hint="eastAsia"/>
                      <w:highlight w:val="none"/>
                      <w:lang w:val="en-US" w:eastAsia="zh-CN"/>
                    </w:rPr>
                    <w:t>0.565344</w:t>
                  </w:r>
                </w:p>
              </w:tc>
            </w:tr>
            <w:tr w14:paraId="67C0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vMerge w:val="continue"/>
                  <w:tcBorders>
                    <w:top w:val="single" w:color="auto" w:sz="4" w:space="0"/>
                    <w:left w:val="single" w:color="auto" w:sz="4" w:space="0"/>
                    <w:bottom w:val="single" w:color="auto" w:sz="4" w:space="0"/>
                  </w:tcBorders>
                  <w:vAlign w:val="center"/>
                </w:tcPr>
                <w:p w14:paraId="63AE65C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1290" w:type="dxa"/>
                  <w:tcBorders>
                    <w:top w:val="single" w:color="auto" w:sz="4" w:space="0"/>
                    <w:bottom w:val="single" w:color="auto" w:sz="4" w:space="0"/>
                  </w:tcBorders>
                  <w:vAlign w:val="center"/>
                </w:tcPr>
                <w:p w14:paraId="097A640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甲苯</w:t>
                  </w:r>
                </w:p>
              </w:tc>
              <w:tc>
                <w:tcPr>
                  <w:tcW w:w="5874" w:type="dxa"/>
                  <w:gridSpan w:val="2"/>
                  <w:tcBorders>
                    <w:top w:val="single" w:color="auto" w:sz="4" w:space="0"/>
                    <w:bottom w:val="single" w:color="auto" w:sz="4" w:space="0"/>
                    <w:right w:val="single" w:color="auto" w:sz="12" w:space="0"/>
                  </w:tcBorders>
                  <w:vAlign w:val="center"/>
                </w:tcPr>
                <w:p w14:paraId="17587201">
                  <w:pPr>
                    <w:spacing w:line="0" w:lineRule="atLeast"/>
                    <w:jc w:val="center"/>
                    <w:rPr>
                      <w:rFonts w:hint="default"/>
                      <w:highlight w:val="none"/>
                      <w:lang w:val="en-US" w:eastAsia="zh-CN"/>
                    </w:rPr>
                  </w:pPr>
                  <w:r>
                    <w:rPr>
                      <w:rFonts w:hint="eastAsia"/>
                      <w:highlight w:val="none"/>
                      <w:lang w:val="en-US" w:eastAsia="zh-CN"/>
                    </w:rPr>
                    <w:t>1.14816</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r>
            <w:tr w14:paraId="2275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vMerge w:val="continue"/>
                  <w:tcBorders>
                    <w:top w:val="single" w:color="auto" w:sz="4" w:space="0"/>
                    <w:left w:val="single" w:color="auto" w:sz="4" w:space="0"/>
                    <w:bottom w:val="single" w:color="auto" w:sz="4" w:space="0"/>
                  </w:tcBorders>
                </w:tcPr>
                <w:p w14:paraId="1C535AD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1290" w:type="dxa"/>
                  <w:tcBorders>
                    <w:top w:val="single" w:color="auto" w:sz="4" w:space="0"/>
                    <w:bottom w:val="single" w:color="auto" w:sz="4" w:space="0"/>
                  </w:tcBorders>
                  <w:vAlign w:val="center"/>
                </w:tcPr>
                <w:p w14:paraId="4575003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二甲苯</w:t>
                  </w:r>
                </w:p>
              </w:tc>
              <w:tc>
                <w:tcPr>
                  <w:tcW w:w="5874" w:type="dxa"/>
                  <w:gridSpan w:val="2"/>
                  <w:tcBorders>
                    <w:top w:val="single" w:color="auto" w:sz="4" w:space="0"/>
                    <w:bottom w:val="single" w:color="auto" w:sz="4" w:space="0"/>
                    <w:right w:val="single" w:color="auto" w:sz="12" w:space="0"/>
                  </w:tcBorders>
                  <w:vAlign w:val="center"/>
                </w:tcPr>
                <w:p w14:paraId="3E0BE659">
                  <w:pPr>
                    <w:spacing w:line="0" w:lineRule="atLeast"/>
                    <w:jc w:val="center"/>
                    <w:rPr>
                      <w:rFonts w:hint="default"/>
                      <w:highlight w:val="none"/>
                      <w:lang w:val="en-US" w:eastAsia="zh-CN"/>
                    </w:rPr>
                  </w:pPr>
                  <w:r>
                    <w:rPr>
                      <w:rFonts w:hint="eastAsia"/>
                      <w:highlight w:val="none"/>
                      <w:lang w:val="en-US" w:eastAsia="zh-CN"/>
                    </w:rPr>
                    <w:t>6.24</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r>
            <w:tr w14:paraId="740F5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tcBorders>
                    <w:top w:val="single" w:color="auto" w:sz="4" w:space="0"/>
                    <w:left w:val="single" w:color="auto" w:sz="4" w:space="0"/>
                    <w:bottom w:val="single" w:color="auto" w:sz="4" w:space="0"/>
                  </w:tcBorders>
                  <w:vAlign w:val="center"/>
                </w:tcPr>
                <w:p w14:paraId="26285AA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类别</w:t>
                  </w:r>
                </w:p>
              </w:tc>
              <w:tc>
                <w:tcPr>
                  <w:tcW w:w="1290" w:type="dxa"/>
                  <w:tcBorders>
                    <w:top w:val="single" w:color="auto" w:sz="4" w:space="0"/>
                    <w:bottom w:val="single" w:color="auto" w:sz="4" w:space="0"/>
                  </w:tcBorders>
                  <w:vAlign w:val="center"/>
                </w:tcPr>
                <w:p w14:paraId="5EB1455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主要污染物</w:t>
                  </w:r>
                </w:p>
              </w:tc>
              <w:tc>
                <w:tcPr>
                  <w:tcW w:w="1785" w:type="dxa"/>
                  <w:tcBorders>
                    <w:top w:val="single" w:color="auto" w:sz="4" w:space="0"/>
                    <w:bottom w:val="single" w:color="auto" w:sz="4" w:space="0"/>
                  </w:tcBorders>
                  <w:vAlign w:val="center"/>
                </w:tcPr>
                <w:p w14:paraId="494DC6F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原有工程排放量</w:t>
                  </w:r>
                </w:p>
              </w:tc>
              <w:tc>
                <w:tcPr>
                  <w:tcW w:w="4089" w:type="dxa"/>
                  <w:tcBorders>
                    <w:top w:val="single" w:color="auto" w:sz="4" w:space="0"/>
                    <w:bottom w:val="single" w:color="auto" w:sz="4" w:space="0"/>
                    <w:right w:val="single" w:color="auto" w:sz="12" w:space="0"/>
                  </w:tcBorders>
                  <w:vAlign w:val="center"/>
                </w:tcPr>
                <w:p w14:paraId="410A221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处置情况</w:t>
                  </w:r>
                </w:p>
              </w:tc>
            </w:tr>
            <w:tr w14:paraId="1F2C2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tcBorders>
                    <w:top w:val="single" w:color="auto" w:sz="4" w:space="0"/>
                    <w:left w:val="single" w:color="auto" w:sz="4" w:space="0"/>
                    <w:bottom w:val="single" w:color="auto" w:sz="4" w:space="0"/>
                  </w:tcBorders>
                  <w:vAlign w:val="center"/>
                </w:tcPr>
                <w:p w14:paraId="2C42524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废水</w:t>
                  </w:r>
                </w:p>
              </w:tc>
              <w:tc>
                <w:tcPr>
                  <w:tcW w:w="1290" w:type="dxa"/>
                  <w:tcBorders>
                    <w:top w:val="single" w:color="auto" w:sz="4" w:space="0"/>
                    <w:bottom w:val="single" w:color="auto" w:sz="4" w:space="0"/>
                  </w:tcBorders>
                  <w:vAlign w:val="center"/>
                </w:tcPr>
                <w:p w14:paraId="4749EA8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COD、SS、BOD5氨氮和植物油</w:t>
                  </w:r>
                </w:p>
              </w:tc>
              <w:tc>
                <w:tcPr>
                  <w:tcW w:w="1785" w:type="dxa"/>
                  <w:tcBorders>
                    <w:top w:val="single" w:color="auto" w:sz="4" w:space="0"/>
                    <w:bottom w:val="single" w:color="auto" w:sz="4" w:space="0"/>
                  </w:tcBorders>
                  <w:vAlign w:val="center"/>
                </w:tcPr>
                <w:p w14:paraId="38708F7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少量</w:t>
                  </w:r>
                </w:p>
              </w:tc>
              <w:tc>
                <w:tcPr>
                  <w:tcW w:w="4089" w:type="dxa"/>
                  <w:tcBorders>
                    <w:top w:val="single" w:color="auto" w:sz="4" w:space="0"/>
                    <w:bottom w:val="single" w:color="auto" w:sz="4" w:space="0"/>
                    <w:right w:val="single" w:color="auto" w:sz="12" w:space="0"/>
                  </w:tcBorders>
                  <w:vAlign w:val="center"/>
                </w:tcPr>
                <w:p w14:paraId="2973EBB8">
                  <w:pPr>
                    <w:pStyle w:val="8"/>
                    <w:keepNext w:val="0"/>
                    <w:keepLines w:val="0"/>
                    <w:pageBreakBefore w:val="0"/>
                    <w:kinsoku/>
                    <w:wordWrap/>
                    <w:overflowPunct/>
                    <w:topLinePunct w:val="0"/>
                    <w:autoSpaceDE/>
                    <w:autoSpaceDN/>
                    <w:bidi w:val="0"/>
                    <w:adjustRightInd/>
                    <w:snapToGrid/>
                    <w:spacing w:before="0" w:after="0" w:line="320" w:lineRule="exact"/>
                    <w:ind w:right="0" w:rightChars="0"/>
                    <w:jc w:val="center"/>
                    <w:textAlignment w:val="auto"/>
                    <w:rPr>
                      <w:rFonts w:hint="eastAsia"/>
                      <w:highlight w:val="none"/>
                      <w:lang w:val="en-US" w:eastAsia="zh-CN"/>
                    </w:rPr>
                  </w:pPr>
                  <w:r>
                    <w:rPr>
                      <w:rFonts w:hint="eastAsia" w:ascii="Times New Roman" w:hAnsi="Times New Roman" w:eastAsia="宋体" w:cs="Times New Roman"/>
                      <w:kern w:val="2"/>
                      <w:sz w:val="21"/>
                      <w:szCs w:val="24"/>
                      <w:highlight w:val="none"/>
                      <w:lang w:val="zh-CN" w:eastAsia="zh-CN" w:bidi="ar-SA"/>
                    </w:rPr>
                    <w:t>生产</w:t>
                  </w:r>
                  <w:r>
                    <w:rPr>
                      <w:rFonts w:hint="eastAsia" w:ascii="Times New Roman" w:hAnsi="Times New Roman" w:eastAsia="宋体" w:cs="Times New Roman"/>
                      <w:kern w:val="2"/>
                      <w:sz w:val="21"/>
                      <w:szCs w:val="24"/>
                      <w:highlight w:val="none"/>
                      <w:lang w:val="en-US" w:eastAsia="zh-CN" w:bidi="ar-SA"/>
                    </w:rPr>
                    <w:t>废</w:t>
                  </w:r>
                  <w:r>
                    <w:rPr>
                      <w:rFonts w:hint="eastAsia" w:ascii="Times New Roman" w:hAnsi="Times New Roman" w:eastAsia="宋体" w:cs="Times New Roman"/>
                      <w:kern w:val="2"/>
                      <w:sz w:val="21"/>
                      <w:szCs w:val="24"/>
                      <w:highlight w:val="none"/>
                      <w:lang w:val="zh-CN" w:eastAsia="zh-CN" w:bidi="ar-SA"/>
                    </w:rPr>
                    <w:t>水主要是</w:t>
                  </w:r>
                  <w:r>
                    <w:rPr>
                      <w:rFonts w:hint="eastAsia" w:ascii="Times New Roman" w:hAnsi="Times New Roman" w:eastAsia="宋体" w:cs="Times New Roman"/>
                      <w:kern w:val="2"/>
                      <w:sz w:val="21"/>
                      <w:szCs w:val="24"/>
                      <w:highlight w:val="none"/>
                      <w:lang w:val="en-US" w:eastAsia="zh-CN" w:bidi="ar-SA"/>
                    </w:rPr>
                    <w:t>设备冷却</w:t>
                  </w:r>
                  <w:r>
                    <w:rPr>
                      <w:rFonts w:hint="eastAsia" w:ascii="Times New Roman" w:hAnsi="Times New Roman" w:eastAsia="宋体" w:cs="Times New Roman"/>
                      <w:kern w:val="2"/>
                      <w:sz w:val="21"/>
                      <w:szCs w:val="24"/>
                      <w:highlight w:val="none"/>
                      <w:lang w:val="zh-CN" w:eastAsia="zh-CN" w:bidi="ar-SA"/>
                    </w:rPr>
                    <w:t>，</w:t>
                  </w:r>
                  <w:r>
                    <w:rPr>
                      <w:rFonts w:hint="eastAsia" w:ascii="Times New Roman" w:hAnsi="Times New Roman" w:eastAsia="宋体" w:cs="Times New Roman"/>
                      <w:kern w:val="2"/>
                      <w:sz w:val="21"/>
                      <w:szCs w:val="24"/>
                      <w:highlight w:val="none"/>
                      <w:lang w:val="en-US" w:eastAsia="zh-CN" w:bidi="ar-SA"/>
                    </w:rPr>
                    <w:t>循环使用不外排。生活污水主要是食堂废水、盥洗废水及冲厕废水，食堂废水经隔油池处理后与其他生活污水一起排入化粪池，定期清掏，厂区内无废水污染物排放</w:t>
                  </w:r>
                </w:p>
              </w:tc>
            </w:tr>
            <w:tr w14:paraId="0D14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vMerge w:val="restart"/>
                  <w:tcBorders>
                    <w:top w:val="single" w:color="auto" w:sz="4" w:space="0"/>
                    <w:left w:val="single" w:color="auto" w:sz="4" w:space="0"/>
                    <w:bottom w:val="single" w:color="auto" w:sz="4" w:space="0"/>
                  </w:tcBorders>
                  <w:vAlign w:val="center"/>
                </w:tcPr>
                <w:p w14:paraId="3F19919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固体废物</w:t>
                  </w:r>
                </w:p>
              </w:tc>
              <w:tc>
                <w:tcPr>
                  <w:tcW w:w="1290" w:type="dxa"/>
                  <w:tcBorders>
                    <w:top w:val="single" w:color="auto" w:sz="4" w:space="0"/>
                    <w:bottom w:val="single" w:color="auto" w:sz="4" w:space="0"/>
                  </w:tcBorders>
                  <w:vAlign w:val="center"/>
                </w:tcPr>
                <w:p w14:paraId="61DB2B4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除尘灰</w:t>
                  </w:r>
                </w:p>
              </w:tc>
              <w:tc>
                <w:tcPr>
                  <w:tcW w:w="1785" w:type="dxa"/>
                  <w:tcBorders>
                    <w:top w:val="single" w:color="auto" w:sz="4" w:space="0"/>
                    <w:bottom w:val="single" w:color="auto" w:sz="4" w:space="0"/>
                  </w:tcBorders>
                  <w:vAlign w:val="center"/>
                </w:tcPr>
                <w:p w14:paraId="1D630B4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4.3t/a</w:t>
                  </w:r>
                </w:p>
              </w:tc>
              <w:tc>
                <w:tcPr>
                  <w:tcW w:w="4089" w:type="dxa"/>
                  <w:tcBorders>
                    <w:top w:val="single" w:color="auto" w:sz="4" w:space="0"/>
                    <w:bottom w:val="single" w:color="auto" w:sz="4" w:space="0"/>
                    <w:right w:val="single" w:color="auto" w:sz="12" w:space="0"/>
                  </w:tcBorders>
                  <w:vAlign w:val="center"/>
                </w:tcPr>
                <w:p w14:paraId="3310B4F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回用于生产</w:t>
                  </w:r>
                </w:p>
              </w:tc>
            </w:tr>
            <w:tr w14:paraId="08D8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vMerge w:val="continue"/>
                  <w:tcBorders>
                    <w:top w:val="single" w:color="auto" w:sz="4" w:space="0"/>
                    <w:left w:val="single" w:color="auto" w:sz="4" w:space="0"/>
                    <w:bottom w:val="single" w:color="auto" w:sz="4" w:space="0"/>
                  </w:tcBorders>
                  <w:vAlign w:val="center"/>
                </w:tcPr>
                <w:p w14:paraId="232417E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1290" w:type="dxa"/>
                  <w:tcBorders>
                    <w:top w:val="single" w:color="auto" w:sz="4" w:space="0"/>
                    <w:bottom w:val="single" w:color="auto" w:sz="4" w:space="0"/>
                  </w:tcBorders>
                  <w:vAlign w:val="center"/>
                </w:tcPr>
                <w:p w14:paraId="69B99B2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废包装袋</w:t>
                  </w:r>
                </w:p>
              </w:tc>
              <w:tc>
                <w:tcPr>
                  <w:tcW w:w="1785" w:type="dxa"/>
                  <w:tcBorders>
                    <w:top w:val="single" w:color="auto" w:sz="4" w:space="0"/>
                    <w:bottom w:val="single" w:color="auto" w:sz="4" w:space="0"/>
                  </w:tcBorders>
                  <w:vAlign w:val="center"/>
                </w:tcPr>
                <w:p w14:paraId="25D4DAA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10万个/a</w:t>
                  </w:r>
                </w:p>
              </w:tc>
              <w:tc>
                <w:tcPr>
                  <w:tcW w:w="4089" w:type="dxa"/>
                  <w:tcBorders>
                    <w:top w:val="single" w:color="auto" w:sz="4" w:space="0"/>
                    <w:bottom w:val="single" w:color="auto" w:sz="4" w:space="0"/>
                    <w:right w:val="single" w:color="auto" w:sz="12" w:space="0"/>
                  </w:tcBorders>
                  <w:vAlign w:val="center"/>
                </w:tcPr>
                <w:p w14:paraId="3097CD1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集中收集，卖到废品回收站</w:t>
                  </w:r>
                </w:p>
              </w:tc>
            </w:tr>
            <w:tr w14:paraId="4FDF9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vMerge w:val="continue"/>
                  <w:tcBorders>
                    <w:top w:val="single" w:color="auto" w:sz="4" w:space="0"/>
                    <w:left w:val="single" w:color="auto" w:sz="4" w:space="0"/>
                    <w:bottom w:val="single" w:color="auto" w:sz="4" w:space="0"/>
                  </w:tcBorders>
                  <w:vAlign w:val="center"/>
                </w:tcPr>
                <w:p w14:paraId="7ECF899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1290" w:type="dxa"/>
                  <w:tcBorders>
                    <w:top w:val="single" w:color="auto" w:sz="4" w:space="0"/>
                    <w:bottom w:val="single" w:color="auto" w:sz="4" w:space="0"/>
                  </w:tcBorders>
                  <w:vAlign w:val="center"/>
                </w:tcPr>
                <w:p w14:paraId="2AC1007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废边角料</w:t>
                  </w:r>
                </w:p>
              </w:tc>
              <w:tc>
                <w:tcPr>
                  <w:tcW w:w="1785" w:type="dxa"/>
                  <w:tcBorders>
                    <w:top w:val="single" w:color="auto" w:sz="4" w:space="0"/>
                    <w:bottom w:val="single" w:color="auto" w:sz="4" w:space="0"/>
                  </w:tcBorders>
                  <w:vAlign w:val="center"/>
                </w:tcPr>
                <w:p w14:paraId="135F050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16t/a</w:t>
                  </w:r>
                </w:p>
              </w:tc>
              <w:tc>
                <w:tcPr>
                  <w:tcW w:w="4089" w:type="dxa"/>
                  <w:tcBorders>
                    <w:top w:val="single" w:color="auto" w:sz="4" w:space="0"/>
                    <w:bottom w:val="single" w:color="auto" w:sz="4" w:space="0"/>
                    <w:right w:val="single" w:color="auto" w:sz="12" w:space="0"/>
                  </w:tcBorders>
                  <w:vAlign w:val="center"/>
                </w:tcPr>
                <w:p w14:paraId="4DFC65B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经边角料回收造粒系统回收造粒后，返回生产工序作为原料使用</w:t>
                  </w:r>
                </w:p>
              </w:tc>
            </w:tr>
            <w:tr w14:paraId="1D619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vMerge w:val="continue"/>
                  <w:tcBorders>
                    <w:top w:val="single" w:color="auto" w:sz="4" w:space="0"/>
                    <w:left w:val="single" w:color="auto" w:sz="4" w:space="0"/>
                    <w:bottom w:val="single" w:color="auto" w:sz="4" w:space="0"/>
                  </w:tcBorders>
                  <w:vAlign w:val="center"/>
                </w:tcPr>
                <w:p w14:paraId="11E65BB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1290" w:type="dxa"/>
                  <w:tcBorders>
                    <w:top w:val="single" w:color="auto" w:sz="4" w:space="0"/>
                    <w:bottom w:val="single" w:color="auto" w:sz="4" w:space="0"/>
                  </w:tcBorders>
                  <w:vAlign w:val="center"/>
                </w:tcPr>
                <w:p w14:paraId="0ED3730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离子交换树脂</w:t>
                  </w:r>
                </w:p>
              </w:tc>
              <w:tc>
                <w:tcPr>
                  <w:tcW w:w="1785" w:type="dxa"/>
                  <w:tcBorders>
                    <w:top w:val="single" w:color="auto" w:sz="4" w:space="0"/>
                    <w:bottom w:val="single" w:color="auto" w:sz="4" w:space="0"/>
                  </w:tcBorders>
                  <w:vAlign w:val="center"/>
                </w:tcPr>
                <w:p w14:paraId="50CCD01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0.01/a</w:t>
                  </w:r>
                </w:p>
              </w:tc>
              <w:tc>
                <w:tcPr>
                  <w:tcW w:w="4089" w:type="dxa"/>
                  <w:tcBorders>
                    <w:top w:val="single" w:color="auto" w:sz="4" w:space="0"/>
                    <w:bottom w:val="single" w:color="auto" w:sz="4" w:space="0"/>
                    <w:right w:val="single" w:color="auto" w:sz="12" w:space="0"/>
                  </w:tcBorders>
                  <w:vAlign w:val="center"/>
                </w:tcPr>
                <w:p w14:paraId="74AB5DD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集中收集，卖到废品回收站</w:t>
                  </w:r>
                </w:p>
              </w:tc>
            </w:tr>
            <w:tr w14:paraId="79714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vMerge w:val="continue"/>
                  <w:tcBorders>
                    <w:top w:val="single" w:color="auto" w:sz="4" w:space="0"/>
                    <w:left w:val="single" w:color="auto" w:sz="4" w:space="0"/>
                    <w:bottom w:val="single" w:color="auto" w:sz="4" w:space="0"/>
                  </w:tcBorders>
                  <w:vAlign w:val="center"/>
                </w:tcPr>
                <w:p w14:paraId="3D6320D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1290" w:type="dxa"/>
                  <w:tcBorders>
                    <w:top w:val="single" w:color="auto" w:sz="4" w:space="0"/>
                    <w:bottom w:val="single" w:color="auto" w:sz="4" w:space="0"/>
                  </w:tcBorders>
                  <w:vAlign w:val="center"/>
                </w:tcPr>
                <w:p w14:paraId="6D5C834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废油桶</w:t>
                  </w:r>
                </w:p>
              </w:tc>
              <w:tc>
                <w:tcPr>
                  <w:tcW w:w="1785" w:type="dxa"/>
                  <w:tcBorders>
                    <w:top w:val="single" w:color="auto" w:sz="4" w:space="0"/>
                    <w:bottom w:val="single" w:color="auto" w:sz="4" w:space="0"/>
                  </w:tcBorders>
                  <w:vAlign w:val="center"/>
                </w:tcPr>
                <w:p w14:paraId="0BEA401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6个/a</w:t>
                  </w:r>
                </w:p>
              </w:tc>
              <w:tc>
                <w:tcPr>
                  <w:tcW w:w="4089" w:type="dxa"/>
                  <w:tcBorders>
                    <w:top w:val="single" w:color="auto" w:sz="4" w:space="0"/>
                    <w:bottom w:val="single" w:color="auto" w:sz="4" w:space="0"/>
                    <w:right w:val="single" w:color="auto" w:sz="12" w:space="0"/>
                  </w:tcBorders>
                  <w:vAlign w:val="center"/>
                </w:tcPr>
                <w:p w14:paraId="5AEC2D9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暂存于危废间，定期交由有资质单位处理</w:t>
                  </w:r>
                </w:p>
              </w:tc>
            </w:tr>
            <w:tr w14:paraId="49F0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vMerge w:val="continue"/>
                  <w:tcBorders>
                    <w:top w:val="single" w:color="auto" w:sz="4" w:space="0"/>
                    <w:left w:val="single" w:color="auto" w:sz="4" w:space="0"/>
                    <w:bottom w:val="single" w:color="auto" w:sz="4" w:space="0"/>
                  </w:tcBorders>
                  <w:vAlign w:val="center"/>
                </w:tcPr>
                <w:p w14:paraId="129A3D4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1290" w:type="dxa"/>
                  <w:tcBorders>
                    <w:top w:val="single" w:color="auto" w:sz="4" w:space="0"/>
                    <w:bottom w:val="single" w:color="auto" w:sz="4" w:space="0"/>
                  </w:tcBorders>
                  <w:vAlign w:val="center"/>
                </w:tcPr>
                <w:p w14:paraId="34A9FD6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废润滑油</w:t>
                  </w:r>
                </w:p>
              </w:tc>
              <w:tc>
                <w:tcPr>
                  <w:tcW w:w="1785" w:type="dxa"/>
                  <w:tcBorders>
                    <w:top w:val="single" w:color="auto" w:sz="4" w:space="0"/>
                    <w:bottom w:val="single" w:color="auto" w:sz="4" w:space="0"/>
                  </w:tcBorders>
                  <w:vAlign w:val="center"/>
                </w:tcPr>
                <w:p w14:paraId="60888B1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0.024t/a</w:t>
                  </w:r>
                </w:p>
              </w:tc>
              <w:tc>
                <w:tcPr>
                  <w:tcW w:w="4089" w:type="dxa"/>
                  <w:vMerge w:val="restart"/>
                  <w:tcBorders>
                    <w:top w:val="single" w:color="auto" w:sz="4" w:space="0"/>
                    <w:right w:val="single" w:color="auto" w:sz="12" w:space="0"/>
                  </w:tcBorders>
                  <w:vAlign w:val="center"/>
                </w:tcPr>
                <w:p w14:paraId="76866A9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专用容器收集，暂存于危废间，定期交由有资质单位处理</w:t>
                  </w:r>
                </w:p>
              </w:tc>
            </w:tr>
            <w:tr w14:paraId="508B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vMerge w:val="continue"/>
                  <w:tcBorders>
                    <w:top w:val="single" w:color="auto" w:sz="4" w:space="0"/>
                    <w:left w:val="single" w:color="auto" w:sz="4" w:space="0"/>
                    <w:bottom w:val="single" w:color="auto" w:sz="4" w:space="0"/>
                  </w:tcBorders>
                  <w:vAlign w:val="center"/>
                </w:tcPr>
                <w:p w14:paraId="7B8B38B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1290" w:type="dxa"/>
                  <w:tcBorders>
                    <w:top w:val="single" w:color="auto" w:sz="4" w:space="0"/>
                    <w:bottom w:val="single" w:color="auto" w:sz="4" w:space="0"/>
                  </w:tcBorders>
                  <w:vAlign w:val="center"/>
                </w:tcPr>
                <w:p w14:paraId="25719CF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废过滤棉</w:t>
                  </w:r>
                </w:p>
              </w:tc>
              <w:tc>
                <w:tcPr>
                  <w:tcW w:w="1785" w:type="dxa"/>
                  <w:tcBorders>
                    <w:top w:val="single" w:color="auto" w:sz="4" w:space="0"/>
                    <w:bottom w:val="single" w:color="auto" w:sz="4" w:space="0"/>
                  </w:tcBorders>
                  <w:vAlign w:val="center"/>
                </w:tcPr>
                <w:p w14:paraId="7B3BEE9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15m</w:t>
                  </w:r>
                  <w:r>
                    <w:rPr>
                      <w:rFonts w:hint="eastAsia"/>
                      <w:highlight w:val="none"/>
                      <w:vertAlign w:val="superscript"/>
                      <w:lang w:val="en-US" w:eastAsia="zh-CN"/>
                    </w:rPr>
                    <w:t>2</w:t>
                  </w:r>
                  <w:r>
                    <w:rPr>
                      <w:rFonts w:hint="eastAsia"/>
                      <w:highlight w:val="none"/>
                      <w:lang w:val="en-US" w:eastAsia="zh-CN"/>
                    </w:rPr>
                    <w:t>/a</w:t>
                  </w:r>
                </w:p>
              </w:tc>
              <w:tc>
                <w:tcPr>
                  <w:tcW w:w="4089" w:type="dxa"/>
                  <w:vMerge w:val="continue"/>
                  <w:tcBorders>
                    <w:right w:val="single" w:color="auto" w:sz="12" w:space="0"/>
                  </w:tcBorders>
                  <w:vAlign w:val="center"/>
                </w:tcPr>
                <w:p w14:paraId="22425AF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r>
            <w:tr w14:paraId="6F12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vMerge w:val="continue"/>
                  <w:tcBorders>
                    <w:top w:val="single" w:color="auto" w:sz="4" w:space="0"/>
                    <w:left w:val="single" w:color="auto" w:sz="4" w:space="0"/>
                    <w:bottom w:val="single" w:color="auto" w:sz="4" w:space="0"/>
                  </w:tcBorders>
                  <w:vAlign w:val="center"/>
                </w:tcPr>
                <w:p w14:paraId="006B7AF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1290" w:type="dxa"/>
                  <w:tcBorders>
                    <w:top w:val="single" w:color="auto" w:sz="4" w:space="0"/>
                    <w:bottom w:val="single" w:color="auto" w:sz="4" w:space="0"/>
                  </w:tcBorders>
                  <w:vAlign w:val="center"/>
                </w:tcPr>
                <w:p w14:paraId="78DD21E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废活性炭</w:t>
                  </w:r>
                </w:p>
              </w:tc>
              <w:tc>
                <w:tcPr>
                  <w:tcW w:w="1785" w:type="dxa"/>
                  <w:tcBorders>
                    <w:top w:val="single" w:color="auto" w:sz="4" w:space="0"/>
                    <w:bottom w:val="single" w:color="auto" w:sz="4" w:space="0"/>
                  </w:tcBorders>
                  <w:vAlign w:val="center"/>
                </w:tcPr>
                <w:p w14:paraId="16A5206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5m³/a</w:t>
                  </w:r>
                </w:p>
              </w:tc>
              <w:tc>
                <w:tcPr>
                  <w:tcW w:w="4089" w:type="dxa"/>
                  <w:vMerge w:val="continue"/>
                  <w:tcBorders>
                    <w:bottom w:val="single" w:color="auto" w:sz="4" w:space="0"/>
                    <w:right w:val="single" w:color="auto" w:sz="12" w:space="0"/>
                  </w:tcBorders>
                  <w:vAlign w:val="center"/>
                </w:tcPr>
                <w:p w14:paraId="72AEBD9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r>
            <w:tr w14:paraId="6DC3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1" w:type="dxa"/>
                  <w:vMerge w:val="continue"/>
                  <w:tcBorders>
                    <w:top w:val="single" w:color="auto" w:sz="4" w:space="0"/>
                    <w:left w:val="single" w:color="auto" w:sz="4" w:space="0"/>
                    <w:bottom w:val="single" w:color="auto" w:sz="12" w:space="0"/>
                  </w:tcBorders>
                  <w:vAlign w:val="center"/>
                </w:tcPr>
                <w:p w14:paraId="3C5C038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p>
              </w:tc>
              <w:tc>
                <w:tcPr>
                  <w:tcW w:w="1290" w:type="dxa"/>
                  <w:tcBorders>
                    <w:top w:val="single" w:color="auto" w:sz="4" w:space="0"/>
                    <w:bottom w:val="single" w:color="auto" w:sz="12" w:space="0"/>
                  </w:tcBorders>
                  <w:vAlign w:val="center"/>
                </w:tcPr>
                <w:p w14:paraId="7BA1107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职工生活垃圾</w:t>
                  </w:r>
                </w:p>
              </w:tc>
              <w:tc>
                <w:tcPr>
                  <w:tcW w:w="1785" w:type="dxa"/>
                  <w:tcBorders>
                    <w:top w:val="single" w:color="auto" w:sz="4" w:space="0"/>
                    <w:bottom w:val="single" w:color="auto" w:sz="12" w:space="0"/>
                  </w:tcBorders>
                  <w:vAlign w:val="center"/>
                </w:tcPr>
                <w:p w14:paraId="1AFDA0C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少量</w:t>
                  </w:r>
                </w:p>
              </w:tc>
              <w:tc>
                <w:tcPr>
                  <w:tcW w:w="4089" w:type="dxa"/>
                  <w:tcBorders>
                    <w:top w:val="single" w:color="auto" w:sz="4" w:space="0"/>
                    <w:bottom w:val="single" w:color="auto" w:sz="12" w:space="0"/>
                    <w:right w:val="single" w:color="auto" w:sz="12" w:space="0"/>
                  </w:tcBorders>
                  <w:vAlign w:val="center"/>
                </w:tcPr>
                <w:p w14:paraId="4718AB8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集中收集，由环卫部门统一处理</w:t>
                  </w:r>
                </w:p>
              </w:tc>
            </w:tr>
          </w:tbl>
          <w:p w14:paraId="5BBB2860">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firstLine="420" w:firstLineChars="200"/>
              <w:jc w:val="both"/>
              <w:textAlignment w:val="auto"/>
              <w:rPr>
                <w:rFonts w:hint="eastAsia"/>
                <w:highlight w:val="none"/>
              </w:rPr>
            </w:pPr>
            <w:r>
              <w:rPr>
                <w:rFonts w:hint="eastAsia"/>
                <w:highlight w:val="none"/>
                <w:lang w:val="en-US" w:eastAsia="zh-CN"/>
              </w:rPr>
              <w:t>八、原有厂区排污口规范化、防渗、环境管理制度情况</w:t>
            </w:r>
          </w:p>
          <w:p w14:paraId="57956B64">
            <w:pPr>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firstLine="420" w:firstLineChars="200"/>
              <w:jc w:val="both"/>
              <w:textAlignment w:val="auto"/>
              <w:rPr>
                <w:rFonts w:hint="default"/>
                <w:highlight w:val="none"/>
                <w:lang w:val="en-US" w:eastAsia="zh-CN"/>
              </w:rPr>
            </w:pPr>
            <w:r>
              <w:rPr>
                <w:rFonts w:hint="default"/>
                <w:highlight w:val="none"/>
                <w:lang w:val="en-US" w:eastAsia="zh-CN"/>
              </w:rPr>
              <w:t>排污口规范化</w:t>
            </w:r>
          </w:p>
          <w:p w14:paraId="5FDAC2A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highlight w:val="none"/>
                <w:lang w:val="en-US" w:eastAsia="zh-CN"/>
              </w:rPr>
            </w:pPr>
            <w:r>
              <w:rPr>
                <w:rFonts w:hint="default"/>
                <w:highlight w:val="none"/>
                <w:lang w:val="en-US" w:eastAsia="zh-CN"/>
              </w:rPr>
              <w:t>⑴排污口的设置</w:t>
            </w:r>
          </w:p>
          <w:p w14:paraId="3DD2D8A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highlight w:val="none"/>
                <w:lang w:val="zh-CN" w:eastAsia="zh-CN"/>
              </w:rPr>
            </w:pPr>
            <w:r>
              <w:rPr>
                <w:rFonts w:hint="default"/>
                <w:highlight w:val="none"/>
                <w:lang w:val="zh-CN" w:eastAsia="zh-CN"/>
              </w:rPr>
              <w:t>废气：</w:t>
            </w:r>
            <w:r>
              <w:rPr>
                <w:rFonts w:hint="eastAsia"/>
                <w:highlight w:val="none"/>
                <w:lang w:val="en-US" w:eastAsia="zh-CN"/>
              </w:rPr>
              <w:t>原有</w:t>
            </w:r>
            <w:r>
              <w:rPr>
                <w:rFonts w:hint="default"/>
                <w:highlight w:val="none"/>
                <w:lang w:val="zh-CN" w:eastAsia="zh-CN"/>
              </w:rPr>
              <w:t>项目</w:t>
            </w:r>
            <w:r>
              <w:rPr>
                <w:rFonts w:hint="eastAsia"/>
                <w:highlight w:val="none"/>
                <w:lang w:val="zh-CN" w:eastAsia="zh-CN"/>
              </w:rPr>
              <w:t>共设置</w:t>
            </w:r>
            <w:r>
              <w:rPr>
                <w:rFonts w:hint="eastAsia"/>
                <w:highlight w:val="none"/>
                <w:lang w:val="en-US" w:eastAsia="zh-CN"/>
              </w:rPr>
              <w:t>7个</w:t>
            </w:r>
            <w:r>
              <w:rPr>
                <w:rFonts w:hint="default"/>
                <w:highlight w:val="none"/>
                <w:lang w:val="zh-CN" w:eastAsia="zh-CN"/>
              </w:rPr>
              <w:t>废气排放口。</w:t>
            </w:r>
          </w:p>
          <w:p w14:paraId="7334B6B2">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highlight w:val="none"/>
                <w:lang w:val="en-US" w:eastAsia="zh-CN"/>
              </w:rPr>
            </w:pPr>
            <w:r>
              <w:rPr>
                <w:rFonts w:hint="default"/>
                <w:highlight w:val="none"/>
                <w:lang w:val="zh-CN" w:eastAsia="zh-CN"/>
              </w:rPr>
              <w:t>废水：</w:t>
            </w:r>
            <w:r>
              <w:rPr>
                <w:rFonts w:hint="eastAsia"/>
                <w:highlight w:val="none"/>
                <w:lang w:val="en-US" w:eastAsia="zh-CN"/>
              </w:rPr>
              <w:t>原有</w:t>
            </w:r>
            <w:r>
              <w:rPr>
                <w:rFonts w:hint="default"/>
                <w:highlight w:val="none"/>
                <w:lang w:val="zh-CN" w:eastAsia="zh-CN"/>
              </w:rPr>
              <w:t>项目无</w:t>
            </w:r>
            <w:r>
              <w:rPr>
                <w:rFonts w:hint="eastAsia"/>
                <w:highlight w:val="none"/>
                <w:lang w:val="zh-CN" w:eastAsia="zh-CN"/>
              </w:rPr>
              <w:t>生产</w:t>
            </w:r>
            <w:r>
              <w:rPr>
                <w:rFonts w:hint="default"/>
                <w:highlight w:val="none"/>
                <w:lang w:val="zh-CN" w:eastAsia="zh-CN"/>
              </w:rPr>
              <w:t>废水排放口</w:t>
            </w:r>
            <w:r>
              <w:rPr>
                <w:rFonts w:hint="eastAsia"/>
                <w:highlight w:val="none"/>
                <w:lang w:val="en-US" w:eastAsia="zh-CN"/>
              </w:rPr>
              <w:t>。</w:t>
            </w:r>
          </w:p>
          <w:p w14:paraId="099313AE">
            <w:pPr>
              <w:pStyle w:val="17"/>
              <w:keepNext w:val="0"/>
              <w:keepLines w:val="0"/>
              <w:pageBreakBefore w:val="0"/>
              <w:widowControl w:val="0"/>
              <w:numPr>
                <w:ilvl w:val="0"/>
                <w:numId w:val="10"/>
              </w:numPr>
              <w:kinsoku/>
              <w:wordWrap/>
              <w:overflowPunct/>
              <w:topLinePunct w:val="0"/>
              <w:bidi w:val="0"/>
              <w:snapToGrid/>
              <w:spacing w:line="400" w:lineRule="exact"/>
              <w:ind w:left="0" w:leftChars="0" w:firstLine="420" w:firstLineChars="200"/>
              <w:textAlignment w:val="auto"/>
              <w:rPr>
                <w:rFonts w:hint="eastAsia"/>
                <w:highlight w:val="none"/>
                <w:lang w:val="en-US" w:eastAsia="zh-CN"/>
              </w:rPr>
            </w:pPr>
            <w:r>
              <w:rPr>
                <w:rFonts w:hint="eastAsia"/>
                <w:highlight w:val="none"/>
                <w:lang w:val="en-US" w:eastAsia="zh-CN"/>
              </w:rPr>
              <w:t>原有项目分区防渗管理措施</w:t>
            </w:r>
          </w:p>
          <w:p w14:paraId="7C709F7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default"/>
                <w:highlight w:val="none"/>
                <w:lang w:val="en-US" w:eastAsia="zh-CN"/>
              </w:rPr>
            </w:pPr>
            <w:r>
              <w:rPr>
                <w:rFonts w:hint="default"/>
                <w:highlight w:val="none"/>
                <w:lang w:val="en-US" w:eastAsia="zh-CN"/>
              </w:rPr>
              <w:t>①重点防渗区：危废间地面和裙角做好防渗处理，防渗层为至少1m厚粘土层（渗透系数≤1.0×10</w:t>
            </w:r>
            <w:r>
              <w:rPr>
                <w:rFonts w:hint="default"/>
                <w:highlight w:val="none"/>
                <w:vertAlign w:val="superscript"/>
                <w:lang w:val="en-US" w:eastAsia="zh-CN"/>
              </w:rPr>
              <w:t>-7</w:t>
            </w:r>
            <w:r>
              <w:rPr>
                <w:rFonts w:hint="default"/>
                <w:highlight w:val="none"/>
                <w:lang w:val="en-US" w:eastAsia="zh-CN"/>
              </w:rPr>
              <w:t>cm/s），或2mm厚高密度聚乙烯，或至少2mm厚的其它人工材料，渗透系数≤1.0×1</w:t>
            </w:r>
            <w:r>
              <w:rPr>
                <w:rFonts w:hint="default"/>
                <w:highlight w:val="none"/>
                <w:vertAlign w:val="baseline"/>
                <w:lang w:val="en-US" w:eastAsia="zh-CN"/>
              </w:rPr>
              <w:t>0</w:t>
            </w:r>
            <w:r>
              <w:rPr>
                <w:rFonts w:hint="default"/>
                <w:highlight w:val="none"/>
                <w:vertAlign w:val="superscript"/>
                <w:lang w:val="en-US" w:eastAsia="zh-CN"/>
              </w:rPr>
              <w:t>-10</w:t>
            </w:r>
            <w:r>
              <w:rPr>
                <w:rFonts w:hint="default"/>
                <w:highlight w:val="none"/>
                <w:lang w:val="en-US" w:eastAsia="zh-CN"/>
              </w:rPr>
              <w:t>cm/s。</w:t>
            </w:r>
          </w:p>
          <w:p w14:paraId="191683D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default"/>
                <w:highlight w:val="none"/>
                <w:lang w:val="en-US" w:eastAsia="zh-CN"/>
              </w:rPr>
            </w:pPr>
            <w:r>
              <w:rPr>
                <w:rFonts w:hint="default"/>
                <w:highlight w:val="none"/>
                <w:lang w:val="en-US" w:eastAsia="zh-CN"/>
              </w:rPr>
              <w:t>②一般防渗区：</w:t>
            </w:r>
            <w:r>
              <w:rPr>
                <w:rFonts w:hint="eastAsia"/>
                <w:highlight w:val="none"/>
                <w:lang w:val="en-US" w:eastAsia="zh-CN"/>
              </w:rPr>
              <w:t>循环水池</w:t>
            </w:r>
            <w:r>
              <w:rPr>
                <w:rFonts w:hint="default"/>
                <w:highlight w:val="none"/>
                <w:lang w:val="en-US" w:eastAsia="zh-CN"/>
              </w:rPr>
              <w:t>等其他生产区域建设进行基础防渗处理，需满足等效黏土防渗层Mb≥6.0m，K≤1.0×10</w:t>
            </w:r>
            <w:r>
              <w:rPr>
                <w:rFonts w:hint="default"/>
                <w:highlight w:val="none"/>
                <w:vertAlign w:val="superscript"/>
                <w:lang w:val="en-US" w:eastAsia="zh-CN"/>
              </w:rPr>
              <w:t>-7</w:t>
            </w:r>
            <w:r>
              <w:rPr>
                <w:rFonts w:hint="default"/>
                <w:highlight w:val="none"/>
                <w:lang w:val="en-US" w:eastAsia="zh-CN"/>
              </w:rPr>
              <w:t>cm/s。</w:t>
            </w:r>
          </w:p>
          <w:p w14:paraId="4C94A55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default"/>
                <w:highlight w:val="none"/>
                <w:lang w:val="en-US" w:eastAsia="zh-CN"/>
              </w:rPr>
            </w:pPr>
            <w:r>
              <w:rPr>
                <w:rFonts w:hint="default"/>
                <w:highlight w:val="none"/>
                <w:lang w:val="en-US" w:eastAsia="zh-CN"/>
              </w:rPr>
              <w:t>③简单防渗区：厂区地面全部进行硬化处理。</w:t>
            </w:r>
          </w:p>
          <w:p w14:paraId="5386F7BC">
            <w:pPr>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firstLine="420" w:firstLineChars="200"/>
              <w:jc w:val="both"/>
              <w:textAlignment w:val="auto"/>
              <w:rPr>
                <w:rFonts w:hint="eastAsia"/>
                <w:highlight w:val="none"/>
                <w:lang w:val="en-US" w:eastAsia="zh-CN"/>
              </w:rPr>
            </w:pPr>
            <w:r>
              <w:rPr>
                <w:rFonts w:hint="eastAsia"/>
                <w:highlight w:val="none"/>
                <w:lang w:val="en-US" w:eastAsia="zh-CN"/>
              </w:rPr>
              <w:t>环境管理</w:t>
            </w:r>
          </w:p>
          <w:p w14:paraId="24201F7D">
            <w:pPr>
              <w:keepNext w:val="0"/>
              <w:keepLines w:val="0"/>
              <w:pageBreakBefore w:val="0"/>
              <w:widowControl w:val="0"/>
              <w:kinsoku/>
              <w:wordWrap/>
              <w:overflowPunct/>
              <w:topLinePunct w:val="0"/>
              <w:autoSpaceDE/>
              <w:autoSpaceDN/>
              <w:bidi w:val="0"/>
              <w:adjustRightInd/>
              <w:snapToGrid/>
              <w:spacing w:line="420" w:lineRule="exact"/>
              <w:ind w:left="0" w:right="0" w:firstLine="420" w:firstLineChars="200"/>
              <w:textAlignment w:val="auto"/>
              <w:rPr>
                <w:rFonts w:hint="default"/>
                <w:highlight w:val="none"/>
                <w:lang w:val="en-US" w:eastAsia="zh-CN"/>
              </w:rPr>
            </w:pPr>
            <w:r>
              <w:rPr>
                <w:rFonts w:hint="eastAsia"/>
                <w:highlight w:val="none"/>
                <w:lang w:val="en-US" w:eastAsia="zh-CN"/>
              </w:rPr>
              <w:t>（1）</w:t>
            </w:r>
            <w:r>
              <w:rPr>
                <w:rFonts w:hint="default"/>
                <w:highlight w:val="none"/>
                <w:lang w:val="en-US" w:eastAsia="zh-CN"/>
              </w:rPr>
              <w:t>设立环保管理机构</w:t>
            </w:r>
            <w:r>
              <w:rPr>
                <w:rFonts w:hint="eastAsia"/>
                <w:highlight w:val="none"/>
                <w:lang w:val="en-US" w:eastAsia="zh-CN"/>
              </w:rPr>
              <w:t>，</w:t>
            </w:r>
            <w:r>
              <w:rPr>
                <w:rFonts w:hint="default"/>
                <w:highlight w:val="none"/>
                <w:lang w:val="en-US" w:eastAsia="zh-CN"/>
              </w:rPr>
              <w:t>定期检查企业环保设施的运行，及时进行维修，确保环保设施的正常运行。</w:t>
            </w:r>
          </w:p>
          <w:p w14:paraId="1AFC9D89">
            <w:pPr>
              <w:keepNext w:val="0"/>
              <w:keepLines w:val="0"/>
              <w:pageBreakBefore w:val="0"/>
              <w:widowControl w:val="0"/>
              <w:kinsoku/>
              <w:wordWrap/>
              <w:overflowPunct/>
              <w:topLinePunct w:val="0"/>
              <w:autoSpaceDE/>
              <w:autoSpaceDN/>
              <w:bidi w:val="0"/>
              <w:adjustRightInd/>
              <w:snapToGrid/>
              <w:spacing w:line="420" w:lineRule="exact"/>
              <w:ind w:left="0" w:right="0" w:firstLine="420" w:firstLineChars="200"/>
              <w:textAlignment w:val="auto"/>
              <w:outlineLvl w:val="2"/>
              <w:rPr>
                <w:rFonts w:hint="default"/>
                <w:highlight w:val="none"/>
                <w:lang w:val="en-US" w:eastAsia="zh-CN"/>
              </w:rPr>
            </w:pPr>
            <w:r>
              <w:rPr>
                <w:rFonts w:hint="eastAsia"/>
                <w:highlight w:val="none"/>
                <w:lang w:val="en-US" w:eastAsia="zh-CN"/>
              </w:rPr>
              <w:t>（2）</w:t>
            </w:r>
            <w:r>
              <w:rPr>
                <w:rFonts w:hint="default"/>
                <w:highlight w:val="none"/>
                <w:lang w:val="en-US" w:eastAsia="zh-CN"/>
              </w:rPr>
              <w:t>建立污染控制管理档案</w:t>
            </w:r>
            <w:r>
              <w:rPr>
                <w:rFonts w:hint="eastAsia"/>
                <w:highlight w:val="none"/>
                <w:lang w:val="en-US" w:eastAsia="zh-CN"/>
              </w:rPr>
              <w:t>，做好日常生产台账记录</w:t>
            </w:r>
            <w:r>
              <w:rPr>
                <w:rFonts w:hint="default"/>
                <w:highlight w:val="none"/>
                <w:lang w:val="en-US" w:eastAsia="zh-CN"/>
              </w:rPr>
              <w:t>。</w:t>
            </w:r>
          </w:p>
          <w:p w14:paraId="19238FF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highlight w:val="none"/>
                <w:lang w:val="en-US" w:eastAsia="zh-CN"/>
              </w:rPr>
            </w:pPr>
            <w:r>
              <w:rPr>
                <w:rFonts w:hint="eastAsia"/>
                <w:highlight w:val="none"/>
                <w:lang w:val="en-US" w:eastAsia="zh-CN"/>
              </w:rPr>
              <w:t>（3）及时进行企业信息公开，按照监测计划定期开展自行监测</w:t>
            </w:r>
            <w:r>
              <w:rPr>
                <w:rFonts w:hint="default"/>
                <w:highlight w:val="none"/>
                <w:lang w:val="en-US" w:eastAsia="zh-CN"/>
              </w:rPr>
              <w:t>。</w:t>
            </w:r>
          </w:p>
          <w:p w14:paraId="63061847">
            <w:pPr>
              <w:keepNext w:val="0"/>
              <w:keepLines w:val="0"/>
              <w:pageBreakBefore w:val="0"/>
              <w:widowControl w:val="0"/>
              <w:kinsoku/>
              <w:wordWrap/>
              <w:overflowPunct/>
              <w:topLinePunct w:val="0"/>
              <w:autoSpaceDE w:val="0"/>
              <w:autoSpaceDN w:val="0"/>
              <w:bidi w:val="0"/>
              <w:adjustRightInd w:val="0"/>
              <w:snapToGrid/>
              <w:spacing w:line="380" w:lineRule="exact"/>
              <w:ind w:left="0" w:right="0" w:firstLine="420" w:firstLineChars="200"/>
              <w:textAlignment w:val="auto"/>
              <w:rPr>
                <w:rFonts w:hint="eastAsia"/>
                <w:highlight w:val="none"/>
                <w:lang w:val="en-US" w:eastAsia="zh-CN"/>
              </w:rPr>
            </w:pPr>
            <w:r>
              <w:rPr>
                <w:rFonts w:hint="eastAsia"/>
                <w:highlight w:val="none"/>
                <w:lang w:val="en-US" w:eastAsia="zh-CN"/>
              </w:rPr>
              <w:t>八、原有工程存在的问题及整改措施</w:t>
            </w:r>
          </w:p>
          <w:p w14:paraId="0A95DC99">
            <w:pPr>
              <w:autoSpaceDE w:val="0"/>
              <w:autoSpaceDN w:val="0"/>
              <w:adjustRightInd w:val="0"/>
              <w:snapToGrid w:val="0"/>
              <w:spacing w:line="460" w:lineRule="exact"/>
              <w:ind w:firstLine="420" w:firstLineChars="200"/>
              <w:outlineLvl w:val="1"/>
              <w:rPr>
                <w:rFonts w:hint="eastAsia"/>
                <w:highlight w:val="none"/>
                <w:lang w:val="en-US" w:eastAsia="zh-CN"/>
              </w:rPr>
            </w:pPr>
            <w:r>
              <w:rPr>
                <w:rFonts w:hint="eastAsia"/>
                <w:highlight w:val="none"/>
                <w:lang w:val="en-US" w:eastAsia="zh-CN"/>
              </w:rPr>
              <w:t>项目自建成运行至今未发生环保信访事件，根据现场踏勘及建设单位提供的资料，对现有工程存在的问题进行分析。</w:t>
            </w:r>
          </w:p>
          <w:p w14:paraId="3DFF79CF">
            <w:pPr>
              <w:spacing w:line="480" w:lineRule="exact"/>
              <w:jc w:val="center"/>
              <w:rPr>
                <w:rFonts w:hint="eastAsia"/>
                <w:b/>
                <w:bCs/>
                <w:highlight w:val="none"/>
              </w:rPr>
            </w:pPr>
            <w:r>
              <w:rPr>
                <w:rFonts w:hint="eastAsia"/>
                <w:b/>
                <w:bCs/>
                <w:highlight w:val="none"/>
              </w:rPr>
              <w:t>表</w:t>
            </w:r>
            <w:r>
              <w:rPr>
                <w:rFonts w:hint="eastAsia"/>
                <w:b/>
                <w:bCs/>
                <w:highlight w:val="none"/>
                <w:lang w:val="en-US" w:eastAsia="zh-CN"/>
              </w:rPr>
              <w:t>2-14</w:t>
            </w:r>
            <w:r>
              <w:rPr>
                <w:rFonts w:hint="eastAsia"/>
                <w:b/>
                <w:bCs/>
                <w:highlight w:val="none"/>
              </w:rPr>
              <w:t xml:space="preserve">    项目现状存在的主要问题</w:t>
            </w:r>
          </w:p>
          <w:tbl>
            <w:tblPr>
              <w:tblStyle w:val="20"/>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2610"/>
              <w:gridCol w:w="3211"/>
            </w:tblGrid>
            <w:tr w14:paraId="182060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noWrap w:val="0"/>
                  <w:vAlign w:val="center"/>
                </w:tcPr>
                <w:p w14:paraId="06CA1D9F">
                  <w:pPr>
                    <w:jc w:val="center"/>
                    <w:rPr>
                      <w:highlight w:val="none"/>
                    </w:rPr>
                  </w:pPr>
                  <w:r>
                    <w:rPr>
                      <w:highlight w:val="none"/>
                    </w:rPr>
                    <w:t>类别</w:t>
                  </w:r>
                </w:p>
              </w:tc>
              <w:tc>
                <w:tcPr>
                  <w:tcW w:w="853" w:type="pct"/>
                  <w:noWrap w:val="0"/>
                  <w:vAlign w:val="center"/>
                </w:tcPr>
                <w:p w14:paraId="5FDF5D02">
                  <w:pPr>
                    <w:jc w:val="center"/>
                    <w:rPr>
                      <w:highlight w:val="none"/>
                    </w:rPr>
                  </w:pPr>
                  <w:r>
                    <w:rPr>
                      <w:highlight w:val="none"/>
                    </w:rPr>
                    <w:t>污染源</w:t>
                  </w:r>
                </w:p>
              </w:tc>
              <w:tc>
                <w:tcPr>
                  <w:tcW w:w="1649" w:type="pct"/>
                  <w:noWrap w:val="0"/>
                  <w:vAlign w:val="center"/>
                </w:tcPr>
                <w:p w14:paraId="29FA3790">
                  <w:pPr>
                    <w:jc w:val="center"/>
                    <w:rPr>
                      <w:highlight w:val="none"/>
                    </w:rPr>
                  </w:pPr>
                  <w:r>
                    <w:rPr>
                      <w:highlight w:val="none"/>
                    </w:rPr>
                    <w:t>存在的问题</w:t>
                  </w:r>
                </w:p>
              </w:tc>
              <w:tc>
                <w:tcPr>
                  <w:tcW w:w="2029" w:type="pct"/>
                  <w:noWrap w:val="0"/>
                  <w:vAlign w:val="center"/>
                </w:tcPr>
                <w:p w14:paraId="2B5966B4">
                  <w:pPr>
                    <w:jc w:val="center"/>
                    <w:rPr>
                      <w:highlight w:val="none"/>
                    </w:rPr>
                  </w:pPr>
                  <w:r>
                    <w:rPr>
                      <w:highlight w:val="none"/>
                    </w:rPr>
                    <w:t>整改措施</w:t>
                  </w:r>
                </w:p>
              </w:tc>
            </w:tr>
            <w:tr w14:paraId="00C202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66" w:type="pct"/>
                  <w:noWrap w:val="0"/>
                  <w:vAlign w:val="center"/>
                </w:tcPr>
                <w:p w14:paraId="3BDE860B">
                  <w:pPr>
                    <w:jc w:val="center"/>
                    <w:rPr>
                      <w:rFonts w:hint="eastAsia"/>
                      <w:highlight w:val="none"/>
                    </w:rPr>
                  </w:pPr>
                  <w:r>
                    <w:rPr>
                      <w:rFonts w:hint="eastAsia"/>
                      <w:highlight w:val="none"/>
                    </w:rPr>
                    <w:t>固废</w:t>
                  </w:r>
                </w:p>
              </w:tc>
              <w:tc>
                <w:tcPr>
                  <w:tcW w:w="853" w:type="pct"/>
                  <w:noWrap w:val="0"/>
                  <w:vAlign w:val="center"/>
                </w:tcPr>
                <w:p w14:paraId="0EAF3180">
                  <w:pPr>
                    <w:jc w:val="center"/>
                    <w:rPr>
                      <w:rFonts w:hint="eastAsia"/>
                      <w:highlight w:val="none"/>
                    </w:rPr>
                  </w:pPr>
                  <w:r>
                    <w:rPr>
                      <w:rFonts w:hint="eastAsia"/>
                      <w:highlight w:val="none"/>
                    </w:rPr>
                    <w:t>锅炉软水制备系统</w:t>
                  </w:r>
                </w:p>
              </w:tc>
              <w:tc>
                <w:tcPr>
                  <w:tcW w:w="1649" w:type="pct"/>
                  <w:noWrap w:val="0"/>
                  <w:vAlign w:val="center"/>
                </w:tcPr>
                <w:p w14:paraId="4ECC469D">
                  <w:pPr>
                    <w:jc w:val="center"/>
                    <w:rPr>
                      <w:rFonts w:hint="default"/>
                      <w:highlight w:val="none"/>
                      <w:lang w:val="en-US" w:eastAsia="zh-CN"/>
                    </w:rPr>
                  </w:pPr>
                  <w:r>
                    <w:rPr>
                      <w:rFonts w:hint="eastAsia"/>
                      <w:highlight w:val="none"/>
                      <w:lang w:val="en-US" w:eastAsia="zh-CN"/>
                    </w:rPr>
                    <w:t>未变更危废管理制度</w:t>
                  </w:r>
                </w:p>
              </w:tc>
              <w:tc>
                <w:tcPr>
                  <w:tcW w:w="2029" w:type="pct"/>
                  <w:noWrap w:val="0"/>
                  <w:vAlign w:val="center"/>
                </w:tcPr>
                <w:p w14:paraId="56F3AB3C">
                  <w:pPr>
                    <w:jc w:val="center"/>
                    <w:rPr>
                      <w:highlight w:val="none"/>
                    </w:rPr>
                  </w:pPr>
                  <w:r>
                    <w:rPr>
                      <w:rFonts w:hint="eastAsia"/>
                      <w:highlight w:val="none"/>
                    </w:rPr>
                    <w:t>将软水制备系统定期更换下的废树脂</w:t>
                  </w:r>
                  <w:r>
                    <w:rPr>
                      <w:rFonts w:hint="eastAsia"/>
                      <w:highlight w:val="none"/>
                      <w:lang w:val="en-US" w:eastAsia="zh-CN"/>
                    </w:rPr>
                    <w:t>不</w:t>
                  </w:r>
                  <w:r>
                    <w:rPr>
                      <w:rFonts w:hint="eastAsia"/>
                      <w:highlight w:val="none"/>
                    </w:rPr>
                    <w:t>纳入危废管理，</w:t>
                  </w:r>
                  <w:r>
                    <w:rPr>
                      <w:rFonts w:hint="eastAsia"/>
                      <w:highlight w:val="none"/>
                      <w:lang w:val="en-US" w:eastAsia="zh-CN"/>
                    </w:rPr>
                    <w:t>按一般固废处理，</w:t>
                  </w:r>
                  <w:r>
                    <w:rPr>
                      <w:rFonts w:hint="eastAsia"/>
                      <w:highlight w:val="none"/>
                    </w:rPr>
                    <w:t>委托</w:t>
                  </w:r>
                  <w:r>
                    <w:rPr>
                      <w:rFonts w:hint="eastAsia"/>
                      <w:highlight w:val="none"/>
                      <w:lang w:val="en-US" w:eastAsia="zh-CN"/>
                    </w:rPr>
                    <w:t>收购单位</w:t>
                  </w:r>
                  <w:r>
                    <w:rPr>
                      <w:rFonts w:hint="eastAsia"/>
                      <w:highlight w:val="none"/>
                    </w:rPr>
                    <w:t>其对废树脂</w:t>
                  </w:r>
                  <w:r>
                    <w:rPr>
                      <w:rFonts w:hint="eastAsia"/>
                      <w:highlight w:val="none"/>
                      <w:lang w:val="en-US" w:eastAsia="zh-CN"/>
                    </w:rPr>
                    <w:t>外售</w:t>
                  </w:r>
                  <w:r>
                    <w:rPr>
                      <w:rFonts w:hint="eastAsia"/>
                      <w:highlight w:val="none"/>
                    </w:rPr>
                    <w:t>处理</w:t>
                  </w:r>
                </w:p>
              </w:tc>
            </w:tr>
            <w:tr w14:paraId="28A44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66" w:type="pct"/>
                  <w:noWrap w:val="0"/>
                  <w:vAlign w:val="center"/>
                </w:tcPr>
                <w:p w14:paraId="544C5BC2">
                  <w:pPr>
                    <w:jc w:val="center"/>
                    <w:rPr>
                      <w:highlight w:val="none"/>
                    </w:rPr>
                  </w:pPr>
                  <w:r>
                    <w:rPr>
                      <w:highlight w:val="none"/>
                    </w:rPr>
                    <w:t>排污口规范化</w:t>
                  </w:r>
                </w:p>
              </w:tc>
              <w:tc>
                <w:tcPr>
                  <w:tcW w:w="853" w:type="pct"/>
                  <w:noWrap w:val="0"/>
                  <w:vAlign w:val="center"/>
                </w:tcPr>
                <w:p w14:paraId="19B9434F">
                  <w:pPr>
                    <w:jc w:val="center"/>
                    <w:rPr>
                      <w:highlight w:val="none"/>
                    </w:rPr>
                  </w:pPr>
                  <w:r>
                    <w:rPr>
                      <w:highlight w:val="none"/>
                    </w:rPr>
                    <w:t>排放口</w:t>
                  </w:r>
                </w:p>
                <w:p w14:paraId="5F1037FD">
                  <w:pPr>
                    <w:pStyle w:val="5"/>
                    <w:ind w:firstLine="0" w:firstLineChars="0"/>
                    <w:rPr>
                      <w:highlight w:val="none"/>
                    </w:rPr>
                  </w:pPr>
                </w:p>
              </w:tc>
              <w:tc>
                <w:tcPr>
                  <w:tcW w:w="1649" w:type="pct"/>
                  <w:noWrap w:val="0"/>
                  <w:vAlign w:val="center"/>
                </w:tcPr>
                <w:p w14:paraId="663517D1">
                  <w:pPr>
                    <w:jc w:val="center"/>
                    <w:rPr>
                      <w:rFonts w:hint="default"/>
                      <w:highlight w:val="none"/>
                      <w:lang w:val="en-US" w:eastAsia="zh-CN"/>
                    </w:rPr>
                  </w:pPr>
                  <w:r>
                    <w:rPr>
                      <w:highlight w:val="none"/>
                    </w:rPr>
                    <w:t>未</w:t>
                  </w:r>
                  <w:r>
                    <w:rPr>
                      <w:rFonts w:hint="eastAsia"/>
                      <w:highlight w:val="none"/>
                      <w:lang w:val="en-US" w:eastAsia="zh-CN"/>
                    </w:rPr>
                    <w:t>设置</w:t>
                  </w:r>
                  <w:r>
                    <w:rPr>
                      <w:highlight w:val="none"/>
                    </w:rPr>
                    <w:t>环境保护图形标志牌</w:t>
                  </w:r>
                  <w:r>
                    <w:rPr>
                      <w:rFonts w:hint="eastAsia"/>
                      <w:highlight w:val="none"/>
                      <w:lang w:eastAsia="zh-CN"/>
                    </w:rPr>
                    <w:t>，</w:t>
                  </w:r>
                  <w:r>
                    <w:rPr>
                      <w:rFonts w:hint="eastAsia"/>
                      <w:highlight w:val="none"/>
                      <w:lang w:val="en-US" w:eastAsia="zh-CN"/>
                    </w:rPr>
                    <w:t>采样平台不规范</w:t>
                  </w:r>
                </w:p>
              </w:tc>
              <w:tc>
                <w:tcPr>
                  <w:tcW w:w="2029" w:type="pct"/>
                  <w:noWrap w:val="0"/>
                  <w:vAlign w:val="center"/>
                </w:tcPr>
                <w:p w14:paraId="64980EAC">
                  <w:pPr>
                    <w:jc w:val="center"/>
                    <w:rPr>
                      <w:highlight w:val="none"/>
                    </w:rPr>
                  </w:pPr>
                  <w:r>
                    <w:rPr>
                      <w:highlight w:val="none"/>
                    </w:rPr>
                    <w:t>根据《固定污染源排气中颗粒物与气态污染物采样方法》（GB/T16157-1996）要求建设采用平台，根据《环境保护图形标志——排放口（源）》（GB15562.1-1995）及《国家环境保护总局办公厅关于印发排放口标志牌技术规格的通知》（环办[2003]第95号）中的要求在排放口处设置环境保护图形标志牌</w:t>
                  </w:r>
                </w:p>
              </w:tc>
            </w:tr>
          </w:tbl>
          <w:p w14:paraId="1515A6D7">
            <w:pPr>
              <w:pStyle w:val="18"/>
              <w:rPr>
                <w:highlight w:val="none"/>
                <w:lang w:val="en-US" w:eastAsia="zh-CN"/>
              </w:rPr>
            </w:pPr>
          </w:p>
        </w:tc>
      </w:tr>
    </w:tbl>
    <w:p w14:paraId="7A506FF7">
      <w:pPr>
        <w:pStyle w:val="16"/>
        <w:jc w:val="center"/>
        <w:rPr>
          <w:rFonts w:ascii="黑体" w:hAnsi="黑体" w:eastAsia="黑体"/>
          <w:snapToGrid w:val="0"/>
          <w:sz w:val="36"/>
          <w:szCs w:val="36"/>
          <w:highlight w:val="none"/>
        </w:rPr>
        <w:sectPr>
          <w:pgSz w:w="11906" w:h="16838"/>
          <w:pgMar w:top="1701" w:right="1417" w:bottom="1701" w:left="1417"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14:paraId="6F94FF9C">
      <w:pPr>
        <w:pStyle w:val="16"/>
        <w:adjustRightInd w:val="0"/>
        <w:snapToGrid w:val="0"/>
        <w:spacing w:before="0" w:beforeAutospacing="0" w:after="0" w:afterAutospacing="0" w:line="14" w:lineRule="auto"/>
        <w:jc w:val="center"/>
        <w:outlineLvl w:val="0"/>
        <w:rPr>
          <w:rFonts w:hint="eastAsia" w:ascii="黑体" w:hAnsi="黑体" w:eastAsia="黑体"/>
          <w:snapToGrid w:val="0"/>
          <w:sz w:val="30"/>
          <w:szCs w:val="30"/>
          <w:highlight w:val="none"/>
        </w:rPr>
      </w:pPr>
    </w:p>
    <w:p w14:paraId="09427124">
      <w:pPr>
        <w:pStyle w:val="16"/>
        <w:jc w:val="center"/>
        <w:outlineLvl w:val="0"/>
        <w:rPr>
          <w:rFonts w:ascii="黑体" w:hAnsi="黑体" w:eastAsia="黑体"/>
          <w:snapToGrid w:val="0"/>
          <w:sz w:val="30"/>
          <w:szCs w:val="30"/>
          <w:highlight w:val="none"/>
        </w:rPr>
      </w:pPr>
      <w:r>
        <w:rPr>
          <w:rFonts w:hint="eastAsia" w:ascii="黑体" w:hAnsi="黑体" w:eastAsia="黑体"/>
          <w:snapToGrid w:val="0"/>
          <w:sz w:val="30"/>
          <w:szCs w:val="30"/>
          <w:highlight w:val="none"/>
        </w:rPr>
        <w:t>三、区域环境质量现状、环境保护目标及评价标准</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14:paraId="7EB706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800" w:type="dxa"/>
            <w:noWrap w:val="0"/>
            <w:vAlign w:val="center"/>
          </w:tcPr>
          <w:p w14:paraId="1E1F41F6">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区域</w:t>
            </w:r>
          </w:p>
          <w:p w14:paraId="41338945">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环境</w:t>
            </w:r>
          </w:p>
          <w:p w14:paraId="0EE61F93">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质量</w:t>
            </w:r>
          </w:p>
          <w:p w14:paraId="747D1DE3">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现状</w:t>
            </w:r>
          </w:p>
        </w:tc>
        <w:tc>
          <w:tcPr>
            <w:tcW w:w="8190" w:type="dxa"/>
            <w:noWrap w:val="0"/>
            <w:vAlign w:val="center"/>
          </w:tcPr>
          <w:p w14:paraId="44455A1A">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outlineLvl w:val="1"/>
              <w:rPr>
                <w:rFonts w:hint="eastAsia"/>
                <w:color w:val="auto"/>
                <w:kern w:val="24"/>
                <w:sz w:val="21"/>
                <w:szCs w:val="21"/>
                <w:highlight w:val="none"/>
                <w:lang w:val="en-US" w:eastAsia="zh-CN"/>
              </w:rPr>
            </w:pPr>
            <w:r>
              <w:rPr>
                <w:rFonts w:hint="eastAsia"/>
                <w:color w:val="auto"/>
                <w:kern w:val="24"/>
                <w:sz w:val="21"/>
                <w:szCs w:val="21"/>
                <w:highlight w:val="none"/>
                <w:lang w:val="en-US" w:eastAsia="zh-CN"/>
              </w:rPr>
              <w:t>一、大气环境</w:t>
            </w:r>
          </w:p>
          <w:p w14:paraId="7778C45A">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outlineLvl w:val="1"/>
              <w:rPr>
                <w:rFonts w:hint="eastAsia"/>
                <w:color w:val="auto"/>
                <w:kern w:val="24"/>
                <w:sz w:val="21"/>
                <w:szCs w:val="21"/>
                <w:highlight w:val="none"/>
                <w:lang w:val="en-US" w:eastAsia="zh-CN"/>
              </w:rPr>
            </w:pPr>
            <w:r>
              <w:rPr>
                <w:rFonts w:hint="eastAsia"/>
                <w:color w:val="auto"/>
                <w:kern w:val="24"/>
                <w:sz w:val="21"/>
                <w:szCs w:val="21"/>
                <w:highlight w:val="none"/>
                <w:lang w:val="en-US" w:eastAsia="zh-CN"/>
              </w:rPr>
              <w:t>根据2021年6月3日唐山市生态环境局发布的《2020年唐山市环境状况公报》可知，2020全年检测366天，二级或优于二级的优良天数249天（优40天，良209天），优良天数比例为68. 0%.全年优良天数较上年增加28天，优天数增加12天，良天数增加16天。全年重度污染天数9天，严重污染天数0天。项目所在区域空气质量现状评价见表3-1。</w:t>
            </w:r>
          </w:p>
          <w:p w14:paraId="51066FD0">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jc w:val="center"/>
              <w:textAlignment w:val="auto"/>
              <w:outlineLvl w:val="1"/>
              <w:rPr>
                <w:rFonts w:hint="default"/>
                <w:b/>
                <w:bCs/>
                <w:color w:val="auto"/>
                <w:kern w:val="24"/>
                <w:sz w:val="21"/>
                <w:szCs w:val="21"/>
                <w:highlight w:val="none"/>
                <w:lang w:val="en-US" w:eastAsia="zh-CN"/>
              </w:rPr>
            </w:pPr>
            <w:r>
              <w:rPr>
                <w:rFonts w:hint="eastAsia"/>
                <w:b/>
                <w:bCs/>
                <w:color w:val="auto"/>
                <w:kern w:val="24"/>
                <w:sz w:val="21"/>
                <w:szCs w:val="21"/>
                <w:highlight w:val="none"/>
                <w:lang w:val="en-US" w:eastAsia="zh-CN"/>
              </w:rPr>
              <w:t>表3-1  区域空气质量现状评价表（单位：μg/m³，CO为mg/m³）</w:t>
            </w:r>
          </w:p>
          <w:tbl>
            <w:tblPr>
              <w:tblStyle w:val="21"/>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40"/>
              <w:gridCol w:w="1185"/>
              <w:gridCol w:w="1245"/>
              <w:gridCol w:w="900"/>
              <w:gridCol w:w="780"/>
              <w:gridCol w:w="904"/>
            </w:tblGrid>
            <w:tr w14:paraId="10F42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0" w:type="dxa"/>
                  <w:tcBorders>
                    <w:top w:val="single" w:color="auto" w:sz="12" w:space="0"/>
                  </w:tcBorders>
                  <w:vAlign w:val="center"/>
                </w:tcPr>
                <w:p w14:paraId="10931F1B">
                  <w:pPr>
                    <w:pStyle w:val="2"/>
                    <w:jc w:val="center"/>
                    <w:rPr>
                      <w:rFonts w:hint="default"/>
                      <w:highlight w:val="none"/>
                      <w:lang w:val="en-US" w:eastAsia="zh-CN"/>
                    </w:rPr>
                  </w:pPr>
                  <w:r>
                    <w:rPr>
                      <w:rFonts w:hint="eastAsia"/>
                      <w:highlight w:val="none"/>
                      <w:lang w:val="en-US" w:eastAsia="zh-CN"/>
                    </w:rPr>
                    <w:t>污染物</w:t>
                  </w:r>
                </w:p>
              </w:tc>
              <w:tc>
                <w:tcPr>
                  <w:tcW w:w="2040" w:type="dxa"/>
                  <w:tcBorders>
                    <w:top w:val="single" w:color="auto" w:sz="12" w:space="0"/>
                  </w:tcBorders>
                  <w:vAlign w:val="center"/>
                </w:tcPr>
                <w:p w14:paraId="3372D61B">
                  <w:pPr>
                    <w:pStyle w:val="2"/>
                    <w:jc w:val="center"/>
                    <w:rPr>
                      <w:rFonts w:hint="default"/>
                      <w:highlight w:val="none"/>
                      <w:lang w:val="en-US" w:eastAsia="zh-CN"/>
                    </w:rPr>
                  </w:pPr>
                  <w:r>
                    <w:rPr>
                      <w:rFonts w:hint="eastAsia"/>
                      <w:highlight w:val="none"/>
                      <w:lang w:val="en-US" w:eastAsia="zh-CN"/>
                    </w:rPr>
                    <w:t>年评价指标</w:t>
                  </w:r>
                </w:p>
              </w:tc>
              <w:tc>
                <w:tcPr>
                  <w:tcW w:w="1185" w:type="dxa"/>
                  <w:tcBorders>
                    <w:top w:val="single" w:color="auto" w:sz="12" w:space="0"/>
                  </w:tcBorders>
                  <w:vAlign w:val="center"/>
                </w:tcPr>
                <w:p w14:paraId="4183EB50">
                  <w:pPr>
                    <w:pStyle w:val="2"/>
                    <w:jc w:val="center"/>
                    <w:rPr>
                      <w:rFonts w:hint="default"/>
                      <w:highlight w:val="none"/>
                      <w:lang w:val="en-US" w:eastAsia="zh-CN"/>
                    </w:rPr>
                  </w:pPr>
                  <w:r>
                    <w:rPr>
                      <w:rFonts w:hint="eastAsia"/>
                      <w:highlight w:val="none"/>
                      <w:lang w:val="en-US" w:eastAsia="zh-CN"/>
                    </w:rPr>
                    <w:t>现状浓度（μg/m³）</w:t>
                  </w:r>
                </w:p>
              </w:tc>
              <w:tc>
                <w:tcPr>
                  <w:tcW w:w="1245" w:type="dxa"/>
                  <w:tcBorders>
                    <w:top w:val="single" w:color="auto" w:sz="12" w:space="0"/>
                  </w:tcBorders>
                  <w:vAlign w:val="center"/>
                </w:tcPr>
                <w:p w14:paraId="46381595">
                  <w:pPr>
                    <w:pStyle w:val="2"/>
                    <w:jc w:val="center"/>
                    <w:rPr>
                      <w:rFonts w:hint="eastAsia"/>
                      <w:highlight w:val="none"/>
                      <w:lang w:val="en-US" w:eastAsia="zh-CN"/>
                    </w:rPr>
                  </w:pPr>
                  <w:r>
                    <w:rPr>
                      <w:rFonts w:hint="eastAsia"/>
                      <w:highlight w:val="none"/>
                      <w:lang w:val="en-US" w:eastAsia="zh-CN"/>
                    </w:rPr>
                    <w:t>标准值</w:t>
                  </w:r>
                </w:p>
                <w:p w14:paraId="177148E9">
                  <w:pPr>
                    <w:pStyle w:val="2"/>
                    <w:jc w:val="center"/>
                    <w:rPr>
                      <w:rFonts w:hint="default"/>
                      <w:highlight w:val="none"/>
                      <w:lang w:val="en-US" w:eastAsia="zh-CN"/>
                    </w:rPr>
                  </w:pPr>
                  <w:r>
                    <w:rPr>
                      <w:rFonts w:hint="eastAsia"/>
                      <w:highlight w:val="none"/>
                      <w:lang w:val="en-US" w:eastAsia="zh-CN"/>
                    </w:rPr>
                    <w:t>（μg/m³）</w:t>
                  </w:r>
                </w:p>
              </w:tc>
              <w:tc>
                <w:tcPr>
                  <w:tcW w:w="900" w:type="dxa"/>
                  <w:tcBorders>
                    <w:top w:val="single" w:color="auto" w:sz="12" w:space="0"/>
                  </w:tcBorders>
                  <w:vAlign w:val="center"/>
                </w:tcPr>
                <w:p w14:paraId="318602BC">
                  <w:pPr>
                    <w:pStyle w:val="2"/>
                    <w:jc w:val="center"/>
                    <w:rPr>
                      <w:rFonts w:hint="default"/>
                      <w:highlight w:val="none"/>
                      <w:lang w:val="en-US" w:eastAsia="zh-CN"/>
                    </w:rPr>
                  </w:pPr>
                  <w:r>
                    <w:rPr>
                      <w:rFonts w:hint="eastAsia"/>
                      <w:highlight w:val="none"/>
                      <w:lang w:val="en-US" w:eastAsia="zh-CN"/>
                    </w:rPr>
                    <w:t>占标率%</w:t>
                  </w:r>
                </w:p>
              </w:tc>
              <w:tc>
                <w:tcPr>
                  <w:tcW w:w="780" w:type="dxa"/>
                  <w:tcBorders>
                    <w:top w:val="single" w:color="auto" w:sz="12" w:space="0"/>
                  </w:tcBorders>
                  <w:vAlign w:val="center"/>
                </w:tcPr>
                <w:p w14:paraId="78D927BC">
                  <w:pPr>
                    <w:pStyle w:val="2"/>
                    <w:jc w:val="center"/>
                    <w:rPr>
                      <w:rFonts w:hint="default"/>
                      <w:highlight w:val="none"/>
                      <w:lang w:val="en-US" w:eastAsia="zh-CN"/>
                    </w:rPr>
                  </w:pPr>
                  <w:r>
                    <w:rPr>
                      <w:rFonts w:hint="eastAsia"/>
                      <w:highlight w:val="none"/>
                      <w:lang w:val="en-US" w:eastAsia="zh-CN"/>
                    </w:rPr>
                    <w:t>超标倍数</w:t>
                  </w:r>
                </w:p>
              </w:tc>
              <w:tc>
                <w:tcPr>
                  <w:tcW w:w="904" w:type="dxa"/>
                  <w:tcBorders>
                    <w:top w:val="single" w:color="auto" w:sz="12" w:space="0"/>
                    <w:right w:val="single" w:color="auto" w:sz="12" w:space="0"/>
                  </w:tcBorders>
                  <w:vAlign w:val="center"/>
                </w:tcPr>
                <w:p w14:paraId="2845C172">
                  <w:pPr>
                    <w:pStyle w:val="2"/>
                    <w:jc w:val="center"/>
                    <w:rPr>
                      <w:rFonts w:hint="default"/>
                      <w:highlight w:val="none"/>
                      <w:lang w:val="en-US" w:eastAsia="zh-CN"/>
                    </w:rPr>
                  </w:pPr>
                  <w:r>
                    <w:rPr>
                      <w:rFonts w:hint="eastAsia"/>
                      <w:highlight w:val="none"/>
                      <w:lang w:val="en-US" w:eastAsia="zh-CN"/>
                    </w:rPr>
                    <w:t>达标情况</w:t>
                  </w:r>
                </w:p>
              </w:tc>
            </w:tr>
            <w:tr w14:paraId="4A763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0" w:type="dxa"/>
                  <w:tcBorders>
                    <w:left w:val="single" w:color="auto" w:sz="4" w:space="0"/>
                  </w:tcBorders>
                  <w:vAlign w:val="center"/>
                </w:tcPr>
                <w:p w14:paraId="23A859FF">
                  <w:pPr>
                    <w:pStyle w:val="2"/>
                    <w:ind w:left="0" w:leftChars="0" w:firstLine="0" w:firstLineChars="0"/>
                    <w:jc w:val="center"/>
                    <w:rPr>
                      <w:rFonts w:hint="default"/>
                      <w:highlight w:val="none"/>
                      <w:lang w:val="en-US" w:eastAsia="zh-CN"/>
                    </w:rPr>
                  </w:pPr>
                  <w:r>
                    <w:rPr>
                      <w:rFonts w:hint="eastAsia"/>
                      <w:highlight w:val="none"/>
                      <w:lang w:val="en-US" w:eastAsia="zh-CN"/>
                    </w:rPr>
                    <w:t>SO</w:t>
                  </w:r>
                  <w:r>
                    <w:rPr>
                      <w:rFonts w:hint="eastAsia"/>
                      <w:highlight w:val="none"/>
                      <w:vertAlign w:val="subscript"/>
                      <w:lang w:val="en-US" w:eastAsia="zh-CN"/>
                    </w:rPr>
                    <w:t>2</w:t>
                  </w:r>
                </w:p>
              </w:tc>
              <w:tc>
                <w:tcPr>
                  <w:tcW w:w="2040" w:type="dxa"/>
                  <w:vAlign w:val="center"/>
                </w:tcPr>
                <w:p w14:paraId="705A1AED">
                  <w:pPr>
                    <w:pStyle w:val="2"/>
                    <w:jc w:val="center"/>
                    <w:rPr>
                      <w:rFonts w:hint="default"/>
                      <w:highlight w:val="none"/>
                      <w:lang w:val="en-US" w:eastAsia="zh-CN"/>
                    </w:rPr>
                  </w:pPr>
                  <w:r>
                    <w:rPr>
                      <w:rFonts w:hint="eastAsia"/>
                      <w:highlight w:val="none"/>
                      <w:lang w:val="en-US" w:eastAsia="zh-CN"/>
                    </w:rPr>
                    <w:t>年平均质量浓度</w:t>
                  </w:r>
                </w:p>
              </w:tc>
              <w:tc>
                <w:tcPr>
                  <w:tcW w:w="1185" w:type="dxa"/>
                  <w:vAlign w:val="center"/>
                </w:tcPr>
                <w:p w14:paraId="49705990">
                  <w:pPr>
                    <w:pStyle w:val="2"/>
                    <w:jc w:val="center"/>
                    <w:rPr>
                      <w:rFonts w:hint="default"/>
                      <w:highlight w:val="none"/>
                      <w:lang w:val="en-US" w:eastAsia="zh-CN"/>
                    </w:rPr>
                  </w:pPr>
                  <w:r>
                    <w:rPr>
                      <w:rFonts w:hint="eastAsia"/>
                      <w:highlight w:val="none"/>
                      <w:lang w:val="en-US" w:eastAsia="zh-CN"/>
                    </w:rPr>
                    <w:t>18</w:t>
                  </w:r>
                </w:p>
              </w:tc>
              <w:tc>
                <w:tcPr>
                  <w:tcW w:w="1245" w:type="dxa"/>
                  <w:vAlign w:val="center"/>
                </w:tcPr>
                <w:p w14:paraId="7E5468E7">
                  <w:pPr>
                    <w:pStyle w:val="2"/>
                    <w:jc w:val="center"/>
                    <w:rPr>
                      <w:rFonts w:hint="default"/>
                      <w:highlight w:val="none"/>
                      <w:lang w:val="en-US" w:eastAsia="zh-CN"/>
                    </w:rPr>
                  </w:pPr>
                  <w:r>
                    <w:rPr>
                      <w:rFonts w:hint="eastAsia"/>
                      <w:highlight w:val="none"/>
                      <w:lang w:val="en-US" w:eastAsia="zh-CN"/>
                    </w:rPr>
                    <w:t>60</w:t>
                  </w:r>
                </w:p>
              </w:tc>
              <w:tc>
                <w:tcPr>
                  <w:tcW w:w="900" w:type="dxa"/>
                  <w:vAlign w:val="center"/>
                </w:tcPr>
                <w:p w14:paraId="7626AEF9">
                  <w:pPr>
                    <w:pStyle w:val="2"/>
                    <w:jc w:val="center"/>
                    <w:rPr>
                      <w:rFonts w:hint="default"/>
                      <w:highlight w:val="none"/>
                      <w:lang w:val="en-US" w:eastAsia="zh-CN"/>
                    </w:rPr>
                  </w:pPr>
                  <w:r>
                    <w:rPr>
                      <w:rFonts w:hint="eastAsia"/>
                      <w:highlight w:val="none"/>
                      <w:lang w:val="en-US" w:eastAsia="zh-CN"/>
                    </w:rPr>
                    <w:t>30.0</w:t>
                  </w:r>
                </w:p>
              </w:tc>
              <w:tc>
                <w:tcPr>
                  <w:tcW w:w="780" w:type="dxa"/>
                  <w:vAlign w:val="center"/>
                </w:tcPr>
                <w:p w14:paraId="1FA85890">
                  <w:pPr>
                    <w:pStyle w:val="2"/>
                    <w:jc w:val="center"/>
                    <w:rPr>
                      <w:rFonts w:hint="default"/>
                      <w:highlight w:val="none"/>
                      <w:lang w:val="en-US" w:eastAsia="zh-CN"/>
                    </w:rPr>
                  </w:pPr>
                  <w:r>
                    <w:rPr>
                      <w:rFonts w:hint="eastAsia"/>
                      <w:highlight w:val="none"/>
                      <w:lang w:val="en-US" w:eastAsia="zh-CN"/>
                    </w:rPr>
                    <w:t>-</w:t>
                  </w:r>
                </w:p>
              </w:tc>
              <w:tc>
                <w:tcPr>
                  <w:tcW w:w="904" w:type="dxa"/>
                  <w:tcBorders>
                    <w:right w:val="single" w:color="auto" w:sz="12" w:space="0"/>
                  </w:tcBorders>
                  <w:vAlign w:val="center"/>
                </w:tcPr>
                <w:p w14:paraId="181F2E76">
                  <w:pPr>
                    <w:pStyle w:val="2"/>
                    <w:jc w:val="center"/>
                    <w:rPr>
                      <w:rFonts w:hint="default"/>
                      <w:highlight w:val="none"/>
                      <w:lang w:val="en-US" w:eastAsia="zh-CN"/>
                    </w:rPr>
                  </w:pPr>
                  <w:r>
                    <w:rPr>
                      <w:rFonts w:hint="eastAsia"/>
                      <w:highlight w:val="none"/>
                      <w:lang w:val="en-US" w:eastAsia="zh-CN"/>
                    </w:rPr>
                    <w:t>达标</w:t>
                  </w:r>
                </w:p>
              </w:tc>
            </w:tr>
            <w:tr w14:paraId="4F9AA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0" w:type="dxa"/>
                  <w:tcBorders>
                    <w:left w:val="single" w:color="auto" w:sz="4" w:space="0"/>
                  </w:tcBorders>
                  <w:vAlign w:val="center"/>
                </w:tcPr>
                <w:p w14:paraId="5207E812">
                  <w:pPr>
                    <w:pStyle w:val="2"/>
                    <w:ind w:left="0" w:leftChars="0" w:firstLine="0" w:firstLineChars="0"/>
                    <w:jc w:val="center"/>
                    <w:rPr>
                      <w:rFonts w:hint="eastAsia"/>
                      <w:highlight w:val="none"/>
                      <w:lang w:val="en-US" w:eastAsia="zh-CN"/>
                    </w:rPr>
                  </w:pPr>
                  <w:r>
                    <w:rPr>
                      <w:rFonts w:hint="eastAsia"/>
                      <w:highlight w:val="none"/>
                      <w:lang w:val="en-US" w:eastAsia="zh-CN"/>
                    </w:rPr>
                    <w:t>NO</w:t>
                  </w:r>
                  <w:r>
                    <w:rPr>
                      <w:rFonts w:hint="eastAsia"/>
                      <w:highlight w:val="none"/>
                      <w:vertAlign w:val="subscript"/>
                      <w:lang w:val="en-US" w:eastAsia="zh-CN"/>
                    </w:rPr>
                    <w:t>2</w:t>
                  </w:r>
                </w:p>
              </w:tc>
              <w:tc>
                <w:tcPr>
                  <w:tcW w:w="2040" w:type="dxa"/>
                  <w:vAlign w:val="center"/>
                </w:tcPr>
                <w:p w14:paraId="38BFA296">
                  <w:pPr>
                    <w:pStyle w:val="2"/>
                    <w:jc w:val="center"/>
                    <w:rPr>
                      <w:rFonts w:hint="eastAsia"/>
                      <w:highlight w:val="none"/>
                      <w:lang w:val="en-US" w:eastAsia="zh-CN"/>
                    </w:rPr>
                  </w:pPr>
                  <w:r>
                    <w:rPr>
                      <w:rFonts w:hint="eastAsia"/>
                      <w:highlight w:val="none"/>
                      <w:lang w:val="en-US" w:eastAsia="zh-CN"/>
                    </w:rPr>
                    <w:t>年平均质量浓度</w:t>
                  </w:r>
                </w:p>
              </w:tc>
              <w:tc>
                <w:tcPr>
                  <w:tcW w:w="1185" w:type="dxa"/>
                  <w:vAlign w:val="center"/>
                </w:tcPr>
                <w:p w14:paraId="3F2E14A5">
                  <w:pPr>
                    <w:pStyle w:val="2"/>
                    <w:jc w:val="center"/>
                    <w:rPr>
                      <w:rFonts w:hint="default"/>
                      <w:highlight w:val="none"/>
                      <w:lang w:val="en-US" w:eastAsia="zh-CN"/>
                    </w:rPr>
                  </w:pPr>
                  <w:r>
                    <w:rPr>
                      <w:rFonts w:hint="eastAsia"/>
                      <w:highlight w:val="none"/>
                      <w:lang w:val="en-US" w:eastAsia="zh-CN"/>
                    </w:rPr>
                    <w:t>46</w:t>
                  </w:r>
                </w:p>
              </w:tc>
              <w:tc>
                <w:tcPr>
                  <w:tcW w:w="1245" w:type="dxa"/>
                  <w:vAlign w:val="center"/>
                </w:tcPr>
                <w:p w14:paraId="06548530">
                  <w:pPr>
                    <w:pStyle w:val="2"/>
                    <w:jc w:val="center"/>
                    <w:rPr>
                      <w:rFonts w:hint="default"/>
                      <w:highlight w:val="none"/>
                      <w:lang w:val="en-US" w:eastAsia="zh-CN"/>
                    </w:rPr>
                  </w:pPr>
                  <w:r>
                    <w:rPr>
                      <w:rFonts w:hint="eastAsia"/>
                      <w:highlight w:val="none"/>
                      <w:lang w:val="en-US" w:eastAsia="zh-CN"/>
                    </w:rPr>
                    <w:t>40</w:t>
                  </w:r>
                </w:p>
              </w:tc>
              <w:tc>
                <w:tcPr>
                  <w:tcW w:w="900" w:type="dxa"/>
                  <w:vAlign w:val="center"/>
                </w:tcPr>
                <w:p w14:paraId="58BAD13C">
                  <w:pPr>
                    <w:pStyle w:val="2"/>
                    <w:jc w:val="center"/>
                    <w:rPr>
                      <w:rFonts w:hint="default"/>
                      <w:highlight w:val="none"/>
                      <w:lang w:val="en-US" w:eastAsia="zh-CN"/>
                    </w:rPr>
                  </w:pPr>
                  <w:r>
                    <w:rPr>
                      <w:rFonts w:hint="eastAsia"/>
                      <w:highlight w:val="none"/>
                      <w:lang w:val="en-US" w:eastAsia="zh-CN"/>
                    </w:rPr>
                    <w:t>115.0</w:t>
                  </w:r>
                </w:p>
              </w:tc>
              <w:tc>
                <w:tcPr>
                  <w:tcW w:w="780" w:type="dxa"/>
                  <w:vAlign w:val="center"/>
                </w:tcPr>
                <w:p w14:paraId="4EE2432D">
                  <w:pPr>
                    <w:pStyle w:val="2"/>
                    <w:jc w:val="center"/>
                    <w:rPr>
                      <w:rFonts w:hint="default"/>
                      <w:highlight w:val="none"/>
                      <w:lang w:val="en-US" w:eastAsia="zh-CN"/>
                    </w:rPr>
                  </w:pPr>
                  <w:r>
                    <w:rPr>
                      <w:rFonts w:hint="eastAsia"/>
                      <w:highlight w:val="none"/>
                      <w:lang w:val="en-US" w:eastAsia="zh-CN"/>
                    </w:rPr>
                    <w:t>0.15</w:t>
                  </w:r>
                </w:p>
              </w:tc>
              <w:tc>
                <w:tcPr>
                  <w:tcW w:w="904" w:type="dxa"/>
                  <w:tcBorders>
                    <w:right w:val="single" w:color="auto" w:sz="12" w:space="0"/>
                  </w:tcBorders>
                  <w:vAlign w:val="center"/>
                </w:tcPr>
                <w:p w14:paraId="61AAC855">
                  <w:pPr>
                    <w:pStyle w:val="2"/>
                    <w:jc w:val="center"/>
                    <w:rPr>
                      <w:rFonts w:hint="default"/>
                      <w:highlight w:val="none"/>
                      <w:lang w:val="en-US" w:eastAsia="zh-CN"/>
                    </w:rPr>
                  </w:pPr>
                  <w:r>
                    <w:rPr>
                      <w:rFonts w:hint="eastAsia"/>
                      <w:highlight w:val="none"/>
                      <w:lang w:val="en-US" w:eastAsia="zh-CN"/>
                    </w:rPr>
                    <w:t>不达标</w:t>
                  </w:r>
                </w:p>
              </w:tc>
            </w:tr>
            <w:tr w14:paraId="40EE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0" w:type="dxa"/>
                  <w:tcBorders>
                    <w:left w:val="single" w:color="auto" w:sz="4" w:space="0"/>
                  </w:tcBorders>
                  <w:vAlign w:val="center"/>
                </w:tcPr>
                <w:p w14:paraId="35509170">
                  <w:pPr>
                    <w:pStyle w:val="2"/>
                    <w:ind w:left="0" w:leftChars="0" w:firstLine="0" w:firstLineChars="0"/>
                    <w:jc w:val="center"/>
                    <w:rPr>
                      <w:rFonts w:hint="default"/>
                      <w:highlight w:val="none"/>
                      <w:lang w:val="en-US" w:eastAsia="zh-CN"/>
                    </w:rPr>
                  </w:pPr>
                  <w:r>
                    <w:rPr>
                      <w:rFonts w:hint="eastAsia"/>
                      <w:highlight w:val="none"/>
                    </w:rPr>
                    <w:t>PM</w:t>
                  </w:r>
                  <w:r>
                    <w:rPr>
                      <w:rFonts w:hint="eastAsia"/>
                      <w:highlight w:val="none"/>
                      <w:lang w:val="en-US" w:eastAsia="zh-CN"/>
                    </w:rPr>
                    <w:t>10</w:t>
                  </w:r>
                </w:p>
              </w:tc>
              <w:tc>
                <w:tcPr>
                  <w:tcW w:w="2040" w:type="dxa"/>
                  <w:vAlign w:val="center"/>
                </w:tcPr>
                <w:p w14:paraId="05AF1915">
                  <w:pPr>
                    <w:pStyle w:val="2"/>
                    <w:jc w:val="center"/>
                    <w:rPr>
                      <w:rFonts w:hint="eastAsia"/>
                      <w:highlight w:val="none"/>
                      <w:lang w:val="en-US" w:eastAsia="zh-CN"/>
                    </w:rPr>
                  </w:pPr>
                  <w:r>
                    <w:rPr>
                      <w:rFonts w:hint="eastAsia"/>
                      <w:highlight w:val="none"/>
                      <w:lang w:val="en-US" w:eastAsia="zh-CN"/>
                    </w:rPr>
                    <w:t>年平均质量浓度</w:t>
                  </w:r>
                </w:p>
              </w:tc>
              <w:tc>
                <w:tcPr>
                  <w:tcW w:w="1185" w:type="dxa"/>
                  <w:vAlign w:val="center"/>
                </w:tcPr>
                <w:p w14:paraId="4ECD748C">
                  <w:pPr>
                    <w:pStyle w:val="2"/>
                    <w:jc w:val="center"/>
                    <w:rPr>
                      <w:rFonts w:hint="default"/>
                      <w:highlight w:val="none"/>
                      <w:lang w:val="en-US" w:eastAsia="zh-CN"/>
                    </w:rPr>
                  </w:pPr>
                  <w:r>
                    <w:rPr>
                      <w:rFonts w:hint="eastAsia"/>
                      <w:highlight w:val="none"/>
                      <w:lang w:val="en-US" w:eastAsia="zh-CN"/>
                    </w:rPr>
                    <w:t>88</w:t>
                  </w:r>
                </w:p>
              </w:tc>
              <w:tc>
                <w:tcPr>
                  <w:tcW w:w="1245" w:type="dxa"/>
                  <w:vAlign w:val="center"/>
                </w:tcPr>
                <w:p w14:paraId="114712A1">
                  <w:pPr>
                    <w:pStyle w:val="2"/>
                    <w:jc w:val="center"/>
                    <w:rPr>
                      <w:rFonts w:hint="default"/>
                      <w:highlight w:val="none"/>
                      <w:lang w:val="en-US" w:eastAsia="zh-CN"/>
                    </w:rPr>
                  </w:pPr>
                  <w:r>
                    <w:rPr>
                      <w:rFonts w:hint="eastAsia"/>
                      <w:highlight w:val="none"/>
                      <w:lang w:val="en-US" w:eastAsia="zh-CN"/>
                    </w:rPr>
                    <w:t>70</w:t>
                  </w:r>
                </w:p>
              </w:tc>
              <w:tc>
                <w:tcPr>
                  <w:tcW w:w="900" w:type="dxa"/>
                  <w:vAlign w:val="center"/>
                </w:tcPr>
                <w:p w14:paraId="1F692EDD">
                  <w:pPr>
                    <w:pStyle w:val="2"/>
                    <w:jc w:val="center"/>
                    <w:rPr>
                      <w:rFonts w:hint="default"/>
                      <w:highlight w:val="none"/>
                      <w:lang w:val="en-US" w:eastAsia="zh-CN"/>
                    </w:rPr>
                  </w:pPr>
                  <w:r>
                    <w:rPr>
                      <w:rFonts w:hint="eastAsia"/>
                      <w:highlight w:val="none"/>
                      <w:lang w:val="en-US" w:eastAsia="zh-CN"/>
                    </w:rPr>
                    <w:t>125.7</w:t>
                  </w:r>
                </w:p>
              </w:tc>
              <w:tc>
                <w:tcPr>
                  <w:tcW w:w="780" w:type="dxa"/>
                  <w:vAlign w:val="center"/>
                </w:tcPr>
                <w:p w14:paraId="5D98AF6A">
                  <w:pPr>
                    <w:pStyle w:val="2"/>
                    <w:ind w:left="0" w:leftChars="0" w:right="0" w:rightChars="0"/>
                    <w:jc w:val="center"/>
                    <w:rPr>
                      <w:rFonts w:hint="eastAsia"/>
                      <w:highlight w:val="none"/>
                      <w:lang w:val="en-US" w:eastAsia="zh-CN"/>
                    </w:rPr>
                  </w:pPr>
                  <w:r>
                    <w:rPr>
                      <w:rFonts w:hint="eastAsia"/>
                      <w:highlight w:val="none"/>
                      <w:lang w:val="en-US" w:eastAsia="zh-CN"/>
                    </w:rPr>
                    <w:t>0.26</w:t>
                  </w:r>
                </w:p>
              </w:tc>
              <w:tc>
                <w:tcPr>
                  <w:tcW w:w="904" w:type="dxa"/>
                  <w:tcBorders>
                    <w:right w:val="single" w:color="auto" w:sz="12" w:space="0"/>
                  </w:tcBorders>
                  <w:vAlign w:val="center"/>
                </w:tcPr>
                <w:p w14:paraId="3B23B814">
                  <w:pPr>
                    <w:pStyle w:val="2"/>
                    <w:jc w:val="center"/>
                    <w:rPr>
                      <w:rFonts w:hint="eastAsia"/>
                      <w:highlight w:val="none"/>
                      <w:lang w:val="en-US" w:eastAsia="zh-CN"/>
                    </w:rPr>
                  </w:pPr>
                  <w:r>
                    <w:rPr>
                      <w:rFonts w:hint="eastAsia"/>
                      <w:highlight w:val="none"/>
                      <w:lang w:val="en-US" w:eastAsia="zh-CN"/>
                    </w:rPr>
                    <w:t>不达标</w:t>
                  </w:r>
                </w:p>
              </w:tc>
            </w:tr>
            <w:tr w14:paraId="3404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0" w:type="dxa"/>
                  <w:tcBorders>
                    <w:left w:val="single" w:color="auto" w:sz="4" w:space="0"/>
                  </w:tcBorders>
                  <w:vAlign w:val="center"/>
                </w:tcPr>
                <w:p w14:paraId="19FE3321">
                  <w:pPr>
                    <w:pStyle w:val="2"/>
                    <w:ind w:left="0" w:leftChars="0" w:firstLine="0" w:firstLineChars="0"/>
                    <w:jc w:val="center"/>
                    <w:rPr>
                      <w:rFonts w:hint="eastAsia"/>
                      <w:highlight w:val="none"/>
                      <w:lang w:val="en-US" w:eastAsia="zh-CN"/>
                    </w:rPr>
                  </w:pPr>
                  <w:r>
                    <w:rPr>
                      <w:rFonts w:hint="eastAsia"/>
                      <w:highlight w:val="none"/>
                    </w:rPr>
                    <w:t>PM2.5</w:t>
                  </w:r>
                </w:p>
              </w:tc>
              <w:tc>
                <w:tcPr>
                  <w:tcW w:w="2040" w:type="dxa"/>
                  <w:vAlign w:val="center"/>
                </w:tcPr>
                <w:p w14:paraId="6FFA17D8">
                  <w:pPr>
                    <w:pStyle w:val="2"/>
                    <w:jc w:val="center"/>
                    <w:rPr>
                      <w:rFonts w:hint="eastAsia"/>
                      <w:highlight w:val="none"/>
                      <w:lang w:val="en-US" w:eastAsia="zh-CN"/>
                    </w:rPr>
                  </w:pPr>
                  <w:r>
                    <w:rPr>
                      <w:rFonts w:hint="eastAsia"/>
                      <w:highlight w:val="none"/>
                      <w:lang w:val="en-US" w:eastAsia="zh-CN"/>
                    </w:rPr>
                    <w:t>年平均质量浓度</w:t>
                  </w:r>
                </w:p>
              </w:tc>
              <w:tc>
                <w:tcPr>
                  <w:tcW w:w="1185" w:type="dxa"/>
                  <w:vAlign w:val="center"/>
                </w:tcPr>
                <w:p w14:paraId="338D4EF6">
                  <w:pPr>
                    <w:pStyle w:val="2"/>
                    <w:jc w:val="center"/>
                    <w:rPr>
                      <w:rFonts w:hint="default"/>
                      <w:highlight w:val="none"/>
                      <w:lang w:val="en-US" w:eastAsia="zh-CN"/>
                    </w:rPr>
                  </w:pPr>
                  <w:r>
                    <w:rPr>
                      <w:rFonts w:hint="eastAsia"/>
                      <w:highlight w:val="none"/>
                      <w:lang w:val="en-US" w:eastAsia="zh-CN"/>
                    </w:rPr>
                    <w:t>49</w:t>
                  </w:r>
                </w:p>
              </w:tc>
              <w:tc>
                <w:tcPr>
                  <w:tcW w:w="1245" w:type="dxa"/>
                  <w:vAlign w:val="center"/>
                </w:tcPr>
                <w:p w14:paraId="387D034E">
                  <w:pPr>
                    <w:pStyle w:val="2"/>
                    <w:jc w:val="center"/>
                    <w:rPr>
                      <w:rFonts w:hint="default"/>
                      <w:highlight w:val="none"/>
                      <w:lang w:val="en-US" w:eastAsia="zh-CN"/>
                    </w:rPr>
                  </w:pPr>
                  <w:r>
                    <w:rPr>
                      <w:rFonts w:hint="eastAsia"/>
                      <w:highlight w:val="none"/>
                      <w:lang w:val="en-US" w:eastAsia="zh-CN"/>
                    </w:rPr>
                    <w:t>35</w:t>
                  </w:r>
                </w:p>
              </w:tc>
              <w:tc>
                <w:tcPr>
                  <w:tcW w:w="900" w:type="dxa"/>
                  <w:vAlign w:val="center"/>
                </w:tcPr>
                <w:p w14:paraId="145176A5">
                  <w:pPr>
                    <w:pStyle w:val="2"/>
                    <w:jc w:val="center"/>
                    <w:rPr>
                      <w:rFonts w:hint="default"/>
                      <w:highlight w:val="none"/>
                      <w:lang w:val="en-US" w:eastAsia="zh-CN"/>
                    </w:rPr>
                  </w:pPr>
                  <w:r>
                    <w:rPr>
                      <w:rFonts w:hint="eastAsia"/>
                      <w:highlight w:val="none"/>
                      <w:lang w:val="en-US" w:eastAsia="zh-CN"/>
                    </w:rPr>
                    <w:t>140.0</w:t>
                  </w:r>
                </w:p>
              </w:tc>
              <w:tc>
                <w:tcPr>
                  <w:tcW w:w="780" w:type="dxa"/>
                  <w:vAlign w:val="center"/>
                </w:tcPr>
                <w:p w14:paraId="553347A6">
                  <w:pPr>
                    <w:pStyle w:val="2"/>
                    <w:ind w:left="0" w:leftChars="0" w:right="0" w:rightChars="0"/>
                    <w:jc w:val="center"/>
                    <w:rPr>
                      <w:rFonts w:hint="eastAsia"/>
                      <w:highlight w:val="none"/>
                      <w:lang w:val="en-US" w:eastAsia="zh-CN"/>
                    </w:rPr>
                  </w:pPr>
                  <w:r>
                    <w:rPr>
                      <w:rFonts w:hint="eastAsia"/>
                      <w:highlight w:val="none"/>
                      <w:lang w:val="en-US" w:eastAsia="zh-CN"/>
                    </w:rPr>
                    <w:t>0.4</w:t>
                  </w:r>
                </w:p>
              </w:tc>
              <w:tc>
                <w:tcPr>
                  <w:tcW w:w="904" w:type="dxa"/>
                  <w:tcBorders>
                    <w:right w:val="single" w:color="auto" w:sz="12" w:space="0"/>
                  </w:tcBorders>
                  <w:vAlign w:val="center"/>
                </w:tcPr>
                <w:p w14:paraId="10B2A11A">
                  <w:pPr>
                    <w:pStyle w:val="2"/>
                    <w:jc w:val="center"/>
                    <w:rPr>
                      <w:rFonts w:hint="eastAsia"/>
                      <w:highlight w:val="none"/>
                      <w:lang w:val="en-US" w:eastAsia="zh-CN"/>
                    </w:rPr>
                  </w:pPr>
                  <w:r>
                    <w:rPr>
                      <w:rFonts w:hint="eastAsia"/>
                      <w:highlight w:val="none"/>
                      <w:lang w:val="en-US" w:eastAsia="zh-CN"/>
                    </w:rPr>
                    <w:t>不达标</w:t>
                  </w:r>
                </w:p>
              </w:tc>
            </w:tr>
            <w:tr w14:paraId="6EEE1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0" w:type="dxa"/>
                  <w:tcBorders>
                    <w:left w:val="single" w:color="auto" w:sz="4" w:space="0"/>
                  </w:tcBorders>
                  <w:vAlign w:val="center"/>
                </w:tcPr>
                <w:p w14:paraId="305D0670">
                  <w:pPr>
                    <w:pStyle w:val="2"/>
                    <w:jc w:val="center"/>
                    <w:rPr>
                      <w:rFonts w:hint="default"/>
                      <w:highlight w:val="none"/>
                      <w:lang w:val="en-US" w:eastAsia="zh-CN"/>
                    </w:rPr>
                  </w:pPr>
                  <w:r>
                    <w:rPr>
                      <w:rFonts w:hint="eastAsia"/>
                      <w:highlight w:val="none"/>
                      <w:lang w:val="en-US" w:eastAsia="zh-CN"/>
                    </w:rPr>
                    <w:t>CO</w:t>
                  </w:r>
                </w:p>
              </w:tc>
              <w:tc>
                <w:tcPr>
                  <w:tcW w:w="2040" w:type="dxa"/>
                  <w:vAlign w:val="center"/>
                </w:tcPr>
                <w:p w14:paraId="1DBAC23F">
                  <w:pPr>
                    <w:pStyle w:val="2"/>
                    <w:jc w:val="center"/>
                    <w:rPr>
                      <w:rFonts w:hint="default"/>
                      <w:highlight w:val="none"/>
                      <w:lang w:val="en-US" w:eastAsia="zh-CN"/>
                    </w:rPr>
                  </w:pPr>
                  <w:r>
                    <w:rPr>
                      <w:rFonts w:hint="eastAsia"/>
                      <w:highlight w:val="none"/>
                      <w:lang w:val="en-US" w:eastAsia="zh-CN"/>
                    </w:rPr>
                    <w:t>24小时平均第95位百分位数</w:t>
                  </w:r>
                </w:p>
              </w:tc>
              <w:tc>
                <w:tcPr>
                  <w:tcW w:w="1185" w:type="dxa"/>
                  <w:vAlign w:val="center"/>
                </w:tcPr>
                <w:p w14:paraId="2A16BC7C">
                  <w:pPr>
                    <w:pStyle w:val="2"/>
                    <w:jc w:val="center"/>
                    <w:rPr>
                      <w:rFonts w:hint="default"/>
                      <w:highlight w:val="none"/>
                      <w:lang w:val="en-US" w:eastAsia="zh-CN"/>
                    </w:rPr>
                  </w:pPr>
                  <w:r>
                    <w:rPr>
                      <w:rFonts w:hint="eastAsia"/>
                      <w:highlight w:val="none"/>
                      <w:lang w:val="en-US" w:eastAsia="zh-CN"/>
                    </w:rPr>
                    <w:t>2500</w:t>
                  </w:r>
                </w:p>
              </w:tc>
              <w:tc>
                <w:tcPr>
                  <w:tcW w:w="1245" w:type="dxa"/>
                  <w:vAlign w:val="center"/>
                </w:tcPr>
                <w:p w14:paraId="2BC424E5">
                  <w:pPr>
                    <w:pStyle w:val="2"/>
                    <w:jc w:val="center"/>
                    <w:rPr>
                      <w:rFonts w:hint="default"/>
                      <w:highlight w:val="none"/>
                      <w:lang w:val="en-US" w:eastAsia="zh-CN"/>
                    </w:rPr>
                  </w:pPr>
                  <w:r>
                    <w:rPr>
                      <w:rFonts w:hint="eastAsia"/>
                      <w:highlight w:val="none"/>
                      <w:lang w:val="en-US" w:eastAsia="zh-CN"/>
                    </w:rPr>
                    <w:t>4000</w:t>
                  </w:r>
                </w:p>
              </w:tc>
              <w:tc>
                <w:tcPr>
                  <w:tcW w:w="900" w:type="dxa"/>
                  <w:vAlign w:val="center"/>
                </w:tcPr>
                <w:p w14:paraId="60C7DB83">
                  <w:pPr>
                    <w:pStyle w:val="2"/>
                    <w:jc w:val="center"/>
                    <w:rPr>
                      <w:rFonts w:hint="default"/>
                      <w:highlight w:val="none"/>
                      <w:lang w:val="en-US" w:eastAsia="zh-CN"/>
                    </w:rPr>
                  </w:pPr>
                  <w:r>
                    <w:rPr>
                      <w:rFonts w:hint="eastAsia"/>
                      <w:highlight w:val="none"/>
                      <w:lang w:val="en-US" w:eastAsia="zh-CN"/>
                    </w:rPr>
                    <w:t>62.5</w:t>
                  </w:r>
                </w:p>
              </w:tc>
              <w:tc>
                <w:tcPr>
                  <w:tcW w:w="780" w:type="dxa"/>
                  <w:vAlign w:val="center"/>
                </w:tcPr>
                <w:p w14:paraId="3F15DE41">
                  <w:pPr>
                    <w:pStyle w:val="2"/>
                    <w:ind w:left="0" w:leftChars="0" w:right="0" w:rightChars="0"/>
                    <w:jc w:val="center"/>
                    <w:rPr>
                      <w:rFonts w:hint="eastAsia"/>
                      <w:highlight w:val="none"/>
                      <w:lang w:val="en-US" w:eastAsia="zh-CN"/>
                    </w:rPr>
                  </w:pPr>
                  <w:r>
                    <w:rPr>
                      <w:rFonts w:hint="eastAsia"/>
                      <w:highlight w:val="none"/>
                      <w:lang w:val="en-US" w:eastAsia="zh-CN"/>
                    </w:rPr>
                    <w:t>-</w:t>
                  </w:r>
                </w:p>
              </w:tc>
              <w:tc>
                <w:tcPr>
                  <w:tcW w:w="904" w:type="dxa"/>
                  <w:tcBorders>
                    <w:right w:val="single" w:color="auto" w:sz="12" w:space="0"/>
                  </w:tcBorders>
                  <w:vAlign w:val="center"/>
                </w:tcPr>
                <w:p w14:paraId="0CF6638C">
                  <w:pPr>
                    <w:pStyle w:val="2"/>
                    <w:jc w:val="center"/>
                    <w:rPr>
                      <w:rFonts w:hint="eastAsia"/>
                      <w:highlight w:val="none"/>
                      <w:lang w:val="en-US" w:eastAsia="zh-CN"/>
                    </w:rPr>
                  </w:pPr>
                  <w:r>
                    <w:rPr>
                      <w:rFonts w:hint="eastAsia"/>
                      <w:highlight w:val="none"/>
                      <w:lang w:val="en-US" w:eastAsia="zh-CN"/>
                    </w:rPr>
                    <w:t>达标</w:t>
                  </w:r>
                </w:p>
              </w:tc>
            </w:tr>
            <w:tr w14:paraId="436B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20" w:type="dxa"/>
                  <w:tcBorders>
                    <w:left w:val="single" w:color="auto" w:sz="4" w:space="0"/>
                    <w:bottom w:val="single" w:color="auto" w:sz="12" w:space="0"/>
                  </w:tcBorders>
                  <w:vAlign w:val="center"/>
                </w:tcPr>
                <w:p w14:paraId="260C7217">
                  <w:pPr>
                    <w:pStyle w:val="2"/>
                    <w:jc w:val="center"/>
                    <w:rPr>
                      <w:rFonts w:hint="default"/>
                      <w:highlight w:val="none"/>
                      <w:lang w:val="en-US" w:eastAsia="zh-CN"/>
                    </w:rPr>
                  </w:pPr>
                  <w:r>
                    <w:rPr>
                      <w:rFonts w:hint="eastAsia"/>
                      <w:highlight w:val="none"/>
                      <w:lang w:val="en-US" w:eastAsia="zh-CN"/>
                    </w:rPr>
                    <w:t>O</w:t>
                  </w:r>
                  <w:r>
                    <w:rPr>
                      <w:rFonts w:hint="eastAsia"/>
                      <w:highlight w:val="none"/>
                      <w:vertAlign w:val="subscript"/>
                      <w:lang w:val="en-US" w:eastAsia="zh-CN"/>
                    </w:rPr>
                    <w:t>3</w:t>
                  </w:r>
                </w:p>
              </w:tc>
              <w:tc>
                <w:tcPr>
                  <w:tcW w:w="2040" w:type="dxa"/>
                  <w:tcBorders>
                    <w:bottom w:val="single" w:color="auto" w:sz="12" w:space="0"/>
                  </w:tcBorders>
                  <w:vAlign w:val="center"/>
                </w:tcPr>
                <w:p w14:paraId="0906C05B">
                  <w:pPr>
                    <w:pStyle w:val="2"/>
                    <w:jc w:val="center"/>
                    <w:rPr>
                      <w:rFonts w:hint="eastAsia"/>
                      <w:highlight w:val="none"/>
                      <w:lang w:val="en-US" w:eastAsia="zh-CN"/>
                    </w:rPr>
                  </w:pPr>
                  <w:r>
                    <w:rPr>
                      <w:rFonts w:hint="eastAsia"/>
                      <w:highlight w:val="none"/>
                      <w:lang w:val="en-US" w:eastAsia="zh-CN"/>
                    </w:rPr>
                    <w:t>8小时平均第95位百分位数</w:t>
                  </w:r>
                </w:p>
              </w:tc>
              <w:tc>
                <w:tcPr>
                  <w:tcW w:w="1185" w:type="dxa"/>
                  <w:tcBorders>
                    <w:bottom w:val="single" w:color="auto" w:sz="12" w:space="0"/>
                  </w:tcBorders>
                  <w:vAlign w:val="center"/>
                </w:tcPr>
                <w:p w14:paraId="7274B0B2">
                  <w:pPr>
                    <w:pStyle w:val="2"/>
                    <w:jc w:val="center"/>
                    <w:rPr>
                      <w:rFonts w:hint="default"/>
                      <w:highlight w:val="none"/>
                      <w:lang w:val="en-US" w:eastAsia="zh-CN"/>
                    </w:rPr>
                  </w:pPr>
                  <w:r>
                    <w:rPr>
                      <w:rFonts w:hint="eastAsia"/>
                      <w:highlight w:val="none"/>
                      <w:lang w:val="en-US" w:eastAsia="zh-CN"/>
                    </w:rPr>
                    <w:t>182</w:t>
                  </w:r>
                </w:p>
              </w:tc>
              <w:tc>
                <w:tcPr>
                  <w:tcW w:w="1245" w:type="dxa"/>
                  <w:tcBorders>
                    <w:bottom w:val="single" w:color="auto" w:sz="12" w:space="0"/>
                  </w:tcBorders>
                  <w:vAlign w:val="center"/>
                </w:tcPr>
                <w:p w14:paraId="600CDF77">
                  <w:pPr>
                    <w:pStyle w:val="2"/>
                    <w:jc w:val="center"/>
                    <w:rPr>
                      <w:rFonts w:hint="default"/>
                      <w:highlight w:val="none"/>
                      <w:lang w:val="en-US" w:eastAsia="zh-CN"/>
                    </w:rPr>
                  </w:pPr>
                  <w:r>
                    <w:rPr>
                      <w:rFonts w:hint="eastAsia"/>
                      <w:highlight w:val="none"/>
                      <w:lang w:val="en-US" w:eastAsia="zh-CN"/>
                    </w:rPr>
                    <w:t>160</w:t>
                  </w:r>
                </w:p>
              </w:tc>
              <w:tc>
                <w:tcPr>
                  <w:tcW w:w="900" w:type="dxa"/>
                  <w:tcBorders>
                    <w:bottom w:val="single" w:color="auto" w:sz="12" w:space="0"/>
                  </w:tcBorders>
                  <w:vAlign w:val="center"/>
                </w:tcPr>
                <w:p w14:paraId="39424379">
                  <w:pPr>
                    <w:pStyle w:val="2"/>
                    <w:jc w:val="center"/>
                    <w:rPr>
                      <w:rFonts w:hint="default"/>
                      <w:highlight w:val="none"/>
                      <w:lang w:val="en-US" w:eastAsia="zh-CN"/>
                    </w:rPr>
                  </w:pPr>
                  <w:r>
                    <w:rPr>
                      <w:rFonts w:hint="eastAsia"/>
                      <w:highlight w:val="none"/>
                      <w:lang w:val="en-US" w:eastAsia="zh-CN"/>
                    </w:rPr>
                    <w:t>113.75</w:t>
                  </w:r>
                </w:p>
              </w:tc>
              <w:tc>
                <w:tcPr>
                  <w:tcW w:w="780" w:type="dxa"/>
                  <w:tcBorders>
                    <w:bottom w:val="single" w:color="auto" w:sz="12" w:space="0"/>
                  </w:tcBorders>
                  <w:vAlign w:val="center"/>
                </w:tcPr>
                <w:p w14:paraId="120C115B">
                  <w:pPr>
                    <w:pStyle w:val="2"/>
                    <w:ind w:left="0" w:leftChars="0" w:right="0" w:rightChars="0"/>
                    <w:jc w:val="center"/>
                    <w:rPr>
                      <w:rFonts w:hint="eastAsia"/>
                      <w:highlight w:val="none"/>
                      <w:lang w:val="en-US" w:eastAsia="zh-CN"/>
                    </w:rPr>
                  </w:pPr>
                  <w:r>
                    <w:rPr>
                      <w:rFonts w:hint="eastAsia"/>
                      <w:highlight w:val="none"/>
                      <w:lang w:val="en-US" w:eastAsia="zh-CN"/>
                    </w:rPr>
                    <w:t>0.14</w:t>
                  </w:r>
                </w:p>
              </w:tc>
              <w:tc>
                <w:tcPr>
                  <w:tcW w:w="904" w:type="dxa"/>
                  <w:tcBorders>
                    <w:bottom w:val="single" w:color="auto" w:sz="12" w:space="0"/>
                    <w:right w:val="single" w:color="auto" w:sz="12" w:space="0"/>
                  </w:tcBorders>
                  <w:vAlign w:val="center"/>
                </w:tcPr>
                <w:p w14:paraId="475F3BAD">
                  <w:pPr>
                    <w:pStyle w:val="2"/>
                    <w:jc w:val="center"/>
                    <w:rPr>
                      <w:rFonts w:hint="eastAsia"/>
                      <w:highlight w:val="none"/>
                      <w:lang w:val="en-US" w:eastAsia="zh-CN"/>
                    </w:rPr>
                  </w:pPr>
                  <w:r>
                    <w:rPr>
                      <w:rFonts w:hint="eastAsia"/>
                      <w:highlight w:val="none"/>
                      <w:lang w:val="en-US" w:eastAsia="zh-CN"/>
                    </w:rPr>
                    <w:t>不达标</w:t>
                  </w:r>
                </w:p>
              </w:tc>
            </w:tr>
          </w:tbl>
          <w:p w14:paraId="433821ED">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outlineLvl w:val="1"/>
              <w:rPr>
                <w:rFonts w:hint="eastAsia"/>
                <w:color w:val="auto"/>
                <w:kern w:val="24"/>
                <w:sz w:val="21"/>
                <w:szCs w:val="21"/>
                <w:highlight w:val="none"/>
                <w:lang w:val="en-US" w:eastAsia="zh-CN"/>
              </w:rPr>
            </w:pPr>
            <w:r>
              <w:rPr>
                <w:rFonts w:hint="eastAsia"/>
                <w:color w:val="auto"/>
                <w:kern w:val="24"/>
                <w:sz w:val="21"/>
                <w:szCs w:val="21"/>
                <w:highlight w:val="none"/>
                <w:lang w:val="en-US" w:eastAsia="zh-CN"/>
              </w:rPr>
              <w:t>根据公报结果，项目区域（唐山市）为环境空气质量不达标区，不达标因子为NO</w:t>
            </w:r>
            <w:r>
              <w:rPr>
                <w:rFonts w:hint="eastAsia"/>
                <w:color w:val="auto"/>
                <w:kern w:val="24"/>
                <w:sz w:val="21"/>
                <w:szCs w:val="21"/>
                <w:highlight w:val="none"/>
                <w:vertAlign w:val="subscript"/>
                <w:lang w:val="en-US" w:eastAsia="zh-CN"/>
              </w:rPr>
              <w:t>2</w:t>
            </w:r>
            <w:r>
              <w:rPr>
                <w:rFonts w:hint="eastAsia"/>
                <w:color w:val="auto"/>
                <w:kern w:val="24"/>
                <w:sz w:val="21"/>
                <w:szCs w:val="21"/>
                <w:highlight w:val="none"/>
                <w:lang w:val="en-US" w:eastAsia="zh-CN"/>
              </w:rPr>
              <w:t>、PM10、PM2. 5、O</w:t>
            </w:r>
            <w:r>
              <w:rPr>
                <w:rFonts w:hint="eastAsia"/>
                <w:color w:val="auto"/>
                <w:kern w:val="24"/>
                <w:sz w:val="21"/>
                <w:szCs w:val="21"/>
                <w:highlight w:val="none"/>
                <w:vertAlign w:val="subscript"/>
                <w:lang w:val="en-US" w:eastAsia="zh-CN"/>
              </w:rPr>
              <w:t>3</w:t>
            </w:r>
            <w:r>
              <w:rPr>
                <w:rFonts w:hint="eastAsia"/>
                <w:color w:val="auto"/>
                <w:kern w:val="24"/>
                <w:sz w:val="21"/>
                <w:szCs w:val="21"/>
                <w:highlight w:val="none"/>
                <w:lang w:val="en-US" w:eastAsia="zh-CN"/>
              </w:rPr>
              <w:t>。</w:t>
            </w:r>
          </w:p>
          <w:p w14:paraId="2D830A88">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outlineLvl w:val="1"/>
              <w:rPr>
                <w:rFonts w:hint="eastAsia"/>
                <w:color w:val="auto"/>
                <w:kern w:val="24"/>
                <w:sz w:val="21"/>
                <w:szCs w:val="21"/>
                <w:highlight w:val="none"/>
                <w:lang w:val="en-US" w:eastAsia="zh-CN"/>
              </w:rPr>
            </w:pPr>
            <w:r>
              <w:rPr>
                <w:rFonts w:hint="eastAsia"/>
                <w:color w:val="auto"/>
                <w:kern w:val="24"/>
                <w:sz w:val="21"/>
                <w:szCs w:val="21"/>
                <w:highlight w:val="none"/>
                <w:lang w:val="en-US" w:eastAsia="zh-CN"/>
              </w:rPr>
              <w:t>（2）特征因子环境质量现状</w:t>
            </w:r>
          </w:p>
          <w:p w14:paraId="1FED4CCA">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outlineLvl w:val="1"/>
              <w:rPr>
                <w:rFonts w:hint="eastAsia"/>
                <w:color w:val="auto"/>
                <w:kern w:val="24"/>
                <w:sz w:val="21"/>
                <w:szCs w:val="21"/>
                <w:highlight w:val="none"/>
                <w:lang w:val="en-US" w:eastAsia="zh-CN"/>
              </w:rPr>
            </w:pPr>
            <w:r>
              <w:rPr>
                <w:rFonts w:hint="eastAsia"/>
                <w:color w:val="auto"/>
                <w:kern w:val="24"/>
                <w:sz w:val="21"/>
                <w:szCs w:val="21"/>
                <w:highlight w:val="none"/>
                <w:lang w:val="en-US" w:eastAsia="zh-CN"/>
              </w:rPr>
              <w:t>本项目TSP现状补充检测引用《唐山荣川实业集团有限公司烤漆房扩建安装及污水处理设备安装项目》中环境质量现状检测数据中荣川集团空气质量检测数据，检测时间为 2020年7月29日-8月4日，连续检测7天。根据《建设项目环境影响报告表编制技术指南（污染影响类）（试行）》要求，特征污染物可引用建设项目周边5千米范围内近3年的现有检测数据，荣川集团位于本项目东南侧2.6km，检测时间为2020年。因此，本项目引用此检测数据是可行的。检测数据如下。</w:t>
            </w:r>
          </w:p>
          <w:p w14:paraId="466A2DD2">
            <w:pPr>
              <w:pStyle w:val="2"/>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表</w:t>
            </w:r>
            <w:r>
              <w:rPr>
                <w:rFonts w:hint="eastAsia" w:ascii="宋体" w:hAnsi="宋体" w:cs="宋体"/>
                <w:b/>
                <w:bCs/>
                <w:sz w:val="21"/>
                <w:szCs w:val="21"/>
                <w:highlight w:val="none"/>
                <w:lang w:val="en-US" w:eastAsia="zh-CN"/>
              </w:rPr>
              <w:t>3-2</w:t>
            </w:r>
            <w:r>
              <w:rPr>
                <w:rFonts w:hint="eastAsia" w:ascii="宋体" w:hAnsi="宋体" w:eastAsia="宋体" w:cs="宋体"/>
                <w:b/>
                <w:bCs/>
                <w:sz w:val="21"/>
                <w:szCs w:val="21"/>
                <w:highlight w:val="none"/>
              </w:rPr>
              <w:t xml:space="preserve">  环境空气现状</w:t>
            </w:r>
            <w:r>
              <w:rPr>
                <w:rFonts w:hint="eastAsia"/>
                <w:b/>
                <w:bCs/>
                <w:color w:val="auto"/>
                <w:highlight w:val="none"/>
                <w:lang w:val="en-US" w:eastAsia="zh-CN"/>
              </w:rPr>
              <w:t>检测</w:t>
            </w:r>
            <w:r>
              <w:rPr>
                <w:rFonts w:hint="eastAsia" w:ascii="宋体" w:hAnsi="宋体" w:eastAsia="宋体" w:cs="宋体"/>
                <w:b/>
                <w:bCs/>
                <w:sz w:val="21"/>
                <w:szCs w:val="21"/>
                <w:highlight w:val="none"/>
              </w:rPr>
              <w:t>值评价结果汇总表</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60"/>
              <w:gridCol w:w="1451"/>
              <w:gridCol w:w="1087"/>
              <w:gridCol w:w="1438"/>
              <w:gridCol w:w="1062"/>
              <w:gridCol w:w="1329"/>
              <w:gridCol w:w="516"/>
            </w:tblGrid>
            <w:tr w14:paraId="57FF7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667" w:type="pct"/>
                  <w:tcBorders>
                    <w:top w:val="single" w:color="auto" w:sz="12" w:space="0"/>
                    <w:left w:val="single" w:color="auto" w:sz="12" w:space="0"/>
                    <w:bottom w:val="single" w:color="auto" w:sz="4" w:space="0"/>
                    <w:right w:val="single" w:color="auto" w:sz="4" w:space="0"/>
                  </w:tcBorders>
                  <w:noWrap w:val="0"/>
                  <w:vAlign w:val="center"/>
                </w:tcPr>
                <w:p w14:paraId="7B3D55BE">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污染物</w:t>
                  </w:r>
                  <w:r>
                    <w:rPr>
                      <w:rFonts w:hint="eastAsia" w:ascii="宋体" w:hAnsi="宋体" w:eastAsia="宋体" w:cs="宋体"/>
                      <w:sz w:val="21"/>
                      <w:szCs w:val="21"/>
                      <w:highlight w:val="none"/>
                    </w:rPr>
                    <w:cr/>
                  </w:r>
                  <w:r>
                    <w:rPr>
                      <w:rFonts w:hint="eastAsia" w:ascii="宋体" w:hAnsi="宋体" w:eastAsia="宋体" w:cs="宋体"/>
                      <w:sz w:val="21"/>
                      <w:szCs w:val="21"/>
                      <w:highlight w:val="none"/>
                    </w:rPr>
                    <w:t>称</w:t>
                  </w:r>
                </w:p>
              </w:tc>
              <w:tc>
                <w:tcPr>
                  <w:tcW w:w="913" w:type="pct"/>
                  <w:tcBorders>
                    <w:top w:val="single" w:color="auto" w:sz="12" w:space="0"/>
                    <w:left w:val="single" w:color="auto" w:sz="4" w:space="0"/>
                    <w:bottom w:val="single" w:color="auto" w:sz="4" w:space="0"/>
                    <w:right w:val="single" w:color="auto" w:sz="4" w:space="0"/>
                  </w:tcBorders>
                  <w:noWrap w:val="0"/>
                  <w:vAlign w:val="center"/>
                </w:tcPr>
                <w:p w14:paraId="75989773">
                  <w:pPr>
                    <w:spacing w:line="280" w:lineRule="exact"/>
                    <w:jc w:val="center"/>
                    <w:rPr>
                      <w:rFonts w:hint="eastAsia" w:ascii="宋体" w:hAnsi="宋体" w:eastAsia="宋体" w:cs="宋体"/>
                      <w:sz w:val="21"/>
                      <w:szCs w:val="21"/>
                      <w:highlight w:val="none"/>
                    </w:rPr>
                  </w:pPr>
                  <w:r>
                    <w:rPr>
                      <w:rFonts w:hint="eastAsia"/>
                      <w:highlight w:val="none"/>
                      <w:lang w:val="en-US" w:eastAsia="zh-CN"/>
                    </w:rPr>
                    <w:t>检测</w:t>
                  </w:r>
                  <w:r>
                    <w:rPr>
                      <w:rFonts w:hint="eastAsia" w:ascii="宋体" w:hAnsi="宋体" w:eastAsia="宋体" w:cs="宋体"/>
                      <w:sz w:val="21"/>
                      <w:szCs w:val="21"/>
                      <w:highlight w:val="none"/>
                    </w:rPr>
                    <w:t>点名称</w:t>
                  </w:r>
                </w:p>
              </w:tc>
              <w:tc>
                <w:tcPr>
                  <w:tcW w:w="684" w:type="pct"/>
                  <w:tcBorders>
                    <w:top w:val="single" w:color="auto" w:sz="12" w:space="0"/>
                    <w:left w:val="single" w:color="auto" w:sz="4" w:space="0"/>
                    <w:bottom w:val="single" w:color="auto" w:sz="4" w:space="0"/>
                    <w:right w:val="single" w:color="auto" w:sz="4" w:space="0"/>
                  </w:tcBorders>
                  <w:noWrap w:val="0"/>
                  <w:vAlign w:val="center"/>
                </w:tcPr>
                <w:p w14:paraId="11093F44">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类别</w:t>
                  </w:r>
                </w:p>
              </w:tc>
              <w:tc>
                <w:tcPr>
                  <w:tcW w:w="905" w:type="pct"/>
                  <w:tcBorders>
                    <w:top w:val="single" w:color="auto" w:sz="12" w:space="0"/>
                    <w:left w:val="single" w:color="auto" w:sz="4" w:space="0"/>
                    <w:bottom w:val="single" w:color="auto" w:sz="4" w:space="0"/>
                    <w:right w:val="single" w:color="auto" w:sz="4" w:space="0"/>
                  </w:tcBorders>
                  <w:noWrap w:val="0"/>
                  <w:vAlign w:val="center"/>
                </w:tcPr>
                <w:p w14:paraId="7CD25C58">
                  <w:pPr>
                    <w:spacing w:line="280" w:lineRule="exact"/>
                    <w:jc w:val="center"/>
                    <w:rPr>
                      <w:rFonts w:hint="eastAsia" w:ascii="宋体" w:hAnsi="宋体" w:eastAsia="宋体" w:cs="宋体"/>
                      <w:sz w:val="21"/>
                      <w:szCs w:val="21"/>
                      <w:highlight w:val="none"/>
                    </w:rPr>
                  </w:pPr>
                  <w:r>
                    <w:rPr>
                      <w:rFonts w:hint="eastAsia"/>
                      <w:highlight w:val="none"/>
                      <w:lang w:val="en-US" w:eastAsia="zh-CN"/>
                    </w:rPr>
                    <w:t>检测</w:t>
                  </w:r>
                  <w:r>
                    <w:rPr>
                      <w:rFonts w:hint="eastAsia" w:ascii="宋体" w:hAnsi="宋体" w:eastAsia="宋体" w:cs="宋体"/>
                      <w:sz w:val="21"/>
                      <w:szCs w:val="21"/>
                      <w:highlight w:val="none"/>
                    </w:rPr>
                    <w:t>值</w:t>
                  </w:r>
                </w:p>
                <w:p w14:paraId="69159A38">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(mg/m</w:t>
                  </w:r>
                  <w:r>
                    <w:rPr>
                      <w:rFonts w:hint="eastAsia" w:ascii="宋体" w:hAnsi="宋体" w:eastAsia="宋体" w:cs="宋体"/>
                      <w:sz w:val="21"/>
                      <w:szCs w:val="21"/>
                      <w:highlight w:val="none"/>
                      <w:vertAlign w:val="superscript"/>
                    </w:rPr>
                    <w:t>3</w:t>
                  </w:r>
                  <w:r>
                    <w:rPr>
                      <w:rFonts w:hint="eastAsia" w:ascii="宋体" w:hAnsi="宋体" w:eastAsia="宋体" w:cs="宋体"/>
                      <w:sz w:val="21"/>
                      <w:szCs w:val="21"/>
                      <w:highlight w:val="none"/>
                    </w:rPr>
                    <w:t>)</w:t>
                  </w:r>
                </w:p>
              </w:tc>
              <w:tc>
                <w:tcPr>
                  <w:tcW w:w="669" w:type="pct"/>
                  <w:tcBorders>
                    <w:top w:val="single" w:color="auto" w:sz="12" w:space="0"/>
                    <w:left w:val="single" w:color="auto" w:sz="4" w:space="0"/>
                    <w:bottom w:val="single" w:color="auto" w:sz="4" w:space="0"/>
                    <w:right w:val="single" w:color="auto" w:sz="4" w:space="0"/>
                  </w:tcBorders>
                  <w:noWrap w:val="0"/>
                  <w:vAlign w:val="center"/>
                </w:tcPr>
                <w:p w14:paraId="22545D25">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标准值</w:t>
                  </w:r>
                </w:p>
                <w:p w14:paraId="473FEFFB">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(mg/m</w:t>
                  </w:r>
                  <w:r>
                    <w:rPr>
                      <w:rFonts w:hint="eastAsia" w:ascii="宋体" w:hAnsi="宋体" w:eastAsia="宋体" w:cs="宋体"/>
                      <w:sz w:val="21"/>
                      <w:szCs w:val="21"/>
                      <w:highlight w:val="none"/>
                      <w:vertAlign w:val="superscript"/>
                    </w:rPr>
                    <w:t>3</w:t>
                  </w:r>
                  <w:r>
                    <w:rPr>
                      <w:rFonts w:hint="eastAsia" w:ascii="宋体" w:hAnsi="宋体" w:eastAsia="宋体" w:cs="宋体"/>
                      <w:sz w:val="21"/>
                      <w:szCs w:val="21"/>
                      <w:highlight w:val="none"/>
                    </w:rPr>
                    <w:t>)</w:t>
                  </w:r>
                </w:p>
              </w:tc>
              <w:tc>
                <w:tcPr>
                  <w:tcW w:w="836" w:type="pct"/>
                  <w:tcBorders>
                    <w:top w:val="single" w:color="auto" w:sz="12" w:space="0"/>
                    <w:left w:val="single" w:color="auto" w:sz="4" w:space="0"/>
                    <w:bottom w:val="single" w:color="auto" w:sz="4" w:space="0"/>
                    <w:right w:val="single" w:color="auto" w:sz="4" w:space="0"/>
                  </w:tcBorders>
                  <w:noWrap w:val="0"/>
                  <w:vAlign w:val="center"/>
                </w:tcPr>
                <w:p w14:paraId="4F378A64">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标准指数</w:t>
                  </w:r>
                </w:p>
              </w:tc>
              <w:tc>
                <w:tcPr>
                  <w:tcW w:w="324" w:type="pct"/>
                  <w:tcBorders>
                    <w:top w:val="single" w:color="auto" w:sz="12" w:space="0"/>
                    <w:left w:val="single" w:color="auto" w:sz="4" w:space="0"/>
                    <w:bottom w:val="single" w:color="auto" w:sz="4" w:space="0"/>
                    <w:right w:val="single" w:color="auto" w:sz="12" w:space="0"/>
                  </w:tcBorders>
                  <w:noWrap w:val="0"/>
                  <w:vAlign w:val="center"/>
                </w:tcPr>
                <w:p w14:paraId="65ECB77C">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达标情况</w:t>
                  </w:r>
                </w:p>
              </w:tc>
            </w:tr>
            <w:tr w14:paraId="75FF66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425" w:hRule="atLeast"/>
                <w:jc w:val="center"/>
              </w:trPr>
              <w:tc>
                <w:tcPr>
                  <w:tcW w:w="667" w:type="pct"/>
                  <w:tcBorders>
                    <w:top w:val="single" w:color="auto" w:sz="4" w:space="0"/>
                    <w:left w:val="single" w:color="auto" w:sz="12" w:space="0"/>
                    <w:bottom w:val="single" w:color="auto" w:sz="12" w:space="0"/>
                    <w:right w:val="single" w:color="auto" w:sz="4" w:space="0"/>
                  </w:tcBorders>
                  <w:noWrap w:val="0"/>
                  <w:vAlign w:val="center"/>
                </w:tcPr>
                <w:p w14:paraId="44B72E7C">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TSP</w:t>
                  </w:r>
                </w:p>
              </w:tc>
              <w:tc>
                <w:tcPr>
                  <w:tcW w:w="913" w:type="pct"/>
                  <w:tcBorders>
                    <w:top w:val="single" w:color="auto" w:sz="4" w:space="0"/>
                    <w:left w:val="single" w:color="auto" w:sz="4" w:space="0"/>
                    <w:bottom w:val="single" w:color="auto" w:sz="12" w:space="0"/>
                    <w:right w:val="single" w:color="auto" w:sz="4" w:space="0"/>
                  </w:tcBorders>
                  <w:noWrap w:val="0"/>
                  <w:vAlign w:val="center"/>
                </w:tcPr>
                <w:p w14:paraId="5181789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荣川集团院内</w:t>
                  </w:r>
                </w:p>
              </w:tc>
              <w:tc>
                <w:tcPr>
                  <w:tcW w:w="684" w:type="pct"/>
                  <w:tcBorders>
                    <w:top w:val="single" w:color="auto" w:sz="4" w:space="0"/>
                    <w:left w:val="single" w:color="auto" w:sz="4" w:space="0"/>
                    <w:bottom w:val="single" w:color="auto" w:sz="12" w:space="0"/>
                    <w:right w:val="single" w:color="auto" w:sz="4" w:space="0"/>
                  </w:tcBorders>
                  <w:noWrap w:val="0"/>
                  <w:vAlign w:val="center"/>
                </w:tcPr>
                <w:p w14:paraId="5C4B458C">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24小时平均</w:t>
                  </w:r>
                </w:p>
              </w:tc>
              <w:tc>
                <w:tcPr>
                  <w:tcW w:w="905" w:type="pct"/>
                  <w:tcBorders>
                    <w:top w:val="single" w:color="auto" w:sz="4" w:space="0"/>
                    <w:left w:val="single" w:color="auto" w:sz="4" w:space="0"/>
                    <w:bottom w:val="single" w:color="auto" w:sz="12" w:space="0"/>
                    <w:right w:val="single" w:color="auto" w:sz="4" w:space="0"/>
                  </w:tcBorders>
                  <w:noWrap w:val="0"/>
                  <w:vAlign w:val="center"/>
                </w:tcPr>
                <w:p w14:paraId="507B5F57">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0.105～0.248</w:t>
                  </w:r>
                </w:p>
              </w:tc>
              <w:tc>
                <w:tcPr>
                  <w:tcW w:w="669" w:type="pct"/>
                  <w:tcBorders>
                    <w:top w:val="single" w:color="auto" w:sz="4" w:space="0"/>
                    <w:left w:val="single" w:color="auto" w:sz="4" w:space="0"/>
                    <w:bottom w:val="single" w:color="auto" w:sz="12" w:space="0"/>
                    <w:right w:val="single" w:color="auto" w:sz="4" w:space="0"/>
                  </w:tcBorders>
                  <w:noWrap w:val="0"/>
                  <w:vAlign w:val="center"/>
                </w:tcPr>
                <w:p w14:paraId="1F51407A">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w:t>
                  </w:r>
                </w:p>
              </w:tc>
              <w:tc>
                <w:tcPr>
                  <w:tcW w:w="836" w:type="pct"/>
                  <w:tcBorders>
                    <w:top w:val="single" w:color="auto" w:sz="4" w:space="0"/>
                    <w:left w:val="single" w:color="auto" w:sz="4" w:space="0"/>
                    <w:bottom w:val="single" w:color="auto" w:sz="12" w:space="0"/>
                    <w:right w:val="single" w:color="auto" w:sz="4" w:space="0"/>
                  </w:tcBorders>
                  <w:noWrap w:val="0"/>
                  <w:vAlign w:val="center"/>
                </w:tcPr>
                <w:p w14:paraId="1F804223">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0.35～0.827</w:t>
                  </w:r>
                </w:p>
              </w:tc>
              <w:tc>
                <w:tcPr>
                  <w:tcW w:w="324" w:type="pct"/>
                  <w:tcBorders>
                    <w:top w:val="single" w:color="auto" w:sz="4" w:space="0"/>
                    <w:left w:val="single" w:color="auto" w:sz="4" w:space="0"/>
                    <w:bottom w:val="single" w:color="auto" w:sz="12" w:space="0"/>
                    <w:right w:val="single" w:color="auto" w:sz="12" w:space="0"/>
                  </w:tcBorders>
                  <w:noWrap w:val="0"/>
                  <w:vAlign w:val="center"/>
                </w:tcPr>
                <w:p w14:paraId="4ED940FD">
                  <w:pPr>
                    <w:spacing w:line="2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达标</w:t>
                  </w:r>
                </w:p>
              </w:tc>
            </w:tr>
          </w:tbl>
          <w:p w14:paraId="48C93592">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outlineLvl w:val="1"/>
              <w:rPr>
                <w:rFonts w:hint="eastAsia"/>
                <w:color w:val="auto"/>
                <w:kern w:val="24"/>
                <w:sz w:val="21"/>
                <w:szCs w:val="21"/>
                <w:highlight w:val="none"/>
                <w:lang w:val="en-US" w:eastAsia="zh-CN"/>
              </w:rPr>
            </w:pPr>
            <w:r>
              <w:rPr>
                <w:rFonts w:hint="eastAsia"/>
                <w:color w:val="auto"/>
                <w:kern w:val="24"/>
                <w:sz w:val="21"/>
                <w:szCs w:val="21"/>
                <w:highlight w:val="none"/>
                <w:lang w:val="en-US" w:eastAsia="zh-CN"/>
              </w:rPr>
              <w:t>检测期间检测点TSP的24小时平均浓度标满足《环境空气质量标准》（GB3095-2012）中的二级标准值及修改单。</w:t>
            </w:r>
          </w:p>
          <w:p w14:paraId="653E5937">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outlineLvl w:val="1"/>
              <w:rPr>
                <w:rFonts w:hint="eastAsia"/>
                <w:color w:val="auto"/>
                <w:kern w:val="24"/>
                <w:sz w:val="21"/>
                <w:szCs w:val="21"/>
                <w:highlight w:val="none"/>
                <w:lang w:val="en-US" w:eastAsia="zh-CN"/>
              </w:rPr>
            </w:pPr>
            <w:r>
              <w:rPr>
                <w:rFonts w:hint="eastAsia"/>
                <w:color w:val="auto"/>
                <w:kern w:val="24"/>
                <w:sz w:val="21"/>
                <w:szCs w:val="21"/>
                <w:highlight w:val="none"/>
                <w:lang w:val="en-US" w:eastAsia="zh-CN"/>
              </w:rPr>
              <w:t>二、地表水环境</w:t>
            </w:r>
          </w:p>
          <w:p w14:paraId="782587B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color w:val="auto"/>
                <w:kern w:val="24"/>
                <w:sz w:val="21"/>
                <w:szCs w:val="21"/>
                <w:highlight w:val="none"/>
                <w:lang w:val="en-US" w:eastAsia="zh-CN"/>
              </w:rPr>
              <w:t>距本项目</w:t>
            </w:r>
            <w:r>
              <w:rPr>
                <w:rFonts w:hint="eastAsia" w:ascii="宋体" w:hAnsi="宋体" w:eastAsia="宋体" w:cs="宋体"/>
                <w:color w:val="auto"/>
                <w:kern w:val="24"/>
                <w:sz w:val="21"/>
                <w:szCs w:val="21"/>
                <w:highlight w:val="none"/>
                <w:lang w:val="zh-CN" w:eastAsia="zh-CN"/>
              </w:rPr>
              <w:t>生态保护红线最近的位置是位于项目</w:t>
            </w:r>
            <w:r>
              <w:rPr>
                <w:rFonts w:hint="eastAsia" w:ascii="宋体" w:hAnsi="宋体" w:eastAsia="宋体" w:cs="宋体"/>
                <w:color w:val="auto"/>
                <w:kern w:val="24"/>
                <w:sz w:val="21"/>
                <w:szCs w:val="21"/>
                <w:highlight w:val="none"/>
                <w:lang w:val="en-US" w:eastAsia="zh-CN"/>
              </w:rPr>
              <w:t>东侧陡河，距离为10.7km，本评价引用《2020年唐山市环境状况公报》中数据，</w:t>
            </w:r>
            <w:r>
              <w:rPr>
                <w:rFonts w:hint="eastAsia" w:ascii="宋体" w:hAnsi="宋体" w:eastAsia="宋体" w:cs="宋体"/>
                <w:sz w:val="21"/>
                <w:szCs w:val="21"/>
                <w:highlight w:val="none"/>
                <w:lang w:val="en-US" w:eastAsia="zh-CN"/>
              </w:rPr>
              <w:t>陡河国控断面、省控断面为陡河的涧河口断面和还乡河的丰北闸断面。按照《地表水环境质量标准》GB3838-2002）进行监测，监测频次每月1次，全年共监测12次，监测项目25项，按照《地表水环境质量标准》（GB3838-2002）进行评价，评价方法采用单因子评价法进行，根据监测结果，涧河口断面为Ⅳ类水质断面，丰北闸断面为Ⅳ类水质断面，水质达标率达到100%。</w:t>
            </w:r>
          </w:p>
          <w:p w14:paraId="0D8C4024">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outlineLvl w:val="1"/>
              <w:rPr>
                <w:rFonts w:hint="eastAsia"/>
                <w:color w:val="auto"/>
                <w:kern w:val="24"/>
                <w:sz w:val="21"/>
                <w:szCs w:val="21"/>
                <w:highlight w:val="none"/>
                <w:lang w:val="en-US" w:eastAsia="zh-CN"/>
              </w:rPr>
            </w:pPr>
            <w:r>
              <w:rPr>
                <w:rFonts w:hint="eastAsia"/>
                <w:color w:val="auto"/>
                <w:kern w:val="24"/>
                <w:sz w:val="21"/>
                <w:szCs w:val="21"/>
                <w:highlight w:val="none"/>
                <w:lang w:val="en-US" w:eastAsia="zh-CN"/>
              </w:rPr>
              <w:t>三、声环境</w:t>
            </w:r>
          </w:p>
          <w:p w14:paraId="612C7114">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outlineLvl w:val="1"/>
              <w:rPr>
                <w:rFonts w:hint="eastAsia"/>
                <w:color w:val="auto"/>
                <w:kern w:val="24"/>
                <w:sz w:val="21"/>
                <w:szCs w:val="21"/>
                <w:highlight w:val="none"/>
                <w:lang w:val="en-US" w:eastAsia="zh-CN"/>
              </w:rPr>
            </w:pPr>
            <w:r>
              <w:rPr>
                <w:rFonts w:hint="eastAsia"/>
                <w:color w:val="auto"/>
                <w:kern w:val="24"/>
                <w:sz w:val="21"/>
                <w:szCs w:val="21"/>
                <w:highlight w:val="none"/>
                <w:lang w:val="en-US" w:eastAsia="zh-CN"/>
              </w:rPr>
              <w:t>本项目周围50m范围内无声环境保护目标，</w:t>
            </w:r>
            <w:r>
              <w:rPr>
                <w:rFonts w:hint="eastAsia"/>
                <w:highlight w:val="none"/>
                <w:lang w:val="en-US" w:eastAsia="zh-CN"/>
              </w:rPr>
              <w:t>故本次无需检测声环境质</w:t>
            </w:r>
            <w:r>
              <w:rPr>
                <w:rFonts w:hint="eastAsia" w:ascii="Times New Roman" w:hAnsi="Times New Roman" w:eastAsia="宋体" w:cs="Times New Roman"/>
                <w:highlight w:val="none"/>
                <w:lang w:val="en-US" w:eastAsia="zh-CN"/>
              </w:rPr>
              <w:t>量现状</w:t>
            </w:r>
            <w:r>
              <w:rPr>
                <w:rFonts w:hint="eastAsia"/>
                <w:color w:val="auto"/>
                <w:kern w:val="24"/>
                <w:sz w:val="21"/>
                <w:szCs w:val="21"/>
                <w:highlight w:val="none"/>
                <w:lang w:val="en-US" w:eastAsia="zh-CN"/>
              </w:rPr>
              <w:t>。</w:t>
            </w:r>
          </w:p>
          <w:p w14:paraId="74E2B681">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outlineLvl w:val="1"/>
              <w:rPr>
                <w:rFonts w:hint="eastAsia"/>
                <w:color w:val="auto"/>
                <w:kern w:val="24"/>
                <w:sz w:val="21"/>
                <w:szCs w:val="21"/>
                <w:highlight w:val="none"/>
                <w:lang w:val="en-US" w:eastAsia="zh-CN"/>
              </w:rPr>
            </w:pPr>
            <w:r>
              <w:rPr>
                <w:rFonts w:hint="eastAsia"/>
                <w:color w:val="auto"/>
                <w:kern w:val="24"/>
                <w:sz w:val="21"/>
                <w:szCs w:val="21"/>
                <w:highlight w:val="none"/>
                <w:lang w:val="en-US" w:eastAsia="zh-CN"/>
              </w:rPr>
              <w:t>四、生态环境</w:t>
            </w:r>
          </w:p>
          <w:p w14:paraId="1B161D31">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outlineLvl w:val="1"/>
              <w:rPr>
                <w:rFonts w:hint="eastAsia"/>
                <w:color w:val="auto"/>
                <w:kern w:val="24"/>
                <w:sz w:val="21"/>
                <w:szCs w:val="21"/>
                <w:highlight w:val="none"/>
                <w:lang w:val="en-US" w:eastAsia="zh-CN"/>
              </w:rPr>
            </w:pPr>
            <w:r>
              <w:rPr>
                <w:rFonts w:hint="eastAsia"/>
                <w:color w:val="auto"/>
                <w:kern w:val="24"/>
                <w:sz w:val="21"/>
                <w:szCs w:val="21"/>
                <w:highlight w:val="none"/>
                <w:lang w:val="en-US" w:eastAsia="zh-CN"/>
              </w:rPr>
              <w:t>本项目在现有车间内进行生产，不新增占地，不需要进行生态现状调查。</w:t>
            </w:r>
          </w:p>
          <w:p w14:paraId="55C24350">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outlineLvl w:val="1"/>
              <w:rPr>
                <w:rFonts w:hint="eastAsia"/>
                <w:color w:val="auto"/>
                <w:kern w:val="24"/>
                <w:sz w:val="21"/>
                <w:szCs w:val="21"/>
                <w:highlight w:val="none"/>
                <w:lang w:val="en-US" w:eastAsia="zh-CN"/>
              </w:rPr>
            </w:pPr>
            <w:r>
              <w:rPr>
                <w:rFonts w:hint="eastAsia"/>
                <w:color w:val="auto"/>
                <w:kern w:val="24"/>
                <w:sz w:val="21"/>
                <w:szCs w:val="21"/>
                <w:highlight w:val="none"/>
                <w:lang w:val="en-US" w:eastAsia="zh-CN"/>
              </w:rPr>
              <w:t>五、电磁辐射</w:t>
            </w:r>
          </w:p>
          <w:p w14:paraId="43AB7961">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outlineLvl w:val="1"/>
              <w:rPr>
                <w:rFonts w:hint="eastAsia"/>
                <w:color w:val="auto"/>
                <w:kern w:val="24"/>
                <w:sz w:val="21"/>
                <w:szCs w:val="21"/>
                <w:highlight w:val="none"/>
                <w:lang w:val="en-US" w:eastAsia="zh-CN"/>
              </w:rPr>
            </w:pPr>
            <w:r>
              <w:rPr>
                <w:rFonts w:hint="eastAsia"/>
                <w:color w:val="auto"/>
                <w:kern w:val="24"/>
                <w:sz w:val="21"/>
                <w:szCs w:val="21"/>
                <w:highlight w:val="none"/>
                <w:lang w:val="en-US" w:eastAsia="zh-CN"/>
              </w:rPr>
              <w:t>本项目不涉及电磁辐射。</w:t>
            </w:r>
          </w:p>
          <w:p w14:paraId="59FD396B">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outlineLvl w:val="1"/>
              <w:rPr>
                <w:rFonts w:hint="eastAsia"/>
                <w:color w:val="auto"/>
                <w:kern w:val="24"/>
                <w:sz w:val="21"/>
                <w:szCs w:val="21"/>
                <w:highlight w:val="none"/>
                <w:lang w:val="en-US" w:eastAsia="zh-CN"/>
              </w:rPr>
            </w:pPr>
            <w:r>
              <w:rPr>
                <w:rFonts w:hint="eastAsia"/>
                <w:color w:val="auto"/>
                <w:kern w:val="24"/>
                <w:sz w:val="21"/>
                <w:szCs w:val="21"/>
                <w:highlight w:val="none"/>
                <w:lang w:val="en-US" w:eastAsia="zh-CN"/>
              </w:rPr>
              <w:t>六、地下水、土壤环境</w:t>
            </w:r>
          </w:p>
          <w:p w14:paraId="39FE5FDB">
            <w:pPr>
              <w:keepNext w:val="0"/>
              <w:keepLines w:val="0"/>
              <w:pageBreakBefore w:val="0"/>
              <w:widowControl w:val="0"/>
              <w:kinsoku/>
              <w:wordWrap/>
              <w:overflowPunct/>
              <w:topLinePunct w:val="0"/>
              <w:autoSpaceDE w:val="0"/>
              <w:autoSpaceDN w:val="0"/>
              <w:bidi w:val="0"/>
              <w:adjustRightInd w:val="0"/>
              <w:snapToGrid w:val="0"/>
              <w:spacing w:line="400" w:lineRule="exact"/>
              <w:ind w:firstLine="420" w:firstLineChars="200"/>
              <w:textAlignment w:val="auto"/>
              <w:outlineLvl w:val="1"/>
              <w:rPr>
                <w:rFonts w:hint="eastAsia"/>
                <w:color w:val="auto"/>
                <w:kern w:val="24"/>
                <w:sz w:val="21"/>
                <w:szCs w:val="21"/>
                <w:highlight w:val="none"/>
                <w:lang w:val="en-US" w:eastAsia="zh-CN"/>
              </w:rPr>
            </w:pPr>
            <w:r>
              <w:rPr>
                <w:rFonts w:hint="eastAsia"/>
                <w:color w:val="auto"/>
                <w:kern w:val="24"/>
                <w:sz w:val="21"/>
                <w:szCs w:val="21"/>
                <w:highlight w:val="none"/>
                <w:lang w:val="en-US" w:eastAsia="zh-CN"/>
              </w:rPr>
              <w:t>本项目厂区、车间已经做好地面硬化等相关防腐防渗处理，现有工程在建设和生产过程中不会发生污染物下渗情况，无土壤、地下水污染途径，所以本次评价不再对区域地下水、土壤环境进行调查。</w:t>
            </w:r>
          </w:p>
          <w:p w14:paraId="79780E38">
            <w:pPr>
              <w:spacing w:line="240" w:lineRule="auto"/>
              <w:rPr>
                <w:highlight w:val="none"/>
              </w:rPr>
            </w:pPr>
          </w:p>
        </w:tc>
      </w:tr>
      <w:tr w14:paraId="20D001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800" w:type="dxa"/>
            <w:noWrap w:val="0"/>
            <w:vAlign w:val="center"/>
          </w:tcPr>
          <w:p w14:paraId="110BA5F5">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环境</w:t>
            </w:r>
          </w:p>
          <w:p w14:paraId="5EE422CC">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保护</w:t>
            </w:r>
          </w:p>
          <w:p w14:paraId="0DA61CE0">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目标</w:t>
            </w:r>
          </w:p>
        </w:tc>
        <w:tc>
          <w:tcPr>
            <w:tcW w:w="8190" w:type="dxa"/>
            <w:noWrap w:val="0"/>
            <w:vAlign w:val="center"/>
          </w:tcPr>
          <w:p w14:paraId="6F4A0BD2">
            <w:pPr>
              <w:pStyle w:val="2"/>
              <w:numPr>
                <w:ilvl w:val="0"/>
                <w:numId w:val="0"/>
              </w:numPr>
              <w:spacing w:line="240" w:lineRule="auto"/>
              <w:ind w:left="0" w:leftChars="0" w:right="0" w:rightChars="0" w:firstLine="420" w:firstLineChars="200"/>
              <w:rPr>
                <w:rFonts w:hint="eastAsia"/>
                <w:highlight w:val="none"/>
                <w:lang w:val="en-US" w:eastAsia="zh-CN"/>
              </w:rPr>
            </w:pPr>
          </w:p>
          <w:p w14:paraId="31F79337">
            <w:pPr>
              <w:ind w:firstLine="420" w:firstLineChars="200"/>
              <w:rPr>
                <w:rFonts w:hint="eastAsia"/>
                <w:highlight w:val="none"/>
                <w:lang w:val="en-US" w:eastAsia="zh-CN"/>
              </w:rPr>
            </w:pPr>
            <w:r>
              <w:rPr>
                <w:highlight w:val="none"/>
              </w:rPr>
              <w:t>1</w:t>
            </w:r>
            <w:r>
              <w:rPr>
                <w:rFonts w:hint="eastAsia"/>
                <w:highlight w:val="none"/>
                <w:lang w:eastAsia="zh-CN"/>
              </w:rPr>
              <w:t>、</w:t>
            </w:r>
            <w:r>
              <w:rPr>
                <w:highlight w:val="none"/>
              </w:rPr>
              <w:t>大气环境</w:t>
            </w:r>
          </w:p>
          <w:p w14:paraId="46CBF6CA">
            <w:pPr>
              <w:spacing w:line="360" w:lineRule="auto"/>
              <w:jc w:val="center"/>
              <w:rPr>
                <w:rFonts w:hint="eastAsia"/>
                <w:b/>
                <w:bCs/>
                <w:highlight w:val="none"/>
                <w:lang w:val="en-US" w:eastAsia="zh-CN"/>
              </w:rPr>
            </w:pPr>
            <w:r>
              <w:rPr>
                <w:rFonts w:hint="eastAsia"/>
                <w:b/>
                <w:bCs/>
                <w:highlight w:val="none"/>
                <w:lang w:val="en-US" w:eastAsia="zh-CN"/>
              </w:rPr>
              <w:t>表3-3  环境保护目标一览表</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574"/>
              <w:gridCol w:w="615"/>
              <w:gridCol w:w="633"/>
              <w:gridCol w:w="861"/>
              <w:gridCol w:w="962"/>
              <w:gridCol w:w="1095"/>
              <w:gridCol w:w="1125"/>
              <w:gridCol w:w="1079"/>
            </w:tblGrid>
            <w:tr w14:paraId="389DD2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5" w:hRule="atLeast"/>
              </w:trPr>
              <w:tc>
                <w:tcPr>
                  <w:tcW w:w="990" w:type="pct"/>
                  <w:vMerge w:val="restart"/>
                  <w:tcBorders>
                    <w:bottom w:val="single" w:color="auto" w:sz="4" w:space="0"/>
                    <w:right w:val="single" w:color="auto" w:sz="4" w:space="0"/>
                  </w:tcBorders>
                  <w:noWrap w:val="0"/>
                  <w:vAlign w:val="center"/>
                </w:tcPr>
                <w:p w14:paraId="2C32C111">
                  <w:pPr>
                    <w:spacing w:line="320" w:lineRule="exact"/>
                    <w:jc w:val="center"/>
                    <w:rPr>
                      <w:highlight w:val="none"/>
                    </w:rPr>
                  </w:pPr>
                  <w:r>
                    <w:rPr>
                      <w:highlight w:val="none"/>
                    </w:rPr>
                    <w:t>名称</w:t>
                  </w:r>
                </w:p>
              </w:tc>
              <w:tc>
                <w:tcPr>
                  <w:tcW w:w="786" w:type="pct"/>
                  <w:gridSpan w:val="2"/>
                  <w:tcBorders>
                    <w:left w:val="single" w:color="auto" w:sz="4" w:space="0"/>
                    <w:bottom w:val="single" w:color="auto" w:sz="4" w:space="0"/>
                    <w:right w:val="single" w:color="auto" w:sz="4" w:space="0"/>
                  </w:tcBorders>
                  <w:noWrap w:val="0"/>
                  <w:vAlign w:val="center"/>
                </w:tcPr>
                <w:p w14:paraId="17452FEB">
                  <w:pPr>
                    <w:spacing w:line="320" w:lineRule="exact"/>
                    <w:jc w:val="center"/>
                    <w:rPr>
                      <w:rFonts w:hint="default"/>
                      <w:highlight w:val="none"/>
                      <w:lang w:val="en-US" w:eastAsia="zh-CN"/>
                    </w:rPr>
                  </w:pPr>
                  <w:r>
                    <w:rPr>
                      <w:highlight w:val="none"/>
                    </w:rPr>
                    <w:t>坐标</w:t>
                  </w:r>
                  <w:r>
                    <w:rPr>
                      <w:rFonts w:hint="eastAsia"/>
                      <w:highlight w:val="none"/>
                      <w:lang w:val="en-US" w:eastAsia="zh-CN"/>
                    </w:rPr>
                    <w:t>/m</w:t>
                  </w:r>
                </w:p>
              </w:tc>
              <w:tc>
                <w:tcPr>
                  <w:tcW w:w="541" w:type="pct"/>
                  <w:vMerge w:val="restart"/>
                  <w:tcBorders>
                    <w:left w:val="single" w:color="auto" w:sz="4" w:space="0"/>
                    <w:bottom w:val="single" w:color="auto" w:sz="4" w:space="0"/>
                    <w:right w:val="single" w:color="auto" w:sz="4" w:space="0"/>
                  </w:tcBorders>
                  <w:noWrap w:val="0"/>
                  <w:vAlign w:val="center"/>
                </w:tcPr>
                <w:p w14:paraId="657EB60B">
                  <w:pPr>
                    <w:jc w:val="center"/>
                    <w:rPr>
                      <w:highlight w:val="none"/>
                    </w:rPr>
                  </w:pPr>
                  <w:r>
                    <w:rPr>
                      <w:rFonts w:hint="eastAsia"/>
                      <w:highlight w:val="none"/>
                      <w:lang w:val="en-US" w:eastAsia="zh-CN"/>
                    </w:rPr>
                    <w:t>保护对象</w:t>
                  </w:r>
                </w:p>
              </w:tc>
              <w:tc>
                <w:tcPr>
                  <w:tcW w:w="605" w:type="pct"/>
                  <w:vMerge w:val="restart"/>
                  <w:tcBorders>
                    <w:left w:val="single" w:color="auto" w:sz="4" w:space="0"/>
                    <w:bottom w:val="single" w:color="auto" w:sz="4" w:space="0"/>
                    <w:right w:val="single" w:color="auto" w:sz="4" w:space="0"/>
                  </w:tcBorders>
                  <w:noWrap w:val="0"/>
                  <w:vAlign w:val="center"/>
                </w:tcPr>
                <w:p w14:paraId="31B8B226">
                  <w:pPr>
                    <w:jc w:val="center"/>
                    <w:rPr>
                      <w:highlight w:val="none"/>
                    </w:rPr>
                  </w:pPr>
                  <w:r>
                    <w:rPr>
                      <w:rFonts w:hint="eastAsia"/>
                      <w:highlight w:val="none"/>
                      <w:lang w:val="en-US" w:eastAsia="zh-CN"/>
                    </w:rPr>
                    <w:t>人口数/人</w:t>
                  </w:r>
                </w:p>
              </w:tc>
              <w:tc>
                <w:tcPr>
                  <w:tcW w:w="689" w:type="pct"/>
                  <w:vMerge w:val="restart"/>
                  <w:tcBorders>
                    <w:left w:val="single" w:color="auto" w:sz="4" w:space="0"/>
                    <w:bottom w:val="single" w:color="auto" w:sz="4" w:space="0"/>
                    <w:right w:val="single" w:color="auto" w:sz="4" w:space="0"/>
                  </w:tcBorders>
                  <w:noWrap w:val="0"/>
                  <w:vAlign w:val="center"/>
                </w:tcPr>
                <w:p w14:paraId="52574F99">
                  <w:pPr>
                    <w:jc w:val="center"/>
                    <w:rPr>
                      <w:highlight w:val="none"/>
                    </w:rPr>
                  </w:pPr>
                  <w:r>
                    <w:rPr>
                      <w:rFonts w:hint="eastAsia"/>
                      <w:highlight w:val="none"/>
                      <w:lang w:val="en-US" w:eastAsia="zh-CN"/>
                    </w:rPr>
                    <w:t>环境功能区</w:t>
                  </w:r>
                </w:p>
              </w:tc>
              <w:tc>
                <w:tcPr>
                  <w:tcW w:w="708" w:type="pct"/>
                  <w:vMerge w:val="restart"/>
                  <w:tcBorders>
                    <w:left w:val="single" w:color="auto" w:sz="4" w:space="0"/>
                    <w:bottom w:val="single" w:color="auto" w:sz="4" w:space="0"/>
                    <w:right w:val="single" w:color="auto" w:sz="4" w:space="0"/>
                  </w:tcBorders>
                  <w:noWrap w:val="0"/>
                  <w:vAlign w:val="center"/>
                </w:tcPr>
                <w:p w14:paraId="534FE21D">
                  <w:pPr>
                    <w:jc w:val="center"/>
                    <w:rPr>
                      <w:highlight w:val="none"/>
                    </w:rPr>
                  </w:pPr>
                  <w:r>
                    <w:rPr>
                      <w:rFonts w:hint="eastAsia"/>
                      <w:highlight w:val="none"/>
                      <w:lang w:val="en-US" w:eastAsia="zh-CN"/>
                    </w:rPr>
                    <w:t>相对厂址方位</w:t>
                  </w:r>
                </w:p>
              </w:tc>
              <w:tc>
                <w:tcPr>
                  <w:tcW w:w="679" w:type="pct"/>
                  <w:vMerge w:val="restart"/>
                  <w:tcBorders>
                    <w:left w:val="single" w:color="auto" w:sz="4" w:space="0"/>
                    <w:bottom w:val="single" w:color="auto" w:sz="4" w:space="0"/>
                  </w:tcBorders>
                  <w:noWrap w:val="0"/>
                  <w:vAlign w:val="center"/>
                </w:tcPr>
                <w:p w14:paraId="250759AE">
                  <w:pPr>
                    <w:jc w:val="center"/>
                    <w:rPr>
                      <w:highlight w:val="none"/>
                    </w:rPr>
                  </w:pPr>
                  <w:r>
                    <w:rPr>
                      <w:rFonts w:hint="eastAsia"/>
                      <w:highlight w:val="none"/>
                      <w:lang w:val="en-US" w:eastAsia="zh-CN"/>
                    </w:rPr>
                    <w:t>相对厂界距离/m</w:t>
                  </w:r>
                </w:p>
              </w:tc>
            </w:tr>
            <w:tr w14:paraId="3EDC2A5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5" w:hRule="atLeast"/>
              </w:trPr>
              <w:tc>
                <w:tcPr>
                  <w:tcW w:w="990" w:type="pct"/>
                  <w:vMerge w:val="continue"/>
                  <w:tcBorders>
                    <w:top w:val="single" w:color="auto" w:sz="4" w:space="0"/>
                    <w:bottom w:val="single" w:color="auto" w:sz="4" w:space="0"/>
                    <w:right w:val="single" w:color="auto" w:sz="4" w:space="0"/>
                  </w:tcBorders>
                  <w:noWrap w:val="0"/>
                  <w:vAlign w:val="center"/>
                </w:tcPr>
                <w:p w14:paraId="0F5902EB">
                  <w:pPr>
                    <w:spacing w:line="320" w:lineRule="exact"/>
                    <w:jc w:val="center"/>
                    <w:rPr>
                      <w:highlight w:val="none"/>
                    </w:rPr>
                  </w:pPr>
                </w:p>
              </w:tc>
              <w:tc>
                <w:tcPr>
                  <w:tcW w:w="387" w:type="pct"/>
                  <w:tcBorders>
                    <w:top w:val="single" w:color="auto" w:sz="4" w:space="0"/>
                    <w:left w:val="single" w:color="auto" w:sz="4" w:space="0"/>
                    <w:bottom w:val="single" w:color="auto" w:sz="4" w:space="0"/>
                    <w:right w:val="single" w:color="auto" w:sz="4" w:space="0"/>
                  </w:tcBorders>
                  <w:noWrap w:val="0"/>
                  <w:vAlign w:val="center"/>
                </w:tcPr>
                <w:p w14:paraId="7695FCF0">
                  <w:pPr>
                    <w:jc w:val="center"/>
                    <w:rPr>
                      <w:highlight w:val="none"/>
                    </w:rPr>
                  </w:pPr>
                  <w:r>
                    <w:rPr>
                      <w:highlight w:val="none"/>
                    </w:rPr>
                    <w:t>X</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3CCCF1B7">
                  <w:pPr>
                    <w:jc w:val="center"/>
                    <w:rPr>
                      <w:highlight w:val="none"/>
                    </w:rPr>
                  </w:pPr>
                  <w:r>
                    <w:rPr>
                      <w:highlight w:val="none"/>
                    </w:rPr>
                    <w:t>Y</w:t>
                  </w:r>
                </w:p>
              </w:tc>
              <w:tc>
                <w:tcPr>
                  <w:tcW w:w="541" w:type="pct"/>
                  <w:vMerge w:val="continue"/>
                  <w:tcBorders>
                    <w:top w:val="single" w:color="auto" w:sz="4" w:space="0"/>
                    <w:left w:val="single" w:color="auto" w:sz="4" w:space="0"/>
                    <w:bottom w:val="single" w:color="auto" w:sz="4" w:space="0"/>
                    <w:right w:val="single" w:color="auto" w:sz="4" w:space="0"/>
                  </w:tcBorders>
                  <w:noWrap w:val="0"/>
                  <w:vAlign w:val="center"/>
                </w:tcPr>
                <w:p w14:paraId="2C0D02D1">
                  <w:pPr>
                    <w:spacing w:line="320" w:lineRule="exact"/>
                    <w:jc w:val="center"/>
                    <w:rPr>
                      <w:highlight w:val="none"/>
                    </w:rPr>
                  </w:pPr>
                </w:p>
              </w:tc>
              <w:tc>
                <w:tcPr>
                  <w:tcW w:w="605" w:type="pct"/>
                  <w:vMerge w:val="continue"/>
                  <w:tcBorders>
                    <w:top w:val="single" w:color="auto" w:sz="4" w:space="0"/>
                    <w:left w:val="single" w:color="auto" w:sz="4" w:space="0"/>
                    <w:bottom w:val="single" w:color="auto" w:sz="4" w:space="0"/>
                    <w:right w:val="single" w:color="auto" w:sz="4" w:space="0"/>
                  </w:tcBorders>
                  <w:noWrap w:val="0"/>
                  <w:vAlign w:val="center"/>
                </w:tcPr>
                <w:p w14:paraId="24F154A7">
                  <w:pPr>
                    <w:spacing w:line="320" w:lineRule="exact"/>
                    <w:jc w:val="center"/>
                    <w:rPr>
                      <w:highlight w:val="none"/>
                    </w:rPr>
                  </w:pPr>
                </w:p>
              </w:tc>
              <w:tc>
                <w:tcPr>
                  <w:tcW w:w="689" w:type="pct"/>
                  <w:vMerge w:val="continue"/>
                  <w:tcBorders>
                    <w:top w:val="single" w:color="auto" w:sz="4" w:space="0"/>
                    <w:left w:val="single" w:color="auto" w:sz="4" w:space="0"/>
                    <w:bottom w:val="single" w:color="auto" w:sz="4" w:space="0"/>
                    <w:right w:val="single" w:color="auto" w:sz="4" w:space="0"/>
                  </w:tcBorders>
                  <w:noWrap w:val="0"/>
                  <w:vAlign w:val="center"/>
                </w:tcPr>
                <w:p w14:paraId="4EDBAE2D">
                  <w:pPr>
                    <w:spacing w:line="320" w:lineRule="exact"/>
                    <w:jc w:val="center"/>
                    <w:rPr>
                      <w:highlight w:val="none"/>
                    </w:rPr>
                  </w:pPr>
                </w:p>
              </w:tc>
              <w:tc>
                <w:tcPr>
                  <w:tcW w:w="708" w:type="pct"/>
                  <w:vMerge w:val="continue"/>
                  <w:tcBorders>
                    <w:top w:val="single" w:color="auto" w:sz="4" w:space="0"/>
                    <w:left w:val="single" w:color="auto" w:sz="4" w:space="0"/>
                    <w:bottom w:val="single" w:color="auto" w:sz="4" w:space="0"/>
                    <w:right w:val="single" w:color="auto" w:sz="4" w:space="0"/>
                  </w:tcBorders>
                  <w:noWrap w:val="0"/>
                  <w:vAlign w:val="center"/>
                </w:tcPr>
                <w:p w14:paraId="575D80F3">
                  <w:pPr>
                    <w:spacing w:line="320" w:lineRule="exact"/>
                    <w:jc w:val="center"/>
                    <w:rPr>
                      <w:highlight w:val="none"/>
                    </w:rPr>
                  </w:pPr>
                </w:p>
              </w:tc>
              <w:tc>
                <w:tcPr>
                  <w:tcW w:w="679" w:type="pct"/>
                  <w:vMerge w:val="continue"/>
                  <w:tcBorders>
                    <w:top w:val="single" w:color="auto" w:sz="4" w:space="0"/>
                    <w:left w:val="single" w:color="auto" w:sz="4" w:space="0"/>
                    <w:bottom w:val="single" w:color="auto" w:sz="4" w:space="0"/>
                  </w:tcBorders>
                  <w:noWrap w:val="0"/>
                  <w:vAlign w:val="center"/>
                </w:tcPr>
                <w:p w14:paraId="678BB462">
                  <w:pPr>
                    <w:spacing w:line="320" w:lineRule="exact"/>
                    <w:jc w:val="center"/>
                    <w:rPr>
                      <w:highlight w:val="none"/>
                    </w:rPr>
                  </w:pPr>
                </w:p>
              </w:tc>
            </w:tr>
            <w:tr w14:paraId="3BB1110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5" w:hRule="atLeast"/>
              </w:trPr>
              <w:tc>
                <w:tcPr>
                  <w:tcW w:w="990" w:type="pct"/>
                  <w:tcBorders>
                    <w:top w:val="single" w:color="auto" w:sz="4" w:space="0"/>
                    <w:bottom w:val="single" w:color="auto" w:sz="4" w:space="0"/>
                    <w:right w:val="single" w:color="auto" w:sz="4" w:space="0"/>
                  </w:tcBorders>
                  <w:noWrap w:val="0"/>
                  <w:vAlign w:val="center"/>
                </w:tcPr>
                <w:p w14:paraId="3F0F18BB">
                  <w:pPr>
                    <w:spacing w:line="320" w:lineRule="exact"/>
                    <w:jc w:val="center"/>
                    <w:rPr>
                      <w:rFonts w:hint="default"/>
                      <w:highlight w:val="none"/>
                      <w:lang w:val="en-US" w:eastAsia="zh-CN"/>
                    </w:rPr>
                  </w:pPr>
                  <w:r>
                    <w:rPr>
                      <w:rFonts w:hint="eastAsia"/>
                      <w:highlight w:val="none"/>
                      <w:lang w:val="en-US" w:eastAsia="zh-CN"/>
                    </w:rPr>
                    <w:t>李官屯村</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1E58349C">
                  <w:pPr>
                    <w:jc w:val="center"/>
                    <w:rPr>
                      <w:rFonts w:hint="default"/>
                      <w:highlight w:val="none"/>
                      <w:lang w:val="en-US" w:eastAsia="zh-CN"/>
                    </w:rPr>
                  </w:pPr>
                  <w:r>
                    <w:rPr>
                      <w:rFonts w:hint="eastAsia"/>
                      <w:highlight w:val="none"/>
                      <w:lang w:val="en-US" w:eastAsia="zh-CN"/>
                    </w:rPr>
                    <w:t>300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6481BD74">
                  <w:pPr>
                    <w:jc w:val="center"/>
                    <w:rPr>
                      <w:rFonts w:hint="default"/>
                      <w:highlight w:val="none"/>
                      <w:lang w:val="en-US" w:eastAsia="zh-CN"/>
                    </w:rPr>
                  </w:pPr>
                  <w:r>
                    <w:rPr>
                      <w:rFonts w:hint="eastAsia"/>
                      <w:highlight w:val="none"/>
                      <w:lang w:val="en-US" w:eastAsia="zh-CN"/>
                    </w:rPr>
                    <w:t>0</w:t>
                  </w:r>
                </w:p>
              </w:tc>
              <w:tc>
                <w:tcPr>
                  <w:tcW w:w="541" w:type="pct"/>
                  <w:tcBorders>
                    <w:top w:val="single" w:color="auto" w:sz="4" w:space="0"/>
                    <w:left w:val="single" w:color="auto" w:sz="4" w:space="0"/>
                    <w:bottom w:val="single" w:color="auto" w:sz="4" w:space="0"/>
                    <w:right w:val="single" w:color="auto" w:sz="4" w:space="0"/>
                  </w:tcBorders>
                  <w:noWrap w:val="0"/>
                  <w:vAlign w:val="center"/>
                </w:tcPr>
                <w:p w14:paraId="6762644C">
                  <w:pPr>
                    <w:spacing w:line="320" w:lineRule="exact"/>
                    <w:jc w:val="center"/>
                    <w:rPr>
                      <w:highlight w:val="none"/>
                    </w:rPr>
                  </w:pPr>
                  <w:r>
                    <w:rPr>
                      <w:highlight w:val="none"/>
                    </w:rPr>
                    <w:t>居住区</w:t>
                  </w:r>
                </w:p>
              </w:tc>
              <w:tc>
                <w:tcPr>
                  <w:tcW w:w="605" w:type="pct"/>
                  <w:tcBorders>
                    <w:top w:val="single" w:color="auto" w:sz="4" w:space="0"/>
                    <w:left w:val="single" w:color="auto" w:sz="4" w:space="0"/>
                    <w:bottom w:val="single" w:color="auto" w:sz="4" w:space="0"/>
                    <w:right w:val="single" w:color="auto" w:sz="4" w:space="0"/>
                  </w:tcBorders>
                  <w:noWrap w:val="0"/>
                  <w:vAlign w:val="center"/>
                </w:tcPr>
                <w:p w14:paraId="4F830E76">
                  <w:pPr>
                    <w:spacing w:line="320" w:lineRule="exact"/>
                    <w:jc w:val="center"/>
                    <w:rPr>
                      <w:highlight w:val="none"/>
                    </w:rPr>
                  </w:pPr>
                  <w:r>
                    <w:rPr>
                      <w:rFonts w:hint="eastAsia"/>
                      <w:highlight w:val="none"/>
                      <w:lang w:val="en-US" w:eastAsia="zh-CN"/>
                    </w:rPr>
                    <w:t>1200</w:t>
                  </w:r>
                </w:p>
              </w:tc>
              <w:tc>
                <w:tcPr>
                  <w:tcW w:w="689" w:type="pct"/>
                  <w:tcBorders>
                    <w:top w:val="single" w:color="auto" w:sz="4" w:space="0"/>
                    <w:left w:val="single" w:color="auto" w:sz="4" w:space="0"/>
                    <w:bottom w:val="single" w:color="auto" w:sz="4" w:space="0"/>
                    <w:right w:val="single" w:color="auto" w:sz="4" w:space="0"/>
                  </w:tcBorders>
                  <w:noWrap w:val="0"/>
                  <w:vAlign w:val="center"/>
                </w:tcPr>
                <w:p w14:paraId="3E6F3A35">
                  <w:pPr>
                    <w:spacing w:line="320" w:lineRule="exact"/>
                    <w:jc w:val="center"/>
                    <w:rPr>
                      <w:highlight w:val="none"/>
                    </w:rPr>
                  </w:pPr>
                  <w:r>
                    <w:rPr>
                      <w:rFonts w:hint="eastAsia"/>
                      <w:highlight w:val="none"/>
                      <w:lang w:val="en-US" w:eastAsia="zh-CN"/>
                    </w:rPr>
                    <w:t>2类区</w:t>
                  </w:r>
                </w:p>
              </w:tc>
              <w:tc>
                <w:tcPr>
                  <w:tcW w:w="708" w:type="pct"/>
                  <w:tcBorders>
                    <w:top w:val="single" w:color="auto" w:sz="4" w:space="0"/>
                    <w:left w:val="single" w:color="auto" w:sz="4" w:space="0"/>
                    <w:bottom w:val="single" w:color="auto" w:sz="4" w:space="0"/>
                    <w:right w:val="single" w:color="auto" w:sz="4" w:space="0"/>
                  </w:tcBorders>
                  <w:noWrap w:val="0"/>
                  <w:vAlign w:val="center"/>
                </w:tcPr>
                <w:p w14:paraId="47097178">
                  <w:pPr>
                    <w:spacing w:line="320" w:lineRule="exact"/>
                    <w:jc w:val="center"/>
                    <w:rPr>
                      <w:rFonts w:hint="eastAsia"/>
                      <w:highlight w:val="none"/>
                      <w:lang w:eastAsia="zh-CN"/>
                    </w:rPr>
                  </w:pPr>
                  <w:r>
                    <w:rPr>
                      <w:rFonts w:hint="eastAsia"/>
                      <w:highlight w:val="none"/>
                      <w:lang w:val="en-US" w:eastAsia="zh-CN"/>
                    </w:rPr>
                    <w:t>W</w:t>
                  </w:r>
                </w:p>
              </w:tc>
              <w:tc>
                <w:tcPr>
                  <w:tcW w:w="679" w:type="pct"/>
                  <w:tcBorders>
                    <w:top w:val="single" w:color="auto" w:sz="4" w:space="0"/>
                    <w:left w:val="single" w:color="auto" w:sz="4" w:space="0"/>
                    <w:bottom w:val="single" w:color="auto" w:sz="4" w:space="0"/>
                  </w:tcBorders>
                  <w:noWrap w:val="0"/>
                  <w:vAlign w:val="center"/>
                </w:tcPr>
                <w:p w14:paraId="030E5FC6">
                  <w:pPr>
                    <w:jc w:val="center"/>
                    <w:rPr>
                      <w:rFonts w:hint="default"/>
                      <w:highlight w:val="none"/>
                      <w:lang w:val="en-US" w:eastAsia="zh-CN"/>
                    </w:rPr>
                  </w:pPr>
                  <w:r>
                    <w:rPr>
                      <w:rFonts w:hint="eastAsia"/>
                      <w:highlight w:val="none"/>
                      <w:lang w:val="en-US" w:eastAsia="zh-CN"/>
                    </w:rPr>
                    <w:t>300</w:t>
                  </w:r>
                </w:p>
              </w:tc>
            </w:tr>
            <w:tr w14:paraId="2C6A37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5" w:hRule="atLeast"/>
              </w:trPr>
              <w:tc>
                <w:tcPr>
                  <w:tcW w:w="990" w:type="pct"/>
                  <w:tcBorders>
                    <w:top w:val="single" w:color="auto" w:sz="4" w:space="0"/>
                    <w:bottom w:val="single" w:color="auto" w:sz="4" w:space="0"/>
                    <w:right w:val="single" w:color="auto" w:sz="4" w:space="0"/>
                  </w:tcBorders>
                  <w:noWrap w:val="0"/>
                  <w:vAlign w:val="center"/>
                </w:tcPr>
                <w:p w14:paraId="35F336DC">
                  <w:pPr>
                    <w:spacing w:line="320" w:lineRule="exact"/>
                    <w:jc w:val="center"/>
                    <w:rPr>
                      <w:rFonts w:hint="default"/>
                      <w:highlight w:val="none"/>
                      <w:lang w:val="en-US" w:eastAsia="zh-CN"/>
                    </w:rPr>
                  </w:pPr>
                  <w:r>
                    <w:rPr>
                      <w:rFonts w:hint="eastAsia"/>
                      <w:highlight w:val="none"/>
                      <w:lang w:val="en-US" w:eastAsia="zh-CN"/>
                    </w:rPr>
                    <w:t>小星星幼儿园</w:t>
                  </w:r>
                </w:p>
              </w:tc>
              <w:tc>
                <w:tcPr>
                  <w:tcW w:w="615" w:type="dxa"/>
                  <w:tcBorders>
                    <w:top w:val="single" w:color="auto" w:sz="4" w:space="0"/>
                    <w:left w:val="single" w:color="auto" w:sz="4" w:space="0"/>
                    <w:bottom w:val="single" w:color="auto" w:sz="4" w:space="0"/>
                    <w:right w:val="single" w:color="auto" w:sz="4" w:space="0"/>
                  </w:tcBorders>
                  <w:noWrap w:val="0"/>
                  <w:vAlign w:val="center"/>
                </w:tcPr>
                <w:p w14:paraId="62C5EA4E">
                  <w:pPr>
                    <w:jc w:val="center"/>
                    <w:rPr>
                      <w:rFonts w:hint="default"/>
                      <w:highlight w:val="none"/>
                      <w:lang w:val="en-US" w:eastAsia="zh-CN"/>
                    </w:rPr>
                  </w:pPr>
                  <w:r>
                    <w:rPr>
                      <w:rFonts w:hint="eastAsia"/>
                      <w:highlight w:val="none"/>
                      <w:lang w:val="en-US" w:eastAsia="zh-CN"/>
                    </w:rPr>
                    <w:t>370</w:t>
                  </w:r>
                </w:p>
              </w:tc>
              <w:tc>
                <w:tcPr>
                  <w:tcW w:w="399" w:type="pct"/>
                  <w:tcBorders>
                    <w:top w:val="single" w:color="auto" w:sz="4" w:space="0"/>
                    <w:left w:val="single" w:color="auto" w:sz="4" w:space="0"/>
                    <w:bottom w:val="single" w:color="auto" w:sz="4" w:space="0"/>
                    <w:right w:val="single" w:color="auto" w:sz="4" w:space="0"/>
                  </w:tcBorders>
                  <w:noWrap w:val="0"/>
                  <w:vAlign w:val="center"/>
                </w:tcPr>
                <w:p w14:paraId="1A283804">
                  <w:pPr>
                    <w:jc w:val="center"/>
                    <w:rPr>
                      <w:rFonts w:hint="default"/>
                      <w:highlight w:val="none"/>
                      <w:lang w:val="en-US" w:eastAsia="zh-CN"/>
                    </w:rPr>
                  </w:pPr>
                  <w:r>
                    <w:rPr>
                      <w:rFonts w:hint="eastAsia"/>
                      <w:highlight w:val="none"/>
                      <w:lang w:val="en-US" w:eastAsia="zh-CN"/>
                    </w:rPr>
                    <w:t>0</w:t>
                  </w:r>
                </w:p>
              </w:tc>
              <w:tc>
                <w:tcPr>
                  <w:tcW w:w="541" w:type="pct"/>
                  <w:tcBorders>
                    <w:top w:val="single" w:color="auto" w:sz="4" w:space="0"/>
                    <w:left w:val="single" w:color="auto" w:sz="4" w:space="0"/>
                    <w:bottom w:val="single" w:color="auto" w:sz="4" w:space="0"/>
                    <w:right w:val="single" w:color="auto" w:sz="4" w:space="0"/>
                  </w:tcBorders>
                  <w:noWrap w:val="0"/>
                  <w:vAlign w:val="center"/>
                </w:tcPr>
                <w:p w14:paraId="42A24AFF">
                  <w:pPr>
                    <w:spacing w:line="320" w:lineRule="exact"/>
                    <w:jc w:val="center"/>
                    <w:rPr>
                      <w:rFonts w:hint="eastAsia"/>
                      <w:highlight w:val="none"/>
                      <w:lang w:val="en-US" w:eastAsia="zh-CN"/>
                    </w:rPr>
                  </w:pPr>
                  <w:r>
                    <w:rPr>
                      <w:rFonts w:hint="eastAsia"/>
                      <w:highlight w:val="none"/>
                      <w:lang w:val="en-US" w:eastAsia="zh-CN"/>
                    </w:rPr>
                    <w:t>幼儿园</w:t>
                  </w:r>
                </w:p>
              </w:tc>
              <w:tc>
                <w:tcPr>
                  <w:tcW w:w="605" w:type="pct"/>
                  <w:tcBorders>
                    <w:top w:val="single" w:color="auto" w:sz="4" w:space="0"/>
                    <w:left w:val="single" w:color="auto" w:sz="4" w:space="0"/>
                    <w:bottom w:val="single" w:color="auto" w:sz="4" w:space="0"/>
                    <w:right w:val="single" w:color="auto" w:sz="4" w:space="0"/>
                  </w:tcBorders>
                  <w:noWrap w:val="0"/>
                  <w:vAlign w:val="center"/>
                </w:tcPr>
                <w:p w14:paraId="21123110">
                  <w:pPr>
                    <w:spacing w:line="320" w:lineRule="exact"/>
                    <w:jc w:val="center"/>
                    <w:rPr>
                      <w:rFonts w:hint="default"/>
                      <w:highlight w:val="none"/>
                      <w:lang w:val="en-US" w:eastAsia="zh-CN"/>
                    </w:rPr>
                  </w:pPr>
                  <w:r>
                    <w:rPr>
                      <w:rFonts w:hint="eastAsia"/>
                      <w:highlight w:val="none"/>
                      <w:lang w:val="en-US" w:eastAsia="zh-CN"/>
                    </w:rPr>
                    <w:t>100</w:t>
                  </w:r>
                </w:p>
              </w:tc>
              <w:tc>
                <w:tcPr>
                  <w:tcW w:w="689" w:type="pct"/>
                  <w:tcBorders>
                    <w:top w:val="single" w:color="auto" w:sz="4" w:space="0"/>
                    <w:left w:val="single" w:color="auto" w:sz="4" w:space="0"/>
                    <w:bottom w:val="single" w:color="auto" w:sz="4" w:space="0"/>
                    <w:right w:val="single" w:color="auto" w:sz="4" w:space="0"/>
                  </w:tcBorders>
                  <w:noWrap w:val="0"/>
                  <w:vAlign w:val="center"/>
                </w:tcPr>
                <w:p w14:paraId="4F045448">
                  <w:pPr>
                    <w:spacing w:line="320" w:lineRule="exact"/>
                    <w:jc w:val="center"/>
                    <w:rPr>
                      <w:rFonts w:hint="eastAsia"/>
                      <w:highlight w:val="none"/>
                      <w:lang w:val="en-US" w:eastAsia="zh-CN"/>
                    </w:rPr>
                  </w:pPr>
                  <w:r>
                    <w:rPr>
                      <w:rFonts w:hint="eastAsia"/>
                      <w:highlight w:val="none"/>
                      <w:lang w:val="en-US" w:eastAsia="zh-CN"/>
                    </w:rPr>
                    <w:t>2类区</w:t>
                  </w:r>
                </w:p>
              </w:tc>
              <w:tc>
                <w:tcPr>
                  <w:tcW w:w="708" w:type="pct"/>
                  <w:tcBorders>
                    <w:top w:val="single" w:color="auto" w:sz="4" w:space="0"/>
                    <w:left w:val="single" w:color="auto" w:sz="4" w:space="0"/>
                    <w:bottom w:val="single" w:color="auto" w:sz="4" w:space="0"/>
                    <w:right w:val="single" w:color="auto" w:sz="4" w:space="0"/>
                  </w:tcBorders>
                  <w:noWrap w:val="0"/>
                  <w:vAlign w:val="center"/>
                </w:tcPr>
                <w:p w14:paraId="7546E04D">
                  <w:pPr>
                    <w:spacing w:line="320" w:lineRule="exact"/>
                    <w:jc w:val="center"/>
                    <w:rPr>
                      <w:rFonts w:hint="default"/>
                      <w:highlight w:val="none"/>
                      <w:lang w:val="en-US" w:eastAsia="zh-CN"/>
                    </w:rPr>
                  </w:pPr>
                  <w:r>
                    <w:rPr>
                      <w:rFonts w:hint="eastAsia"/>
                      <w:highlight w:val="none"/>
                      <w:lang w:val="en-US" w:eastAsia="zh-CN"/>
                    </w:rPr>
                    <w:t>W</w:t>
                  </w:r>
                </w:p>
              </w:tc>
              <w:tc>
                <w:tcPr>
                  <w:tcW w:w="679" w:type="pct"/>
                  <w:tcBorders>
                    <w:top w:val="single" w:color="auto" w:sz="4" w:space="0"/>
                    <w:left w:val="single" w:color="auto" w:sz="4" w:space="0"/>
                    <w:bottom w:val="single" w:color="auto" w:sz="4" w:space="0"/>
                  </w:tcBorders>
                  <w:noWrap w:val="0"/>
                  <w:vAlign w:val="center"/>
                </w:tcPr>
                <w:p w14:paraId="09369B63">
                  <w:pPr>
                    <w:jc w:val="center"/>
                    <w:rPr>
                      <w:rFonts w:hint="eastAsia"/>
                      <w:highlight w:val="none"/>
                      <w:lang w:val="en-US" w:eastAsia="zh-CN"/>
                    </w:rPr>
                  </w:pPr>
                  <w:r>
                    <w:rPr>
                      <w:rFonts w:hint="eastAsia"/>
                      <w:highlight w:val="none"/>
                      <w:lang w:val="en-US" w:eastAsia="zh-CN"/>
                    </w:rPr>
                    <w:t>370</w:t>
                  </w:r>
                </w:p>
              </w:tc>
            </w:tr>
            <w:tr w14:paraId="2BFD9F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5" w:hRule="atLeast"/>
              </w:trPr>
              <w:tc>
                <w:tcPr>
                  <w:tcW w:w="990" w:type="pct"/>
                  <w:tcBorders>
                    <w:top w:val="single" w:color="auto" w:sz="4" w:space="0"/>
                    <w:right w:val="single" w:color="auto" w:sz="4" w:space="0"/>
                  </w:tcBorders>
                  <w:noWrap w:val="0"/>
                  <w:vAlign w:val="center"/>
                </w:tcPr>
                <w:p w14:paraId="10A93AC9">
                  <w:pPr>
                    <w:spacing w:line="320" w:lineRule="exact"/>
                    <w:jc w:val="center"/>
                    <w:rPr>
                      <w:rFonts w:hint="default"/>
                      <w:highlight w:val="none"/>
                      <w:lang w:val="en-US" w:eastAsia="zh-CN"/>
                    </w:rPr>
                  </w:pPr>
                  <w:r>
                    <w:rPr>
                      <w:rFonts w:hint="eastAsia"/>
                      <w:highlight w:val="none"/>
                      <w:lang w:val="en-US" w:eastAsia="zh-CN"/>
                    </w:rPr>
                    <w:t>大张刘村</w:t>
                  </w:r>
                </w:p>
              </w:tc>
              <w:tc>
                <w:tcPr>
                  <w:tcW w:w="387" w:type="pct"/>
                  <w:tcBorders>
                    <w:top w:val="single" w:color="auto" w:sz="4" w:space="0"/>
                    <w:left w:val="single" w:color="auto" w:sz="4" w:space="0"/>
                    <w:right w:val="single" w:color="auto" w:sz="4" w:space="0"/>
                  </w:tcBorders>
                  <w:noWrap w:val="0"/>
                  <w:vAlign w:val="center"/>
                </w:tcPr>
                <w:p w14:paraId="754FC5CD">
                  <w:pPr>
                    <w:jc w:val="center"/>
                    <w:rPr>
                      <w:rFonts w:hint="default"/>
                      <w:highlight w:val="none"/>
                      <w:lang w:val="en-US" w:eastAsia="zh-CN"/>
                    </w:rPr>
                  </w:pPr>
                  <w:r>
                    <w:rPr>
                      <w:rFonts w:hint="eastAsia"/>
                      <w:highlight w:val="none"/>
                      <w:lang w:val="en-US" w:eastAsia="zh-CN"/>
                    </w:rPr>
                    <w:t>0</w:t>
                  </w:r>
                </w:p>
              </w:tc>
              <w:tc>
                <w:tcPr>
                  <w:tcW w:w="399" w:type="pct"/>
                  <w:tcBorders>
                    <w:top w:val="single" w:color="auto" w:sz="4" w:space="0"/>
                    <w:left w:val="single" w:color="auto" w:sz="4" w:space="0"/>
                    <w:right w:val="single" w:color="auto" w:sz="4" w:space="0"/>
                  </w:tcBorders>
                  <w:noWrap w:val="0"/>
                  <w:vAlign w:val="center"/>
                </w:tcPr>
                <w:p w14:paraId="03509FC9">
                  <w:pPr>
                    <w:jc w:val="center"/>
                    <w:rPr>
                      <w:rFonts w:hint="default"/>
                      <w:highlight w:val="none"/>
                      <w:lang w:val="en-US" w:eastAsia="zh-CN"/>
                    </w:rPr>
                  </w:pPr>
                  <w:r>
                    <w:rPr>
                      <w:rFonts w:hint="eastAsia"/>
                      <w:highlight w:val="none"/>
                      <w:lang w:val="en-US" w:eastAsia="zh-CN"/>
                    </w:rPr>
                    <w:t>500</w:t>
                  </w:r>
                </w:p>
              </w:tc>
              <w:tc>
                <w:tcPr>
                  <w:tcW w:w="541" w:type="pct"/>
                  <w:tcBorders>
                    <w:top w:val="single" w:color="auto" w:sz="4" w:space="0"/>
                    <w:left w:val="single" w:color="auto" w:sz="4" w:space="0"/>
                    <w:right w:val="single" w:color="auto" w:sz="4" w:space="0"/>
                  </w:tcBorders>
                  <w:noWrap w:val="0"/>
                  <w:vAlign w:val="center"/>
                </w:tcPr>
                <w:p w14:paraId="7EB39275">
                  <w:pPr>
                    <w:spacing w:line="320" w:lineRule="exact"/>
                    <w:jc w:val="center"/>
                    <w:rPr>
                      <w:rFonts w:hint="eastAsia"/>
                      <w:highlight w:val="none"/>
                      <w:lang w:val="en-US" w:eastAsia="zh-CN"/>
                    </w:rPr>
                  </w:pPr>
                  <w:r>
                    <w:rPr>
                      <w:highlight w:val="none"/>
                    </w:rPr>
                    <w:t>居住区</w:t>
                  </w:r>
                </w:p>
              </w:tc>
              <w:tc>
                <w:tcPr>
                  <w:tcW w:w="605" w:type="pct"/>
                  <w:tcBorders>
                    <w:top w:val="single" w:color="auto" w:sz="4" w:space="0"/>
                    <w:left w:val="single" w:color="auto" w:sz="4" w:space="0"/>
                    <w:right w:val="single" w:color="auto" w:sz="4" w:space="0"/>
                  </w:tcBorders>
                  <w:noWrap w:val="0"/>
                  <w:vAlign w:val="center"/>
                </w:tcPr>
                <w:p w14:paraId="4590DFF7">
                  <w:pPr>
                    <w:spacing w:line="320" w:lineRule="exact"/>
                    <w:jc w:val="center"/>
                    <w:rPr>
                      <w:rFonts w:hint="default"/>
                      <w:highlight w:val="none"/>
                      <w:lang w:val="en-US" w:eastAsia="zh-CN"/>
                    </w:rPr>
                  </w:pPr>
                  <w:r>
                    <w:rPr>
                      <w:rFonts w:hint="eastAsia"/>
                      <w:highlight w:val="none"/>
                      <w:lang w:val="en-US" w:eastAsia="zh-CN"/>
                    </w:rPr>
                    <w:t>1280</w:t>
                  </w:r>
                </w:p>
              </w:tc>
              <w:tc>
                <w:tcPr>
                  <w:tcW w:w="689" w:type="pct"/>
                  <w:tcBorders>
                    <w:top w:val="single" w:color="auto" w:sz="4" w:space="0"/>
                    <w:left w:val="single" w:color="auto" w:sz="4" w:space="0"/>
                    <w:right w:val="single" w:color="auto" w:sz="4" w:space="0"/>
                  </w:tcBorders>
                  <w:noWrap w:val="0"/>
                  <w:vAlign w:val="center"/>
                </w:tcPr>
                <w:p w14:paraId="5070F1D7">
                  <w:pPr>
                    <w:spacing w:line="320" w:lineRule="exact"/>
                    <w:jc w:val="center"/>
                    <w:rPr>
                      <w:rFonts w:hint="eastAsia"/>
                      <w:highlight w:val="none"/>
                      <w:lang w:val="en-US" w:eastAsia="zh-CN"/>
                    </w:rPr>
                  </w:pPr>
                  <w:r>
                    <w:rPr>
                      <w:rFonts w:hint="eastAsia"/>
                      <w:highlight w:val="none"/>
                      <w:lang w:val="en-US" w:eastAsia="zh-CN"/>
                    </w:rPr>
                    <w:t>2类区</w:t>
                  </w:r>
                </w:p>
              </w:tc>
              <w:tc>
                <w:tcPr>
                  <w:tcW w:w="708" w:type="pct"/>
                  <w:tcBorders>
                    <w:top w:val="single" w:color="auto" w:sz="4" w:space="0"/>
                    <w:left w:val="single" w:color="auto" w:sz="4" w:space="0"/>
                    <w:right w:val="single" w:color="auto" w:sz="4" w:space="0"/>
                  </w:tcBorders>
                  <w:noWrap w:val="0"/>
                  <w:vAlign w:val="center"/>
                </w:tcPr>
                <w:p w14:paraId="2F8581EE">
                  <w:pPr>
                    <w:spacing w:line="320" w:lineRule="exact"/>
                    <w:jc w:val="center"/>
                    <w:rPr>
                      <w:rFonts w:hint="default"/>
                      <w:highlight w:val="none"/>
                      <w:lang w:val="en-US" w:eastAsia="zh-CN"/>
                    </w:rPr>
                  </w:pPr>
                  <w:r>
                    <w:rPr>
                      <w:rFonts w:hint="eastAsia"/>
                      <w:highlight w:val="none"/>
                      <w:lang w:val="en-US" w:eastAsia="zh-CN"/>
                    </w:rPr>
                    <w:t>S</w:t>
                  </w:r>
                </w:p>
              </w:tc>
              <w:tc>
                <w:tcPr>
                  <w:tcW w:w="679" w:type="pct"/>
                  <w:tcBorders>
                    <w:top w:val="single" w:color="auto" w:sz="4" w:space="0"/>
                    <w:left w:val="single" w:color="auto" w:sz="4" w:space="0"/>
                  </w:tcBorders>
                  <w:noWrap w:val="0"/>
                  <w:vAlign w:val="center"/>
                </w:tcPr>
                <w:p w14:paraId="099D2295">
                  <w:pPr>
                    <w:jc w:val="center"/>
                    <w:rPr>
                      <w:rFonts w:hint="default"/>
                      <w:highlight w:val="none"/>
                      <w:lang w:val="en-US" w:eastAsia="zh-CN"/>
                    </w:rPr>
                  </w:pPr>
                  <w:r>
                    <w:rPr>
                      <w:rFonts w:hint="eastAsia"/>
                      <w:highlight w:val="none"/>
                      <w:lang w:val="en-US" w:eastAsia="zh-CN"/>
                    </w:rPr>
                    <w:t>500</w:t>
                  </w:r>
                </w:p>
              </w:tc>
            </w:tr>
          </w:tbl>
          <w:p w14:paraId="5E1E50B4">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textAlignment w:val="auto"/>
              <w:outlineLvl w:val="1"/>
              <w:rPr>
                <w:rFonts w:hint="eastAsia"/>
                <w:highlight w:val="none"/>
                <w:lang w:val="en-US" w:eastAsia="zh-CN"/>
              </w:rPr>
            </w:pPr>
            <w:r>
              <w:rPr>
                <w:rFonts w:hint="eastAsia"/>
                <w:highlight w:val="none"/>
                <w:lang w:val="en-US" w:eastAsia="zh-CN"/>
              </w:rPr>
              <w:t>2、声环境：本项厂界外 50 米范围内无声环境保护目标。</w:t>
            </w:r>
          </w:p>
          <w:p w14:paraId="3390A507">
            <w:pPr>
              <w:keepNext w:val="0"/>
              <w:keepLines w:val="0"/>
              <w:pageBreakBefore w:val="0"/>
              <w:widowControl w:val="0"/>
              <w:kinsoku/>
              <w:wordWrap/>
              <w:overflowPunct/>
              <w:topLinePunct w:val="0"/>
              <w:bidi w:val="0"/>
              <w:adjustRightInd w:val="0"/>
              <w:snapToGrid w:val="0"/>
              <w:spacing w:line="400" w:lineRule="exact"/>
              <w:ind w:firstLine="0" w:firstLineChars="0"/>
              <w:jc w:val="both"/>
              <w:textAlignment w:val="auto"/>
              <w:rPr>
                <w:rFonts w:hint="eastAsia"/>
                <w:highlight w:val="none"/>
                <w:lang w:val="en-US" w:eastAsia="zh-CN"/>
              </w:rPr>
            </w:pPr>
            <w:r>
              <w:rPr>
                <w:rFonts w:hint="eastAsia"/>
                <w:highlight w:val="none"/>
                <w:lang w:val="en-US" w:eastAsia="zh-CN"/>
              </w:rPr>
              <w:t>3、地下水环境：为南侧的大张刘庄集中式饮用水水源地一级保护区，距离约360m。</w:t>
            </w:r>
          </w:p>
          <w:p w14:paraId="629F5082">
            <w:pPr>
              <w:pStyle w:val="2"/>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b/>
                <w:bCs/>
                <w:highlight w:val="none"/>
              </w:rPr>
            </w:pPr>
            <w:r>
              <w:rPr>
                <w:b/>
                <w:bCs/>
                <w:highlight w:val="none"/>
              </w:rPr>
              <w:t>表</w:t>
            </w:r>
            <w:r>
              <w:rPr>
                <w:rFonts w:hint="eastAsia"/>
                <w:b/>
                <w:bCs/>
                <w:highlight w:val="none"/>
                <w:lang w:val="en-US" w:eastAsia="zh-CN"/>
              </w:rPr>
              <w:t>3-4</w:t>
            </w:r>
            <w:r>
              <w:rPr>
                <w:b/>
                <w:bCs/>
                <w:highlight w:val="none"/>
              </w:rPr>
              <w:t xml:space="preserve"> </w:t>
            </w:r>
            <w:r>
              <w:rPr>
                <w:rFonts w:hint="eastAsia"/>
                <w:b/>
                <w:bCs/>
                <w:highlight w:val="none"/>
                <w:lang w:val="en-US" w:eastAsia="zh-CN"/>
              </w:rPr>
              <w:t xml:space="preserve"> </w:t>
            </w:r>
            <w:r>
              <w:rPr>
                <w:b/>
                <w:bCs/>
                <w:highlight w:val="none"/>
              </w:rPr>
              <w:t>项目环境保护目标一览表</w:t>
            </w:r>
          </w:p>
          <w:tbl>
            <w:tblPr>
              <w:tblStyle w:val="20"/>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00"/>
              <w:gridCol w:w="510"/>
              <w:gridCol w:w="555"/>
              <w:gridCol w:w="1170"/>
              <w:gridCol w:w="930"/>
              <w:gridCol w:w="1785"/>
              <w:gridCol w:w="780"/>
              <w:gridCol w:w="914"/>
            </w:tblGrid>
            <w:tr w14:paraId="1C035C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5" w:hRule="atLeast"/>
              </w:trPr>
              <w:tc>
                <w:tcPr>
                  <w:tcW w:w="1300" w:type="dxa"/>
                  <w:vMerge w:val="restart"/>
                  <w:noWrap w:val="0"/>
                  <w:vAlign w:val="center"/>
                </w:tcPr>
                <w:p w14:paraId="62C75612">
                  <w:pPr>
                    <w:spacing w:line="320" w:lineRule="exact"/>
                    <w:jc w:val="center"/>
                    <w:rPr>
                      <w:highlight w:val="none"/>
                    </w:rPr>
                  </w:pPr>
                  <w:r>
                    <w:rPr>
                      <w:highlight w:val="none"/>
                    </w:rPr>
                    <w:t>名称</w:t>
                  </w:r>
                </w:p>
              </w:tc>
              <w:tc>
                <w:tcPr>
                  <w:tcW w:w="1065" w:type="dxa"/>
                  <w:gridSpan w:val="2"/>
                  <w:noWrap w:val="0"/>
                  <w:vAlign w:val="center"/>
                </w:tcPr>
                <w:p w14:paraId="25F85070">
                  <w:pPr>
                    <w:spacing w:line="320" w:lineRule="exact"/>
                    <w:jc w:val="center"/>
                    <w:rPr>
                      <w:highlight w:val="none"/>
                    </w:rPr>
                  </w:pPr>
                  <w:r>
                    <w:rPr>
                      <w:highlight w:val="none"/>
                    </w:rPr>
                    <w:t>坐标</w:t>
                  </w:r>
                  <w:r>
                    <w:rPr>
                      <w:rFonts w:hint="eastAsia"/>
                      <w:highlight w:val="none"/>
                      <w:lang w:val="en-US" w:eastAsia="zh-CN"/>
                    </w:rPr>
                    <w:t>/m</w:t>
                  </w:r>
                </w:p>
              </w:tc>
              <w:tc>
                <w:tcPr>
                  <w:tcW w:w="1170" w:type="dxa"/>
                  <w:vMerge w:val="restart"/>
                  <w:noWrap w:val="0"/>
                  <w:vAlign w:val="center"/>
                </w:tcPr>
                <w:p w14:paraId="75A10ED5">
                  <w:pPr>
                    <w:jc w:val="center"/>
                    <w:rPr>
                      <w:highlight w:val="none"/>
                    </w:rPr>
                  </w:pPr>
                  <w:r>
                    <w:rPr>
                      <w:rFonts w:hint="eastAsia"/>
                      <w:highlight w:val="none"/>
                      <w:lang w:val="en-US" w:eastAsia="zh-CN"/>
                    </w:rPr>
                    <w:t>保护对象</w:t>
                  </w:r>
                </w:p>
              </w:tc>
              <w:tc>
                <w:tcPr>
                  <w:tcW w:w="930" w:type="dxa"/>
                  <w:vMerge w:val="restart"/>
                  <w:noWrap w:val="0"/>
                  <w:vAlign w:val="center"/>
                </w:tcPr>
                <w:p w14:paraId="15D12F70">
                  <w:pPr>
                    <w:jc w:val="center"/>
                    <w:rPr>
                      <w:rFonts w:hint="default"/>
                      <w:highlight w:val="none"/>
                      <w:lang w:val="en-US"/>
                    </w:rPr>
                  </w:pPr>
                  <w:r>
                    <w:rPr>
                      <w:rFonts w:hint="eastAsia"/>
                      <w:highlight w:val="none"/>
                      <w:lang w:val="en-US" w:eastAsia="zh-CN"/>
                    </w:rPr>
                    <w:t>保护内容</w:t>
                  </w:r>
                </w:p>
              </w:tc>
              <w:tc>
                <w:tcPr>
                  <w:tcW w:w="1785" w:type="dxa"/>
                  <w:vMerge w:val="restart"/>
                  <w:noWrap w:val="0"/>
                  <w:vAlign w:val="center"/>
                </w:tcPr>
                <w:p w14:paraId="04305EB4">
                  <w:pPr>
                    <w:jc w:val="center"/>
                    <w:rPr>
                      <w:highlight w:val="none"/>
                    </w:rPr>
                  </w:pPr>
                  <w:r>
                    <w:rPr>
                      <w:rFonts w:hint="eastAsia"/>
                      <w:highlight w:val="none"/>
                      <w:lang w:val="en-US" w:eastAsia="zh-CN"/>
                    </w:rPr>
                    <w:t>环境功能区</w:t>
                  </w:r>
                </w:p>
              </w:tc>
              <w:tc>
                <w:tcPr>
                  <w:tcW w:w="780" w:type="dxa"/>
                  <w:vMerge w:val="restart"/>
                  <w:noWrap w:val="0"/>
                  <w:vAlign w:val="center"/>
                </w:tcPr>
                <w:p w14:paraId="02D6491C">
                  <w:pPr>
                    <w:jc w:val="center"/>
                    <w:rPr>
                      <w:highlight w:val="none"/>
                    </w:rPr>
                  </w:pPr>
                  <w:r>
                    <w:rPr>
                      <w:rFonts w:hint="eastAsia"/>
                      <w:highlight w:val="none"/>
                      <w:lang w:val="en-US" w:eastAsia="zh-CN"/>
                    </w:rPr>
                    <w:t>相对厂址方位</w:t>
                  </w:r>
                </w:p>
              </w:tc>
              <w:tc>
                <w:tcPr>
                  <w:tcW w:w="914" w:type="dxa"/>
                  <w:vMerge w:val="restart"/>
                  <w:noWrap w:val="0"/>
                  <w:vAlign w:val="center"/>
                </w:tcPr>
                <w:p w14:paraId="2D86BC15">
                  <w:pPr>
                    <w:jc w:val="center"/>
                    <w:rPr>
                      <w:highlight w:val="none"/>
                    </w:rPr>
                  </w:pPr>
                  <w:r>
                    <w:rPr>
                      <w:rFonts w:hint="eastAsia"/>
                      <w:highlight w:val="none"/>
                      <w:lang w:val="en-US" w:eastAsia="zh-CN"/>
                    </w:rPr>
                    <w:t>相对厂界距离/m</w:t>
                  </w:r>
                </w:p>
              </w:tc>
            </w:tr>
            <w:tr w14:paraId="408308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5" w:hRule="atLeast"/>
              </w:trPr>
              <w:tc>
                <w:tcPr>
                  <w:tcW w:w="1300" w:type="dxa"/>
                  <w:vMerge w:val="continue"/>
                  <w:noWrap w:val="0"/>
                  <w:vAlign w:val="center"/>
                </w:tcPr>
                <w:p w14:paraId="108F69F9">
                  <w:pPr>
                    <w:spacing w:line="320" w:lineRule="exact"/>
                    <w:jc w:val="center"/>
                    <w:rPr>
                      <w:highlight w:val="none"/>
                    </w:rPr>
                  </w:pPr>
                </w:p>
              </w:tc>
              <w:tc>
                <w:tcPr>
                  <w:tcW w:w="510" w:type="dxa"/>
                  <w:noWrap w:val="0"/>
                  <w:vAlign w:val="center"/>
                </w:tcPr>
                <w:p w14:paraId="44708C08">
                  <w:pPr>
                    <w:jc w:val="center"/>
                    <w:rPr>
                      <w:highlight w:val="none"/>
                    </w:rPr>
                  </w:pPr>
                  <w:r>
                    <w:rPr>
                      <w:highlight w:val="none"/>
                    </w:rPr>
                    <w:t>X</w:t>
                  </w:r>
                </w:p>
              </w:tc>
              <w:tc>
                <w:tcPr>
                  <w:tcW w:w="555" w:type="dxa"/>
                  <w:noWrap w:val="0"/>
                  <w:vAlign w:val="center"/>
                </w:tcPr>
                <w:p w14:paraId="5555CF78">
                  <w:pPr>
                    <w:jc w:val="center"/>
                    <w:rPr>
                      <w:highlight w:val="none"/>
                    </w:rPr>
                  </w:pPr>
                  <w:r>
                    <w:rPr>
                      <w:highlight w:val="none"/>
                    </w:rPr>
                    <w:t>Y</w:t>
                  </w:r>
                </w:p>
              </w:tc>
              <w:tc>
                <w:tcPr>
                  <w:tcW w:w="1170" w:type="dxa"/>
                  <w:vMerge w:val="continue"/>
                  <w:noWrap w:val="0"/>
                  <w:vAlign w:val="center"/>
                </w:tcPr>
                <w:p w14:paraId="32C31BB6">
                  <w:pPr>
                    <w:spacing w:line="320" w:lineRule="exact"/>
                    <w:jc w:val="center"/>
                    <w:rPr>
                      <w:highlight w:val="none"/>
                    </w:rPr>
                  </w:pPr>
                </w:p>
              </w:tc>
              <w:tc>
                <w:tcPr>
                  <w:tcW w:w="930" w:type="dxa"/>
                  <w:vMerge w:val="continue"/>
                  <w:noWrap w:val="0"/>
                  <w:vAlign w:val="center"/>
                </w:tcPr>
                <w:p w14:paraId="796448C2">
                  <w:pPr>
                    <w:spacing w:line="320" w:lineRule="exact"/>
                    <w:jc w:val="center"/>
                    <w:rPr>
                      <w:highlight w:val="none"/>
                    </w:rPr>
                  </w:pPr>
                </w:p>
              </w:tc>
              <w:tc>
                <w:tcPr>
                  <w:tcW w:w="1785" w:type="dxa"/>
                  <w:vMerge w:val="continue"/>
                  <w:noWrap w:val="0"/>
                  <w:vAlign w:val="center"/>
                </w:tcPr>
                <w:p w14:paraId="0DC3AC32">
                  <w:pPr>
                    <w:spacing w:line="320" w:lineRule="exact"/>
                    <w:jc w:val="center"/>
                    <w:rPr>
                      <w:highlight w:val="none"/>
                    </w:rPr>
                  </w:pPr>
                </w:p>
              </w:tc>
              <w:tc>
                <w:tcPr>
                  <w:tcW w:w="780" w:type="dxa"/>
                  <w:vMerge w:val="continue"/>
                  <w:noWrap w:val="0"/>
                  <w:vAlign w:val="center"/>
                </w:tcPr>
                <w:p w14:paraId="1F0230E9">
                  <w:pPr>
                    <w:spacing w:line="320" w:lineRule="exact"/>
                    <w:jc w:val="center"/>
                    <w:rPr>
                      <w:highlight w:val="none"/>
                    </w:rPr>
                  </w:pPr>
                </w:p>
              </w:tc>
              <w:tc>
                <w:tcPr>
                  <w:tcW w:w="914" w:type="dxa"/>
                  <w:vMerge w:val="continue"/>
                  <w:noWrap w:val="0"/>
                  <w:vAlign w:val="center"/>
                </w:tcPr>
                <w:p w14:paraId="7C5BF81C">
                  <w:pPr>
                    <w:spacing w:line="320" w:lineRule="exact"/>
                    <w:jc w:val="center"/>
                    <w:rPr>
                      <w:highlight w:val="none"/>
                    </w:rPr>
                  </w:pPr>
                </w:p>
              </w:tc>
            </w:tr>
            <w:tr w14:paraId="0614E9F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25" w:hRule="atLeast"/>
              </w:trPr>
              <w:tc>
                <w:tcPr>
                  <w:tcW w:w="1300" w:type="dxa"/>
                  <w:noWrap w:val="0"/>
                  <w:vAlign w:val="center"/>
                </w:tcPr>
                <w:p w14:paraId="44F88182">
                  <w:pPr>
                    <w:spacing w:line="320" w:lineRule="exact"/>
                    <w:jc w:val="center"/>
                    <w:rPr>
                      <w:rFonts w:hint="default"/>
                      <w:highlight w:val="none"/>
                      <w:lang w:val="en-US" w:eastAsia="zh-CN"/>
                    </w:rPr>
                  </w:pPr>
                  <w:r>
                    <w:rPr>
                      <w:rFonts w:hint="eastAsia"/>
                      <w:highlight w:val="none"/>
                      <w:lang w:val="en-US" w:eastAsia="zh-CN"/>
                    </w:rPr>
                    <w:t>大张刘庄集中式饮用水水源地一级保护区</w:t>
                  </w:r>
                </w:p>
              </w:tc>
              <w:tc>
                <w:tcPr>
                  <w:tcW w:w="510" w:type="dxa"/>
                  <w:noWrap w:val="0"/>
                  <w:vAlign w:val="center"/>
                </w:tcPr>
                <w:p w14:paraId="4B545743">
                  <w:pPr>
                    <w:jc w:val="center"/>
                    <w:rPr>
                      <w:rFonts w:hint="eastAsia"/>
                      <w:highlight w:val="none"/>
                      <w:lang w:val="en-US" w:eastAsia="zh-CN"/>
                    </w:rPr>
                  </w:pPr>
                  <w:r>
                    <w:rPr>
                      <w:rFonts w:hint="eastAsia"/>
                      <w:highlight w:val="none"/>
                      <w:lang w:val="en-US" w:eastAsia="zh-CN"/>
                    </w:rPr>
                    <w:t>0</w:t>
                  </w:r>
                </w:p>
              </w:tc>
              <w:tc>
                <w:tcPr>
                  <w:tcW w:w="555" w:type="dxa"/>
                  <w:noWrap w:val="0"/>
                  <w:vAlign w:val="center"/>
                </w:tcPr>
                <w:p w14:paraId="600C9B66">
                  <w:pPr>
                    <w:jc w:val="center"/>
                    <w:rPr>
                      <w:rFonts w:hint="default"/>
                      <w:highlight w:val="none"/>
                      <w:lang w:val="en-US" w:eastAsia="zh-CN"/>
                    </w:rPr>
                  </w:pPr>
                  <w:r>
                    <w:rPr>
                      <w:rFonts w:hint="eastAsia"/>
                      <w:highlight w:val="none"/>
                      <w:lang w:val="en-US" w:eastAsia="zh-CN"/>
                    </w:rPr>
                    <w:t>360</w:t>
                  </w:r>
                </w:p>
              </w:tc>
              <w:tc>
                <w:tcPr>
                  <w:tcW w:w="1170" w:type="dxa"/>
                  <w:noWrap w:val="0"/>
                  <w:vAlign w:val="center"/>
                </w:tcPr>
                <w:p w14:paraId="123F796F">
                  <w:pPr>
                    <w:spacing w:line="320" w:lineRule="exact"/>
                    <w:jc w:val="center"/>
                    <w:rPr>
                      <w:rFonts w:hint="default"/>
                      <w:highlight w:val="none"/>
                      <w:lang w:val="en-US" w:eastAsia="zh-CN"/>
                    </w:rPr>
                  </w:pPr>
                  <w:r>
                    <w:rPr>
                      <w:rFonts w:hint="eastAsia"/>
                      <w:highlight w:val="none"/>
                      <w:lang w:val="en-US" w:eastAsia="zh-CN"/>
                    </w:rPr>
                    <w:t>饮用水源保护区</w:t>
                  </w:r>
                </w:p>
              </w:tc>
              <w:tc>
                <w:tcPr>
                  <w:tcW w:w="930" w:type="dxa"/>
                  <w:tcBorders>
                    <w:top w:val="single" w:color="auto" w:sz="4" w:space="0"/>
                  </w:tcBorders>
                  <w:noWrap w:val="0"/>
                  <w:vAlign w:val="center"/>
                </w:tcPr>
                <w:p w14:paraId="5C2BC464">
                  <w:pPr>
                    <w:spacing w:line="320" w:lineRule="exact"/>
                    <w:jc w:val="center"/>
                    <w:rPr>
                      <w:rFonts w:hint="eastAsia"/>
                      <w:highlight w:val="none"/>
                      <w:lang w:val="en-US" w:eastAsia="zh-CN"/>
                    </w:rPr>
                  </w:pPr>
                  <w:r>
                    <w:rPr>
                      <w:rFonts w:hint="eastAsia"/>
                      <w:highlight w:val="none"/>
                      <w:lang w:val="en-US" w:eastAsia="zh-CN"/>
                    </w:rPr>
                    <w:t>饮用水</w:t>
                  </w:r>
                </w:p>
              </w:tc>
              <w:tc>
                <w:tcPr>
                  <w:tcW w:w="1785" w:type="dxa"/>
                  <w:tcBorders>
                    <w:top w:val="single" w:color="auto" w:sz="4" w:space="0"/>
                  </w:tcBorders>
                  <w:noWrap w:val="0"/>
                  <w:vAlign w:val="center"/>
                </w:tcPr>
                <w:p w14:paraId="2ED4A726">
                  <w:pPr>
                    <w:spacing w:line="320" w:lineRule="exact"/>
                    <w:jc w:val="center"/>
                    <w:rPr>
                      <w:highlight w:val="none"/>
                    </w:rPr>
                  </w:pPr>
                  <w:r>
                    <w:rPr>
                      <w:rFonts w:hint="default"/>
                      <w:highlight w:val="none"/>
                    </w:rPr>
                    <w:t>《地下水质量标准》(GB/T14848-2017) Ⅲ类标准</w:t>
                  </w:r>
                </w:p>
              </w:tc>
              <w:tc>
                <w:tcPr>
                  <w:tcW w:w="780" w:type="dxa"/>
                  <w:noWrap w:val="0"/>
                  <w:vAlign w:val="center"/>
                </w:tcPr>
                <w:p w14:paraId="4C70A6EC">
                  <w:pPr>
                    <w:spacing w:line="320" w:lineRule="exact"/>
                    <w:jc w:val="center"/>
                    <w:rPr>
                      <w:rFonts w:hint="eastAsia"/>
                      <w:highlight w:val="none"/>
                      <w:lang w:eastAsia="zh-CN"/>
                    </w:rPr>
                  </w:pPr>
                  <w:r>
                    <w:rPr>
                      <w:rFonts w:hint="eastAsia"/>
                      <w:highlight w:val="none"/>
                      <w:lang w:val="en-US" w:eastAsia="zh-CN"/>
                    </w:rPr>
                    <w:t>S</w:t>
                  </w:r>
                </w:p>
              </w:tc>
              <w:tc>
                <w:tcPr>
                  <w:tcW w:w="914" w:type="dxa"/>
                  <w:noWrap w:val="0"/>
                  <w:vAlign w:val="center"/>
                </w:tcPr>
                <w:p w14:paraId="0F0ED6D3">
                  <w:pPr>
                    <w:spacing w:line="320" w:lineRule="exact"/>
                    <w:jc w:val="center"/>
                    <w:rPr>
                      <w:highlight w:val="none"/>
                    </w:rPr>
                  </w:pPr>
                  <w:r>
                    <w:rPr>
                      <w:rFonts w:hint="eastAsia"/>
                      <w:highlight w:val="none"/>
                      <w:lang w:val="en-US" w:eastAsia="zh-CN"/>
                    </w:rPr>
                    <w:t>360</w:t>
                  </w:r>
                  <w:r>
                    <w:rPr>
                      <w:highlight w:val="none"/>
                    </w:rPr>
                    <w:t>m</w:t>
                  </w:r>
                </w:p>
              </w:tc>
            </w:tr>
          </w:tbl>
          <w:p w14:paraId="2902E524">
            <w:pPr>
              <w:pStyle w:val="2"/>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leftChars="0" w:firstLine="0" w:firstLineChars="0"/>
              <w:textAlignment w:val="auto"/>
              <w:rPr>
                <w:rFonts w:hint="eastAsia"/>
                <w:highlight w:val="none"/>
                <w:lang w:val="en-US" w:eastAsia="zh-CN"/>
              </w:rPr>
            </w:pPr>
            <w:r>
              <w:rPr>
                <w:rFonts w:hint="eastAsia"/>
                <w:highlight w:val="none"/>
                <w:lang w:val="en-US" w:eastAsia="zh-CN"/>
              </w:rPr>
              <w:t>生态环境：本项目利用厂区自有厂房，不新增用地，不涉及生态环境保护目标。</w:t>
            </w:r>
          </w:p>
          <w:p w14:paraId="63AF3985">
            <w:pPr>
              <w:rPr>
                <w:highlight w:val="none"/>
              </w:rPr>
            </w:pPr>
          </w:p>
        </w:tc>
      </w:tr>
      <w:tr w14:paraId="67DB4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tcMar>
              <w:left w:w="28" w:type="dxa"/>
              <w:right w:w="28" w:type="dxa"/>
            </w:tcMar>
            <w:vAlign w:val="center"/>
          </w:tcPr>
          <w:p w14:paraId="6AE98D24">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污染</w:t>
            </w:r>
          </w:p>
          <w:p w14:paraId="0C6F4DBB">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物排</w:t>
            </w:r>
          </w:p>
          <w:p w14:paraId="760A72A5">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放控</w:t>
            </w:r>
          </w:p>
          <w:p w14:paraId="5F01D4F1">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制标</w:t>
            </w:r>
          </w:p>
          <w:p w14:paraId="226FC76F">
            <w:pPr>
              <w:adjustRightInd w:val="0"/>
              <w:snapToGrid w:val="0"/>
              <w:jc w:val="center"/>
              <w:rPr>
                <w:rFonts w:ascii="宋体" w:hAnsi="宋体" w:cs="宋体"/>
                <w:kern w:val="0"/>
                <w:szCs w:val="21"/>
                <w:highlight w:val="none"/>
              </w:rPr>
            </w:pPr>
            <w:r>
              <w:rPr>
                <w:rFonts w:hint="eastAsia" w:ascii="宋体" w:hAnsi="宋体" w:cs="宋体"/>
                <w:kern w:val="0"/>
                <w:szCs w:val="21"/>
                <w:highlight w:val="none"/>
              </w:rPr>
              <w:t>准</w:t>
            </w:r>
          </w:p>
        </w:tc>
        <w:tc>
          <w:tcPr>
            <w:tcW w:w="8190" w:type="dxa"/>
            <w:noWrap w:val="0"/>
            <w:vAlign w:val="top"/>
          </w:tcPr>
          <w:p w14:paraId="60AC7565">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lang w:val="en-US" w:eastAsia="zh-CN"/>
              </w:rPr>
            </w:pPr>
            <w:r>
              <w:rPr>
                <w:rFonts w:hint="eastAsia"/>
                <w:lang w:val="en-US" w:eastAsia="zh-CN"/>
              </w:rPr>
              <w:t>1、废气</w:t>
            </w:r>
          </w:p>
          <w:p w14:paraId="68020569">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20" w:firstLineChars="200"/>
              <w:jc w:val="both"/>
              <w:textAlignment w:val="auto"/>
              <w:rPr>
                <w:rFonts w:hint="default"/>
                <w:lang w:val="en-US" w:eastAsia="zh-CN"/>
              </w:rPr>
            </w:pPr>
            <w:r>
              <w:t>运营期</w:t>
            </w:r>
            <w:r>
              <w:rPr>
                <w:rFonts w:hint="eastAsia"/>
                <w:lang w:val="en-US" w:eastAsia="zh-CN"/>
              </w:rPr>
              <w:t>有组织废</w:t>
            </w:r>
            <w:r>
              <w:t>气</w:t>
            </w:r>
            <w:r>
              <w:rPr>
                <w:rFonts w:hint="eastAsia"/>
                <w:lang w:val="en-US" w:eastAsia="zh-CN"/>
              </w:rPr>
              <w:t>颗粒物</w:t>
            </w:r>
            <w:r>
              <w:t>排放</w:t>
            </w:r>
            <w:r>
              <w:rPr>
                <w:rFonts w:hint="eastAsia"/>
                <w:lang w:val="en-US" w:eastAsia="zh-CN"/>
              </w:rPr>
              <w:t>参照</w:t>
            </w:r>
            <w:r>
              <w:t>执行</w:t>
            </w:r>
            <w:r>
              <w:rPr>
                <w:rFonts w:hint="eastAsia"/>
                <w:lang w:eastAsia="zh-CN"/>
              </w:rPr>
              <w:t>《水泥工业大气污染物排放标准》（DB 13/ 2167—2015）中表</w:t>
            </w:r>
            <w:r>
              <w:rPr>
                <w:rFonts w:hint="eastAsia"/>
                <w:lang w:val="en-US" w:eastAsia="zh-CN"/>
              </w:rPr>
              <w:t>1</w:t>
            </w:r>
            <w:r>
              <w:rPr>
                <w:rFonts w:hint="eastAsia"/>
                <w:lang w:eastAsia="zh-CN"/>
              </w:rPr>
              <w:t>排放限值要求</w:t>
            </w:r>
            <w:r>
              <w:rPr>
                <w:rFonts w:hint="default"/>
                <w:lang w:val="en-US" w:eastAsia="zh-CN"/>
              </w:rPr>
              <w:t>：</w:t>
            </w:r>
            <w:r>
              <w:rPr>
                <w:rFonts w:hint="eastAsia"/>
                <w:lang w:val="en-US" w:eastAsia="zh-CN"/>
              </w:rPr>
              <w:t>10</w:t>
            </w:r>
            <w:r>
              <w:rPr>
                <w:rFonts w:hint="default"/>
                <w:lang w:eastAsia="zh-CN"/>
              </w:rPr>
              <w:t>mg/m</w:t>
            </w:r>
            <w:r>
              <w:rPr>
                <w:rFonts w:hint="default"/>
                <w:vertAlign w:val="superscript"/>
                <w:lang w:eastAsia="zh-CN"/>
              </w:rPr>
              <w:t>3</w:t>
            </w:r>
            <w:r>
              <w:rPr>
                <w:rFonts w:hint="default"/>
                <w:lang w:val="en-US" w:eastAsia="zh-CN"/>
              </w:rPr>
              <w:t>。</w:t>
            </w:r>
            <w:r>
              <w:rPr>
                <w:rFonts w:hint="eastAsia"/>
                <w:lang w:val="en-US" w:eastAsia="zh-CN"/>
              </w:rPr>
              <w:t>无组织颗粒物</w:t>
            </w:r>
            <w:r>
              <w:rPr>
                <w:rFonts w:hint="eastAsia"/>
                <w:lang w:eastAsia="zh-CN"/>
              </w:rPr>
              <w:t>参照执行《水泥工业大气污染物排放标准》（DB 13/ 2167—2015）中表</w:t>
            </w:r>
            <w:r>
              <w:rPr>
                <w:rFonts w:hint="eastAsia"/>
                <w:lang w:val="en-US" w:eastAsia="zh-CN"/>
              </w:rPr>
              <w:t>2</w:t>
            </w:r>
            <w:r>
              <w:rPr>
                <w:rFonts w:hint="eastAsia"/>
                <w:lang w:eastAsia="zh-CN"/>
              </w:rPr>
              <w:t>排放限值要求</w:t>
            </w:r>
            <w:r>
              <w:rPr>
                <w:rFonts w:hint="default"/>
                <w:lang w:val="en-US" w:eastAsia="zh-CN"/>
              </w:rPr>
              <w:t>：</w:t>
            </w:r>
            <w:r>
              <w:rPr>
                <w:rFonts w:hint="eastAsia"/>
                <w:lang w:val="en-US" w:eastAsia="zh-CN"/>
              </w:rPr>
              <w:t>0.5</w:t>
            </w:r>
            <w:r>
              <w:rPr>
                <w:rFonts w:hint="default"/>
                <w:lang w:eastAsia="zh-CN"/>
              </w:rPr>
              <w:t>mg/m</w:t>
            </w:r>
            <w:r>
              <w:rPr>
                <w:rFonts w:hint="default"/>
                <w:vertAlign w:val="superscript"/>
                <w:lang w:eastAsia="zh-CN"/>
              </w:rPr>
              <w:t>3</w:t>
            </w:r>
            <w:r>
              <w:rPr>
                <w:rFonts w:hint="default"/>
                <w:lang w:val="en-US" w:eastAsia="zh-CN"/>
              </w:rPr>
              <w:t>。</w:t>
            </w:r>
          </w:p>
          <w:p w14:paraId="77C8D1EE">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20" w:firstLineChars="200"/>
              <w:jc w:val="both"/>
              <w:textAlignment w:val="auto"/>
              <w:rPr>
                <w:rFonts w:hint="eastAsia"/>
                <w:lang w:val="en-US" w:eastAsia="zh-CN"/>
              </w:rPr>
            </w:pPr>
            <w:r>
              <w:rPr>
                <w:rFonts w:hint="eastAsia"/>
                <w:lang w:val="en-US" w:eastAsia="zh-CN"/>
              </w:rPr>
              <w:t>2、噪声</w:t>
            </w:r>
          </w:p>
          <w:p w14:paraId="42084D55">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20" w:firstLineChars="200"/>
              <w:jc w:val="both"/>
              <w:textAlignment w:val="auto"/>
            </w:pPr>
            <w:r>
              <w:rPr>
                <w:rFonts w:hint="eastAsia"/>
              </w:rPr>
              <w:t>噪声:运营</w:t>
            </w:r>
            <w:r>
              <w:rPr>
                <w:rFonts w:hint="eastAsia"/>
                <w:lang w:val="zh-CN"/>
              </w:rPr>
              <w:t>期噪声执行</w:t>
            </w:r>
            <w:r>
              <w:rPr>
                <w:rFonts w:hint="eastAsia"/>
              </w:rPr>
              <w:t>《工业企业厂界环境噪声排放标准》（GB12348-2008）2类标准</w:t>
            </w:r>
            <w:r>
              <w:rPr>
                <w:rFonts w:hint="eastAsia"/>
                <w:lang w:val="en-US" w:eastAsia="zh-CN"/>
              </w:rPr>
              <w:t>：昼间60dB(A)、夜间50dB(A)。</w:t>
            </w:r>
          </w:p>
          <w:p w14:paraId="32D53E42">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right="0" w:rightChars="0" w:firstLine="420" w:firstLineChars="200"/>
              <w:jc w:val="both"/>
              <w:textAlignment w:val="auto"/>
              <w:rPr>
                <w:rFonts w:hint="default"/>
                <w:lang w:val="en-US" w:eastAsia="zh-CN"/>
              </w:rPr>
            </w:pPr>
            <w:r>
              <w:rPr>
                <w:rFonts w:hint="eastAsia"/>
                <w:lang w:val="en-US" w:eastAsia="zh-CN"/>
              </w:rPr>
              <w:t>施工期噪声执行《建筑施工场界环境噪声排放标准》(GB12523-2011)。</w:t>
            </w:r>
          </w:p>
          <w:p w14:paraId="5CC1FE8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rPr>
            </w:pPr>
            <w:r>
              <w:rPr>
                <w:rFonts w:hint="eastAsia"/>
                <w:b/>
                <w:bCs/>
              </w:rPr>
              <w:t>表</w:t>
            </w:r>
            <w:r>
              <w:rPr>
                <w:rFonts w:hint="eastAsia"/>
                <w:b/>
                <w:bCs/>
                <w:lang w:val="en-US" w:eastAsia="zh-CN"/>
              </w:rPr>
              <w:t xml:space="preserve">3-5   </w:t>
            </w:r>
            <w:r>
              <w:rPr>
                <w:rFonts w:hint="eastAsia"/>
                <w:b/>
                <w:bCs/>
              </w:rPr>
              <w:t>污染物排放标准一览表</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
              <w:gridCol w:w="1505"/>
              <w:gridCol w:w="1172"/>
              <w:gridCol w:w="1383"/>
              <w:gridCol w:w="3892"/>
              <w:gridCol w:w="7"/>
            </w:tblGrid>
            <w:tr w14:paraId="78693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8" w:type="pct"/>
                  <w:gridSpan w:val="2"/>
                  <w:tcBorders>
                    <w:top w:val="single" w:color="auto" w:sz="12" w:space="0"/>
                  </w:tcBorders>
                  <w:noWrap w:val="0"/>
                  <w:tcMar>
                    <w:left w:w="0" w:type="dxa"/>
                    <w:right w:w="0" w:type="dxa"/>
                  </w:tcMar>
                  <w:vAlign w:val="center"/>
                </w:tcPr>
                <w:p w14:paraId="512FC7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rPr>
                  </w:pPr>
                  <w:r>
                    <w:rPr>
                      <w:rFonts w:hint="default"/>
                    </w:rPr>
                    <w:t>类别</w:t>
                  </w:r>
                </w:p>
              </w:tc>
              <w:tc>
                <w:tcPr>
                  <w:tcW w:w="736" w:type="pct"/>
                  <w:tcBorders>
                    <w:top w:val="single" w:color="auto" w:sz="12" w:space="0"/>
                  </w:tcBorders>
                  <w:noWrap w:val="0"/>
                  <w:tcMar>
                    <w:left w:w="0" w:type="dxa"/>
                    <w:right w:w="0" w:type="dxa"/>
                  </w:tcMar>
                  <w:vAlign w:val="center"/>
                </w:tcPr>
                <w:p w14:paraId="17BADC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rPr>
                  </w:pPr>
                  <w:r>
                    <w:rPr>
                      <w:rFonts w:hint="default"/>
                    </w:rPr>
                    <w:t>污染物名称</w:t>
                  </w:r>
                </w:p>
              </w:tc>
              <w:tc>
                <w:tcPr>
                  <w:tcW w:w="868" w:type="pct"/>
                  <w:tcBorders>
                    <w:top w:val="single" w:color="auto" w:sz="12" w:space="0"/>
                  </w:tcBorders>
                  <w:noWrap w:val="0"/>
                  <w:tcMar>
                    <w:left w:w="0" w:type="dxa"/>
                    <w:right w:w="0" w:type="dxa"/>
                  </w:tcMar>
                  <w:vAlign w:val="center"/>
                </w:tcPr>
                <w:p w14:paraId="4130BF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rPr>
                  </w:pPr>
                  <w:r>
                    <w:rPr>
                      <w:rFonts w:hint="default"/>
                    </w:rPr>
                    <w:t>标准值</w:t>
                  </w:r>
                </w:p>
              </w:tc>
              <w:tc>
                <w:tcPr>
                  <w:tcW w:w="2446" w:type="pct"/>
                  <w:gridSpan w:val="2"/>
                  <w:tcBorders>
                    <w:top w:val="single" w:color="auto" w:sz="12" w:space="0"/>
                    <w:right w:val="single" w:color="auto" w:sz="12" w:space="0"/>
                  </w:tcBorders>
                  <w:noWrap w:val="0"/>
                  <w:tcMar>
                    <w:left w:w="108" w:type="dxa"/>
                    <w:right w:w="108" w:type="dxa"/>
                  </w:tcMar>
                  <w:vAlign w:val="center"/>
                </w:tcPr>
                <w:p w14:paraId="731722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rPr>
                  </w:pPr>
                  <w:r>
                    <w:rPr>
                      <w:rFonts w:hint="default"/>
                    </w:rPr>
                    <w:t>标准来源</w:t>
                  </w:r>
                </w:p>
              </w:tc>
            </w:tr>
            <w:tr w14:paraId="47C2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8" w:type="pct"/>
                  <w:gridSpan w:val="2"/>
                  <w:tcBorders>
                    <w:left w:val="single" w:color="auto" w:sz="4" w:space="0"/>
                  </w:tcBorders>
                  <w:noWrap w:val="0"/>
                  <w:tcMar>
                    <w:left w:w="0" w:type="dxa"/>
                    <w:right w:w="0" w:type="dxa"/>
                  </w:tcMar>
                  <w:vAlign w:val="center"/>
                </w:tcPr>
                <w:p w14:paraId="157F4F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lang w:val="en-US" w:eastAsia="zh-CN"/>
                    </w:rPr>
                  </w:pPr>
                  <w:r>
                    <w:rPr>
                      <w:rFonts w:hint="default"/>
                    </w:rPr>
                    <w:t>废气</w:t>
                  </w:r>
                  <w:r>
                    <w:rPr>
                      <w:rFonts w:hint="default"/>
                      <w:lang w:val="en-US" w:eastAsia="zh-CN"/>
                    </w:rPr>
                    <w:t>有组织</w:t>
                  </w:r>
                </w:p>
              </w:tc>
              <w:tc>
                <w:tcPr>
                  <w:tcW w:w="736" w:type="pct"/>
                  <w:noWrap w:val="0"/>
                  <w:tcMar>
                    <w:left w:w="0" w:type="dxa"/>
                    <w:right w:w="0" w:type="dxa"/>
                  </w:tcMar>
                  <w:vAlign w:val="center"/>
                </w:tcPr>
                <w:p w14:paraId="7C4DED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lang w:val="en-US" w:eastAsia="zh-CN"/>
                    </w:rPr>
                  </w:pPr>
                  <w:r>
                    <w:rPr>
                      <w:rFonts w:hint="default"/>
                      <w:lang w:val="en-US" w:eastAsia="zh-CN"/>
                    </w:rPr>
                    <w:t>颗粒物</w:t>
                  </w:r>
                </w:p>
              </w:tc>
              <w:tc>
                <w:tcPr>
                  <w:tcW w:w="868" w:type="pct"/>
                  <w:noWrap w:val="0"/>
                  <w:tcMar>
                    <w:left w:w="0" w:type="dxa"/>
                    <w:right w:w="0" w:type="dxa"/>
                  </w:tcMar>
                  <w:vAlign w:val="center"/>
                </w:tcPr>
                <w:p w14:paraId="056746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lang w:val="en-US" w:eastAsia="zh-CN"/>
                    </w:rPr>
                  </w:pPr>
                  <w:r>
                    <w:rPr>
                      <w:rFonts w:hint="eastAsia"/>
                      <w:lang w:val="en-US" w:eastAsia="zh-CN"/>
                    </w:rPr>
                    <w:t>10</w:t>
                  </w:r>
                  <w:r>
                    <w:rPr>
                      <w:rFonts w:hint="default"/>
                      <w:lang w:val="en-US" w:eastAsia="zh-CN"/>
                    </w:rPr>
                    <w:t>mg/m</w:t>
                  </w:r>
                  <w:r>
                    <w:rPr>
                      <w:rFonts w:hint="default"/>
                      <w:vertAlign w:val="superscript"/>
                      <w:lang w:eastAsia="zh-CN"/>
                    </w:rPr>
                    <w:t>3</w:t>
                  </w:r>
                </w:p>
              </w:tc>
              <w:tc>
                <w:tcPr>
                  <w:tcW w:w="2446" w:type="pct"/>
                  <w:gridSpan w:val="2"/>
                  <w:tcBorders>
                    <w:right w:val="single" w:color="auto" w:sz="12" w:space="0"/>
                  </w:tcBorders>
                  <w:noWrap w:val="0"/>
                  <w:tcMar>
                    <w:left w:w="108" w:type="dxa"/>
                    <w:right w:w="108" w:type="dxa"/>
                  </w:tcMar>
                  <w:vAlign w:val="center"/>
                </w:tcPr>
                <w:p w14:paraId="783DE3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lang w:val="en-US" w:eastAsia="zh-CN"/>
                    </w:rPr>
                  </w:pPr>
                  <w:r>
                    <w:rPr>
                      <w:rFonts w:hint="default"/>
                      <w:lang w:val="en-US" w:eastAsia="zh-CN"/>
                    </w:rPr>
                    <w:t>《水泥工业大气污染物排放标准》（DB 13/ 2167—2015）中表1排放限值</w:t>
                  </w:r>
                </w:p>
              </w:tc>
            </w:tr>
            <w:tr w14:paraId="7167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48" w:type="pct"/>
                  <w:gridSpan w:val="2"/>
                  <w:tcBorders>
                    <w:left w:val="single" w:color="auto" w:sz="4" w:space="0"/>
                  </w:tcBorders>
                  <w:noWrap w:val="0"/>
                  <w:tcMar>
                    <w:left w:w="0" w:type="dxa"/>
                    <w:right w:w="0" w:type="dxa"/>
                  </w:tcMar>
                  <w:vAlign w:val="center"/>
                </w:tcPr>
                <w:p w14:paraId="670056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lang w:val="en-US" w:eastAsia="zh-CN"/>
                    </w:rPr>
                  </w:pPr>
                  <w:r>
                    <w:rPr>
                      <w:rFonts w:hint="default"/>
                      <w:lang w:val="en-US" w:eastAsia="zh-CN"/>
                    </w:rPr>
                    <w:t>废气无组织</w:t>
                  </w:r>
                </w:p>
                <w:p w14:paraId="795677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lang w:val="en-US" w:eastAsia="zh-CN"/>
                    </w:rPr>
                  </w:pPr>
                  <w:r>
                    <w:rPr>
                      <w:rFonts w:hint="default"/>
                      <w:lang w:val="en-US" w:eastAsia="zh-CN"/>
                    </w:rPr>
                    <w:t>（厂界）</w:t>
                  </w:r>
                </w:p>
              </w:tc>
              <w:tc>
                <w:tcPr>
                  <w:tcW w:w="736" w:type="pct"/>
                  <w:noWrap w:val="0"/>
                  <w:tcMar>
                    <w:left w:w="0" w:type="dxa"/>
                    <w:right w:w="0" w:type="dxa"/>
                  </w:tcMar>
                  <w:vAlign w:val="center"/>
                </w:tcPr>
                <w:p w14:paraId="4C8170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rPr>
                  </w:pPr>
                  <w:r>
                    <w:rPr>
                      <w:rFonts w:hint="default"/>
                      <w:lang w:val="en-US" w:eastAsia="zh-CN"/>
                    </w:rPr>
                    <w:t>颗粒物</w:t>
                  </w:r>
                </w:p>
              </w:tc>
              <w:tc>
                <w:tcPr>
                  <w:tcW w:w="868" w:type="pct"/>
                  <w:noWrap w:val="0"/>
                  <w:tcMar>
                    <w:left w:w="0" w:type="dxa"/>
                    <w:right w:w="0" w:type="dxa"/>
                  </w:tcMar>
                  <w:vAlign w:val="center"/>
                </w:tcPr>
                <w:p w14:paraId="51DDEB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lang w:val="en-US" w:eastAsia="zh-CN"/>
                    </w:rPr>
                  </w:pPr>
                  <w:r>
                    <w:rPr>
                      <w:rFonts w:hint="eastAsia"/>
                      <w:lang w:val="en-US" w:eastAsia="zh-CN"/>
                    </w:rPr>
                    <w:t>0.5</w:t>
                  </w:r>
                  <w:r>
                    <w:rPr>
                      <w:rFonts w:hint="default"/>
                      <w:lang w:val="en-US" w:eastAsia="zh-CN"/>
                    </w:rPr>
                    <w:t>mg/m</w:t>
                  </w:r>
                  <w:r>
                    <w:rPr>
                      <w:rFonts w:hint="default"/>
                      <w:vertAlign w:val="superscript"/>
                      <w:lang w:eastAsia="zh-CN"/>
                    </w:rPr>
                    <w:t>3</w:t>
                  </w:r>
                </w:p>
              </w:tc>
              <w:tc>
                <w:tcPr>
                  <w:tcW w:w="2446" w:type="pct"/>
                  <w:gridSpan w:val="2"/>
                  <w:tcBorders>
                    <w:right w:val="single" w:color="auto" w:sz="12" w:space="0"/>
                  </w:tcBorders>
                  <w:noWrap w:val="0"/>
                  <w:tcMar>
                    <w:left w:w="108" w:type="dxa"/>
                    <w:right w:w="108" w:type="dxa"/>
                  </w:tcMar>
                  <w:vAlign w:val="center"/>
                </w:tcPr>
                <w:p w14:paraId="1DA9FD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lang w:val="en-US" w:eastAsia="zh-CN"/>
                    </w:rPr>
                  </w:pPr>
                  <w:r>
                    <w:rPr>
                      <w:rFonts w:hint="default"/>
                      <w:lang w:val="en-US" w:eastAsia="zh-CN"/>
                    </w:rPr>
                    <w:t>《水泥工业大气污染物排放标准》（DB 13/ 2167—2015）中表</w:t>
                  </w:r>
                  <w:r>
                    <w:rPr>
                      <w:rFonts w:hint="eastAsia"/>
                      <w:lang w:val="en-US" w:eastAsia="zh-CN"/>
                    </w:rPr>
                    <w:t>2</w:t>
                  </w:r>
                  <w:r>
                    <w:rPr>
                      <w:rFonts w:hint="default"/>
                      <w:lang w:val="en-US" w:eastAsia="zh-CN"/>
                    </w:rPr>
                    <w:t>排放限值</w:t>
                  </w:r>
                </w:p>
              </w:tc>
            </w:tr>
            <w:tr w14:paraId="49B1D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5" w:hRule="atLeast"/>
                <w:jc w:val="center"/>
              </w:trPr>
              <w:tc>
                <w:tcPr>
                  <w:tcW w:w="948" w:type="pct"/>
                  <w:gridSpan w:val="2"/>
                  <w:tcBorders>
                    <w:left w:val="single" w:color="auto" w:sz="4" w:space="0"/>
                  </w:tcBorders>
                  <w:noWrap w:val="0"/>
                  <w:tcMar>
                    <w:left w:w="0" w:type="dxa"/>
                    <w:right w:w="0" w:type="dxa"/>
                  </w:tcMar>
                  <w:vAlign w:val="center"/>
                </w:tcPr>
                <w:p w14:paraId="7D8127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rPr>
                  </w:pPr>
                  <w:r>
                    <w:rPr>
                      <w:rFonts w:hint="default"/>
                    </w:rPr>
                    <w:t>噪声</w:t>
                  </w:r>
                </w:p>
              </w:tc>
              <w:tc>
                <w:tcPr>
                  <w:tcW w:w="736" w:type="pct"/>
                  <w:noWrap w:val="0"/>
                  <w:tcMar>
                    <w:left w:w="0" w:type="dxa"/>
                    <w:right w:w="0" w:type="dxa"/>
                  </w:tcMar>
                  <w:vAlign w:val="center"/>
                </w:tcPr>
                <w:p w14:paraId="12F54F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eastAsia="宋体"/>
                      <w:lang w:eastAsia="zh-CN"/>
                    </w:rPr>
                  </w:pPr>
                  <w:r>
                    <w:rPr>
                      <w:rFonts w:hint="eastAsia"/>
                      <w:lang w:val="en-US" w:eastAsia="zh-CN"/>
                    </w:rPr>
                    <w:t>噪声</w:t>
                  </w:r>
                </w:p>
              </w:tc>
              <w:tc>
                <w:tcPr>
                  <w:tcW w:w="868" w:type="pct"/>
                  <w:noWrap w:val="0"/>
                  <w:tcMar>
                    <w:left w:w="0" w:type="dxa"/>
                    <w:right w:w="0" w:type="dxa"/>
                  </w:tcMar>
                  <w:vAlign w:val="center"/>
                </w:tcPr>
                <w:p w14:paraId="0CFD69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rPr>
                  </w:pPr>
                  <w:r>
                    <w:rPr>
                      <w:rFonts w:hint="default"/>
                    </w:rPr>
                    <w:t>昼间≤6</w:t>
                  </w:r>
                  <w:r>
                    <w:rPr>
                      <w:rFonts w:hint="eastAsia"/>
                      <w:lang w:val="en-US" w:eastAsia="zh-CN"/>
                    </w:rPr>
                    <w:t>0</w:t>
                  </w:r>
                  <w:r>
                    <w:rPr>
                      <w:rFonts w:hint="default"/>
                    </w:rPr>
                    <w:t>dB（A）</w:t>
                  </w:r>
                </w:p>
                <w:p w14:paraId="02A76C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rPr>
                  </w:pPr>
                  <w:r>
                    <w:rPr>
                      <w:rFonts w:hint="default"/>
                    </w:rPr>
                    <w:t>夜间≤5</w:t>
                  </w:r>
                  <w:r>
                    <w:rPr>
                      <w:rFonts w:hint="eastAsia"/>
                      <w:lang w:val="en-US" w:eastAsia="zh-CN"/>
                    </w:rPr>
                    <w:t>0</w:t>
                  </w:r>
                  <w:r>
                    <w:rPr>
                      <w:rFonts w:hint="default"/>
                    </w:rPr>
                    <w:t>dB（A）</w:t>
                  </w:r>
                </w:p>
              </w:tc>
              <w:tc>
                <w:tcPr>
                  <w:tcW w:w="2446" w:type="pct"/>
                  <w:gridSpan w:val="2"/>
                  <w:tcBorders>
                    <w:right w:val="single" w:color="auto" w:sz="12" w:space="0"/>
                  </w:tcBorders>
                  <w:noWrap w:val="0"/>
                  <w:tcMar>
                    <w:left w:w="108" w:type="dxa"/>
                    <w:right w:w="108" w:type="dxa"/>
                  </w:tcMar>
                  <w:vAlign w:val="center"/>
                </w:tcPr>
                <w:p w14:paraId="46D2D7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rPr>
                  </w:pPr>
                  <w:r>
                    <w:rPr>
                      <w:rFonts w:hint="default"/>
                    </w:rPr>
                    <w:t>《工业企业厂界环境噪声排放标准》（GB12348-2008）</w:t>
                  </w:r>
                  <w:r>
                    <w:rPr>
                      <w:rFonts w:hint="eastAsia"/>
                      <w:lang w:val="en-US" w:eastAsia="zh-CN"/>
                    </w:rPr>
                    <w:t>2</w:t>
                  </w:r>
                  <w:r>
                    <w:rPr>
                      <w:rFonts w:hint="default"/>
                    </w:rPr>
                    <w:t>类声环境功能区标准</w:t>
                  </w:r>
                </w:p>
              </w:tc>
            </w:tr>
            <w:tr w14:paraId="7B03A7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Before w:val="1"/>
                <w:gridAfter w:val="1"/>
                <w:wBefore w:w="3" w:type="pct"/>
                <w:wAfter w:w="3" w:type="pct"/>
                <w:trHeight w:val="397" w:hRule="atLeast"/>
                <w:jc w:val="center"/>
              </w:trPr>
              <w:tc>
                <w:tcPr>
                  <w:tcW w:w="4993" w:type="pct"/>
                  <w:gridSpan w:val="4"/>
                  <w:tcBorders>
                    <w:left w:val="single" w:color="auto" w:sz="4" w:space="0"/>
                    <w:bottom w:val="single" w:color="auto" w:sz="12" w:space="0"/>
                    <w:right w:val="single" w:color="auto" w:sz="12" w:space="0"/>
                  </w:tcBorders>
                  <w:noWrap w:val="0"/>
                  <w:vAlign w:val="center"/>
                </w:tcPr>
                <w:p w14:paraId="48D8D9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rPr>
                  </w:pPr>
                  <w:r>
                    <w:rPr>
                      <w:rFonts w:hint="default"/>
                    </w:rPr>
                    <w:t>a指监测点PM10小时平均浓度实测值与同时段所属县(市、区) PM10小时平均浓度的差值。当县(市、区) PM10小时平均浓度大于150μg/m</w:t>
                  </w:r>
                  <w:r>
                    <w:rPr>
                      <w:rFonts w:hint="default"/>
                      <w:vertAlign w:val="superscript"/>
                      <w:lang w:eastAsia="zh-CN"/>
                    </w:rPr>
                    <w:t>3</w:t>
                  </w:r>
                  <w:r>
                    <w:rPr>
                      <w:rFonts w:hint="default"/>
                    </w:rPr>
                    <w:t>时，以150μg/m</w:t>
                  </w:r>
                  <w:r>
                    <w:rPr>
                      <w:rFonts w:hint="default"/>
                      <w:vertAlign w:val="superscript"/>
                      <w:lang w:eastAsia="zh-CN"/>
                    </w:rPr>
                    <w:t>3</w:t>
                  </w:r>
                  <w:r>
                    <w:rPr>
                      <w:rFonts w:hint="default"/>
                    </w:rPr>
                    <w:t>计。</w:t>
                  </w:r>
                </w:p>
              </w:tc>
            </w:tr>
          </w:tbl>
          <w:p w14:paraId="07EDA7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rPr>
            </w:pPr>
            <w:r>
              <w:rPr>
                <w:rFonts w:hint="eastAsia"/>
              </w:rPr>
              <w:t>表</w:t>
            </w:r>
            <w:r>
              <w:rPr>
                <w:rFonts w:hint="eastAsia"/>
                <w:lang w:val="en-US" w:eastAsia="zh-CN"/>
              </w:rPr>
              <w:t xml:space="preserve">3-6    </w:t>
            </w:r>
            <w:r>
              <w:rPr>
                <w:rFonts w:hint="eastAsia"/>
              </w:rPr>
              <w:t>建筑施工场界噪声限值一览表</w:t>
            </w:r>
            <w:r>
              <w:rPr>
                <w:rFonts w:hint="eastAsia"/>
                <w:lang w:val="en-US" w:eastAsia="zh-CN"/>
              </w:rPr>
              <w:t xml:space="preserve">  </w:t>
            </w:r>
            <w:r>
              <w:rPr>
                <w:rFonts w:hint="eastAsia"/>
              </w:rPr>
              <w:t xml:space="preserve">   单位：dB(A)</w:t>
            </w:r>
          </w:p>
          <w:tbl>
            <w:tblPr>
              <w:tblStyle w:val="20"/>
              <w:tblW w:w="79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2268"/>
              <w:gridCol w:w="2268"/>
              <w:gridCol w:w="3378"/>
            </w:tblGrid>
            <w:tr w14:paraId="2E2FAE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4536" w:type="dxa"/>
                  <w:gridSpan w:val="2"/>
                  <w:tcBorders>
                    <w:tl2br w:val="nil"/>
                    <w:tr2bl w:val="nil"/>
                  </w:tcBorders>
                  <w:noWrap w:val="0"/>
                  <w:vAlign w:val="center"/>
                </w:tcPr>
                <w:p w14:paraId="1E19F0C9">
                  <w:pPr>
                    <w:spacing w:line="0" w:lineRule="atLeast"/>
                    <w:jc w:val="center"/>
                    <w:rPr>
                      <w:rFonts w:hint="default"/>
                    </w:rPr>
                  </w:pPr>
                  <w:r>
                    <w:rPr>
                      <w:rFonts w:hint="default"/>
                    </w:rPr>
                    <w:t>噪声限值</w:t>
                  </w:r>
                </w:p>
              </w:tc>
              <w:tc>
                <w:tcPr>
                  <w:tcW w:w="3378" w:type="dxa"/>
                  <w:tcBorders>
                    <w:tl2br w:val="nil"/>
                    <w:tr2bl w:val="nil"/>
                  </w:tcBorders>
                  <w:noWrap w:val="0"/>
                  <w:vAlign w:val="center"/>
                </w:tcPr>
                <w:p w14:paraId="7940704D">
                  <w:pPr>
                    <w:spacing w:line="0" w:lineRule="atLeast"/>
                    <w:jc w:val="center"/>
                    <w:rPr>
                      <w:rFonts w:hint="eastAsia"/>
                    </w:rPr>
                  </w:pPr>
                  <w:r>
                    <w:rPr>
                      <w:rFonts w:hint="eastAsia"/>
                    </w:rPr>
                    <w:t>标准来源</w:t>
                  </w:r>
                </w:p>
              </w:tc>
            </w:tr>
            <w:tr w14:paraId="40F01E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268" w:type="dxa"/>
                  <w:tcBorders>
                    <w:tl2br w:val="nil"/>
                    <w:tr2bl w:val="nil"/>
                  </w:tcBorders>
                  <w:noWrap w:val="0"/>
                  <w:vAlign w:val="center"/>
                </w:tcPr>
                <w:p w14:paraId="59C748E9">
                  <w:pPr>
                    <w:spacing w:line="0" w:lineRule="atLeast"/>
                    <w:jc w:val="center"/>
                    <w:rPr>
                      <w:rFonts w:hint="default"/>
                    </w:rPr>
                  </w:pPr>
                  <w:r>
                    <w:rPr>
                      <w:rFonts w:hint="default"/>
                    </w:rPr>
                    <w:t>昼间</w:t>
                  </w:r>
                </w:p>
              </w:tc>
              <w:tc>
                <w:tcPr>
                  <w:tcW w:w="2268" w:type="dxa"/>
                  <w:tcBorders>
                    <w:tl2br w:val="nil"/>
                    <w:tr2bl w:val="nil"/>
                  </w:tcBorders>
                  <w:noWrap w:val="0"/>
                  <w:vAlign w:val="center"/>
                </w:tcPr>
                <w:p w14:paraId="53BCAF9B">
                  <w:pPr>
                    <w:spacing w:line="0" w:lineRule="atLeast"/>
                    <w:jc w:val="center"/>
                    <w:rPr>
                      <w:rFonts w:hint="default"/>
                    </w:rPr>
                  </w:pPr>
                  <w:r>
                    <w:rPr>
                      <w:rFonts w:hint="default"/>
                    </w:rPr>
                    <w:t>夜间</w:t>
                  </w:r>
                </w:p>
              </w:tc>
              <w:tc>
                <w:tcPr>
                  <w:tcW w:w="3378" w:type="dxa"/>
                  <w:vMerge w:val="restart"/>
                  <w:tcBorders>
                    <w:tl2br w:val="nil"/>
                    <w:tr2bl w:val="nil"/>
                  </w:tcBorders>
                  <w:noWrap w:val="0"/>
                  <w:vAlign w:val="center"/>
                </w:tcPr>
                <w:p w14:paraId="1AA38D6C">
                  <w:pPr>
                    <w:spacing w:line="0" w:lineRule="atLeast"/>
                    <w:jc w:val="center"/>
                    <w:rPr>
                      <w:rFonts w:hint="eastAsia"/>
                    </w:rPr>
                  </w:pPr>
                  <w:r>
                    <w:rPr>
                      <w:rFonts w:hint="eastAsia"/>
                    </w:rPr>
                    <w:t>《建筑施工场界环境噪声排放标准》(GB12523-2011)</w:t>
                  </w:r>
                </w:p>
              </w:tc>
            </w:tr>
            <w:tr w14:paraId="1AB647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9" w:hRule="atLeast"/>
                <w:jc w:val="center"/>
              </w:trPr>
              <w:tc>
                <w:tcPr>
                  <w:tcW w:w="2268" w:type="dxa"/>
                  <w:tcBorders>
                    <w:tl2br w:val="nil"/>
                    <w:tr2bl w:val="nil"/>
                  </w:tcBorders>
                  <w:noWrap w:val="0"/>
                  <w:vAlign w:val="center"/>
                </w:tcPr>
                <w:p w14:paraId="62225756">
                  <w:pPr>
                    <w:spacing w:line="0" w:lineRule="atLeast"/>
                    <w:jc w:val="center"/>
                    <w:rPr>
                      <w:rFonts w:hint="default"/>
                    </w:rPr>
                  </w:pPr>
                  <w:r>
                    <w:rPr>
                      <w:rFonts w:hint="default"/>
                    </w:rPr>
                    <w:t>70</w:t>
                  </w:r>
                </w:p>
              </w:tc>
              <w:tc>
                <w:tcPr>
                  <w:tcW w:w="2268" w:type="dxa"/>
                  <w:tcBorders>
                    <w:tl2br w:val="nil"/>
                    <w:tr2bl w:val="nil"/>
                  </w:tcBorders>
                  <w:noWrap w:val="0"/>
                  <w:vAlign w:val="center"/>
                </w:tcPr>
                <w:p w14:paraId="1F7F0F34">
                  <w:pPr>
                    <w:spacing w:line="0" w:lineRule="atLeast"/>
                    <w:jc w:val="center"/>
                    <w:rPr>
                      <w:rFonts w:hint="default"/>
                    </w:rPr>
                  </w:pPr>
                  <w:r>
                    <w:rPr>
                      <w:rFonts w:hint="default"/>
                    </w:rPr>
                    <w:t>55</w:t>
                  </w:r>
                </w:p>
              </w:tc>
              <w:tc>
                <w:tcPr>
                  <w:tcW w:w="3378" w:type="dxa"/>
                  <w:vMerge w:val="continue"/>
                  <w:tcBorders>
                    <w:tl2br w:val="nil"/>
                    <w:tr2bl w:val="nil"/>
                  </w:tcBorders>
                  <w:noWrap w:val="0"/>
                  <w:vAlign w:val="center"/>
                </w:tcPr>
                <w:p w14:paraId="7B457264">
                  <w:pPr>
                    <w:widowControl/>
                    <w:spacing w:line="0" w:lineRule="atLeast"/>
                    <w:jc w:val="center"/>
                    <w:rPr>
                      <w:rFonts w:hint="eastAsia"/>
                    </w:rPr>
                  </w:pPr>
                </w:p>
              </w:tc>
            </w:tr>
          </w:tbl>
          <w:p w14:paraId="094D773F"/>
          <w:p w14:paraId="1072C8D8">
            <w:pPr>
              <w:pStyle w:val="2"/>
            </w:pPr>
          </w:p>
        </w:tc>
      </w:tr>
      <w:tr w14:paraId="3BF27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800" w:type="dxa"/>
            <w:noWrap w:val="0"/>
            <w:tcMar>
              <w:left w:w="28" w:type="dxa"/>
              <w:right w:w="28" w:type="dxa"/>
            </w:tcMar>
            <w:vAlign w:val="center"/>
          </w:tcPr>
          <w:p w14:paraId="60E548D2">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总量</w:t>
            </w:r>
          </w:p>
          <w:p w14:paraId="49CFE125">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控制</w:t>
            </w:r>
          </w:p>
          <w:p w14:paraId="22F46AAA">
            <w:pPr>
              <w:adjustRightInd w:val="0"/>
              <w:snapToGrid w:val="0"/>
              <w:jc w:val="center"/>
              <w:rPr>
                <w:rFonts w:hint="eastAsia" w:ascii="宋体" w:hAnsi="宋体" w:cs="宋体"/>
                <w:kern w:val="0"/>
                <w:szCs w:val="21"/>
                <w:highlight w:val="none"/>
              </w:rPr>
            </w:pPr>
            <w:r>
              <w:rPr>
                <w:rFonts w:hint="eastAsia" w:ascii="宋体" w:hAnsi="宋体" w:cs="宋体"/>
                <w:kern w:val="0"/>
                <w:szCs w:val="21"/>
                <w:highlight w:val="none"/>
              </w:rPr>
              <w:t>指标</w:t>
            </w:r>
          </w:p>
        </w:tc>
        <w:tc>
          <w:tcPr>
            <w:tcW w:w="8190" w:type="dxa"/>
            <w:noWrap w:val="0"/>
            <w:vAlign w:val="top"/>
          </w:tcPr>
          <w:p w14:paraId="179C2B8F">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default"/>
                <w:highlight w:val="none"/>
                <w:lang w:val="en-US" w:eastAsia="zh-CN"/>
              </w:rPr>
            </w:pPr>
            <w:r>
              <w:rPr>
                <w:rFonts w:hint="eastAsia"/>
                <w:highlight w:val="none"/>
                <w:lang w:val="en-US" w:eastAsia="zh-CN"/>
              </w:rPr>
              <w:t>总量控制计算：</w:t>
            </w:r>
          </w:p>
          <w:p w14:paraId="1725D61B">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highlight w:val="none"/>
                <w:lang w:val="en-US" w:eastAsia="zh-CN"/>
              </w:rPr>
            </w:pPr>
            <w:r>
              <w:rPr>
                <w:rFonts w:hint="eastAsia"/>
                <w:highlight w:val="none"/>
                <w:lang w:val="en-US" w:eastAsia="zh-CN"/>
              </w:rPr>
              <w:t>根据环境保护部《关于印发&lt;建设项目主要污染物排放总量指标审核及管理暂行办法&gt;的通知》（环发[2014]197号），总量控制指标按国家或地方污染物排放标准核定。</w:t>
            </w:r>
          </w:p>
          <w:p w14:paraId="062FF19D">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highlight w:val="none"/>
                <w:lang w:val="en-US" w:eastAsia="zh-CN"/>
              </w:rPr>
            </w:pPr>
            <w:r>
              <w:rPr>
                <w:rFonts w:hint="eastAsia"/>
                <w:highlight w:val="none"/>
                <w:lang w:val="en-US" w:eastAsia="zh-CN"/>
              </w:rPr>
              <w:t>1、废水污染物总量控制目标值确定</w:t>
            </w:r>
          </w:p>
          <w:p w14:paraId="796CDAB2">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highlight w:val="none"/>
                <w:lang w:val="en-US" w:eastAsia="zh-CN"/>
              </w:rPr>
            </w:pPr>
            <w:r>
              <w:rPr>
                <w:rFonts w:hint="default" w:ascii="Times New Roman" w:hAnsi="Times New Roman" w:cs="Times New Roman"/>
                <w:sz w:val="21"/>
                <w:szCs w:val="21"/>
                <w:highlight w:val="none"/>
              </w:rPr>
              <w:t>本项目生产过程中无废水排放，废水主要为</w:t>
            </w:r>
            <w:r>
              <w:rPr>
                <w:rFonts w:hint="eastAsia" w:cs="Times New Roman"/>
                <w:sz w:val="21"/>
                <w:szCs w:val="21"/>
                <w:highlight w:val="none"/>
                <w:lang w:val="en-US" w:eastAsia="zh-CN"/>
              </w:rPr>
              <w:t>裁切、打孔、切割过程产生的废水，排入沉淀池，循环使用，不外排</w:t>
            </w:r>
            <w:r>
              <w:rPr>
                <w:rFonts w:hint="eastAsia"/>
                <w:highlight w:val="none"/>
                <w:lang w:val="en-US" w:eastAsia="zh-CN"/>
              </w:rPr>
              <w:t>。无新增劳动定员，不新增生活废水。因此本评价建议以环评报告核算的污染物排放量作为项目废水污染物总量控制目标值，即COD 0t/a、氨氮 0t/a。</w:t>
            </w:r>
          </w:p>
          <w:p w14:paraId="34A0D791">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highlight w:val="none"/>
                <w:lang w:val="en-US" w:eastAsia="zh-CN"/>
              </w:rPr>
            </w:pPr>
            <w:r>
              <w:rPr>
                <w:rFonts w:hint="eastAsia"/>
                <w:highlight w:val="none"/>
                <w:lang w:val="en-US" w:eastAsia="zh-CN"/>
              </w:rPr>
              <w:t>2、废气根据排放标准核定排放量：</w:t>
            </w:r>
          </w:p>
          <w:p w14:paraId="383D04AC">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highlight w:val="none"/>
                <w:lang w:val="en-US" w:eastAsia="zh-CN"/>
              </w:rPr>
            </w:pPr>
            <w:r>
              <w:rPr>
                <w:rFonts w:hint="eastAsia"/>
                <w:highlight w:val="none"/>
                <w:lang w:val="en-US" w:eastAsia="zh-CN"/>
              </w:rPr>
              <w:t>根据《建设项目主要污染物排放总量指标审核及管理暂行办法》的相关要求，总量核算以污染物排放标准中的排放浓度限值为基准，计算总量控制指标。计算结果和计算依据如下：</w:t>
            </w:r>
          </w:p>
          <w:p w14:paraId="23EA3F35">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highlight w:val="none"/>
                <w:lang w:val="en-US" w:eastAsia="zh-CN"/>
              </w:rPr>
            </w:pPr>
            <w:r>
              <w:rPr>
                <w:rFonts w:hint="eastAsia"/>
                <w:highlight w:val="none"/>
                <w:lang w:val="en-US" w:eastAsia="zh-CN"/>
              </w:rPr>
              <w:t>本项目设置</w:t>
            </w:r>
            <w:r>
              <w:rPr>
                <w:rFonts w:hint="default"/>
                <w:highlight w:val="none"/>
                <w:lang w:val="en-US" w:eastAsia="zh-CN"/>
              </w:rPr>
              <w:t>1</w:t>
            </w:r>
            <w:r>
              <w:rPr>
                <w:rFonts w:hint="eastAsia"/>
                <w:highlight w:val="none"/>
                <w:lang w:val="en-US" w:eastAsia="zh-CN"/>
              </w:rPr>
              <w:t>套风量为17000</w:t>
            </w:r>
            <w:r>
              <w:rPr>
                <w:rFonts w:hint="default"/>
                <w:highlight w:val="none"/>
                <w:lang w:val="en-US" w:eastAsia="zh-CN"/>
              </w:rPr>
              <w:t>m</w:t>
            </w:r>
            <w:r>
              <w:rPr>
                <w:rFonts w:hint="eastAsia"/>
                <w:highlight w:val="none"/>
                <w:vertAlign w:val="superscript"/>
                <w:lang w:val="en-US" w:eastAsia="zh-CN"/>
              </w:rPr>
              <w:t>3</w:t>
            </w:r>
            <w:r>
              <w:rPr>
                <w:rFonts w:hint="default"/>
                <w:highlight w:val="none"/>
                <w:lang w:val="en-US" w:eastAsia="zh-CN"/>
              </w:rPr>
              <w:t>/h</w:t>
            </w:r>
            <w:r>
              <w:rPr>
                <w:rFonts w:hint="eastAsia"/>
                <w:highlight w:val="none"/>
                <w:lang w:val="en-US" w:eastAsia="zh-CN"/>
              </w:rPr>
              <w:t>的脉冲布袋除尘器设备进行废气治理，年运行时间为1600</w:t>
            </w:r>
            <w:r>
              <w:rPr>
                <w:rFonts w:hint="default"/>
                <w:highlight w:val="none"/>
                <w:lang w:val="en-US" w:eastAsia="zh-CN"/>
              </w:rPr>
              <w:t>h</w:t>
            </w:r>
            <w:r>
              <w:rPr>
                <w:rFonts w:hint="eastAsia"/>
                <w:highlight w:val="none"/>
                <w:lang w:val="en-US" w:eastAsia="zh-CN"/>
              </w:rPr>
              <w:t xml:space="preserve">，计算过程如下： </w:t>
            </w:r>
          </w:p>
          <w:p w14:paraId="5B109810">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default"/>
                <w:highlight w:val="none"/>
                <w:lang w:val="en-US" w:eastAsia="zh-CN"/>
              </w:rPr>
            </w:pPr>
            <w:r>
              <w:rPr>
                <w:rFonts w:hint="eastAsia"/>
                <w:highlight w:val="none"/>
                <w:lang w:val="en-US" w:eastAsia="zh-CN"/>
              </w:rPr>
              <w:t>颗粒物排放量</w:t>
            </w:r>
            <w:r>
              <w:rPr>
                <w:rFonts w:hint="default"/>
                <w:highlight w:val="none"/>
                <w:lang w:val="en-US" w:eastAsia="zh-CN"/>
              </w:rPr>
              <w:t>=</w:t>
            </w:r>
            <w:r>
              <w:rPr>
                <w:rFonts w:hint="eastAsia"/>
                <w:highlight w:val="none"/>
                <w:lang w:val="en-US" w:eastAsia="zh-CN"/>
              </w:rPr>
              <w:t>10</w:t>
            </w:r>
            <w:r>
              <w:rPr>
                <w:rFonts w:hint="default"/>
                <w:highlight w:val="none"/>
                <w:lang w:val="en-US" w:eastAsia="zh-CN"/>
              </w:rPr>
              <w:t>mg/m</w:t>
            </w:r>
            <w:r>
              <w:rPr>
                <w:rFonts w:hint="eastAsia"/>
                <w:highlight w:val="none"/>
                <w:vertAlign w:val="superscript"/>
                <w:lang w:val="en-US" w:eastAsia="zh-CN"/>
              </w:rPr>
              <w:t>3</w:t>
            </w:r>
            <w:r>
              <w:rPr>
                <w:rFonts w:hint="default"/>
                <w:highlight w:val="none"/>
                <w:lang w:val="en-US" w:eastAsia="zh-CN"/>
              </w:rPr>
              <w:t>×</w:t>
            </w:r>
            <w:r>
              <w:rPr>
                <w:rFonts w:hint="eastAsia"/>
                <w:highlight w:val="none"/>
                <w:lang w:val="en-US" w:eastAsia="zh-CN"/>
              </w:rPr>
              <w:t>17000</w:t>
            </w:r>
            <w:r>
              <w:rPr>
                <w:rFonts w:hint="default"/>
                <w:highlight w:val="none"/>
                <w:lang w:val="en-US" w:eastAsia="zh-CN"/>
              </w:rPr>
              <w:t>m</w:t>
            </w:r>
            <w:r>
              <w:rPr>
                <w:rFonts w:hint="eastAsia"/>
                <w:highlight w:val="none"/>
                <w:vertAlign w:val="superscript"/>
                <w:lang w:val="en-US" w:eastAsia="zh-CN"/>
              </w:rPr>
              <w:t>3</w:t>
            </w:r>
            <w:r>
              <w:rPr>
                <w:rFonts w:hint="default"/>
                <w:highlight w:val="none"/>
                <w:lang w:val="en-US" w:eastAsia="zh-CN"/>
              </w:rPr>
              <w:t>/h×</w:t>
            </w:r>
            <w:r>
              <w:rPr>
                <w:rFonts w:hint="eastAsia"/>
                <w:highlight w:val="none"/>
                <w:lang w:val="en-US" w:eastAsia="zh-CN"/>
              </w:rPr>
              <w:t>1600</w:t>
            </w:r>
            <w:r>
              <w:rPr>
                <w:rFonts w:hint="default"/>
                <w:highlight w:val="none"/>
                <w:lang w:val="en-US" w:eastAsia="zh-CN"/>
              </w:rPr>
              <w:t>h/a÷10</w:t>
            </w:r>
            <w:r>
              <w:rPr>
                <w:rFonts w:hint="eastAsia"/>
                <w:highlight w:val="none"/>
                <w:vertAlign w:val="superscript"/>
                <w:lang w:val="en-US" w:eastAsia="zh-CN"/>
              </w:rPr>
              <w:t>9</w:t>
            </w:r>
            <w:r>
              <w:rPr>
                <w:rFonts w:hint="default"/>
                <w:highlight w:val="none"/>
                <w:lang w:val="en-US" w:eastAsia="zh-CN"/>
              </w:rPr>
              <w:t>=</w:t>
            </w:r>
            <w:r>
              <w:rPr>
                <w:rFonts w:hint="eastAsia"/>
                <w:highlight w:val="none"/>
                <w:lang w:val="en-US" w:eastAsia="zh-CN"/>
              </w:rPr>
              <w:t>0.272</w:t>
            </w:r>
            <w:r>
              <w:rPr>
                <w:rFonts w:hint="default"/>
                <w:highlight w:val="none"/>
                <w:lang w:val="en-US" w:eastAsia="zh-CN"/>
              </w:rPr>
              <w:t>t/a</w:t>
            </w:r>
          </w:p>
          <w:p w14:paraId="21577A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center"/>
              <w:textAlignment w:val="auto"/>
              <w:rPr>
                <w:rFonts w:hint="eastAsia"/>
                <w:b/>
                <w:bCs/>
                <w:highlight w:val="none"/>
                <w:lang w:val="en-US" w:eastAsia="zh-CN"/>
              </w:rPr>
            </w:pPr>
            <w:r>
              <w:rPr>
                <w:rFonts w:hint="eastAsia"/>
                <w:b/>
                <w:bCs/>
                <w:highlight w:val="none"/>
                <w:lang w:val="en-US" w:eastAsia="zh-CN"/>
              </w:rPr>
              <w:t>表3-7 废气污染物总量控制指标核算表</w:t>
            </w:r>
          </w:p>
          <w:tbl>
            <w:tblPr>
              <w:tblStyle w:val="21"/>
              <w:tblW w:w="7974"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3"/>
              <w:gridCol w:w="930"/>
              <w:gridCol w:w="858"/>
              <w:gridCol w:w="1755"/>
              <w:gridCol w:w="1080"/>
              <w:gridCol w:w="1215"/>
              <w:gridCol w:w="825"/>
              <w:gridCol w:w="908"/>
            </w:tblGrid>
            <w:tr w14:paraId="650E0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 w:type="dxa"/>
                  <w:tcBorders>
                    <w:tl2br w:val="nil"/>
                    <w:tr2bl w:val="nil"/>
                  </w:tcBorders>
                  <w:shd w:val="clear" w:color="auto" w:fill="FFFFFF" w:themeFill="background1"/>
                  <w:vAlign w:val="center"/>
                </w:tcPr>
                <w:p w14:paraId="3C27BBD4">
                  <w:pPr>
                    <w:pStyle w:val="2"/>
                    <w:jc w:val="center"/>
                    <w:rPr>
                      <w:rFonts w:hint="default"/>
                      <w:highlight w:val="none"/>
                      <w:lang w:val="en-US" w:eastAsia="zh-CN"/>
                    </w:rPr>
                  </w:pPr>
                  <w:r>
                    <w:rPr>
                      <w:rFonts w:hint="eastAsia"/>
                      <w:highlight w:val="none"/>
                      <w:lang w:val="en-US" w:eastAsia="zh-CN"/>
                    </w:rPr>
                    <w:t>序号</w:t>
                  </w:r>
                </w:p>
              </w:tc>
              <w:tc>
                <w:tcPr>
                  <w:tcW w:w="930" w:type="dxa"/>
                  <w:tcBorders>
                    <w:tl2br w:val="nil"/>
                    <w:tr2bl w:val="nil"/>
                  </w:tcBorders>
                  <w:shd w:val="clear" w:color="auto" w:fill="FFFFFF" w:themeFill="background1"/>
                  <w:vAlign w:val="center"/>
                </w:tcPr>
                <w:p w14:paraId="7A3B7527">
                  <w:pPr>
                    <w:pStyle w:val="2"/>
                    <w:jc w:val="center"/>
                    <w:rPr>
                      <w:rFonts w:hint="default"/>
                      <w:highlight w:val="none"/>
                      <w:lang w:val="en-US" w:eastAsia="zh-CN"/>
                    </w:rPr>
                  </w:pPr>
                  <w:r>
                    <w:rPr>
                      <w:rFonts w:hint="eastAsia"/>
                      <w:highlight w:val="none"/>
                      <w:lang w:val="en-US" w:eastAsia="zh-CN"/>
                    </w:rPr>
                    <w:t>排气筒编号</w:t>
                  </w:r>
                </w:p>
              </w:tc>
              <w:tc>
                <w:tcPr>
                  <w:tcW w:w="858" w:type="dxa"/>
                  <w:tcBorders>
                    <w:tl2br w:val="nil"/>
                    <w:tr2bl w:val="nil"/>
                  </w:tcBorders>
                  <w:shd w:val="clear" w:color="auto" w:fill="FFFFFF" w:themeFill="background1"/>
                  <w:vAlign w:val="center"/>
                </w:tcPr>
                <w:p w14:paraId="70D1DAFA">
                  <w:pPr>
                    <w:pStyle w:val="2"/>
                    <w:jc w:val="center"/>
                    <w:rPr>
                      <w:rFonts w:hint="default"/>
                      <w:highlight w:val="none"/>
                      <w:lang w:val="en-US" w:eastAsia="zh-CN"/>
                    </w:rPr>
                  </w:pPr>
                  <w:r>
                    <w:rPr>
                      <w:rFonts w:hint="eastAsia"/>
                      <w:highlight w:val="none"/>
                      <w:lang w:val="en-US" w:eastAsia="zh-CN"/>
                    </w:rPr>
                    <w:t>污染物</w:t>
                  </w:r>
                </w:p>
              </w:tc>
              <w:tc>
                <w:tcPr>
                  <w:tcW w:w="1755" w:type="dxa"/>
                  <w:tcBorders>
                    <w:tl2br w:val="nil"/>
                    <w:tr2bl w:val="nil"/>
                  </w:tcBorders>
                  <w:shd w:val="clear" w:color="auto" w:fill="FFFFFF" w:themeFill="background1"/>
                  <w:vAlign w:val="center"/>
                </w:tcPr>
                <w:p w14:paraId="7E6C63AF">
                  <w:pPr>
                    <w:pStyle w:val="2"/>
                    <w:jc w:val="center"/>
                    <w:rPr>
                      <w:rFonts w:hint="default"/>
                      <w:highlight w:val="none"/>
                      <w:lang w:val="en-US" w:eastAsia="zh-CN"/>
                    </w:rPr>
                  </w:pPr>
                  <w:r>
                    <w:rPr>
                      <w:rFonts w:hint="eastAsia"/>
                      <w:highlight w:val="none"/>
                      <w:lang w:val="en-US" w:eastAsia="zh-CN"/>
                    </w:rPr>
                    <w:t>执行标准</w:t>
                  </w:r>
                </w:p>
              </w:tc>
              <w:tc>
                <w:tcPr>
                  <w:tcW w:w="1080" w:type="dxa"/>
                  <w:tcBorders>
                    <w:tl2br w:val="nil"/>
                    <w:tr2bl w:val="nil"/>
                  </w:tcBorders>
                  <w:shd w:val="clear" w:color="auto" w:fill="FFFFFF" w:themeFill="background1"/>
                  <w:vAlign w:val="center"/>
                </w:tcPr>
                <w:p w14:paraId="600E4608">
                  <w:pPr>
                    <w:pStyle w:val="2"/>
                    <w:jc w:val="center"/>
                    <w:rPr>
                      <w:rFonts w:hint="default"/>
                      <w:highlight w:val="none"/>
                      <w:lang w:val="en-US" w:eastAsia="zh-CN"/>
                    </w:rPr>
                  </w:pPr>
                  <w:r>
                    <w:rPr>
                      <w:rFonts w:hint="eastAsia"/>
                      <w:highlight w:val="none"/>
                      <w:lang w:val="en-US" w:eastAsia="zh-CN"/>
                    </w:rPr>
                    <w:t>标准值</w:t>
                  </w:r>
                </w:p>
              </w:tc>
              <w:tc>
                <w:tcPr>
                  <w:tcW w:w="1215" w:type="dxa"/>
                  <w:tcBorders>
                    <w:tl2br w:val="nil"/>
                    <w:tr2bl w:val="nil"/>
                  </w:tcBorders>
                  <w:shd w:val="clear" w:color="auto" w:fill="FFFFFF" w:themeFill="background1"/>
                  <w:vAlign w:val="center"/>
                </w:tcPr>
                <w:p w14:paraId="1F3800D9">
                  <w:pPr>
                    <w:pStyle w:val="2"/>
                    <w:jc w:val="center"/>
                    <w:rPr>
                      <w:rFonts w:hint="default"/>
                      <w:highlight w:val="none"/>
                      <w:lang w:val="en-US" w:eastAsia="zh-CN"/>
                    </w:rPr>
                  </w:pPr>
                  <w:r>
                    <w:rPr>
                      <w:rFonts w:hint="eastAsia"/>
                      <w:highlight w:val="none"/>
                      <w:lang w:val="en-US" w:eastAsia="zh-CN"/>
                    </w:rPr>
                    <w:t>废气量</w:t>
                  </w:r>
                </w:p>
              </w:tc>
              <w:tc>
                <w:tcPr>
                  <w:tcW w:w="825" w:type="dxa"/>
                  <w:tcBorders>
                    <w:tl2br w:val="nil"/>
                    <w:tr2bl w:val="nil"/>
                  </w:tcBorders>
                  <w:shd w:val="clear" w:color="auto" w:fill="FFFFFF" w:themeFill="background1"/>
                  <w:vAlign w:val="center"/>
                </w:tcPr>
                <w:p w14:paraId="00C39EEB">
                  <w:pPr>
                    <w:pStyle w:val="2"/>
                    <w:jc w:val="center"/>
                    <w:rPr>
                      <w:rFonts w:hint="default"/>
                      <w:highlight w:val="none"/>
                      <w:lang w:val="en-US" w:eastAsia="zh-CN"/>
                    </w:rPr>
                  </w:pPr>
                  <w:r>
                    <w:rPr>
                      <w:rFonts w:hint="eastAsia"/>
                      <w:highlight w:val="none"/>
                      <w:lang w:val="en-US" w:eastAsia="zh-CN"/>
                    </w:rPr>
                    <w:t>时间</w:t>
                  </w:r>
                </w:p>
              </w:tc>
              <w:tc>
                <w:tcPr>
                  <w:tcW w:w="908" w:type="dxa"/>
                  <w:tcBorders>
                    <w:tl2br w:val="nil"/>
                    <w:tr2bl w:val="nil"/>
                  </w:tcBorders>
                  <w:shd w:val="clear" w:color="auto" w:fill="FFFFFF" w:themeFill="background1"/>
                  <w:vAlign w:val="center"/>
                </w:tcPr>
                <w:p w14:paraId="0BA40979">
                  <w:pPr>
                    <w:pStyle w:val="2"/>
                    <w:jc w:val="center"/>
                    <w:rPr>
                      <w:rFonts w:hint="default"/>
                      <w:highlight w:val="none"/>
                      <w:lang w:val="en-US" w:eastAsia="zh-CN"/>
                    </w:rPr>
                  </w:pPr>
                  <w:r>
                    <w:rPr>
                      <w:rFonts w:hint="eastAsia"/>
                      <w:highlight w:val="none"/>
                      <w:lang w:val="en-US" w:eastAsia="zh-CN"/>
                    </w:rPr>
                    <w:t>总量指标</w:t>
                  </w:r>
                </w:p>
              </w:tc>
            </w:tr>
            <w:tr w14:paraId="1C7D9E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 w:type="dxa"/>
                  <w:tcBorders>
                    <w:tl2br w:val="nil"/>
                    <w:tr2bl w:val="nil"/>
                  </w:tcBorders>
                  <w:shd w:val="clear" w:color="auto" w:fill="FFFFFF" w:themeFill="background1"/>
                  <w:vAlign w:val="center"/>
                </w:tcPr>
                <w:p w14:paraId="4FEFBE9C">
                  <w:pPr>
                    <w:pStyle w:val="2"/>
                    <w:jc w:val="center"/>
                    <w:rPr>
                      <w:rFonts w:hint="default"/>
                      <w:highlight w:val="none"/>
                      <w:lang w:val="en-US" w:eastAsia="zh-CN"/>
                    </w:rPr>
                  </w:pPr>
                  <w:r>
                    <w:rPr>
                      <w:rFonts w:hint="eastAsia"/>
                      <w:highlight w:val="none"/>
                      <w:lang w:val="en-US" w:eastAsia="zh-CN"/>
                    </w:rPr>
                    <w:t>1</w:t>
                  </w:r>
                </w:p>
              </w:tc>
              <w:tc>
                <w:tcPr>
                  <w:tcW w:w="930" w:type="dxa"/>
                  <w:tcBorders>
                    <w:tl2br w:val="nil"/>
                    <w:tr2bl w:val="nil"/>
                  </w:tcBorders>
                  <w:shd w:val="clear" w:color="auto" w:fill="FFFFFF" w:themeFill="background1"/>
                  <w:vAlign w:val="center"/>
                </w:tcPr>
                <w:p w14:paraId="038E7DA3">
                  <w:pPr>
                    <w:pStyle w:val="2"/>
                    <w:jc w:val="center"/>
                    <w:rPr>
                      <w:rFonts w:hint="default"/>
                      <w:highlight w:val="none"/>
                      <w:lang w:val="en-US" w:eastAsia="zh-CN"/>
                    </w:rPr>
                  </w:pPr>
                  <w:r>
                    <w:rPr>
                      <w:rFonts w:hint="eastAsia"/>
                      <w:highlight w:val="none"/>
                      <w:lang w:val="en-US" w:eastAsia="zh-CN"/>
                    </w:rPr>
                    <w:t>DA008</w:t>
                  </w:r>
                </w:p>
              </w:tc>
              <w:tc>
                <w:tcPr>
                  <w:tcW w:w="858" w:type="dxa"/>
                  <w:tcBorders>
                    <w:tl2br w:val="nil"/>
                    <w:tr2bl w:val="nil"/>
                  </w:tcBorders>
                  <w:shd w:val="clear" w:color="auto" w:fill="FFFFFF" w:themeFill="background1"/>
                  <w:vAlign w:val="center"/>
                </w:tcPr>
                <w:p w14:paraId="1E348613">
                  <w:pPr>
                    <w:pStyle w:val="2"/>
                    <w:jc w:val="center"/>
                    <w:rPr>
                      <w:rFonts w:hint="default"/>
                      <w:highlight w:val="none"/>
                      <w:lang w:val="en-US" w:eastAsia="zh-CN"/>
                    </w:rPr>
                  </w:pPr>
                  <w:r>
                    <w:rPr>
                      <w:rFonts w:hint="eastAsia"/>
                      <w:highlight w:val="none"/>
                      <w:lang w:val="en-US" w:eastAsia="zh-CN"/>
                    </w:rPr>
                    <w:t>颗粒物</w:t>
                  </w:r>
                </w:p>
              </w:tc>
              <w:tc>
                <w:tcPr>
                  <w:tcW w:w="1755" w:type="dxa"/>
                  <w:tcBorders>
                    <w:tl2br w:val="nil"/>
                    <w:tr2bl w:val="nil"/>
                  </w:tcBorders>
                  <w:shd w:val="clear" w:color="auto" w:fill="FFFFFF" w:themeFill="background1"/>
                  <w:vAlign w:val="center"/>
                </w:tcPr>
                <w:p w14:paraId="77426F73">
                  <w:pPr>
                    <w:pStyle w:val="2"/>
                    <w:jc w:val="center"/>
                    <w:rPr>
                      <w:rFonts w:hint="default"/>
                      <w:highlight w:val="none"/>
                      <w:lang w:val="en-US" w:eastAsia="zh-CN"/>
                    </w:rPr>
                  </w:pPr>
                  <w:r>
                    <w:rPr>
                      <w:rFonts w:hint="eastAsia"/>
                      <w:highlight w:val="none"/>
                      <w:lang w:val="en-US" w:eastAsia="zh-CN"/>
                    </w:rPr>
                    <w:t>《钢铁工业大气污染物超低排放标准》（DB13/2169-2018)</w:t>
                  </w:r>
                </w:p>
              </w:tc>
              <w:tc>
                <w:tcPr>
                  <w:tcW w:w="1080" w:type="dxa"/>
                  <w:tcBorders>
                    <w:tl2br w:val="nil"/>
                    <w:tr2bl w:val="nil"/>
                  </w:tcBorders>
                  <w:shd w:val="clear" w:color="auto" w:fill="FFFFFF" w:themeFill="background1"/>
                  <w:vAlign w:val="center"/>
                </w:tcPr>
                <w:p w14:paraId="0DF879BE">
                  <w:pPr>
                    <w:pStyle w:val="2"/>
                    <w:jc w:val="both"/>
                    <w:rPr>
                      <w:rFonts w:hint="default"/>
                      <w:highlight w:val="none"/>
                      <w:lang w:val="en-US" w:eastAsia="zh-CN"/>
                    </w:rPr>
                  </w:pPr>
                  <w:r>
                    <w:rPr>
                      <w:rFonts w:hint="eastAsia"/>
                      <w:highlight w:val="none"/>
                      <w:lang w:val="en-US" w:eastAsia="zh-CN"/>
                    </w:rPr>
                    <w:t>10mg/m³</w:t>
                  </w:r>
                </w:p>
              </w:tc>
              <w:tc>
                <w:tcPr>
                  <w:tcW w:w="1215" w:type="dxa"/>
                  <w:tcBorders>
                    <w:tl2br w:val="nil"/>
                    <w:tr2bl w:val="nil"/>
                  </w:tcBorders>
                  <w:shd w:val="clear" w:color="auto" w:fill="FFFFFF" w:themeFill="background1"/>
                  <w:vAlign w:val="center"/>
                </w:tcPr>
                <w:p w14:paraId="0AF1EAAD">
                  <w:pPr>
                    <w:pStyle w:val="2"/>
                    <w:jc w:val="center"/>
                    <w:rPr>
                      <w:rFonts w:hint="default"/>
                      <w:highlight w:val="none"/>
                      <w:lang w:val="en-US" w:eastAsia="zh-CN"/>
                    </w:rPr>
                  </w:pPr>
                  <w:r>
                    <w:rPr>
                      <w:rFonts w:hint="eastAsia"/>
                      <w:highlight w:val="none"/>
                      <w:lang w:val="en-US" w:eastAsia="zh-CN"/>
                    </w:rPr>
                    <w:t>17000m³/h</w:t>
                  </w:r>
                </w:p>
              </w:tc>
              <w:tc>
                <w:tcPr>
                  <w:tcW w:w="825" w:type="dxa"/>
                  <w:tcBorders>
                    <w:tl2br w:val="nil"/>
                    <w:tr2bl w:val="nil"/>
                  </w:tcBorders>
                  <w:shd w:val="clear" w:color="auto" w:fill="FFFFFF" w:themeFill="background1"/>
                  <w:vAlign w:val="center"/>
                </w:tcPr>
                <w:p w14:paraId="4F012DEC">
                  <w:pPr>
                    <w:pStyle w:val="2"/>
                    <w:jc w:val="center"/>
                    <w:rPr>
                      <w:rFonts w:hint="default"/>
                      <w:highlight w:val="none"/>
                      <w:lang w:val="en-US" w:eastAsia="zh-CN"/>
                    </w:rPr>
                  </w:pPr>
                  <w:r>
                    <w:rPr>
                      <w:rFonts w:hint="eastAsia"/>
                      <w:highlight w:val="none"/>
                      <w:lang w:val="en-US" w:eastAsia="zh-CN"/>
                    </w:rPr>
                    <w:t>1600h</w:t>
                  </w:r>
                </w:p>
              </w:tc>
              <w:tc>
                <w:tcPr>
                  <w:tcW w:w="908" w:type="dxa"/>
                  <w:tcBorders>
                    <w:tl2br w:val="nil"/>
                    <w:tr2bl w:val="nil"/>
                  </w:tcBorders>
                  <w:shd w:val="clear" w:color="auto" w:fill="FFFFFF" w:themeFill="background1"/>
                  <w:vAlign w:val="center"/>
                </w:tcPr>
                <w:p w14:paraId="37CD1408">
                  <w:pPr>
                    <w:pStyle w:val="2"/>
                    <w:jc w:val="center"/>
                    <w:rPr>
                      <w:rFonts w:hint="default"/>
                      <w:highlight w:val="none"/>
                      <w:lang w:val="en-US" w:eastAsia="zh-CN"/>
                    </w:rPr>
                  </w:pPr>
                  <w:r>
                    <w:rPr>
                      <w:rFonts w:hint="eastAsia"/>
                      <w:highlight w:val="none"/>
                      <w:lang w:val="en-US" w:eastAsia="zh-CN"/>
                    </w:rPr>
                    <w:t>0.272t/a</w:t>
                  </w:r>
                </w:p>
              </w:tc>
            </w:tr>
          </w:tbl>
          <w:p w14:paraId="3CAD93B6">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highlight w:val="none"/>
                <w:lang w:val="en-US" w:eastAsia="zh-CN"/>
              </w:rPr>
            </w:pPr>
            <w:r>
              <w:rPr>
                <w:rFonts w:hint="eastAsia"/>
                <w:highlight w:val="none"/>
                <w:lang w:val="en-US" w:eastAsia="zh-CN"/>
              </w:rPr>
              <w:t>本项目无重点大气污染物排放，SO</w:t>
            </w:r>
            <w:r>
              <w:rPr>
                <w:rFonts w:hint="eastAsia"/>
                <w:highlight w:val="none"/>
                <w:vertAlign w:val="subscript"/>
                <w:lang w:val="en-US" w:eastAsia="zh-CN"/>
              </w:rPr>
              <w:t>2</w:t>
            </w:r>
            <w:r>
              <w:rPr>
                <w:rFonts w:hint="eastAsia"/>
                <w:highlight w:val="none"/>
                <w:lang w:val="en-US" w:eastAsia="zh-CN"/>
              </w:rPr>
              <w:t>、NOx排放量均为0t/a，氨氮、COD排放量均为0t/a。</w:t>
            </w:r>
          </w:p>
          <w:p w14:paraId="62CC3647">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420" w:firstLineChars="200"/>
              <w:jc w:val="both"/>
              <w:textAlignment w:val="auto"/>
              <w:rPr>
                <w:rFonts w:hint="eastAsia"/>
                <w:highlight w:val="none"/>
                <w:lang w:val="en-US" w:eastAsia="zh-CN"/>
              </w:rPr>
            </w:pPr>
            <w:r>
              <w:rPr>
                <w:rFonts w:hint="eastAsia"/>
                <w:highlight w:val="none"/>
                <w:lang w:val="en-US" w:eastAsia="zh-CN"/>
              </w:rPr>
              <w:t>本项目实施后建议污染物总量控制指标：SO</w:t>
            </w:r>
            <w:r>
              <w:rPr>
                <w:rFonts w:hint="eastAsia"/>
                <w:highlight w:val="none"/>
                <w:vertAlign w:val="subscript"/>
                <w:lang w:val="en-US" w:eastAsia="zh-CN"/>
              </w:rPr>
              <w:t>2</w:t>
            </w:r>
            <w:r>
              <w:rPr>
                <w:rFonts w:hint="eastAsia"/>
                <w:highlight w:val="none"/>
                <w:lang w:val="en-US" w:eastAsia="zh-CN"/>
              </w:rPr>
              <w:t xml:space="preserve"> : 0t/a、NOx: 0t/a、氨氮：0t/a、COD:</w:t>
            </w:r>
          </w:p>
          <w:p w14:paraId="1091F9B8">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rPr>
                <w:rFonts w:hint="eastAsia"/>
                <w:highlight w:val="none"/>
                <w:lang w:val="en-US" w:eastAsia="zh-CN"/>
              </w:rPr>
            </w:pPr>
            <w:r>
              <w:rPr>
                <w:rFonts w:hint="eastAsia"/>
                <w:highlight w:val="none"/>
                <w:lang w:val="en-US" w:eastAsia="zh-CN"/>
              </w:rPr>
              <w:t>0t/a。特征污染物：颗粒物：0.0272t/a。</w:t>
            </w:r>
          </w:p>
          <w:p w14:paraId="50E4D7D4">
            <w:pPr>
              <w:rPr>
                <w:rFonts w:hint="eastAsia"/>
                <w:highlight w:val="none"/>
                <w:lang w:val="en-US" w:eastAsia="zh-CN"/>
              </w:rPr>
            </w:pPr>
          </w:p>
          <w:p w14:paraId="71F9408A">
            <w:pPr>
              <w:pStyle w:val="2"/>
              <w:rPr>
                <w:rFonts w:hint="eastAsia"/>
                <w:highlight w:val="none"/>
                <w:lang w:val="en-US" w:eastAsia="zh-CN"/>
              </w:rPr>
            </w:pPr>
          </w:p>
          <w:p w14:paraId="1E7C9CA1">
            <w:pPr>
              <w:rPr>
                <w:rFonts w:hint="eastAsia"/>
                <w:highlight w:val="none"/>
                <w:lang w:val="en-US" w:eastAsia="zh-CN"/>
              </w:rPr>
            </w:pPr>
          </w:p>
          <w:p w14:paraId="6B8E3F81">
            <w:pPr>
              <w:pStyle w:val="2"/>
              <w:rPr>
                <w:rFonts w:hint="eastAsia"/>
                <w:highlight w:val="none"/>
                <w:lang w:val="en-US" w:eastAsia="zh-CN"/>
              </w:rPr>
            </w:pPr>
          </w:p>
          <w:p w14:paraId="335B77F6">
            <w:pPr>
              <w:rPr>
                <w:rFonts w:hint="eastAsia"/>
                <w:highlight w:val="none"/>
                <w:lang w:val="en-US" w:eastAsia="zh-CN"/>
              </w:rPr>
            </w:pPr>
          </w:p>
          <w:p w14:paraId="1067DD53">
            <w:pPr>
              <w:pStyle w:val="2"/>
              <w:rPr>
                <w:rFonts w:hint="eastAsia"/>
                <w:highlight w:val="none"/>
                <w:lang w:val="en-US" w:eastAsia="zh-CN"/>
              </w:rPr>
            </w:pPr>
          </w:p>
          <w:p w14:paraId="50FC2969">
            <w:pPr>
              <w:rPr>
                <w:rFonts w:hint="eastAsia"/>
                <w:highlight w:val="none"/>
                <w:lang w:val="en-US" w:eastAsia="zh-CN"/>
              </w:rPr>
            </w:pPr>
          </w:p>
          <w:p w14:paraId="219896F5">
            <w:pPr>
              <w:pStyle w:val="2"/>
              <w:rPr>
                <w:rFonts w:hint="eastAsia"/>
                <w:highlight w:val="none"/>
                <w:lang w:val="en-US" w:eastAsia="zh-CN"/>
              </w:rPr>
            </w:pPr>
          </w:p>
          <w:p w14:paraId="6634DA70">
            <w:pPr>
              <w:rPr>
                <w:rFonts w:hint="eastAsia"/>
                <w:highlight w:val="none"/>
                <w:lang w:val="en-US" w:eastAsia="zh-CN"/>
              </w:rPr>
            </w:pPr>
          </w:p>
          <w:p w14:paraId="06899235">
            <w:pPr>
              <w:pStyle w:val="2"/>
              <w:rPr>
                <w:rFonts w:hint="eastAsia"/>
                <w:highlight w:val="none"/>
                <w:lang w:val="en-US" w:eastAsia="zh-CN"/>
              </w:rPr>
            </w:pPr>
          </w:p>
          <w:p w14:paraId="73E2ED3A">
            <w:pPr>
              <w:rPr>
                <w:rFonts w:hint="eastAsia"/>
                <w:highlight w:val="none"/>
                <w:lang w:val="en-US" w:eastAsia="zh-CN"/>
              </w:rPr>
            </w:pPr>
          </w:p>
          <w:p w14:paraId="048B9085">
            <w:pPr>
              <w:pStyle w:val="2"/>
              <w:rPr>
                <w:rFonts w:hint="eastAsia"/>
                <w:highlight w:val="none"/>
                <w:lang w:val="en-US" w:eastAsia="zh-CN"/>
              </w:rPr>
            </w:pPr>
          </w:p>
          <w:p w14:paraId="6F8D1871">
            <w:pPr>
              <w:rPr>
                <w:rFonts w:hint="eastAsia"/>
                <w:highlight w:val="none"/>
                <w:lang w:val="en-US" w:eastAsia="zh-CN"/>
              </w:rPr>
            </w:pPr>
          </w:p>
          <w:p w14:paraId="48861A25">
            <w:pPr>
              <w:pStyle w:val="2"/>
              <w:rPr>
                <w:rFonts w:hint="eastAsia"/>
                <w:highlight w:val="none"/>
                <w:lang w:val="en-US" w:eastAsia="zh-CN"/>
              </w:rPr>
            </w:pPr>
          </w:p>
          <w:p w14:paraId="2605A981">
            <w:pPr>
              <w:rPr>
                <w:rFonts w:hint="eastAsia"/>
                <w:highlight w:val="none"/>
                <w:lang w:val="en-US" w:eastAsia="zh-CN"/>
              </w:rPr>
            </w:pPr>
          </w:p>
          <w:p w14:paraId="198DCDEF">
            <w:pPr>
              <w:pStyle w:val="2"/>
              <w:rPr>
                <w:rFonts w:hint="eastAsia"/>
                <w:highlight w:val="none"/>
                <w:lang w:val="en-US" w:eastAsia="zh-CN"/>
              </w:rPr>
            </w:pPr>
          </w:p>
          <w:p w14:paraId="76956928">
            <w:pPr>
              <w:rPr>
                <w:rFonts w:hint="eastAsia"/>
                <w:highlight w:val="none"/>
                <w:lang w:val="en-US" w:eastAsia="zh-CN"/>
              </w:rPr>
            </w:pPr>
          </w:p>
          <w:p w14:paraId="0F27256D">
            <w:pPr>
              <w:pStyle w:val="2"/>
              <w:rPr>
                <w:rFonts w:hint="eastAsia"/>
                <w:highlight w:val="none"/>
                <w:lang w:val="en-US" w:eastAsia="zh-CN"/>
              </w:rPr>
            </w:pPr>
          </w:p>
          <w:p w14:paraId="19645F5D">
            <w:pPr>
              <w:pStyle w:val="2"/>
              <w:rPr>
                <w:highlight w:val="none"/>
              </w:rPr>
            </w:pPr>
          </w:p>
        </w:tc>
      </w:tr>
    </w:tbl>
    <w:p w14:paraId="5415CD9B">
      <w:pPr>
        <w:adjustRightInd w:val="0"/>
        <w:snapToGrid w:val="0"/>
        <w:jc w:val="center"/>
        <w:rPr>
          <w:rFonts w:hint="eastAsia" w:ascii="宋体" w:hAnsi="宋体" w:cs="宋体"/>
          <w:kern w:val="0"/>
          <w:szCs w:val="21"/>
          <w:highlight w:val="none"/>
        </w:rPr>
        <w:sectPr>
          <w:pgSz w:w="11907" w:h="16840"/>
          <w:pgMar w:top="1701" w:right="1417" w:bottom="2126" w:left="1417"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14:paraId="474E938D">
      <w:pPr>
        <w:pStyle w:val="16"/>
        <w:jc w:val="center"/>
        <w:outlineLvl w:val="0"/>
        <w:rPr>
          <w:rFonts w:ascii="黑体" w:hAnsi="黑体" w:eastAsia="黑体"/>
          <w:snapToGrid w:val="0"/>
          <w:sz w:val="30"/>
          <w:szCs w:val="30"/>
          <w:highlight w:val="none"/>
        </w:rPr>
      </w:pPr>
      <w:r>
        <w:rPr>
          <w:rFonts w:hint="eastAsia" w:ascii="黑体" w:hAnsi="黑体" w:eastAsia="黑体"/>
          <w:snapToGrid w:val="0"/>
          <w:sz w:val="30"/>
          <w:szCs w:val="30"/>
          <w:highlight w:val="none"/>
        </w:rPr>
        <w:t>四、主要环境影响和保护措施</w:t>
      </w:r>
    </w:p>
    <w:tbl>
      <w:tblPr>
        <w:tblStyle w:val="20"/>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14:paraId="65870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28" w:hRule="atLeast"/>
          <w:jc w:val="center"/>
        </w:trPr>
        <w:tc>
          <w:tcPr>
            <w:tcW w:w="746" w:type="dxa"/>
            <w:noWrap w:val="0"/>
            <w:tcMar>
              <w:left w:w="28" w:type="dxa"/>
              <w:right w:w="28" w:type="dxa"/>
            </w:tcMar>
            <w:vAlign w:val="center"/>
          </w:tcPr>
          <w:p w14:paraId="294EC9AA">
            <w:pPr>
              <w:pStyle w:val="16"/>
              <w:adjustRightInd w:val="0"/>
              <w:snapToGrid w:val="0"/>
              <w:spacing w:before="0" w:beforeAutospacing="0" w:after="0" w:afterAutospacing="0"/>
              <w:jc w:val="center"/>
              <w:rPr>
                <w:rFonts w:hint="eastAsia" w:cs="宋体"/>
                <w:kern w:val="2"/>
                <w:sz w:val="21"/>
                <w:szCs w:val="21"/>
                <w:highlight w:val="none"/>
              </w:rPr>
            </w:pPr>
            <w:r>
              <w:rPr>
                <w:rFonts w:hint="eastAsia" w:cs="宋体"/>
                <w:kern w:val="2"/>
                <w:sz w:val="21"/>
                <w:szCs w:val="21"/>
                <w:highlight w:val="none"/>
              </w:rPr>
              <w:t>施工</w:t>
            </w:r>
          </w:p>
          <w:p w14:paraId="130659F7">
            <w:pPr>
              <w:pStyle w:val="16"/>
              <w:adjustRightInd w:val="0"/>
              <w:snapToGrid w:val="0"/>
              <w:spacing w:before="0" w:beforeAutospacing="0" w:after="0" w:afterAutospacing="0"/>
              <w:jc w:val="center"/>
              <w:rPr>
                <w:rFonts w:hint="eastAsia" w:cs="宋体"/>
                <w:kern w:val="2"/>
                <w:sz w:val="21"/>
                <w:szCs w:val="21"/>
                <w:highlight w:val="none"/>
              </w:rPr>
            </w:pPr>
            <w:r>
              <w:rPr>
                <w:rFonts w:hint="eastAsia" w:cs="宋体"/>
                <w:kern w:val="2"/>
                <w:sz w:val="21"/>
                <w:szCs w:val="21"/>
                <w:highlight w:val="none"/>
              </w:rPr>
              <w:t>期环</w:t>
            </w:r>
          </w:p>
          <w:p w14:paraId="0E056BAF">
            <w:pPr>
              <w:pStyle w:val="16"/>
              <w:adjustRightInd w:val="0"/>
              <w:snapToGrid w:val="0"/>
              <w:spacing w:before="0" w:beforeAutospacing="0" w:after="0" w:afterAutospacing="0"/>
              <w:jc w:val="center"/>
              <w:rPr>
                <w:rFonts w:hint="eastAsia" w:cs="宋体"/>
                <w:kern w:val="2"/>
                <w:sz w:val="21"/>
                <w:szCs w:val="21"/>
                <w:highlight w:val="none"/>
              </w:rPr>
            </w:pPr>
            <w:r>
              <w:rPr>
                <w:rFonts w:hint="eastAsia" w:cs="宋体"/>
                <w:kern w:val="2"/>
                <w:sz w:val="21"/>
                <w:szCs w:val="21"/>
                <w:highlight w:val="none"/>
              </w:rPr>
              <w:t>境保</w:t>
            </w:r>
          </w:p>
          <w:p w14:paraId="082A1E71">
            <w:pPr>
              <w:pStyle w:val="16"/>
              <w:adjustRightInd w:val="0"/>
              <w:snapToGrid w:val="0"/>
              <w:spacing w:before="0" w:beforeAutospacing="0" w:after="0" w:afterAutospacing="0"/>
              <w:jc w:val="center"/>
              <w:rPr>
                <w:rFonts w:hint="eastAsia" w:cs="宋体"/>
                <w:kern w:val="2"/>
                <w:sz w:val="21"/>
                <w:szCs w:val="21"/>
                <w:highlight w:val="none"/>
              </w:rPr>
            </w:pPr>
            <w:r>
              <w:rPr>
                <w:rFonts w:hint="eastAsia" w:cs="宋体"/>
                <w:kern w:val="2"/>
                <w:sz w:val="21"/>
                <w:szCs w:val="21"/>
                <w:highlight w:val="none"/>
              </w:rPr>
              <w:t>护措</w:t>
            </w:r>
          </w:p>
          <w:p w14:paraId="127030A2">
            <w:pPr>
              <w:pStyle w:val="16"/>
              <w:adjustRightInd w:val="0"/>
              <w:snapToGrid w:val="0"/>
              <w:spacing w:before="0" w:beforeAutospacing="0" w:after="0" w:afterAutospacing="0"/>
              <w:jc w:val="center"/>
              <w:rPr>
                <w:rFonts w:hint="eastAsia" w:cs="宋体"/>
                <w:bCs/>
                <w:kern w:val="2"/>
                <w:sz w:val="21"/>
                <w:szCs w:val="21"/>
                <w:highlight w:val="none"/>
              </w:rPr>
            </w:pPr>
            <w:r>
              <w:rPr>
                <w:rFonts w:hint="eastAsia" w:cs="宋体"/>
                <w:kern w:val="2"/>
                <w:sz w:val="21"/>
                <w:szCs w:val="21"/>
                <w:highlight w:val="none"/>
              </w:rPr>
              <w:t>施</w:t>
            </w:r>
          </w:p>
        </w:tc>
        <w:tc>
          <w:tcPr>
            <w:tcW w:w="8162" w:type="dxa"/>
            <w:noWrap w:val="0"/>
            <w:vAlign w:val="top"/>
          </w:tcPr>
          <w:p w14:paraId="767D2592">
            <w:pPr>
              <w:spacing w:line="240" w:lineRule="auto"/>
              <w:ind w:firstLine="420" w:firstLineChars="200"/>
              <w:jc w:val="both"/>
              <w:rPr>
                <w:rFonts w:hint="eastAsia"/>
                <w:highlight w:val="none"/>
                <w:lang w:val="en-US" w:eastAsia="zh-CN"/>
              </w:rPr>
            </w:pPr>
          </w:p>
          <w:p w14:paraId="7068705F">
            <w:pPr>
              <w:spacing w:line="360" w:lineRule="auto"/>
              <w:ind w:firstLine="420" w:firstLineChars="200"/>
              <w:jc w:val="both"/>
              <w:rPr>
                <w:rFonts w:hint="eastAsia"/>
                <w:highlight w:val="none"/>
                <w:lang w:val="en-US" w:eastAsia="zh-CN"/>
              </w:rPr>
            </w:pPr>
            <w:r>
              <w:rPr>
                <w:rFonts w:hint="eastAsia"/>
                <w:highlight w:val="none"/>
                <w:lang w:val="en-US" w:eastAsia="zh-CN"/>
              </w:rPr>
              <w:t>本项目在既有车间内进行安装生产，无新增土建。施工期主要为设备的安装和调试，</w:t>
            </w:r>
          </w:p>
          <w:p w14:paraId="18042669">
            <w:pPr>
              <w:spacing w:line="360" w:lineRule="auto"/>
              <w:jc w:val="both"/>
              <w:rPr>
                <w:rFonts w:hint="eastAsia"/>
                <w:highlight w:val="none"/>
                <w:lang w:val="en-US" w:eastAsia="zh-CN"/>
              </w:rPr>
            </w:pPr>
            <w:r>
              <w:rPr>
                <w:rFonts w:hint="eastAsia"/>
                <w:highlight w:val="none"/>
                <w:lang w:val="en-US" w:eastAsia="zh-CN"/>
              </w:rPr>
              <w:t>项目建设施工期污染源主要由设备安装、调试过程中产生的噪声、粉尘、少量固体废物，施工人员盥洗废水用于厂区泼洒地面抑尘，施工期持续时间很短，污染将随施工期的结束而消失。</w:t>
            </w:r>
          </w:p>
          <w:p w14:paraId="474A03E4">
            <w:pPr>
              <w:pStyle w:val="2"/>
              <w:jc w:val="both"/>
              <w:rPr>
                <w:rFonts w:hint="eastAsia"/>
                <w:highlight w:val="none"/>
                <w:lang w:val="en-US" w:eastAsia="zh-CN"/>
              </w:rPr>
            </w:pPr>
          </w:p>
          <w:p w14:paraId="20EBCAD4">
            <w:pPr>
              <w:jc w:val="both"/>
              <w:rPr>
                <w:rFonts w:hint="eastAsia"/>
                <w:highlight w:val="none"/>
                <w:lang w:val="en-US" w:eastAsia="zh-CN"/>
              </w:rPr>
            </w:pPr>
          </w:p>
          <w:p w14:paraId="06B5510E">
            <w:pPr>
              <w:pStyle w:val="2"/>
              <w:jc w:val="both"/>
              <w:rPr>
                <w:rFonts w:hint="eastAsia"/>
                <w:highlight w:val="none"/>
                <w:lang w:val="en-US" w:eastAsia="zh-CN"/>
              </w:rPr>
            </w:pPr>
          </w:p>
          <w:p w14:paraId="448331D4">
            <w:pPr>
              <w:jc w:val="both"/>
              <w:rPr>
                <w:rFonts w:hint="eastAsia"/>
                <w:highlight w:val="none"/>
                <w:lang w:val="en-US" w:eastAsia="zh-CN"/>
              </w:rPr>
            </w:pPr>
          </w:p>
          <w:p w14:paraId="7E82FC7B">
            <w:pPr>
              <w:pStyle w:val="2"/>
              <w:jc w:val="both"/>
              <w:rPr>
                <w:rFonts w:hint="eastAsia"/>
                <w:highlight w:val="none"/>
                <w:lang w:val="en-US" w:eastAsia="zh-CN"/>
              </w:rPr>
            </w:pPr>
          </w:p>
          <w:p w14:paraId="56826796">
            <w:pPr>
              <w:jc w:val="both"/>
              <w:rPr>
                <w:rFonts w:hint="eastAsia"/>
                <w:highlight w:val="none"/>
                <w:lang w:val="en-US" w:eastAsia="zh-CN"/>
              </w:rPr>
            </w:pPr>
          </w:p>
          <w:p w14:paraId="78BCE740">
            <w:pPr>
              <w:pStyle w:val="2"/>
              <w:jc w:val="both"/>
              <w:rPr>
                <w:rFonts w:hint="eastAsia"/>
                <w:highlight w:val="none"/>
                <w:lang w:val="en-US" w:eastAsia="zh-CN"/>
              </w:rPr>
            </w:pPr>
          </w:p>
          <w:p w14:paraId="6BE0D587">
            <w:pPr>
              <w:jc w:val="both"/>
              <w:rPr>
                <w:rFonts w:hint="eastAsia"/>
                <w:highlight w:val="none"/>
                <w:lang w:val="en-US" w:eastAsia="zh-CN"/>
              </w:rPr>
            </w:pPr>
          </w:p>
          <w:p w14:paraId="66BFAEDC">
            <w:pPr>
              <w:pStyle w:val="2"/>
              <w:jc w:val="both"/>
              <w:rPr>
                <w:highlight w:val="none"/>
              </w:rPr>
            </w:pPr>
          </w:p>
        </w:tc>
      </w:tr>
    </w:tbl>
    <w:p w14:paraId="6E43FD44">
      <w:pPr>
        <w:rPr>
          <w:highlight w:val="none"/>
        </w:rPr>
        <w:sectPr>
          <w:pgSz w:w="11906" w:h="16838"/>
          <w:pgMar w:top="1440" w:right="1417" w:bottom="1440" w:left="1417" w:header="851" w:footer="992" w:gutter="0"/>
          <w:pgBorders>
            <w:top w:val="none" w:sz="0" w:space="0"/>
            <w:left w:val="none" w:sz="0" w:space="0"/>
            <w:bottom w:val="none" w:sz="0" w:space="0"/>
            <w:right w:val="none" w:sz="0" w:space="0"/>
          </w:pgBorders>
          <w:cols w:space="0" w:num="1"/>
          <w:rtlGutter w:val="0"/>
          <w:docGrid w:type="lines" w:linePitch="312" w:charSpace="0"/>
        </w:sectPr>
      </w:pPr>
    </w:p>
    <w:tbl>
      <w:tblPr>
        <w:tblStyle w:val="20"/>
        <w:tblW w:w="1363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2874"/>
      </w:tblGrid>
      <w:tr w14:paraId="3BE26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20" w:hRule="atLeast"/>
          <w:jc w:val="center"/>
        </w:trPr>
        <w:tc>
          <w:tcPr>
            <w:tcW w:w="761" w:type="dxa"/>
            <w:noWrap w:val="0"/>
            <w:tcMar>
              <w:left w:w="28" w:type="dxa"/>
              <w:right w:w="28" w:type="dxa"/>
            </w:tcMar>
            <w:vAlign w:val="center"/>
          </w:tcPr>
          <w:p w14:paraId="7BDE934F">
            <w:pPr>
              <w:adjustRightInd w:val="0"/>
              <w:snapToGrid w:val="0"/>
              <w:ind w:left="-1039" w:leftChars="-495" w:right="819" w:rightChars="390" w:firstLine="0" w:firstLineChars="0"/>
              <w:jc w:val="center"/>
              <w:rPr>
                <w:rFonts w:hint="eastAsia" w:ascii="宋体" w:hAnsi="宋体" w:cs="宋体"/>
                <w:bCs/>
                <w:szCs w:val="21"/>
                <w:highlight w:val="none"/>
              </w:rPr>
            </w:pPr>
            <w:r>
              <w:rPr>
                <w:rFonts w:hint="eastAsia" w:ascii="宋体" w:hAnsi="宋体" w:cs="宋体"/>
                <w:bCs/>
                <w:szCs w:val="21"/>
                <w:highlight w:val="none"/>
              </w:rPr>
              <w:t>运营</w:t>
            </w:r>
          </w:p>
          <w:p w14:paraId="7A941887">
            <w:pPr>
              <w:adjustRightInd w:val="0"/>
              <w:snapToGrid w:val="0"/>
              <w:jc w:val="center"/>
              <w:rPr>
                <w:rFonts w:hint="eastAsia" w:ascii="Times New Roman" w:hAnsi="Times New Roman" w:cs="宋体"/>
                <w:bCs/>
                <w:sz w:val="21"/>
                <w:szCs w:val="21"/>
                <w:highlight w:val="none"/>
              </w:rPr>
            </w:pPr>
            <w:r>
              <w:rPr>
                <w:rFonts w:hint="eastAsia" w:ascii="Times New Roman" w:hAnsi="Times New Roman" w:cs="宋体"/>
                <w:bCs/>
                <w:sz w:val="21"/>
                <w:szCs w:val="21"/>
                <w:highlight w:val="none"/>
              </w:rPr>
              <w:t>运营</w:t>
            </w:r>
          </w:p>
          <w:p w14:paraId="7153BEDC">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期环</w:t>
            </w:r>
          </w:p>
          <w:p w14:paraId="3360ED54">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境影</w:t>
            </w:r>
          </w:p>
          <w:p w14:paraId="5E083F79">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响和</w:t>
            </w:r>
          </w:p>
          <w:p w14:paraId="32F48732">
            <w:pPr>
              <w:adjustRightInd w:val="0"/>
              <w:snapToGrid w:val="0"/>
              <w:jc w:val="center"/>
              <w:rPr>
                <w:rFonts w:hint="eastAsia" w:ascii="宋体" w:hAnsi="宋体" w:cs="宋体"/>
                <w:bCs/>
                <w:szCs w:val="21"/>
                <w:highlight w:val="none"/>
              </w:rPr>
            </w:pPr>
            <w:r>
              <w:rPr>
                <w:rFonts w:hint="eastAsia" w:ascii="宋体" w:hAnsi="宋体" w:cs="宋体"/>
                <w:bCs/>
                <w:szCs w:val="21"/>
                <w:highlight w:val="none"/>
              </w:rPr>
              <w:t>保护</w:t>
            </w:r>
          </w:p>
          <w:p w14:paraId="02383C90">
            <w:pPr>
              <w:adjustRightInd w:val="0"/>
              <w:snapToGrid w:val="0"/>
              <w:jc w:val="center"/>
              <w:rPr>
                <w:rFonts w:ascii="宋体" w:hAnsi="宋体" w:cs="宋体"/>
                <w:bCs/>
                <w:szCs w:val="21"/>
                <w:highlight w:val="none"/>
              </w:rPr>
            </w:pPr>
            <w:r>
              <w:rPr>
                <w:rFonts w:hint="eastAsia" w:ascii="宋体" w:hAnsi="宋体" w:cs="宋体"/>
                <w:bCs/>
                <w:szCs w:val="21"/>
                <w:highlight w:val="none"/>
              </w:rPr>
              <w:t>措施</w:t>
            </w:r>
          </w:p>
        </w:tc>
        <w:tc>
          <w:tcPr>
            <w:tcW w:w="12874" w:type="dxa"/>
            <w:noWrap w:val="0"/>
            <w:vAlign w:val="top"/>
          </w:tcPr>
          <w:p w14:paraId="5499C7B9">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right="0" w:rightChars="0" w:firstLine="420" w:firstLineChars="200"/>
              <w:jc w:val="both"/>
              <w:textAlignment w:val="auto"/>
              <w:rPr>
                <w:rFonts w:hint="default"/>
                <w:highlight w:val="none"/>
                <w:lang w:val="en-US" w:eastAsia="zh-CN"/>
              </w:rPr>
            </w:pPr>
            <w:r>
              <w:rPr>
                <w:rFonts w:hint="eastAsia"/>
                <w:highlight w:val="none"/>
                <w:lang w:val="en-US" w:eastAsia="zh-CN"/>
              </w:rPr>
              <w:t>一、废气</w:t>
            </w:r>
          </w:p>
          <w:p w14:paraId="6760CDCF">
            <w:pPr>
              <w:keepNext w:val="0"/>
              <w:keepLines w:val="0"/>
              <w:pageBreakBefore w:val="0"/>
              <w:widowControl w:val="0"/>
              <w:numPr>
                <w:ilvl w:val="0"/>
                <w:numId w:val="0"/>
              </w:numPr>
              <w:kinsoku/>
              <w:wordWrap/>
              <w:overflowPunct/>
              <w:topLinePunct w:val="0"/>
              <w:autoSpaceDE/>
              <w:autoSpaceDN/>
              <w:bidi w:val="0"/>
              <w:adjustRightInd w:val="0"/>
              <w:snapToGrid w:val="0"/>
              <w:spacing w:line="420" w:lineRule="exact"/>
              <w:ind w:right="0" w:rightChars="0" w:firstLine="420" w:firstLineChars="200"/>
              <w:jc w:val="both"/>
              <w:textAlignment w:val="auto"/>
              <w:rPr>
                <w:rFonts w:hint="eastAsia"/>
                <w:highlight w:val="none"/>
                <w:lang w:val="en-US" w:eastAsia="zh-CN"/>
              </w:rPr>
            </w:pPr>
            <w:r>
              <w:rPr>
                <w:rFonts w:hint="eastAsia"/>
                <w:highlight w:val="none"/>
                <w:lang w:val="en-US" w:eastAsia="zh-CN"/>
              </w:rPr>
              <w:t>1、污染物排放情况</w:t>
            </w:r>
          </w:p>
          <w:p w14:paraId="4DA6E34C">
            <w:pPr>
              <w:keepNext w:val="0"/>
              <w:keepLines w:val="0"/>
              <w:pageBreakBefore w:val="0"/>
              <w:widowControl w:val="0"/>
              <w:kinsoku/>
              <w:wordWrap/>
              <w:overflowPunct/>
              <w:topLinePunct w:val="0"/>
              <w:autoSpaceDE/>
              <w:autoSpaceDN/>
              <w:bidi w:val="0"/>
              <w:spacing w:line="480" w:lineRule="auto"/>
              <w:jc w:val="center"/>
              <w:textAlignment w:val="auto"/>
              <w:rPr>
                <w:rFonts w:hint="eastAsia"/>
                <w:b/>
                <w:bCs/>
                <w:highlight w:val="none"/>
                <w:lang w:eastAsia="zh-CN"/>
              </w:rPr>
            </w:pPr>
            <w:r>
              <w:rPr>
                <w:rFonts w:hint="eastAsia"/>
                <w:b/>
                <w:bCs/>
                <w:highlight w:val="none"/>
                <w:lang w:eastAsia="zh-CN"/>
              </w:rPr>
              <w:t>表</w:t>
            </w:r>
            <w:r>
              <w:rPr>
                <w:rFonts w:hint="eastAsia"/>
                <w:b/>
                <w:bCs/>
                <w:highlight w:val="none"/>
                <w:lang w:val="en-US" w:eastAsia="zh-CN"/>
              </w:rPr>
              <w:t xml:space="preserve">4-1    </w:t>
            </w:r>
            <w:r>
              <w:rPr>
                <w:rFonts w:hint="eastAsia"/>
                <w:b/>
                <w:bCs/>
                <w:highlight w:val="none"/>
                <w:lang w:eastAsia="zh-CN"/>
              </w:rPr>
              <w:t>废气污染物排放源情况一览表</w:t>
            </w:r>
          </w:p>
          <w:tbl>
            <w:tblPr>
              <w:tblStyle w:val="20"/>
              <w:tblW w:w="49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12"/>
              <w:gridCol w:w="710"/>
              <w:gridCol w:w="918"/>
              <w:gridCol w:w="567"/>
              <w:gridCol w:w="510"/>
              <w:gridCol w:w="1170"/>
              <w:gridCol w:w="799"/>
              <w:gridCol w:w="645"/>
              <w:gridCol w:w="735"/>
              <w:gridCol w:w="615"/>
              <w:gridCol w:w="765"/>
              <w:gridCol w:w="794"/>
              <w:gridCol w:w="807"/>
              <w:gridCol w:w="735"/>
              <w:gridCol w:w="2126"/>
            </w:tblGrid>
            <w:tr w14:paraId="5D7C8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5" w:hRule="atLeast"/>
                <w:jc w:val="center"/>
              </w:trPr>
              <w:tc>
                <w:tcPr>
                  <w:tcW w:w="282" w:type="pct"/>
                  <w:vMerge w:val="restart"/>
                  <w:tcBorders>
                    <w:tl2br w:val="nil"/>
                    <w:tr2bl w:val="nil"/>
                  </w:tcBorders>
                  <w:noWrap w:val="0"/>
                  <w:vAlign w:val="center"/>
                </w:tcPr>
                <w:p w14:paraId="0C174411">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highlight w:val="none"/>
                      <w:lang w:eastAsia="zh-CN"/>
                    </w:rPr>
                  </w:pPr>
                  <w:r>
                    <w:rPr>
                      <w:rFonts w:hint="default"/>
                      <w:highlight w:val="none"/>
                    </w:rPr>
                    <w:t>产污</w:t>
                  </w:r>
                  <w:r>
                    <w:rPr>
                      <w:rFonts w:hint="eastAsia"/>
                      <w:highlight w:val="none"/>
                      <w:lang w:eastAsia="zh-CN"/>
                    </w:rPr>
                    <w:t>环节</w:t>
                  </w:r>
                </w:p>
              </w:tc>
              <w:tc>
                <w:tcPr>
                  <w:tcW w:w="281" w:type="pct"/>
                  <w:vMerge w:val="restart"/>
                  <w:tcBorders>
                    <w:tl2br w:val="nil"/>
                    <w:tr2bl w:val="nil"/>
                  </w:tcBorders>
                  <w:noWrap w:val="0"/>
                  <w:vAlign w:val="center"/>
                </w:tcPr>
                <w:p w14:paraId="07AA25C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highlight w:val="none"/>
                      <w:lang w:eastAsia="zh-CN"/>
                    </w:rPr>
                  </w:pPr>
                  <w:r>
                    <w:rPr>
                      <w:rFonts w:hint="default"/>
                      <w:highlight w:val="none"/>
                    </w:rPr>
                    <w:t>污染物</w:t>
                  </w:r>
                  <w:r>
                    <w:rPr>
                      <w:rFonts w:hint="eastAsia"/>
                      <w:highlight w:val="none"/>
                      <w:lang w:eastAsia="zh-CN"/>
                    </w:rPr>
                    <w:t>种类</w:t>
                  </w:r>
                </w:p>
              </w:tc>
              <w:tc>
                <w:tcPr>
                  <w:tcW w:w="588" w:type="pct"/>
                  <w:gridSpan w:val="2"/>
                  <w:tcBorders>
                    <w:tl2br w:val="nil"/>
                    <w:tr2bl w:val="nil"/>
                  </w:tcBorders>
                  <w:noWrap w:val="0"/>
                  <w:vAlign w:val="center"/>
                </w:tcPr>
                <w:p w14:paraId="771C4A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lang w:val="en-US" w:eastAsia="zh-CN"/>
                    </w:rPr>
                  </w:pPr>
                  <w:r>
                    <w:rPr>
                      <w:rFonts w:hint="eastAsia"/>
                      <w:highlight w:val="none"/>
                      <w:lang w:val="en-US" w:eastAsia="zh-CN"/>
                    </w:rPr>
                    <w:t>产生情况</w:t>
                  </w:r>
                </w:p>
              </w:tc>
              <w:tc>
                <w:tcPr>
                  <w:tcW w:w="202" w:type="pct"/>
                  <w:vMerge w:val="restart"/>
                  <w:tcBorders>
                    <w:tl2br w:val="nil"/>
                    <w:tr2bl w:val="nil"/>
                  </w:tcBorders>
                  <w:noWrap w:val="0"/>
                  <w:vAlign w:val="center"/>
                </w:tcPr>
                <w:p w14:paraId="1C53F0C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lang w:val="en-US" w:eastAsia="zh-CN"/>
                    </w:rPr>
                  </w:pPr>
                  <w:r>
                    <w:rPr>
                      <w:rFonts w:hint="default"/>
                      <w:highlight w:val="none"/>
                    </w:rPr>
                    <w:t>排放形式</w:t>
                  </w:r>
                </w:p>
              </w:tc>
              <w:tc>
                <w:tcPr>
                  <w:tcW w:w="1572" w:type="pct"/>
                  <w:gridSpan w:val="5"/>
                  <w:tcBorders>
                    <w:tl2br w:val="nil"/>
                    <w:tr2bl w:val="nil"/>
                  </w:tcBorders>
                  <w:noWrap w:val="0"/>
                  <w:vAlign w:val="center"/>
                </w:tcPr>
                <w:p w14:paraId="2A7CB5D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highlight w:val="none"/>
                      <w:lang w:eastAsia="zh-CN"/>
                    </w:rPr>
                  </w:pPr>
                  <w:r>
                    <w:rPr>
                      <w:rFonts w:hint="eastAsia"/>
                      <w:highlight w:val="none"/>
                      <w:lang w:eastAsia="zh-CN"/>
                    </w:rPr>
                    <w:t>污染</w:t>
                  </w:r>
                  <w:r>
                    <w:rPr>
                      <w:rFonts w:hint="eastAsia"/>
                      <w:highlight w:val="none"/>
                    </w:rPr>
                    <w:t>治理设施</w:t>
                  </w:r>
                </w:p>
              </w:tc>
              <w:tc>
                <w:tcPr>
                  <w:tcW w:w="938" w:type="pct"/>
                  <w:gridSpan w:val="3"/>
                  <w:tcBorders>
                    <w:tl2br w:val="nil"/>
                    <w:tr2bl w:val="nil"/>
                  </w:tcBorders>
                  <w:noWrap w:val="0"/>
                  <w:vAlign w:val="center"/>
                </w:tcPr>
                <w:p w14:paraId="6803521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rPr>
                  </w:pPr>
                  <w:r>
                    <w:rPr>
                      <w:rFonts w:hint="default"/>
                      <w:highlight w:val="none"/>
                    </w:rPr>
                    <w:t>排放</w:t>
                  </w:r>
                  <w:r>
                    <w:rPr>
                      <w:rFonts w:hint="default"/>
                      <w:highlight w:val="none"/>
                      <w:lang w:eastAsia="zh-CN"/>
                    </w:rPr>
                    <w:t>情况</w:t>
                  </w:r>
                </w:p>
              </w:tc>
              <w:tc>
                <w:tcPr>
                  <w:tcW w:w="291" w:type="pct"/>
                  <w:vMerge w:val="restart"/>
                  <w:tcBorders>
                    <w:tl2br w:val="nil"/>
                    <w:tr2bl w:val="nil"/>
                  </w:tcBorders>
                  <w:noWrap w:val="0"/>
                  <w:vAlign w:val="center"/>
                </w:tcPr>
                <w:p w14:paraId="7CC01B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rPr>
                  </w:pPr>
                  <w:r>
                    <w:rPr>
                      <w:rFonts w:hint="default"/>
                      <w:highlight w:val="none"/>
                    </w:rPr>
                    <w:t>有组织排放口编号</w:t>
                  </w:r>
                </w:p>
              </w:tc>
              <w:tc>
                <w:tcPr>
                  <w:tcW w:w="843" w:type="pct"/>
                  <w:vMerge w:val="restart"/>
                  <w:tcBorders>
                    <w:tl2br w:val="nil"/>
                    <w:tr2bl w:val="nil"/>
                  </w:tcBorders>
                  <w:noWrap w:val="0"/>
                  <w:vAlign w:val="center"/>
                </w:tcPr>
                <w:p w14:paraId="438C4B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rPr>
                  </w:pPr>
                  <w:r>
                    <w:rPr>
                      <w:rFonts w:hint="eastAsia"/>
                      <w:highlight w:val="none"/>
                      <w:lang w:eastAsia="zh-CN"/>
                    </w:rPr>
                    <w:t>排放</w:t>
                  </w:r>
                  <w:r>
                    <w:rPr>
                      <w:rFonts w:hint="default"/>
                      <w:highlight w:val="none"/>
                    </w:rPr>
                    <w:t>标准</w:t>
                  </w:r>
                </w:p>
              </w:tc>
            </w:tr>
            <w:tr w14:paraId="14FEA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97" w:hRule="atLeast"/>
                <w:jc w:val="center"/>
              </w:trPr>
              <w:tc>
                <w:tcPr>
                  <w:tcW w:w="282" w:type="pct"/>
                  <w:vMerge w:val="continue"/>
                  <w:tcBorders>
                    <w:tl2br w:val="nil"/>
                    <w:tr2bl w:val="nil"/>
                  </w:tcBorders>
                  <w:noWrap w:val="0"/>
                  <w:vAlign w:val="center"/>
                </w:tcPr>
                <w:p w14:paraId="2C720DA1">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default"/>
                      <w:highlight w:val="none"/>
                    </w:rPr>
                  </w:pPr>
                </w:p>
              </w:tc>
              <w:tc>
                <w:tcPr>
                  <w:tcW w:w="281" w:type="pct"/>
                  <w:vMerge w:val="continue"/>
                  <w:tcBorders>
                    <w:tl2br w:val="nil"/>
                    <w:tr2bl w:val="nil"/>
                  </w:tcBorders>
                  <w:noWrap w:val="0"/>
                  <w:vAlign w:val="center"/>
                </w:tcPr>
                <w:p w14:paraId="45BD4C2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rPr>
                  </w:pPr>
                </w:p>
              </w:tc>
              <w:tc>
                <w:tcPr>
                  <w:tcW w:w="364" w:type="pct"/>
                  <w:tcBorders>
                    <w:tl2br w:val="nil"/>
                    <w:tr2bl w:val="nil"/>
                  </w:tcBorders>
                  <w:noWrap w:val="0"/>
                  <w:vAlign w:val="center"/>
                </w:tcPr>
                <w:p w14:paraId="3643EDD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highlight w:val="none"/>
                      <w:lang w:eastAsia="zh-CN"/>
                    </w:rPr>
                  </w:pPr>
                  <w:r>
                    <w:rPr>
                      <w:rFonts w:hint="eastAsia"/>
                      <w:highlight w:val="none"/>
                      <w:lang w:eastAsia="zh-CN"/>
                    </w:rPr>
                    <w:t>产生</w:t>
                  </w:r>
                </w:p>
                <w:p w14:paraId="06510C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rPr>
                  </w:pPr>
                  <w:r>
                    <w:rPr>
                      <w:rFonts w:hint="default"/>
                      <w:highlight w:val="none"/>
                    </w:rPr>
                    <w:t>浓度</w:t>
                  </w:r>
                </w:p>
                <w:p w14:paraId="08B6619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lang w:val="en-US" w:eastAsia="zh-CN"/>
                    </w:rPr>
                  </w:pPr>
                  <w:r>
                    <w:rPr>
                      <w:rFonts w:hint="default"/>
                      <w:highlight w:val="none"/>
                    </w:rPr>
                    <w:t>mg/m</w:t>
                  </w:r>
                  <w:r>
                    <w:rPr>
                      <w:rFonts w:hint="default"/>
                      <w:highlight w:val="none"/>
                      <w:vertAlign w:val="superscript"/>
                    </w:rPr>
                    <w:t>3</w:t>
                  </w:r>
                </w:p>
              </w:tc>
              <w:tc>
                <w:tcPr>
                  <w:tcW w:w="224" w:type="pct"/>
                  <w:tcBorders>
                    <w:tl2br w:val="nil"/>
                    <w:tr2bl w:val="nil"/>
                  </w:tcBorders>
                  <w:noWrap w:val="0"/>
                  <w:vAlign w:val="center"/>
                </w:tcPr>
                <w:p w14:paraId="5DB4D20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rPr>
                  </w:pPr>
                  <w:r>
                    <w:rPr>
                      <w:rFonts w:hint="eastAsia"/>
                      <w:highlight w:val="none"/>
                      <w:lang w:eastAsia="zh-CN"/>
                    </w:rPr>
                    <w:t>产生</w:t>
                  </w:r>
                  <w:r>
                    <w:rPr>
                      <w:rFonts w:hint="default"/>
                      <w:highlight w:val="none"/>
                    </w:rPr>
                    <w:t>量</w:t>
                  </w:r>
                </w:p>
                <w:p w14:paraId="775BCB5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lang w:val="en-US" w:eastAsia="zh-CN"/>
                    </w:rPr>
                  </w:pPr>
                  <w:r>
                    <w:rPr>
                      <w:rFonts w:hint="default"/>
                      <w:highlight w:val="none"/>
                    </w:rPr>
                    <w:t>t/a</w:t>
                  </w:r>
                </w:p>
              </w:tc>
              <w:tc>
                <w:tcPr>
                  <w:tcW w:w="202" w:type="pct"/>
                  <w:vMerge w:val="continue"/>
                  <w:tcBorders>
                    <w:tl2br w:val="nil"/>
                    <w:tr2bl w:val="nil"/>
                  </w:tcBorders>
                  <w:noWrap w:val="0"/>
                  <w:vAlign w:val="center"/>
                </w:tcPr>
                <w:p w14:paraId="5E5609A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highlight w:val="none"/>
                    </w:rPr>
                  </w:pPr>
                </w:p>
              </w:tc>
              <w:tc>
                <w:tcPr>
                  <w:tcW w:w="463" w:type="pct"/>
                  <w:tcBorders>
                    <w:tl2br w:val="nil"/>
                    <w:tr2bl w:val="nil"/>
                  </w:tcBorders>
                  <w:noWrap w:val="0"/>
                  <w:vAlign w:val="center"/>
                </w:tcPr>
                <w:p w14:paraId="01CF3DC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highlight w:val="none"/>
                    </w:rPr>
                  </w:pPr>
                  <w:r>
                    <w:rPr>
                      <w:rFonts w:hint="default"/>
                      <w:highlight w:val="none"/>
                    </w:rPr>
                    <w:t>治理设施名称</w:t>
                  </w:r>
                </w:p>
              </w:tc>
              <w:tc>
                <w:tcPr>
                  <w:tcW w:w="316" w:type="pct"/>
                  <w:tcBorders>
                    <w:tl2br w:val="nil"/>
                    <w:tr2bl w:val="nil"/>
                  </w:tcBorders>
                  <w:noWrap w:val="0"/>
                  <w:vAlign w:val="center"/>
                </w:tcPr>
                <w:p w14:paraId="30CA0EB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highlight w:val="none"/>
                      <w:lang w:eastAsia="zh-CN"/>
                    </w:rPr>
                  </w:pPr>
                  <w:r>
                    <w:rPr>
                      <w:rFonts w:hint="eastAsia"/>
                      <w:highlight w:val="none"/>
                      <w:lang w:eastAsia="zh-CN"/>
                    </w:rPr>
                    <w:t>处理能力</w:t>
                  </w:r>
                  <w:r>
                    <w:rPr>
                      <w:rFonts w:hint="default"/>
                      <w:highlight w:val="none"/>
                    </w:rPr>
                    <w:t>（m</w:t>
                  </w:r>
                  <w:r>
                    <w:rPr>
                      <w:rFonts w:hint="default"/>
                      <w:highlight w:val="none"/>
                      <w:vertAlign w:val="superscript"/>
                    </w:rPr>
                    <w:t>3</w:t>
                  </w:r>
                  <w:r>
                    <w:rPr>
                      <w:rFonts w:hint="default"/>
                      <w:highlight w:val="none"/>
                    </w:rPr>
                    <w:t>/h）</w:t>
                  </w:r>
                </w:p>
              </w:tc>
              <w:tc>
                <w:tcPr>
                  <w:tcW w:w="255" w:type="pct"/>
                  <w:tcBorders>
                    <w:tl2br w:val="nil"/>
                    <w:tr2bl w:val="nil"/>
                  </w:tcBorders>
                  <w:noWrap w:val="0"/>
                  <w:vAlign w:val="center"/>
                </w:tcPr>
                <w:p w14:paraId="0F70CA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highlight w:val="none"/>
                      <w:lang w:eastAsia="zh-CN"/>
                    </w:rPr>
                  </w:pPr>
                  <w:r>
                    <w:rPr>
                      <w:rFonts w:hint="eastAsia"/>
                      <w:highlight w:val="none"/>
                      <w:lang w:eastAsia="zh-CN"/>
                    </w:rPr>
                    <w:t>收集</w:t>
                  </w:r>
                </w:p>
                <w:p w14:paraId="3D56E5F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highlight w:val="none"/>
                      <w:lang w:eastAsia="zh-CN"/>
                    </w:rPr>
                  </w:pPr>
                  <w:r>
                    <w:rPr>
                      <w:rFonts w:hint="eastAsia"/>
                      <w:highlight w:val="none"/>
                      <w:lang w:eastAsia="zh-CN"/>
                    </w:rPr>
                    <w:t>效率</w:t>
                  </w:r>
                </w:p>
              </w:tc>
              <w:tc>
                <w:tcPr>
                  <w:tcW w:w="291" w:type="pct"/>
                  <w:tcBorders>
                    <w:tl2br w:val="nil"/>
                    <w:tr2bl w:val="nil"/>
                  </w:tcBorders>
                  <w:noWrap w:val="0"/>
                  <w:vAlign w:val="center"/>
                </w:tcPr>
                <w:p w14:paraId="0F615D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highlight w:val="none"/>
                      <w:lang w:eastAsia="zh-CN"/>
                    </w:rPr>
                  </w:pPr>
                  <w:r>
                    <w:rPr>
                      <w:rFonts w:hint="eastAsia"/>
                      <w:highlight w:val="none"/>
                      <w:lang w:eastAsia="zh-CN"/>
                    </w:rPr>
                    <w:t>治理工艺去除率</w:t>
                  </w:r>
                </w:p>
              </w:tc>
              <w:tc>
                <w:tcPr>
                  <w:tcW w:w="243" w:type="pct"/>
                  <w:tcBorders>
                    <w:tl2br w:val="nil"/>
                    <w:tr2bl w:val="nil"/>
                  </w:tcBorders>
                  <w:noWrap w:val="0"/>
                  <w:vAlign w:val="center"/>
                </w:tcPr>
                <w:p w14:paraId="59EEAC6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rPr>
                  </w:pPr>
                  <w:r>
                    <w:rPr>
                      <w:rFonts w:hint="eastAsia"/>
                      <w:highlight w:val="none"/>
                    </w:rPr>
                    <w:t>是否可行技术</w:t>
                  </w:r>
                </w:p>
              </w:tc>
              <w:tc>
                <w:tcPr>
                  <w:tcW w:w="303" w:type="pct"/>
                  <w:tcBorders>
                    <w:tl2br w:val="nil"/>
                    <w:tr2bl w:val="nil"/>
                  </w:tcBorders>
                  <w:noWrap w:val="0"/>
                  <w:vAlign w:val="center"/>
                </w:tcPr>
                <w:p w14:paraId="7C2A0D7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lang w:eastAsia="zh-CN"/>
                    </w:rPr>
                  </w:pPr>
                  <w:r>
                    <w:rPr>
                      <w:rFonts w:hint="default"/>
                      <w:highlight w:val="none"/>
                      <w:lang w:eastAsia="zh-CN"/>
                    </w:rPr>
                    <w:t>排放</w:t>
                  </w:r>
                </w:p>
                <w:p w14:paraId="419896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rPr>
                  </w:pPr>
                  <w:r>
                    <w:rPr>
                      <w:rFonts w:hint="default"/>
                      <w:highlight w:val="none"/>
                    </w:rPr>
                    <w:t>浓度</w:t>
                  </w:r>
                </w:p>
                <w:p w14:paraId="2CFFE2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rPr>
                  </w:pPr>
                  <w:r>
                    <w:rPr>
                      <w:rFonts w:hint="default"/>
                      <w:highlight w:val="none"/>
                    </w:rPr>
                    <w:t>mg/m</w:t>
                  </w:r>
                  <w:r>
                    <w:rPr>
                      <w:rFonts w:hint="default"/>
                      <w:highlight w:val="none"/>
                      <w:vertAlign w:val="superscript"/>
                    </w:rPr>
                    <w:t>3</w:t>
                  </w:r>
                </w:p>
              </w:tc>
              <w:tc>
                <w:tcPr>
                  <w:tcW w:w="314" w:type="pct"/>
                  <w:tcBorders>
                    <w:tl2br w:val="nil"/>
                    <w:tr2bl w:val="nil"/>
                  </w:tcBorders>
                  <w:noWrap w:val="0"/>
                  <w:vAlign w:val="center"/>
                </w:tcPr>
                <w:p w14:paraId="23DC356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highlight w:val="none"/>
                      <w:lang w:eastAsia="zh-CN"/>
                    </w:rPr>
                  </w:pPr>
                  <w:r>
                    <w:rPr>
                      <w:rFonts w:hint="eastAsia"/>
                      <w:highlight w:val="none"/>
                      <w:lang w:eastAsia="zh-CN"/>
                    </w:rPr>
                    <w:t>排放</w:t>
                  </w:r>
                </w:p>
                <w:p w14:paraId="07B02BF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highlight w:val="none"/>
                      <w:lang w:eastAsia="zh-CN"/>
                    </w:rPr>
                  </w:pPr>
                  <w:r>
                    <w:rPr>
                      <w:rFonts w:hint="eastAsia"/>
                      <w:highlight w:val="none"/>
                      <w:lang w:eastAsia="zh-CN"/>
                    </w:rPr>
                    <w:t>速率</w:t>
                  </w:r>
                </w:p>
                <w:p w14:paraId="102723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highlight w:val="none"/>
                      <w:lang w:eastAsia="zh-CN"/>
                    </w:rPr>
                  </w:pPr>
                  <w:r>
                    <w:rPr>
                      <w:rFonts w:hint="eastAsia"/>
                      <w:highlight w:val="none"/>
                      <w:lang w:val="en-US" w:eastAsia="zh-CN"/>
                    </w:rPr>
                    <w:t>kg</w:t>
                  </w:r>
                  <w:r>
                    <w:rPr>
                      <w:rFonts w:hint="default"/>
                      <w:highlight w:val="none"/>
                    </w:rPr>
                    <w:t>/h</w:t>
                  </w:r>
                </w:p>
              </w:tc>
              <w:tc>
                <w:tcPr>
                  <w:tcW w:w="320" w:type="pct"/>
                  <w:tcBorders>
                    <w:tl2br w:val="nil"/>
                    <w:tr2bl w:val="nil"/>
                  </w:tcBorders>
                  <w:noWrap w:val="0"/>
                  <w:vAlign w:val="center"/>
                </w:tcPr>
                <w:p w14:paraId="4C4D168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rPr>
                  </w:pPr>
                  <w:r>
                    <w:rPr>
                      <w:rFonts w:hint="default"/>
                      <w:highlight w:val="none"/>
                    </w:rPr>
                    <w:t>排放量</w:t>
                  </w:r>
                </w:p>
                <w:p w14:paraId="7CE56F5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rPr>
                  </w:pPr>
                  <w:r>
                    <w:rPr>
                      <w:rFonts w:hint="default"/>
                      <w:highlight w:val="none"/>
                    </w:rPr>
                    <w:t>t/a</w:t>
                  </w:r>
                </w:p>
              </w:tc>
              <w:tc>
                <w:tcPr>
                  <w:tcW w:w="291" w:type="pct"/>
                  <w:vMerge w:val="continue"/>
                  <w:tcBorders>
                    <w:tl2br w:val="nil"/>
                    <w:tr2bl w:val="nil"/>
                  </w:tcBorders>
                  <w:noWrap w:val="0"/>
                  <w:vAlign w:val="center"/>
                </w:tcPr>
                <w:p w14:paraId="148B615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rPr>
                  </w:pPr>
                </w:p>
              </w:tc>
              <w:tc>
                <w:tcPr>
                  <w:tcW w:w="843" w:type="pct"/>
                  <w:vMerge w:val="continue"/>
                  <w:tcBorders>
                    <w:tl2br w:val="nil"/>
                    <w:tr2bl w:val="nil"/>
                  </w:tcBorders>
                  <w:noWrap w:val="0"/>
                  <w:vAlign w:val="center"/>
                </w:tcPr>
                <w:p w14:paraId="75E389B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highlight w:val="none"/>
                      <w:lang w:val="en-US" w:eastAsia="zh-CN"/>
                    </w:rPr>
                  </w:pPr>
                </w:p>
              </w:tc>
            </w:tr>
            <w:tr w14:paraId="284FFF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54" w:hRule="atLeast"/>
                <w:jc w:val="center"/>
              </w:trPr>
              <w:tc>
                <w:tcPr>
                  <w:tcW w:w="282" w:type="pct"/>
                  <w:tcBorders>
                    <w:tl2br w:val="nil"/>
                    <w:tr2bl w:val="nil"/>
                  </w:tcBorders>
                  <w:noWrap w:val="0"/>
                  <w:vAlign w:val="center"/>
                </w:tcPr>
                <w:p w14:paraId="7A5C0032">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r>
                    <w:rPr>
                      <w:rFonts w:hint="eastAsia"/>
                      <w:highlight w:val="none"/>
                      <w:lang w:val="en-US" w:eastAsia="zh-CN"/>
                    </w:rPr>
                    <w:t>上料</w:t>
                  </w:r>
                </w:p>
              </w:tc>
              <w:tc>
                <w:tcPr>
                  <w:tcW w:w="281" w:type="pct"/>
                  <w:vMerge w:val="restart"/>
                  <w:tcBorders>
                    <w:tl2br w:val="nil"/>
                    <w:tr2bl w:val="nil"/>
                  </w:tcBorders>
                  <w:noWrap w:val="0"/>
                  <w:vAlign w:val="center"/>
                </w:tcPr>
                <w:p w14:paraId="54773043">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highlight w:val="none"/>
                      <w:lang w:eastAsia="zh-CN"/>
                    </w:rPr>
                  </w:pPr>
                  <w:r>
                    <w:rPr>
                      <w:rFonts w:hint="eastAsia"/>
                      <w:highlight w:val="none"/>
                      <w:lang w:eastAsia="zh-CN"/>
                    </w:rPr>
                    <w:t>颗粒物</w:t>
                  </w:r>
                </w:p>
              </w:tc>
              <w:tc>
                <w:tcPr>
                  <w:tcW w:w="364" w:type="pct"/>
                  <w:vMerge w:val="restart"/>
                  <w:tcBorders>
                    <w:tl2br w:val="nil"/>
                    <w:tr2bl w:val="nil"/>
                  </w:tcBorders>
                  <w:noWrap w:val="0"/>
                  <w:vAlign w:val="center"/>
                </w:tcPr>
                <w:p w14:paraId="0E59E545">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r>
                    <w:rPr>
                      <w:rFonts w:hint="eastAsia"/>
                      <w:highlight w:val="none"/>
                      <w:lang w:val="en-US" w:eastAsia="zh-CN"/>
                    </w:rPr>
                    <w:t>123.235</w:t>
                  </w:r>
                </w:p>
              </w:tc>
              <w:tc>
                <w:tcPr>
                  <w:tcW w:w="224" w:type="pct"/>
                  <w:vMerge w:val="restart"/>
                  <w:tcBorders>
                    <w:tl2br w:val="nil"/>
                    <w:tr2bl w:val="nil"/>
                  </w:tcBorders>
                  <w:noWrap w:val="0"/>
                  <w:vAlign w:val="center"/>
                </w:tcPr>
                <w:p w14:paraId="3690EA2B">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r>
                    <w:rPr>
                      <w:rFonts w:hint="eastAsia"/>
                      <w:highlight w:val="none"/>
                      <w:lang w:val="en-US" w:eastAsia="zh-CN"/>
                    </w:rPr>
                    <w:t>3.352</w:t>
                  </w:r>
                </w:p>
              </w:tc>
              <w:tc>
                <w:tcPr>
                  <w:tcW w:w="202" w:type="pct"/>
                  <w:vMerge w:val="restart"/>
                  <w:tcBorders>
                    <w:tl2br w:val="nil"/>
                    <w:tr2bl w:val="nil"/>
                  </w:tcBorders>
                  <w:noWrap w:val="0"/>
                  <w:vAlign w:val="center"/>
                </w:tcPr>
                <w:p w14:paraId="3AA13181">
                  <w:pPr>
                    <w:keepNext w:val="0"/>
                    <w:keepLines w:val="0"/>
                    <w:pageBreakBefore w:val="0"/>
                    <w:widowControl w:val="0"/>
                    <w:kinsoku/>
                    <w:wordWrap/>
                    <w:overflowPunct/>
                    <w:topLinePunct w:val="0"/>
                    <w:autoSpaceDE/>
                    <w:autoSpaceDN/>
                    <w:bidi w:val="0"/>
                    <w:spacing w:line="240" w:lineRule="auto"/>
                    <w:jc w:val="center"/>
                    <w:textAlignment w:val="auto"/>
                    <w:rPr>
                      <w:rFonts w:hint="default"/>
                      <w:highlight w:val="none"/>
                      <w:lang w:val="en-US" w:eastAsia="zh-CN"/>
                    </w:rPr>
                  </w:pPr>
                  <w:r>
                    <w:rPr>
                      <w:rFonts w:hint="eastAsia"/>
                      <w:highlight w:val="none"/>
                      <w:lang w:eastAsia="zh-CN"/>
                    </w:rPr>
                    <w:t>有组织</w:t>
                  </w:r>
                </w:p>
              </w:tc>
              <w:tc>
                <w:tcPr>
                  <w:tcW w:w="463" w:type="pct"/>
                  <w:vMerge w:val="restart"/>
                  <w:tcBorders>
                    <w:tl2br w:val="nil"/>
                    <w:tr2bl w:val="nil"/>
                  </w:tcBorders>
                  <w:noWrap w:val="0"/>
                  <w:vAlign w:val="center"/>
                </w:tcPr>
                <w:p w14:paraId="3147FE6C">
                  <w:pPr>
                    <w:keepNext w:val="0"/>
                    <w:keepLines w:val="0"/>
                    <w:pageBreakBefore w:val="0"/>
                    <w:widowControl w:val="0"/>
                    <w:kinsoku/>
                    <w:wordWrap/>
                    <w:overflowPunct/>
                    <w:topLinePunct w:val="0"/>
                    <w:autoSpaceDE/>
                    <w:autoSpaceDN/>
                    <w:bidi w:val="0"/>
                    <w:spacing w:line="240" w:lineRule="auto"/>
                    <w:jc w:val="center"/>
                    <w:textAlignment w:val="auto"/>
                    <w:rPr>
                      <w:rFonts w:hint="eastAsia"/>
                      <w:highlight w:val="none"/>
                      <w:lang w:eastAsia="zh-CN"/>
                    </w:rPr>
                  </w:pPr>
                  <w:r>
                    <w:rPr>
                      <w:rFonts w:hint="eastAsia"/>
                      <w:highlight w:val="none"/>
                      <w:lang w:val="en-US" w:eastAsia="zh-CN"/>
                    </w:rPr>
                    <w:t>脉冲布袋除尘器</w:t>
                  </w:r>
                </w:p>
              </w:tc>
              <w:tc>
                <w:tcPr>
                  <w:tcW w:w="316" w:type="pct"/>
                  <w:vMerge w:val="restart"/>
                  <w:tcBorders>
                    <w:tl2br w:val="nil"/>
                    <w:tr2bl w:val="nil"/>
                  </w:tcBorders>
                  <w:noWrap w:val="0"/>
                  <w:vAlign w:val="center"/>
                </w:tcPr>
                <w:p w14:paraId="7A3DEF64">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r>
                    <w:rPr>
                      <w:rFonts w:hint="eastAsia"/>
                      <w:highlight w:val="none"/>
                      <w:lang w:val="en-US" w:eastAsia="zh-CN"/>
                    </w:rPr>
                    <w:t>17000</w:t>
                  </w:r>
                </w:p>
              </w:tc>
              <w:tc>
                <w:tcPr>
                  <w:tcW w:w="255" w:type="pct"/>
                  <w:vMerge w:val="restart"/>
                  <w:tcBorders>
                    <w:tl2br w:val="nil"/>
                    <w:tr2bl w:val="nil"/>
                  </w:tcBorders>
                  <w:noWrap w:val="0"/>
                  <w:vAlign w:val="center"/>
                </w:tcPr>
                <w:p w14:paraId="195650E8">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r>
                    <w:rPr>
                      <w:rFonts w:hint="eastAsia"/>
                      <w:highlight w:val="none"/>
                      <w:lang w:val="en-US" w:eastAsia="zh-CN"/>
                    </w:rPr>
                    <w:t>95%</w:t>
                  </w:r>
                </w:p>
              </w:tc>
              <w:tc>
                <w:tcPr>
                  <w:tcW w:w="291" w:type="pct"/>
                  <w:vMerge w:val="restart"/>
                  <w:tcBorders>
                    <w:tl2br w:val="nil"/>
                    <w:tr2bl w:val="nil"/>
                  </w:tcBorders>
                  <w:noWrap w:val="0"/>
                  <w:vAlign w:val="center"/>
                </w:tcPr>
                <w:p w14:paraId="26AA99DC">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ighlight w:val="none"/>
                      <w:lang w:val="en-US" w:eastAsia="zh-CN"/>
                    </w:rPr>
                  </w:pPr>
                  <w:r>
                    <w:rPr>
                      <w:rFonts w:hint="eastAsia"/>
                      <w:highlight w:val="none"/>
                      <w:lang w:val="en-US" w:eastAsia="zh-CN"/>
                    </w:rPr>
                    <w:t>95%</w:t>
                  </w:r>
                </w:p>
              </w:tc>
              <w:tc>
                <w:tcPr>
                  <w:tcW w:w="243" w:type="pct"/>
                  <w:vMerge w:val="restart"/>
                  <w:tcBorders>
                    <w:tl2br w:val="nil"/>
                    <w:tr2bl w:val="nil"/>
                  </w:tcBorders>
                  <w:noWrap w:val="0"/>
                  <w:vAlign w:val="center"/>
                </w:tcPr>
                <w:p w14:paraId="7AAB8EE7">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ighlight w:val="none"/>
                      <w:lang w:val="en-US" w:eastAsia="zh-CN"/>
                    </w:rPr>
                  </w:pPr>
                  <w:r>
                    <w:rPr>
                      <w:rFonts w:hint="eastAsia"/>
                      <w:highlight w:val="none"/>
                      <w:lang w:val="en-US" w:eastAsia="zh-CN"/>
                    </w:rPr>
                    <w:t>是</w:t>
                  </w:r>
                </w:p>
              </w:tc>
              <w:tc>
                <w:tcPr>
                  <w:tcW w:w="303" w:type="pct"/>
                  <w:vMerge w:val="restart"/>
                  <w:tcBorders>
                    <w:tl2br w:val="nil"/>
                    <w:tr2bl w:val="nil"/>
                  </w:tcBorders>
                  <w:noWrap w:val="0"/>
                  <w:vAlign w:val="center"/>
                </w:tcPr>
                <w:p w14:paraId="2A885A9C">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highlight w:val="none"/>
                      <w:lang w:val="en-US" w:eastAsia="zh-CN"/>
                    </w:rPr>
                  </w:pPr>
                  <w:r>
                    <w:rPr>
                      <w:rFonts w:hint="eastAsia"/>
                      <w:highlight w:val="none"/>
                      <w:lang w:val="en-US" w:eastAsia="zh-CN"/>
                    </w:rPr>
                    <w:t>5.846</w:t>
                  </w:r>
                </w:p>
              </w:tc>
              <w:tc>
                <w:tcPr>
                  <w:tcW w:w="314" w:type="pct"/>
                  <w:vMerge w:val="restart"/>
                  <w:tcBorders>
                    <w:tl2br w:val="nil"/>
                    <w:tr2bl w:val="nil"/>
                  </w:tcBorders>
                  <w:noWrap w:val="0"/>
                  <w:vAlign w:val="center"/>
                </w:tcPr>
                <w:p w14:paraId="480E2A7A">
                  <w:pPr>
                    <w:spacing w:line="240" w:lineRule="auto"/>
                    <w:jc w:val="center"/>
                    <w:rPr>
                      <w:rFonts w:hint="default"/>
                      <w:highlight w:val="none"/>
                      <w:lang w:val="en-US" w:eastAsia="zh-CN"/>
                    </w:rPr>
                  </w:pPr>
                  <w:r>
                    <w:rPr>
                      <w:rFonts w:hint="eastAsia"/>
                      <w:highlight w:val="none"/>
                      <w:lang w:val="en-US" w:eastAsia="zh-CN"/>
                    </w:rPr>
                    <w:t>0.099</w:t>
                  </w:r>
                </w:p>
              </w:tc>
              <w:tc>
                <w:tcPr>
                  <w:tcW w:w="320" w:type="pct"/>
                  <w:vMerge w:val="restart"/>
                  <w:tcBorders>
                    <w:tl2br w:val="nil"/>
                    <w:tr2bl w:val="nil"/>
                  </w:tcBorders>
                  <w:noWrap w:val="0"/>
                  <w:vAlign w:val="center"/>
                </w:tcPr>
                <w:p w14:paraId="75DBF675">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highlight w:val="none"/>
                      <w:lang w:val="en-US" w:eastAsia="zh-CN"/>
                    </w:rPr>
                  </w:pPr>
                  <w:r>
                    <w:rPr>
                      <w:rFonts w:hint="eastAsia"/>
                      <w:highlight w:val="none"/>
                      <w:lang w:val="en-US" w:eastAsia="zh-CN"/>
                    </w:rPr>
                    <w:t>0.159</w:t>
                  </w:r>
                </w:p>
              </w:tc>
              <w:tc>
                <w:tcPr>
                  <w:tcW w:w="291" w:type="pct"/>
                  <w:vMerge w:val="restart"/>
                  <w:tcBorders>
                    <w:tl2br w:val="nil"/>
                    <w:tr2bl w:val="nil"/>
                  </w:tcBorders>
                  <w:noWrap w:val="0"/>
                  <w:vAlign w:val="center"/>
                </w:tcPr>
                <w:p w14:paraId="30B9864F">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highlight w:val="none"/>
                      <w:lang w:val="en-US" w:eastAsia="zh-CN"/>
                    </w:rPr>
                  </w:pPr>
                  <w:r>
                    <w:rPr>
                      <w:rFonts w:hint="default"/>
                      <w:highlight w:val="none"/>
                      <w:lang w:val="en-US" w:eastAsia="zh-CN"/>
                    </w:rPr>
                    <w:t>DA00</w:t>
                  </w:r>
                  <w:r>
                    <w:rPr>
                      <w:rFonts w:hint="eastAsia"/>
                      <w:highlight w:val="none"/>
                      <w:lang w:val="en-US" w:eastAsia="zh-CN"/>
                    </w:rPr>
                    <w:t>8</w:t>
                  </w:r>
                </w:p>
              </w:tc>
              <w:tc>
                <w:tcPr>
                  <w:tcW w:w="843" w:type="pct"/>
                  <w:vMerge w:val="restart"/>
                  <w:tcBorders>
                    <w:tl2br w:val="nil"/>
                    <w:tr2bl w:val="nil"/>
                  </w:tcBorders>
                  <w:noWrap w:val="0"/>
                  <w:vAlign w:val="center"/>
                </w:tcPr>
                <w:p w14:paraId="607E4446">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highlight w:val="green"/>
                      <w:lang w:val="en-US" w:eastAsia="zh-CN"/>
                    </w:rPr>
                  </w:pPr>
                  <w:r>
                    <w:rPr>
                      <w:rFonts w:hint="eastAsia"/>
                      <w:lang w:eastAsia="zh-CN"/>
                    </w:rPr>
                    <w:t>《水泥工业大气污染物排放标准》（DB 13/ 2167—2015）中表</w:t>
                  </w:r>
                  <w:r>
                    <w:rPr>
                      <w:rFonts w:hint="eastAsia"/>
                      <w:lang w:val="en-US" w:eastAsia="zh-CN"/>
                    </w:rPr>
                    <w:t>1</w:t>
                  </w:r>
                  <w:r>
                    <w:rPr>
                      <w:rFonts w:hint="eastAsia"/>
                      <w:lang w:eastAsia="zh-CN"/>
                    </w:rPr>
                    <w:t>排放限值要求</w:t>
                  </w:r>
                  <w:r>
                    <w:rPr>
                      <w:rFonts w:hint="default"/>
                      <w:lang w:val="en-US" w:eastAsia="zh-CN"/>
                    </w:rPr>
                    <w:t>：</w:t>
                  </w:r>
                  <w:r>
                    <w:rPr>
                      <w:rFonts w:hint="eastAsia"/>
                      <w:lang w:val="en-US" w:eastAsia="zh-CN"/>
                    </w:rPr>
                    <w:t>10</w:t>
                  </w:r>
                  <w:r>
                    <w:rPr>
                      <w:rFonts w:hint="default"/>
                      <w:lang w:eastAsia="zh-CN"/>
                    </w:rPr>
                    <w:t>mg/m</w:t>
                  </w:r>
                  <w:r>
                    <w:rPr>
                      <w:rFonts w:hint="default"/>
                      <w:vertAlign w:val="superscript"/>
                      <w:lang w:eastAsia="zh-CN"/>
                    </w:rPr>
                    <w:t>3</w:t>
                  </w:r>
                </w:p>
              </w:tc>
            </w:tr>
            <w:tr w14:paraId="796F4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54" w:hRule="atLeast"/>
                <w:jc w:val="center"/>
              </w:trPr>
              <w:tc>
                <w:tcPr>
                  <w:tcW w:w="282" w:type="pct"/>
                  <w:tcBorders>
                    <w:tl2br w:val="nil"/>
                    <w:tr2bl w:val="nil"/>
                  </w:tcBorders>
                  <w:noWrap w:val="0"/>
                  <w:vAlign w:val="center"/>
                </w:tcPr>
                <w:p w14:paraId="753D2490">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ighlight w:val="none"/>
                      <w:lang w:val="en-US" w:eastAsia="zh-CN"/>
                    </w:rPr>
                  </w:pPr>
                  <w:r>
                    <w:rPr>
                      <w:rFonts w:hint="eastAsia"/>
                      <w:highlight w:val="none"/>
                      <w:lang w:val="en-US" w:eastAsia="zh-CN"/>
                    </w:rPr>
                    <w:t>搅拌</w:t>
                  </w:r>
                </w:p>
              </w:tc>
              <w:tc>
                <w:tcPr>
                  <w:tcW w:w="281" w:type="pct"/>
                  <w:vMerge w:val="continue"/>
                  <w:tcBorders>
                    <w:tl2br w:val="nil"/>
                    <w:tr2bl w:val="nil"/>
                  </w:tcBorders>
                  <w:noWrap w:val="0"/>
                  <w:vAlign w:val="center"/>
                </w:tcPr>
                <w:p w14:paraId="5A092515">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highlight w:val="none"/>
                      <w:lang w:eastAsia="zh-CN"/>
                    </w:rPr>
                  </w:pPr>
                </w:p>
              </w:tc>
              <w:tc>
                <w:tcPr>
                  <w:tcW w:w="364" w:type="pct"/>
                  <w:vMerge w:val="continue"/>
                  <w:tcBorders>
                    <w:tl2br w:val="nil"/>
                    <w:tr2bl w:val="nil"/>
                  </w:tcBorders>
                  <w:noWrap w:val="0"/>
                  <w:vAlign w:val="center"/>
                </w:tcPr>
                <w:p w14:paraId="7A84D167">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ighlight w:val="none"/>
                      <w:lang w:val="en-US" w:eastAsia="zh-CN"/>
                    </w:rPr>
                  </w:pPr>
                </w:p>
              </w:tc>
              <w:tc>
                <w:tcPr>
                  <w:tcW w:w="224" w:type="pct"/>
                  <w:vMerge w:val="continue"/>
                  <w:tcBorders>
                    <w:tl2br w:val="nil"/>
                    <w:tr2bl w:val="nil"/>
                  </w:tcBorders>
                  <w:noWrap w:val="0"/>
                  <w:vAlign w:val="center"/>
                </w:tcPr>
                <w:p w14:paraId="40CCEA37">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ighlight w:val="none"/>
                      <w:lang w:val="en-US" w:eastAsia="zh-CN"/>
                    </w:rPr>
                  </w:pPr>
                </w:p>
              </w:tc>
              <w:tc>
                <w:tcPr>
                  <w:tcW w:w="202" w:type="pct"/>
                  <w:vMerge w:val="continue"/>
                  <w:tcBorders>
                    <w:tl2br w:val="nil"/>
                    <w:tr2bl w:val="nil"/>
                  </w:tcBorders>
                  <w:noWrap w:val="0"/>
                  <w:vAlign w:val="center"/>
                </w:tcPr>
                <w:p w14:paraId="1DB79A2C">
                  <w:pPr>
                    <w:keepNext w:val="0"/>
                    <w:keepLines w:val="0"/>
                    <w:pageBreakBefore w:val="0"/>
                    <w:widowControl w:val="0"/>
                    <w:kinsoku/>
                    <w:wordWrap/>
                    <w:overflowPunct/>
                    <w:topLinePunct w:val="0"/>
                    <w:autoSpaceDE/>
                    <w:autoSpaceDN/>
                    <w:bidi w:val="0"/>
                    <w:spacing w:line="240" w:lineRule="auto"/>
                    <w:jc w:val="center"/>
                    <w:textAlignment w:val="auto"/>
                    <w:rPr>
                      <w:rFonts w:hint="eastAsia"/>
                      <w:highlight w:val="none"/>
                      <w:lang w:eastAsia="zh-CN"/>
                    </w:rPr>
                  </w:pPr>
                </w:p>
              </w:tc>
              <w:tc>
                <w:tcPr>
                  <w:tcW w:w="463" w:type="pct"/>
                  <w:vMerge w:val="continue"/>
                  <w:tcBorders>
                    <w:tl2br w:val="nil"/>
                    <w:tr2bl w:val="nil"/>
                  </w:tcBorders>
                  <w:noWrap w:val="0"/>
                  <w:vAlign w:val="center"/>
                </w:tcPr>
                <w:p w14:paraId="72B6C0CC">
                  <w:pPr>
                    <w:keepNext w:val="0"/>
                    <w:keepLines w:val="0"/>
                    <w:pageBreakBefore w:val="0"/>
                    <w:widowControl w:val="0"/>
                    <w:kinsoku/>
                    <w:wordWrap/>
                    <w:overflowPunct/>
                    <w:topLinePunct w:val="0"/>
                    <w:autoSpaceDE/>
                    <w:autoSpaceDN/>
                    <w:bidi w:val="0"/>
                    <w:spacing w:line="240" w:lineRule="auto"/>
                    <w:jc w:val="center"/>
                    <w:textAlignment w:val="auto"/>
                    <w:rPr>
                      <w:rFonts w:hint="eastAsia"/>
                      <w:highlight w:val="none"/>
                      <w:lang w:val="en-US" w:eastAsia="zh-CN"/>
                    </w:rPr>
                  </w:pPr>
                </w:p>
              </w:tc>
              <w:tc>
                <w:tcPr>
                  <w:tcW w:w="316" w:type="pct"/>
                  <w:vMerge w:val="continue"/>
                  <w:tcBorders>
                    <w:tl2br w:val="nil"/>
                    <w:tr2bl w:val="nil"/>
                  </w:tcBorders>
                  <w:noWrap w:val="0"/>
                  <w:vAlign w:val="center"/>
                </w:tcPr>
                <w:p w14:paraId="74F4414C">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ighlight w:val="none"/>
                      <w:lang w:val="en-US" w:eastAsia="zh-CN"/>
                    </w:rPr>
                  </w:pPr>
                </w:p>
              </w:tc>
              <w:tc>
                <w:tcPr>
                  <w:tcW w:w="255" w:type="pct"/>
                  <w:vMerge w:val="continue"/>
                  <w:tcBorders>
                    <w:tl2br w:val="nil"/>
                    <w:tr2bl w:val="nil"/>
                  </w:tcBorders>
                  <w:noWrap w:val="0"/>
                  <w:vAlign w:val="center"/>
                </w:tcPr>
                <w:p w14:paraId="18CF83E7">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ighlight w:val="none"/>
                      <w:lang w:val="en-US" w:eastAsia="zh-CN"/>
                    </w:rPr>
                  </w:pPr>
                </w:p>
              </w:tc>
              <w:tc>
                <w:tcPr>
                  <w:tcW w:w="291" w:type="pct"/>
                  <w:vMerge w:val="continue"/>
                  <w:tcBorders>
                    <w:tl2br w:val="nil"/>
                    <w:tr2bl w:val="nil"/>
                  </w:tcBorders>
                  <w:noWrap w:val="0"/>
                  <w:vAlign w:val="center"/>
                </w:tcPr>
                <w:p w14:paraId="2943C271">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ighlight w:val="none"/>
                      <w:lang w:val="en-US" w:eastAsia="zh-CN"/>
                    </w:rPr>
                  </w:pPr>
                </w:p>
              </w:tc>
              <w:tc>
                <w:tcPr>
                  <w:tcW w:w="243" w:type="pct"/>
                  <w:vMerge w:val="continue"/>
                  <w:tcBorders>
                    <w:tl2br w:val="nil"/>
                    <w:tr2bl w:val="nil"/>
                  </w:tcBorders>
                  <w:noWrap w:val="0"/>
                  <w:vAlign w:val="center"/>
                </w:tcPr>
                <w:p w14:paraId="080710AC">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ighlight w:val="none"/>
                      <w:lang w:val="en-US" w:eastAsia="zh-CN"/>
                    </w:rPr>
                  </w:pPr>
                </w:p>
              </w:tc>
              <w:tc>
                <w:tcPr>
                  <w:tcW w:w="303" w:type="pct"/>
                  <w:vMerge w:val="continue"/>
                  <w:tcBorders>
                    <w:tl2br w:val="nil"/>
                    <w:tr2bl w:val="nil"/>
                  </w:tcBorders>
                  <w:noWrap w:val="0"/>
                  <w:vAlign w:val="center"/>
                </w:tcPr>
                <w:p w14:paraId="557B058A">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highlight w:val="none"/>
                      <w:lang w:val="en-US" w:eastAsia="zh-CN"/>
                    </w:rPr>
                  </w:pPr>
                </w:p>
              </w:tc>
              <w:tc>
                <w:tcPr>
                  <w:tcW w:w="314" w:type="pct"/>
                  <w:vMerge w:val="continue"/>
                  <w:tcBorders>
                    <w:tl2br w:val="nil"/>
                    <w:tr2bl w:val="nil"/>
                  </w:tcBorders>
                  <w:noWrap w:val="0"/>
                  <w:vAlign w:val="center"/>
                </w:tcPr>
                <w:p w14:paraId="113C2754">
                  <w:pPr>
                    <w:spacing w:line="240" w:lineRule="auto"/>
                    <w:jc w:val="center"/>
                    <w:rPr>
                      <w:rFonts w:hint="eastAsia"/>
                      <w:highlight w:val="none"/>
                      <w:lang w:val="en-US" w:eastAsia="zh-CN"/>
                    </w:rPr>
                  </w:pPr>
                </w:p>
              </w:tc>
              <w:tc>
                <w:tcPr>
                  <w:tcW w:w="320" w:type="pct"/>
                  <w:vMerge w:val="continue"/>
                  <w:tcBorders>
                    <w:tl2br w:val="nil"/>
                    <w:tr2bl w:val="nil"/>
                  </w:tcBorders>
                  <w:noWrap w:val="0"/>
                  <w:vAlign w:val="center"/>
                </w:tcPr>
                <w:p w14:paraId="24C68ED6">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highlight w:val="none"/>
                      <w:lang w:val="en-US" w:eastAsia="zh-CN"/>
                    </w:rPr>
                  </w:pPr>
                </w:p>
              </w:tc>
              <w:tc>
                <w:tcPr>
                  <w:tcW w:w="291" w:type="pct"/>
                  <w:vMerge w:val="continue"/>
                  <w:tcBorders>
                    <w:tl2br w:val="nil"/>
                    <w:tr2bl w:val="nil"/>
                  </w:tcBorders>
                  <w:noWrap w:val="0"/>
                  <w:vAlign w:val="center"/>
                </w:tcPr>
                <w:p w14:paraId="331FE236">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highlight w:val="none"/>
                      <w:lang w:val="en-US" w:eastAsia="zh-CN"/>
                    </w:rPr>
                  </w:pPr>
                </w:p>
              </w:tc>
              <w:tc>
                <w:tcPr>
                  <w:tcW w:w="843" w:type="pct"/>
                  <w:vMerge w:val="continue"/>
                  <w:tcBorders>
                    <w:tl2br w:val="nil"/>
                    <w:tr2bl w:val="nil"/>
                  </w:tcBorders>
                  <w:noWrap w:val="0"/>
                  <w:vAlign w:val="center"/>
                </w:tcPr>
                <w:p w14:paraId="3F575B2B">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lang w:eastAsia="zh-CN"/>
                    </w:rPr>
                  </w:pPr>
                </w:p>
              </w:tc>
            </w:tr>
            <w:tr w14:paraId="023A03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239" w:hRule="atLeast"/>
                <w:jc w:val="center"/>
              </w:trPr>
              <w:tc>
                <w:tcPr>
                  <w:tcW w:w="282" w:type="pct"/>
                  <w:tcBorders>
                    <w:tl2br w:val="nil"/>
                    <w:tr2bl w:val="nil"/>
                  </w:tcBorders>
                  <w:noWrap w:val="0"/>
                  <w:vAlign w:val="center"/>
                </w:tcPr>
                <w:p w14:paraId="6D3BEF8C">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ighlight w:val="none"/>
                      <w:lang w:val="en-US" w:eastAsia="zh-CN"/>
                    </w:rPr>
                  </w:pPr>
                  <w:r>
                    <w:rPr>
                      <w:rFonts w:hint="eastAsia"/>
                      <w:highlight w:val="none"/>
                      <w:lang w:val="en-US" w:eastAsia="zh-CN"/>
                    </w:rPr>
                    <w:t>打孔切割</w:t>
                  </w:r>
                </w:p>
              </w:tc>
              <w:tc>
                <w:tcPr>
                  <w:tcW w:w="281" w:type="pct"/>
                  <w:vMerge w:val="continue"/>
                  <w:tcBorders>
                    <w:tl2br w:val="nil"/>
                    <w:tr2bl w:val="nil"/>
                  </w:tcBorders>
                  <w:noWrap w:val="0"/>
                  <w:vAlign w:val="center"/>
                </w:tcPr>
                <w:p w14:paraId="244480AE">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highlight w:val="none"/>
                      <w:lang w:eastAsia="zh-CN"/>
                    </w:rPr>
                  </w:pPr>
                </w:p>
              </w:tc>
              <w:tc>
                <w:tcPr>
                  <w:tcW w:w="364" w:type="pct"/>
                  <w:vMerge w:val="continue"/>
                  <w:tcBorders>
                    <w:tl2br w:val="nil"/>
                    <w:tr2bl w:val="nil"/>
                  </w:tcBorders>
                  <w:noWrap w:val="0"/>
                  <w:vAlign w:val="center"/>
                </w:tcPr>
                <w:p w14:paraId="54400DC8">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p>
              </w:tc>
              <w:tc>
                <w:tcPr>
                  <w:tcW w:w="224" w:type="pct"/>
                  <w:vMerge w:val="continue"/>
                  <w:tcBorders>
                    <w:tl2br w:val="nil"/>
                    <w:tr2bl w:val="nil"/>
                  </w:tcBorders>
                  <w:noWrap w:val="0"/>
                  <w:vAlign w:val="center"/>
                </w:tcPr>
                <w:p w14:paraId="5D28A881">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p>
              </w:tc>
              <w:tc>
                <w:tcPr>
                  <w:tcW w:w="202" w:type="pct"/>
                  <w:vMerge w:val="continue"/>
                  <w:tcBorders>
                    <w:tl2br w:val="nil"/>
                    <w:tr2bl w:val="nil"/>
                  </w:tcBorders>
                  <w:noWrap w:val="0"/>
                  <w:vAlign w:val="center"/>
                </w:tcPr>
                <w:p w14:paraId="69220ED0">
                  <w:pPr>
                    <w:keepNext w:val="0"/>
                    <w:keepLines w:val="0"/>
                    <w:pageBreakBefore w:val="0"/>
                    <w:widowControl w:val="0"/>
                    <w:kinsoku/>
                    <w:wordWrap/>
                    <w:overflowPunct/>
                    <w:topLinePunct w:val="0"/>
                    <w:autoSpaceDE/>
                    <w:autoSpaceDN/>
                    <w:bidi w:val="0"/>
                    <w:spacing w:line="240" w:lineRule="auto"/>
                    <w:jc w:val="center"/>
                    <w:textAlignment w:val="auto"/>
                    <w:rPr>
                      <w:rFonts w:hint="eastAsia"/>
                      <w:highlight w:val="none"/>
                      <w:lang w:eastAsia="zh-CN"/>
                    </w:rPr>
                  </w:pPr>
                </w:p>
              </w:tc>
              <w:tc>
                <w:tcPr>
                  <w:tcW w:w="463" w:type="pct"/>
                  <w:vMerge w:val="continue"/>
                  <w:tcBorders>
                    <w:tl2br w:val="nil"/>
                    <w:tr2bl w:val="nil"/>
                  </w:tcBorders>
                  <w:noWrap w:val="0"/>
                  <w:vAlign w:val="center"/>
                </w:tcPr>
                <w:p w14:paraId="71D88978">
                  <w:pPr>
                    <w:keepNext w:val="0"/>
                    <w:keepLines w:val="0"/>
                    <w:pageBreakBefore w:val="0"/>
                    <w:widowControl w:val="0"/>
                    <w:kinsoku/>
                    <w:wordWrap/>
                    <w:overflowPunct/>
                    <w:topLinePunct w:val="0"/>
                    <w:autoSpaceDE/>
                    <w:autoSpaceDN/>
                    <w:bidi w:val="0"/>
                    <w:spacing w:line="240" w:lineRule="auto"/>
                    <w:jc w:val="center"/>
                    <w:textAlignment w:val="auto"/>
                    <w:rPr>
                      <w:rFonts w:hint="eastAsia"/>
                      <w:highlight w:val="none"/>
                      <w:lang w:val="en-US" w:eastAsia="zh-CN"/>
                    </w:rPr>
                  </w:pPr>
                </w:p>
              </w:tc>
              <w:tc>
                <w:tcPr>
                  <w:tcW w:w="316" w:type="pct"/>
                  <w:vMerge w:val="continue"/>
                  <w:tcBorders>
                    <w:tl2br w:val="nil"/>
                    <w:tr2bl w:val="nil"/>
                  </w:tcBorders>
                  <w:noWrap w:val="0"/>
                  <w:vAlign w:val="center"/>
                </w:tcPr>
                <w:p w14:paraId="278F80C6">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ighlight w:val="none"/>
                      <w:lang w:val="en-US" w:eastAsia="zh-CN"/>
                    </w:rPr>
                  </w:pPr>
                </w:p>
              </w:tc>
              <w:tc>
                <w:tcPr>
                  <w:tcW w:w="255" w:type="pct"/>
                  <w:vMerge w:val="continue"/>
                  <w:tcBorders>
                    <w:tl2br w:val="nil"/>
                    <w:tr2bl w:val="nil"/>
                  </w:tcBorders>
                  <w:noWrap w:val="0"/>
                  <w:vAlign w:val="center"/>
                </w:tcPr>
                <w:p w14:paraId="3FC2399C">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ighlight w:val="none"/>
                      <w:lang w:val="en-US" w:eastAsia="zh-CN"/>
                    </w:rPr>
                  </w:pPr>
                </w:p>
              </w:tc>
              <w:tc>
                <w:tcPr>
                  <w:tcW w:w="291" w:type="pct"/>
                  <w:vMerge w:val="continue"/>
                  <w:tcBorders>
                    <w:tl2br w:val="nil"/>
                    <w:tr2bl w:val="nil"/>
                  </w:tcBorders>
                  <w:noWrap w:val="0"/>
                  <w:vAlign w:val="center"/>
                </w:tcPr>
                <w:p w14:paraId="5D127882">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p>
              </w:tc>
              <w:tc>
                <w:tcPr>
                  <w:tcW w:w="243" w:type="pct"/>
                  <w:vMerge w:val="continue"/>
                  <w:tcBorders>
                    <w:tl2br w:val="nil"/>
                    <w:tr2bl w:val="nil"/>
                  </w:tcBorders>
                  <w:noWrap w:val="0"/>
                  <w:vAlign w:val="center"/>
                </w:tcPr>
                <w:p w14:paraId="07F23E7B">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ighlight w:val="none"/>
                      <w:lang w:val="en-US" w:eastAsia="zh-CN"/>
                    </w:rPr>
                  </w:pPr>
                </w:p>
              </w:tc>
              <w:tc>
                <w:tcPr>
                  <w:tcW w:w="303" w:type="pct"/>
                  <w:vMerge w:val="continue"/>
                  <w:tcBorders>
                    <w:tl2br w:val="nil"/>
                    <w:tr2bl w:val="nil"/>
                  </w:tcBorders>
                  <w:noWrap w:val="0"/>
                  <w:vAlign w:val="center"/>
                </w:tcPr>
                <w:p w14:paraId="78BFAE31">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highlight w:val="none"/>
                      <w:lang w:val="en-US" w:eastAsia="zh-CN"/>
                    </w:rPr>
                  </w:pPr>
                </w:p>
              </w:tc>
              <w:tc>
                <w:tcPr>
                  <w:tcW w:w="314" w:type="pct"/>
                  <w:vMerge w:val="continue"/>
                  <w:tcBorders>
                    <w:tl2br w:val="nil"/>
                    <w:tr2bl w:val="nil"/>
                  </w:tcBorders>
                  <w:noWrap w:val="0"/>
                  <w:vAlign w:val="center"/>
                </w:tcPr>
                <w:p w14:paraId="5E9AC12C">
                  <w:pPr>
                    <w:spacing w:line="240" w:lineRule="auto"/>
                    <w:jc w:val="center"/>
                    <w:rPr>
                      <w:rFonts w:hint="default"/>
                      <w:highlight w:val="none"/>
                      <w:lang w:val="en-US" w:eastAsia="zh-CN"/>
                    </w:rPr>
                  </w:pPr>
                </w:p>
              </w:tc>
              <w:tc>
                <w:tcPr>
                  <w:tcW w:w="320" w:type="pct"/>
                  <w:vMerge w:val="continue"/>
                  <w:tcBorders>
                    <w:tl2br w:val="nil"/>
                    <w:tr2bl w:val="nil"/>
                  </w:tcBorders>
                  <w:noWrap w:val="0"/>
                  <w:vAlign w:val="center"/>
                </w:tcPr>
                <w:p w14:paraId="3780B498">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highlight w:val="none"/>
                      <w:lang w:val="en-US" w:eastAsia="zh-CN"/>
                    </w:rPr>
                  </w:pPr>
                </w:p>
              </w:tc>
              <w:tc>
                <w:tcPr>
                  <w:tcW w:w="291" w:type="pct"/>
                  <w:vMerge w:val="continue"/>
                  <w:tcBorders>
                    <w:tl2br w:val="nil"/>
                    <w:tr2bl w:val="nil"/>
                  </w:tcBorders>
                  <w:noWrap w:val="0"/>
                  <w:vAlign w:val="center"/>
                </w:tcPr>
                <w:p w14:paraId="38CEA8D7">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highlight w:val="none"/>
                      <w:lang w:val="en-US" w:eastAsia="zh-CN"/>
                    </w:rPr>
                  </w:pPr>
                </w:p>
              </w:tc>
              <w:tc>
                <w:tcPr>
                  <w:tcW w:w="843" w:type="pct"/>
                  <w:vMerge w:val="continue"/>
                  <w:tcBorders>
                    <w:tl2br w:val="nil"/>
                    <w:tr2bl w:val="nil"/>
                  </w:tcBorders>
                  <w:noWrap w:val="0"/>
                  <w:vAlign w:val="center"/>
                </w:tcPr>
                <w:p w14:paraId="17F2C467">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default"/>
                      <w:highlight w:val="green"/>
                      <w:lang w:val="zh-CN" w:eastAsia="zh-CN"/>
                    </w:rPr>
                  </w:pPr>
                </w:p>
              </w:tc>
            </w:tr>
            <w:tr w14:paraId="26971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187" w:hRule="atLeast"/>
                <w:jc w:val="center"/>
              </w:trPr>
              <w:tc>
                <w:tcPr>
                  <w:tcW w:w="282" w:type="pct"/>
                  <w:tcBorders>
                    <w:tl2br w:val="nil"/>
                    <w:tr2bl w:val="nil"/>
                  </w:tcBorders>
                  <w:noWrap w:val="0"/>
                  <w:vAlign w:val="center"/>
                </w:tcPr>
                <w:p w14:paraId="2B5FFC6F">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ighlight w:val="none"/>
                      <w:lang w:val="en-US" w:eastAsia="zh-CN"/>
                    </w:rPr>
                  </w:pPr>
                  <w:r>
                    <w:rPr>
                      <w:rFonts w:hint="eastAsia"/>
                      <w:highlight w:val="none"/>
                      <w:lang w:val="en-US" w:eastAsia="zh-CN"/>
                    </w:rPr>
                    <w:t>无组织</w:t>
                  </w:r>
                </w:p>
              </w:tc>
              <w:tc>
                <w:tcPr>
                  <w:tcW w:w="281" w:type="pct"/>
                  <w:tcBorders>
                    <w:tl2br w:val="nil"/>
                    <w:tr2bl w:val="nil"/>
                  </w:tcBorders>
                  <w:noWrap w:val="0"/>
                  <w:vAlign w:val="center"/>
                </w:tcPr>
                <w:p w14:paraId="6F49D1A2">
                  <w:pPr>
                    <w:keepNext w:val="0"/>
                    <w:keepLines w:val="0"/>
                    <w:pageBreakBefore w:val="0"/>
                    <w:widowControl w:val="0"/>
                    <w:kinsoku/>
                    <w:wordWrap/>
                    <w:overflowPunct/>
                    <w:topLinePunct w:val="0"/>
                    <w:autoSpaceDE/>
                    <w:autoSpaceDN/>
                    <w:bidi w:val="0"/>
                    <w:spacing w:line="240" w:lineRule="auto"/>
                    <w:jc w:val="center"/>
                    <w:textAlignment w:val="auto"/>
                    <w:outlineLvl w:val="9"/>
                    <w:rPr>
                      <w:rFonts w:hint="eastAsia"/>
                      <w:highlight w:val="none"/>
                      <w:lang w:val="en-US" w:eastAsia="zh-CN"/>
                    </w:rPr>
                  </w:pPr>
                  <w:r>
                    <w:rPr>
                      <w:rFonts w:hint="eastAsia"/>
                      <w:highlight w:val="none"/>
                      <w:lang w:eastAsia="zh-CN"/>
                    </w:rPr>
                    <w:t>颗粒物</w:t>
                  </w:r>
                </w:p>
              </w:tc>
              <w:tc>
                <w:tcPr>
                  <w:tcW w:w="364" w:type="pct"/>
                  <w:tcBorders>
                    <w:tl2br w:val="nil"/>
                    <w:tr2bl w:val="nil"/>
                  </w:tcBorders>
                  <w:noWrap w:val="0"/>
                  <w:vAlign w:val="center"/>
                </w:tcPr>
                <w:p w14:paraId="3585F8FD">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r>
                    <w:rPr>
                      <w:rFonts w:hint="eastAsia"/>
                      <w:highlight w:val="none"/>
                      <w:lang w:val="en-US" w:eastAsia="zh-CN"/>
                    </w:rPr>
                    <w:t>6.176</w:t>
                  </w:r>
                </w:p>
              </w:tc>
              <w:tc>
                <w:tcPr>
                  <w:tcW w:w="224" w:type="pct"/>
                  <w:tcBorders>
                    <w:tl2br w:val="nil"/>
                    <w:tr2bl w:val="nil"/>
                  </w:tcBorders>
                  <w:noWrap w:val="0"/>
                  <w:vAlign w:val="center"/>
                </w:tcPr>
                <w:p w14:paraId="1A7B3FF7">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r>
                    <w:rPr>
                      <w:rFonts w:hint="eastAsia"/>
                      <w:highlight w:val="none"/>
                      <w:lang w:val="en-US" w:eastAsia="zh-CN"/>
                    </w:rPr>
                    <w:t>0.168</w:t>
                  </w:r>
                </w:p>
              </w:tc>
              <w:tc>
                <w:tcPr>
                  <w:tcW w:w="202" w:type="pct"/>
                  <w:tcBorders>
                    <w:tl2br w:val="nil"/>
                    <w:tr2bl w:val="nil"/>
                  </w:tcBorders>
                  <w:noWrap w:val="0"/>
                  <w:vAlign w:val="center"/>
                </w:tcPr>
                <w:p w14:paraId="26CE7672">
                  <w:pPr>
                    <w:keepNext w:val="0"/>
                    <w:keepLines w:val="0"/>
                    <w:pageBreakBefore w:val="0"/>
                    <w:widowControl w:val="0"/>
                    <w:kinsoku/>
                    <w:wordWrap/>
                    <w:overflowPunct/>
                    <w:topLinePunct w:val="0"/>
                    <w:autoSpaceDE/>
                    <w:autoSpaceDN/>
                    <w:bidi w:val="0"/>
                    <w:spacing w:line="240" w:lineRule="auto"/>
                    <w:jc w:val="center"/>
                    <w:textAlignment w:val="auto"/>
                    <w:rPr>
                      <w:rFonts w:hint="eastAsia"/>
                      <w:highlight w:val="none"/>
                      <w:lang w:val="en-US" w:eastAsia="zh-CN"/>
                    </w:rPr>
                  </w:pPr>
                  <w:r>
                    <w:rPr>
                      <w:rFonts w:hint="eastAsia"/>
                      <w:highlight w:val="none"/>
                      <w:lang w:val="en-US" w:eastAsia="zh-CN"/>
                    </w:rPr>
                    <w:t>无组织</w:t>
                  </w:r>
                </w:p>
              </w:tc>
              <w:tc>
                <w:tcPr>
                  <w:tcW w:w="463" w:type="pct"/>
                  <w:tcBorders>
                    <w:tl2br w:val="nil"/>
                    <w:tr2bl w:val="nil"/>
                  </w:tcBorders>
                  <w:noWrap w:val="0"/>
                  <w:vAlign w:val="center"/>
                </w:tcPr>
                <w:p w14:paraId="4D785C1C">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highlight w:val="none"/>
                      <w:lang w:val="en-US" w:eastAsia="zh-CN"/>
                    </w:rPr>
                  </w:pPr>
                  <w:r>
                    <w:rPr>
                      <w:rFonts w:hint="eastAsia"/>
                      <w:highlight w:val="none"/>
                      <w:lang w:val="en-US" w:eastAsia="zh-CN"/>
                    </w:rPr>
                    <w:t>厂房封闭</w:t>
                  </w:r>
                </w:p>
                <w:p w14:paraId="2D9FB267">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r>
                    <w:rPr>
                      <w:rFonts w:hint="eastAsia"/>
                      <w:highlight w:val="none"/>
                      <w:lang w:val="en-US" w:eastAsia="zh-CN"/>
                    </w:rPr>
                    <w:t>自然沉降</w:t>
                  </w:r>
                </w:p>
              </w:tc>
              <w:tc>
                <w:tcPr>
                  <w:tcW w:w="316" w:type="pct"/>
                  <w:tcBorders>
                    <w:tl2br w:val="nil"/>
                    <w:tr2bl w:val="nil"/>
                  </w:tcBorders>
                  <w:noWrap w:val="0"/>
                  <w:vAlign w:val="center"/>
                </w:tcPr>
                <w:p w14:paraId="3545CED1">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r>
                    <w:rPr>
                      <w:rFonts w:hint="eastAsia"/>
                      <w:highlight w:val="none"/>
                      <w:lang w:val="en-US" w:eastAsia="zh-CN"/>
                    </w:rPr>
                    <w:t>-</w:t>
                  </w:r>
                </w:p>
              </w:tc>
              <w:tc>
                <w:tcPr>
                  <w:tcW w:w="255" w:type="pct"/>
                  <w:tcBorders>
                    <w:tl2br w:val="nil"/>
                    <w:tr2bl w:val="nil"/>
                  </w:tcBorders>
                  <w:noWrap w:val="0"/>
                  <w:vAlign w:val="center"/>
                </w:tcPr>
                <w:p w14:paraId="111DCCEA">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r>
                    <w:rPr>
                      <w:rFonts w:hint="eastAsia"/>
                      <w:highlight w:val="none"/>
                      <w:lang w:val="en-US" w:eastAsia="zh-CN"/>
                    </w:rPr>
                    <w:t>-</w:t>
                  </w:r>
                </w:p>
              </w:tc>
              <w:tc>
                <w:tcPr>
                  <w:tcW w:w="291" w:type="pct"/>
                  <w:tcBorders>
                    <w:tl2br w:val="nil"/>
                    <w:tr2bl w:val="nil"/>
                  </w:tcBorders>
                  <w:noWrap w:val="0"/>
                  <w:vAlign w:val="center"/>
                </w:tcPr>
                <w:p w14:paraId="06919BA5">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r>
                    <w:rPr>
                      <w:rFonts w:hint="eastAsia"/>
                      <w:highlight w:val="none"/>
                      <w:lang w:val="en-US" w:eastAsia="zh-CN"/>
                    </w:rPr>
                    <w:t>-</w:t>
                  </w:r>
                </w:p>
              </w:tc>
              <w:tc>
                <w:tcPr>
                  <w:tcW w:w="243" w:type="pct"/>
                  <w:tcBorders>
                    <w:tl2br w:val="nil"/>
                    <w:tr2bl w:val="nil"/>
                  </w:tcBorders>
                  <w:noWrap w:val="0"/>
                  <w:vAlign w:val="center"/>
                </w:tcPr>
                <w:p w14:paraId="0C5C1DFF">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r>
                    <w:rPr>
                      <w:rFonts w:hint="eastAsia"/>
                      <w:highlight w:val="none"/>
                      <w:lang w:val="en-US" w:eastAsia="zh-CN"/>
                    </w:rPr>
                    <w:t>-</w:t>
                  </w:r>
                </w:p>
              </w:tc>
              <w:tc>
                <w:tcPr>
                  <w:tcW w:w="303" w:type="pct"/>
                  <w:tcBorders>
                    <w:tl2br w:val="nil"/>
                    <w:tr2bl w:val="nil"/>
                  </w:tcBorders>
                  <w:noWrap w:val="0"/>
                  <w:vAlign w:val="center"/>
                </w:tcPr>
                <w:p w14:paraId="47643550">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r>
                    <w:rPr>
                      <w:rFonts w:hint="eastAsia"/>
                      <w:highlight w:val="none"/>
                      <w:lang w:val="en-US" w:eastAsia="zh-CN"/>
                    </w:rPr>
                    <w:t>0.236</w:t>
                  </w:r>
                </w:p>
              </w:tc>
              <w:tc>
                <w:tcPr>
                  <w:tcW w:w="314" w:type="pct"/>
                  <w:tcBorders>
                    <w:tl2br w:val="nil"/>
                    <w:tr2bl w:val="nil"/>
                  </w:tcBorders>
                  <w:noWrap w:val="0"/>
                  <w:vAlign w:val="center"/>
                </w:tcPr>
                <w:p w14:paraId="34CD4A41">
                  <w:pPr>
                    <w:spacing w:line="240" w:lineRule="auto"/>
                    <w:jc w:val="center"/>
                    <w:rPr>
                      <w:rFonts w:hint="default"/>
                      <w:highlight w:val="none"/>
                      <w:lang w:val="en-US" w:eastAsia="zh-CN"/>
                    </w:rPr>
                  </w:pPr>
                  <w:r>
                    <w:rPr>
                      <w:rFonts w:hint="eastAsia"/>
                      <w:highlight w:val="none"/>
                      <w:lang w:val="en-US" w:eastAsia="zh-CN"/>
                    </w:rPr>
                    <w:t>0.053</w:t>
                  </w:r>
                </w:p>
              </w:tc>
              <w:tc>
                <w:tcPr>
                  <w:tcW w:w="320" w:type="pct"/>
                  <w:tcBorders>
                    <w:tl2br w:val="nil"/>
                    <w:tr2bl w:val="nil"/>
                  </w:tcBorders>
                  <w:noWrap w:val="0"/>
                  <w:vAlign w:val="center"/>
                </w:tcPr>
                <w:p w14:paraId="1698121D">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r>
                    <w:rPr>
                      <w:rFonts w:hint="eastAsia"/>
                      <w:highlight w:val="none"/>
                      <w:lang w:val="en-US" w:eastAsia="zh-CN"/>
                    </w:rPr>
                    <w:t>0.084</w:t>
                  </w:r>
                </w:p>
              </w:tc>
              <w:tc>
                <w:tcPr>
                  <w:tcW w:w="291" w:type="pct"/>
                  <w:tcBorders>
                    <w:tl2br w:val="nil"/>
                    <w:tr2bl w:val="nil"/>
                  </w:tcBorders>
                  <w:noWrap w:val="0"/>
                  <w:vAlign w:val="center"/>
                </w:tcPr>
                <w:p w14:paraId="0956A5AB">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default"/>
                      <w:highlight w:val="none"/>
                      <w:lang w:val="en-US" w:eastAsia="zh-CN"/>
                    </w:rPr>
                  </w:pPr>
                  <w:r>
                    <w:rPr>
                      <w:rFonts w:hint="eastAsia"/>
                      <w:highlight w:val="none"/>
                      <w:lang w:val="en-US" w:eastAsia="zh-CN"/>
                    </w:rPr>
                    <w:t>-</w:t>
                  </w:r>
                </w:p>
              </w:tc>
              <w:tc>
                <w:tcPr>
                  <w:tcW w:w="843" w:type="pct"/>
                  <w:tcBorders>
                    <w:tl2br w:val="nil"/>
                    <w:tr2bl w:val="nil"/>
                  </w:tcBorders>
                  <w:noWrap w:val="0"/>
                  <w:vAlign w:val="center"/>
                </w:tcPr>
                <w:p w14:paraId="04FB0EE9">
                  <w:pPr>
                    <w:spacing w:line="240" w:lineRule="auto"/>
                    <w:jc w:val="center"/>
                    <w:rPr>
                      <w:rFonts w:hint="eastAsia"/>
                      <w:highlight w:val="green"/>
                      <w:lang w:val="en-US" w:eastAsia="zh-CN"/>
                    </w:rPr>
                  </w:pPr>
                  <w:r>
                    <w:rPr>
                      <w:rFonts w:hint="eastAsia"/>
                      <w:lang w:eastAsia="zh-CN"/>
                    </w:rPr>
                    <w:t>《水泥工业大气污染物排放标准》（DB 13/ 2167—2015）中表</w:t>
                  </w:r>
                  <w:r>
                    <w:rPr>
                      <w:rFonts w:hint="eastAsia"/>
                      <w:lang w:val="en-US" w:eastAsia="zh-CN"/>
                    </w:rPr>
                    <w:t>2</w:t>
                  </w:r>
                  <w:r>
                    <w:rPr>
                      <w:rFonts w:hint="eastAsia"/>
                      <w:lang w:eastAsia="zh-CN"/>
                    </w:rPr>
                    <w:t>排放限值要求</w:t>
                  </w:r>
                  <w:r>
                    <w:rPr>
                      <w:rFonts w:hint="default"/>
                      <w:lang w:val="en-US" w:eastAsia="zh-CN"/>
                    </w:rPr>
                    <w:t>：</w:t>
                  </w:r>
                  <w:r>
                    <w:rPr>
                      <w:rFonts w:hint="eastAsia"/>
                      <w:lang w:val="en-US" w:eastAsia="zh-CN"/>
                    </w:rPr>
                    <w:t>0.5</w:t>
                  </w:r>
                  <w:r>
                    <w:rPr>
                      <w:rFonts w:hint="default"/>
                      <w:lang w:eastAsia="zh-CN"/>
                    </w:rPr>
                    <w:t>mg/m</w:t>
                  </w:r>
                  <w:r>
                    <w:rPr>
                      <w:rFonts w:hint="default"/>
                      <w:vertAlign w:val="superscript"/>
                      <w:lang w:eastAsia="zh-CN"/>
                    </w:rPr>
                    <w:t>3</w:t>
                  </w:r>
                </w:p>
              </w:tc>
            </w:tr>
          </w:tbl>
          <w:p w14:paraId="2D5D83B6">
            <w:pPr>
              <w:pStyle w:val="18"/>
              <w:ind w:left="0" w:leftChars="0" w:firstLine="0" w:firstLineChars="0"/>
              <w:jc w:val="both"/>
              <w:rPr>
                <w:highlight w:val="none"/>
              </w:rPr>
            </w:pPr>
          </w:p>
        </w:tc>
      </w:tr>
    </w:tbl>
    <w:p w14:paraId="69260B33">
      <w:pPr>
        <w:pStyle w:val="2"/>
        <w:rPr>
          <w:highlight w:val="none"/>
        </w:rPr>
        <w:sectPr>
          <w:pgSz w:w="16838" w:h="11906" w:orient="landscape"/>
          <w:pgMar w:top="1339" w:right="1440" w:bottom="1417" w:left="1440" w:header="851" w:footer="992" w:gutter="0"/>
          <w:pgBorders>
            <w:top w:val="none" w:sz="0" w:space="0"/>
            <w:left w:val="none" w:sz="0" w:space="0"/>
            <w:bottom w:val="none" w:sz="0" w:space="0"/>
            <w:right w:val="none" w:sz="0" w:space="0"/>
          </w:pgBorders>
          <w:cols w:space="0" w:num="1"/>
          <w:rtlGutter w:val="0"/>
          <w:docGrid w:type="lines" w:linePitch="312" w:charSpace="0"/>
        </w:sectPr>
      </w:pPr>
    </w:p>
    <w:tbl>
      <w:tblPr>
        <w:tblStyle w:val="20"/>
        <w:tblW w:w="901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6"/>
        <w:gridCol w:w="8161"/>
      </w:tblGrid>
      <w:tr w14:paraId="24DFD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55" w:hRule="atLeast"/>
          <w:jc w:val="center"/>
        </w:trPr>
        <w:tc>
          <w:tcPr>
            <w:tcW w:w="856" w:type="dxa"/>
            <w:noWrap w:val="0"/>
            <w:tcMar>
              <w:left w:w="28" w:type="dxa"/>
              <w:right w:w="28" w:type="dxa"/>
            </w:tcMar>
            <w:vAlign w:val="center"/>
          </w:tcPr>
          <w:p w14:paraId="6C10A5F4">
            <w:pPr>
              <w:pStyle w:val="17"/>
              <w:ind w:left="-840" w:leftChars="-400" w:right="798" w:rightChars="380" w:firstLine="0" w:firstLineChars="0"/>
              <w:rPr>
                <w:rFonts w:hint="eastAsia"/>
                <w:highlight w:val="none"/>
              </w:rPr>
            </w:pPr>
          </w:p>
        </w:tc>
        <w:tc>
          <w:tcPr>
            <w:tcW w:w="8161" w:type="dxa"/>
            <w:noWrap w:val="0"/>
            <w:vAlign w:val="top"/>
          </w:tcPr>
          <w:p w14:paraId="6EAA4C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eastAsia="宋体"/>
                <w:highlight w:val="none"/>
                <w:lang w:val="en-US" w:eastAsia="zh-CN"/>
              </w:rPr>
            </w:pPr>
            <w:r>
              <w:rPr>
                <w:rFonts w:hint="eastAsia"/>
                <w:highlight w:val="none"/>
                <w:lang w:val="en-US" w:eastAsia="zh-CN"/>
              </w:rPr>
              <w:t>2、废气污染源分析</w:t>
            </w:r>
          </w:p>
          <w:p w14:paraId="4A40313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eastAsia"/>
                <w:highlight w:val="none"/>
                <w:lang w:val="en-US" w:eastAsia="zh-CN"/>
              </w:rPr>
            </w:pPr>
            <w:r>
              <w:rPr>
                <w:rFonts w:hint="eastAsia"/>
                <w:highlight w:val="none"/>
                <w:lang w:val="en-US" w:eastAsia="zh-CN"/>
              </w:rPr>
              <w:t>本</w:t>
            </w:r>
            <w:r>
              <w:rPr>
                <w:rFonts w:hint="default"/>
                <w:highlight w:val="none"/>
                <w:lang w:val="en-US" w:eastAsia="zh-CN"/>
              </w:rPr>
              <w:t>项</w:t>
            </w:r>
            <w:r>
              <w:rPr>
                <w:rFonts w:hint="eastAsia"/>
                <w:highlight w:val="none"/>
                <w:lang w:val="en-US" w:eastAsia="zh-CN"/>
              </w:rPr>
              <w:t>上料工序、搅拌工序全封闭，由斗式提升机机和螺旋输送机无缝连接。因此上料工序产尘点为斗式提升机上料口和搅拌工序呼吸阀，上料口采取集气罩+脉冲布袋除尘器+15m排气筒排放的除尘方式，呼吸阀采用集气管道+脉冲布袋除尘器+15m排气筒排放的除尘方式。裁切养护工序中裁切的一体板上面砂浆料成湿料状且用湿法切割，不产生颗粒物。打孔切割用湿法切割+集气罩+脉冲布袋除尘器+15m高排气筒排放的除尘方式。因此，</w:t>
            </w:r>
            <w:r>
              <w:rPr>
                <w:rFonts w:hint="default"/>
                <w:highlight w:val="none"/>
                <w:lang w:val="en-US" w:eastAsia="zh-CN"/>
              </w:rPr>
              <w:t>废气</w:t>
            </w:r>
            <w:r>
              <w:rPr>
                <w:rFonts w:hint="eastAsia"/>
                <w:highlight w:val="none"/>
                <w:lang w:val="en-US" w:eastAsia="zh-CN"/>
              </w:rPr>
              <w:t>污染源主要一体板上料、搅拌、打孔、切割过程排放到大气环境中的颗粒物。</w:t>
            </w:r>
          </w:p>
          <w:p w14:paraId="4576E28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420" w:firstLineChars="200"/>
              <w:textAlignment w:val="auto"/>
              <w:rPr>
                <w:rFonts w:hint="default"/>
                <w:highlight w:val="none"/>
                <w:lang w:val="en-US" w:eastAsia="zh-CN"/>
              </w:rPr>
            </w:pPr>
            <w:r>
              <w:rPr>
                <w:rFonts w:hint="eastAsia"/>
                <w:highlight w:val="none"/>
                <w:lang w:val="en-US" w:eastAsia="zh-CN"/>
              </w:rPr>
              <w:t>（1）</w:t>
            </w:r>
            <w:r>
              <w:rPr>
                <w:rFonts w:hint="default"/>
                <w:highlight w:val="none"/>
                <w:lang w:val="en-US" w:eastAsia="zh-CN"/>
              </w:rPr>
              <w:t>有组织废气</w:t>
            </w:r>
          </w:p>
          <w:p w14:paraId="7A57F3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Arial" w:hAnsi="Arial" w:eastAsia="宋体" w:cs="Arial"/>
                <w:i w:val="0"/>
                <w:iCs w:val="0"/>
                <w:caps w:val="0"/>
                <w:color w:val="333333"/>
                <w:spacing w:val="0"/>
                <w:sz w:val="21"/>
                <w:szCs w:val="21"/>
                <w:highlight w:val="none"/>
                <w:shd w:val="clear" w:fill="FFFFFF"/>
                <w:lang w:val="en-US" w:eastAsia="zh-CN"/>
              </w:rPr>
            </w:pPr>
            <w:r>
              <w:rPr>
                <w:rFonts w:ascii="Arial" w:hAnsi="Arial" w:eastAsia="宋体" w:cs="Arial"/>
                <w:i w:val="0"/>
                <w:iCs w:val="0"/>
                <w:caps w:val="0"/>
                <w:color w:val="333333"/>
                <w:spacing w:val="0"/>
                <w:sz w:val="21"/>
                <w:szCs w:val="21"/>
                <w:highlight w:val="none"/>
                <w:shd w:val="clear" w:fill="FFFFFF"/>
              </w:rPr>
              <w:t>①</w:t>
            </w:r>
            <w:r>
              <w:rPr>
                <w:rFonts w:hint="eastAsia" w:ascii="Arial" w:hAnsi="Arial" w:cs="Arial"/>
                <w:i w:val="0"/>
                <w:iCs w:val="0"/>
                <w:caps w:val="0"/>
                <w:color w:val="333333"/>
                <w:spacing w:val="0"/>
                <w:sz w:val="21"/>
                <w:szCs w:val="21"/>
                <w:highlight w:val="none"/>
                <w:shd w:val="clear" w:fill="FFFFFF"/>
                <w:lang w:val="en-US" w:eastAsia="zh-CN"/>
              </w:rPr>
              <w:t>上料</w:t>
            </w:r>
            <w:r>
              <w:rPr>
                <w:rFonts w:hint="eastAsia" w:ascii="Arial" w:hAnsi="Arial" w:eastAsia="宋体" w:cs="Arial"/>
                <w:i w:val="0"/>
                <w:iCs w:val="0"/>
                <w:caps w:val="0"/>
                <w:color w:val="333333"/>
                <w:spacing w:val="0"/>
                <w:sz w:val="21"/>
                <w:szCs w:val="21"/>
                <w:highlight w:val="none"/>
                <w:shd w:val="clear" w:fill="FFFFFF"/>
                <w:lang w:val="en-US" w:eastAsia="zh-CN"/>
              </w:rPr>
              <w:t>废气</w:t>
            </w:r>
          </w:p>
          <w:p w14:paraId="093DF1D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lang w:val="en-US" w:eastAsia="zh-CN"/>
              </w:rPr>
              <w:t>参</w:t>
            </w:r>
            <w:r>
              <w:rPr>
                <w:rFonts w:hint="eastAsia"/>
                <w:highlight w:val="none"/>
                <w:lang w:val="en-US" w:eastAsia="zh-CN"/>
              </w:rPr>
              <w:t>照《</w:t>
            </w:r>
            <w:r>
              <w:rPr>
                <w:rFonts w:hint="eastAsia"/>
                <w:highlight w:val="none"/>
              </w:rPr>
              <w:t>排放源统计调查产排污核算方法和系数手册</w:t>
            </w:r>
            <w:r>
              <w:rPr>
                <w:rFonts w:hint="eastAsia"/>
                <w:highlight w:val="none"/>
                <w:lang w:val="en-US" w:eastAsia="zh-CN"/>
              </w:rPr>
              <w:t>》</w:t>
            </w:r>
            <w:r>
              <w:rPr>
                <w:rFonts w:hint="eastAsia" w:ascii="Times New Roman" w:hAnsi="Times New Roman" w:cs="Times New Roman"/>
                <w:highlight w:val="none"/>
                <w:lang w:val="en-US" w:eastAsia="zh-CN"/>
              </w:rPr>
              <w:t>中3021 水泥制品制造（含 3022 砼结构构件、3029 其他水泥类似制品制造）行业</w:t>
            </w:r>
            <w:r>
              <w:rPr>
                <w:rFonts w:hint="eastAsia"/>
                <w:highlight w:val="none"/>
                <w:lang w:val="en-US" w:eastAsia="zh-CN"/>
              </w:rPr>
              <w:t>物料输送储存</w:t>
            </w:r>
            <w:r>
              <w:rPr>
                <w:rFonts w:hint="eastAsia"/>
                <w:highlight w:val="none"/>
              </w:rPr>
              <w:t>环节，产排污系数为</w:t>
            </w:r>
            <w:r>
              <w:rPr>
                <w:rFonts w:hint="eastAsia"/>
                <w:highlight w:val="none"/>
                <w:lang w:val="en-US" w:eastAsia="zh-CN"/>
              </w:rPr>
              <w:t>0.19</w:t>
            </w:r>
            <w:r>
              <w:rPr>
                <w:rFonts w:hint="eastAsia"/>
                <w:highlight w:val="none"/>
              </w:rPr>
              <w:t xml:space="preserve"> </w:t>
            </w:r>
            <w:r>
              <w:rPr>
                <w:rFonts w:hint="eastAsia"/>
                <w:highlight w:val="none"/>
                <w:lang w:val="en-US" w:eastAsia="zh-CN"/>
              </w:rPr>
              <w:t>kg</w:t>
            </w:r>
            <w:r>
              <w:rPr>
                <w:rFonts w:hint="eastAsia"/>
                <w:highlight w:val="none"/>
              </w:rPr>
              <w:t>/</w:t>
            </w:r>
            <w:r>
              <w:rPr>
                <w:rFonts w:hint="eastAsia"/>
                <w:highlight w:val="none"/>
                <w:lang w:val="en-US" w:eastAsia="zh-CN"/>
              </w:rPr>
              <w:t>t</w:t>
            </w:r>
            <w:r>
              <w:rPr>
                <w:rFonts w:hint="eastAsia"/>
                <w:highlight w:val="none"/>
              </w:rPr>
              <w:t>-产</w:t>
            </w:r>
            <w:r>
              <w:rPr>
                <w:rFonts w:hint="eastAsia" w:ascii="Times New Roman" w:hAnsi="Times New Roman" w:eastAsia="宋体" w:cs="Times New Roman"/>
                <w:highlight w:val="none"/>
                <w:lang w:val="en-US" w:eastAsia="zh-CN"/>
              </w:rPr>
              <w:t>品</w:t>
            </w:r>
            <w:r>
              <w:rPr>
                <w:rFonts w:hint="eastAsia"/>
                <w:highlight w:val="none"/>
                <w:lang w:val="en-US" w:eastAsia="zh-CN"/>
              </w:rPr>
              <w:t>，上料口上料干混砂浆共计4000t/a，则本项目上料过程颗粒物产生量为0.76t/a。</w:t>
            </w:r>
          </w:p>
          <w:p w14:paraId="0FEF887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②搅拌废气</w:t>
            </w:r>
          </w:p>
          <w:p w14:paraId="3B3EFDB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eastAsia="zh-CN"/>
              </w:rPr>
            </w:pPr>
            <w:r>
              <w:rPr>
                <w:rFonts w:hint="eastAsia"/>
                <w:highlight w:val="none"/>
                <w:lang w:val="en-US" w:eastAsia="zh-CN"/>
              </w:rPr>
              <w:t>参照《</w:t>
            </w:r>
            <w:r>
              <w:rPr>
                <w:rFonts w:hint="eastAsia"/>
                <w:highlight w:val="none"/>
              </w:rPr>
              <w:t>排放源统计调查产排污核算方法和系数手册</w:t>
            </w:r>
            <w:r>
              <w:rPr>
                <w:rFonts w:hint="eastAsia"/>
                <w:highlight w:val="none"/>
                <w:lang w:val="en-US" w:eastAsia="zh-CN"/>
              </w:rPr>
              <w:t>》</w:t>
            </w:r>
            <w:r>
              <w:rPr>
                <w:rFonts w:hint="eastAsia" w:ascii="Times New Roman" w:hAnsi="Times New Roman" w:cs="Times New Roman"/>
                <w:highlight w:val="none"/>
                <w:lang w:val="en-US" w:eastAsia="zh-CN"/>
              </w:rPr>
              <w:t>中3021 水泥制品制造（含 3022 砼结构构件、3029 其他水泥类似制品制造）行业</w:t>
            </w:r>
            <w:r>
              <w:rPr>
                <w:rFonts w:hint="eastAsia"/>
                <w:highlight w:val="none"/>
                <w:lang w:val="en-US" w:eastAsia="zh-CN"/>
              </w:rPr>
              <w:t>物料混合搅拌环节，产排污系数为0.523kg</w:t>
            </w:r>
            <w:r>
              <w:rPr>
                <w:rFonts w:hint="eastAsia"/>
                <w:highlight w:val="none"/>
              </w:rPr>
              <w:t>/</w:t>
            </w:r>
            <w:r>
              <w:rPr>
                <w:rFonts w:hint="eastAsia"/>
                <w:highlight w:val="none"/>
                <w:lang w:val="en-US" w:eastAsia="zh-CN"/>
              </w:rPr>
              <w:t>t-产品，本项目年使用干混砂浆共计4000吨/a，则搅拌产尘量为2.092t/a。</w:t>
            </w:r>
          </w:p>
          <w:p w14:paraId="47F2537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Arial" w:hAnsi="Arial" w:eastAsia="宋体" w:cs="Arial"/>
                <w:i w:val="0"/>
                <w:iCs w:val="0"/>
                <w:caps w:val="0"/>
                <w:color w:val="333333"/>
                <w:spacing w:val="0"/>
                <w:sz w:val="21"/>
                <w:szCs w:val="21"/>
                <w:highlight w:val="none"/>
                <w:shd w:val="clear" w:fill="FFFFFF"/>
                <w:lang w:val="en-US" w:eastAsia="zh-CN"/>
              </w:rPr>
            </w:pPr>
            <w:r>
              <w:rPr>
                <w:rFonts w:hint="eastAsia" w:ascii="Arial" w:hAnsi="Arial" w:eastAsia="宋体" w:cs="Arial"/>
                <w:i w:val="0"/>
                <w:iCs w:val="0"/>
                <w:caps w:val="0"/>
                <w:color w:val="333333"/>
                <w:spacing w:val="0"/>
                <w:sz w:val="21"/>
                <w:szCs w:val="21"/>
                <w:highlight w:val="none"/>
                <w:shd w:val="clear" w:fill="FFFFFF"/>
                <w:lang w:val="en-US" w:eastAsia="zh-CN"/>
              </w:rPr>
              <w:fldChar w:fldCharType="begin"/>
            </w:r>
            <w:r>
              <w:rPr>
                <w:rFonts w:hint="eastAsia" w:ascii="Arial" w:hAnsi="Arial" w:eastAsia="宋体" w:cs="Arial"/>
                <w:i w:val="0"/>
                <w:iCs w:val="0"/>
                <w:caps w:val="0"/>
                <w:color w:val="333333"/>
                <w:spacing w:val="0"/>
                <w:sz w:val="21"/>
                <w:szCs w:val="21"/>
                <w:highlight w:val="none"/>
                <w:shd w:val="clear" w:fill="FFFFFF"/>
                <w:lang w:val="en-US" w:eastAsia="zh-CN"/>
              </w:rPr>
              <w:instrText xml:space="preserve"> = 3 \* GB3 \* MERGEFORMAT </w:instrText>
            </w:r>
            <w:r>
              <w:rPr>
                <w:rFonts w:hint="eastAsia" w:ascii="Arial" w:hAnsi="Arial" w:eastAsia="宋体" w:cs="Arial"/>
                <w:i w:val="0"/>
                <w:iCs w:val="0"/>
                <w:caps w:val="0"/>
                <w:color w:val="333333"/>
                <w:spacing w:val="0"/>
                <w:sz w:val="21"/>
                <w:szCs w:val="21"/>
                <w:highlight w:val="none"/>
                <w:shd w:val="clear" w:fill="FFFFFF"/>
                <w:lang w:val="en-US" w:eastAsia="zh-CN"/>
              </w:rPr>
              <w:fldChar w:fldCharType="separate"/>
            </w:r>
            <w:r>
              <w:rPr>
                <w:rFonts w:hint="eastAsia" w:ascii="Arial" w:hAnsi="Arial" w:eastAsia="宋体" w:cs="Arial"/>
                <w:i w:val="0"/>
                <w:iCs w:val="0"/>
                <w:caps w:val="0"/>
                <w:color w:val="333333"/>
                <w:spacing w:val="0"/>
                <w:sz w:val="21"/>
                <w:szCs w:val="21"/>
                <w:highlight w:val="none"/>
                <w:shd w:val="clear" w:fill="FFFFFF"/>
                <w:lang w:val="en-US" w:eastAsia="zh-CN"/>
              </w:rPr>
              <w:t>③</w:t>
            </w:r>
            <w:r>
              <w:rPr>
                <w:rFonts w:hint="eastAsia" w:ascii="Arial" w:hAnsi="Arial" w:eastAsia="宋体" w:cs="Arial"/>
                <w:i w:val="0"/>
                <w:iCs w:val="0"/>
                <w:caps w:val="0"/>
                <w:color w:val="333333"/>
                <w:spacing w:val="0"/>
                <w:sz w:val="21"/>
                <w:szCs w:val="21"/>
                <w:highlight w:val="none"/>
                <w:shd w:val="clear" w:fill="FFFFFF"/>
                <w:lang w:val="en-US" w:eastAsia="zh-CN"/>
              </w:rPr>
              <w:fldChar w:fldCharType="end"/>
            </w:r>
            <w:r>
              <w:rPr>
                <w:rFonts w:hint="eastAsia" w:ascii="Arial" w:hAnsi="Arial" w:eastAsia="宋体" w:cs="Arial"/>
                <w:i w:val="0"/>
                <w:iCs w:val="0"/>
                <w:caps w:val="0"/>
                <w:color w:val="333333"/>
                <w:spacing w:val="0"/>
                <w:sz w:val="21"/>
                <w:szCs w:val="21"/>
                <w:highlight w:val="none"/>
                <w:shd w:val="clear" w:fill="FFFFFF"/>
                <w:lang w:val="en-US" w:eastAsia="zh-CN"/>
              </w:rPr>
              <w:t>打孔切割废气</w:t>
            </w:r>
          </w:p>
          <w:p w14:paraId="4EAE21B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成型后的</w:t>
            </w:r>
            <w:r>
              <w:rPr>
                <w:rFonts w:hint="eastAsia" w:cs="Times New Roman"/>
                <w:kern w:val="2"/>
                <w:sz w:val="21"/>
                <w:szCs w:val="24"/>
                <w:highlight w:val="none"/>
                <w:lang w:val="en-US" w:eastAsia="zh-CN" w:bidi="ar-SA"/>
              </w:rPr>
              <w:t>一体板</w:t>
            </w:r>
            <w:r>
              <w:rPr>
                <w:rFonts w:hint="eastAsia" w:ascii="Times New Roman" w:hAnsi="Times New Roman" w:eastAsia="宋体" w:cs="Times New Roman"/>
                <w:kern w:val="2"/>
                <w:sz w:val="21"/>
                <w:szCs w:val="24"/>
                <w:highlight w:val="none"/>
                <w:lang w:val="en-US" w:eastAsia="zh-CN" w:bidi="ar-SA"/>
              </w:rPr>
              <w:t>结构疏松，且</w:t>
            </w:r>
            <w:r>
              <w:rPr>
                <w:rFonts w:hint="eastAsia" w:cs="Times New Roman"/>
                <w:kern w:val="2"/>
                <w:sz w:val="21"/>
                <w:szCs w:val="24"/>
                <w:highlight w:val="none"/>
                <w:lang w:val="en-US" w:eastAsia="zh-CN" w:bidi="ar-SA"/>
              </w:rPr>
              <w:t>打孔、切割用水管喷水</w:t>
            </w:r>
            <w:r>
              <w:rPr>
                <w:rFonts w:hint="eastAsia" w:ascii="Times New Roman" w:hAnsi="Times New Roman" w:eastAsia="宋体" w:cs="Times New Roman"/>
                <w:kern w:val="2"/>
                <w:sz w:val="21"/>
                <w:szCs w:val="24"/>
                <w:highlight w:val="none"/>
                <w:lang w:val="en-US" w:eastAsia="zh-CN" w:bidi="ar-SA"/>
              </w:rPr>
              <w:t>，采用高速切割机切割，该设备锯刀较薄，类比同类项目数据，</w:t>
            </w:r>
            <w:r>
              <w:rPr>
                <w:rFonts w:hint="eastAsia" w:cs="Times New Roman"/>
                <w:kern w:val="2"/>
                <w:sz w:val="21"/>
                <w:szCs w:val="24"/>
                <w:highlight w:val="none"/>
                <w:lang w:val="en-US" w:eastAsia="zh-CN" w:bidi="ar-SA"/>
              </w:rPr>
              <w:t>打孔、</w:t>
            </w:r>
            <w:r>
              <w:rPr>
                <w:rFonts w:hint="eastAsia" w:ascii="Times New Roman" w:hAnsi="Times New Roman" w:eastAsia="宋体" w:cs="Times New Roman"/>
                <w:kern w:val="2"/>
                <w:sz w:val="21"/>
                <w:szCs w:val="24"/>
                <w:highlight w:val="none"/>
                <w:lang w:val="en-US" w:eastAsia="zh-CN" w:bidi="ar-SA"/>
              </w:rPr>
              <w:t>切割工序粉尘产生量约为产品质量的0.01%。本项目企业</w:t>
            </w:r>
            <w:r>
              <w:rPr>
                <w:rFonts w:hint="eastAsia" w:cs="Times New Roman"/>
                <w:kern w:val="2"/>
                <w:sz w:val="21"/>
                <w:szCs w:val="24"/>
                <w:highlight w:val="none"/>
                <w:lang w:val="en-US" w:eastAsia="zh-CN" w:bidi="ar-SA"/>
              </w:rPr>
              <w:t>一体板</w:t>
            </w:r>
            <w:r>
              <w:rPr>
                <w:rFonts w:hint="eastAsia" w:ascii="Times New Roman" w:hAnsi="Times New Roman" w:eastAsia="宋体" w:cs="Times New Roman"/>
                <w:kern w:val="2"/>
                <w:sz w:val="21"/>
                <w:szCs w:val="24"/>
                <w:highlight w:val="none"/>
                <w:lang w:val="en-US" w:eastAsia="zh-CN" w:bidi="ar-SA"/>
              </w:rPr>
              <w:t>年用量约为</w:t>
            </w:r>
            <w:r>
              <w:rPr>
                <w:rFonts w:hint="eastAsia" w:cs="Times New Roman"/>
                <w:kern w:val="2"/>
                <w:sz w:val="21"/>
                <w:szCs w:val="24"/>
                <w:highlight w:val="none"/>
                <w:lang w:val="en-US" w:eastAsia="zh-CN" w:bidi="ar-SA"/>
              </w:rPr>
              <w:t>2</w:t>
            </w:r>
            <w:r>
              <w:rPr>
                <w:rFonts w:hint="eastAsia" w:ascii="Times New Roman" w:hAnsi="Times New Roman" w:eastAsia="宋体" w:cs="Times New Roman"/>
                <w:kern w:val="2"/>
                <w:sz w:val="21"/>
                <w:szCs w:val="24"/>
                <w:highlight w:val="none"/>
                <w:lang w:val="en-US" w:eastAsia="zh-CN" w:bidi="ar-SA"/>
              </w:rPr>
              <w:t>0</w:t>
            </w:r>
            <w:r>
              <w:rPr>
                <w:rFonts w:hint="eastAsia" w:cs="Times New Roman"/>
                <w:kern w:val="2"/>
                <w:sz w:val="21"/>
                <w:szCs w:val="24"/>
                <w:highlight w:val="none"/>
                <w:lang w:val="en-US" w:eastAsia="zh-CN" w:bidi="ar-SA"/>
              </w:rPr>
              <w:t>万</w:t>
            </w:r>
            <w:r>
              <w:rPr>
                <w:rFonts w:hint="eastAsia" w:ascii="Times New Roman" w:hAnsi="Times New Roman" w:eastAsia="宋体" w:cs="Times New Roman"/>
                <w:kern w:val="2"/>
                <w:sz w:val="21"/>
                <w:szCs w:val="24"/>
                <w:highlight w:val="none"/>
                <w:lang w:val="en-US" w:eastAsia="zh-CN" w:bidi="ar-SA"/>
              </w:rPr>
              <w:t>m</w:t>
            </w:r>
            <w:r>
              <w:rPr>
                <w:rFonts w:hint="eastAsia" w:ascii="Times New Roman" w:hAnsi="Times New Roman" w:eastAsia="宋体" w:cs="Times New Roman"/>
                <w:kern w:val="2"/>
                <w:sz w:val="21"/>
                <w:szCs w:val="24"/>
                <w:highlight w:val="none"/>
                <w:vertAlign w:val="superscript"/>
                <w:lang w:val="en-US" w:eastAsia="zh-CN" w:bidi="ar-SA"/>
              </w:rPr>
              <w:t>2</w:t>
            </w:r>
            <w:r>
              <w:rPr>
                <w:rFonts w:hint="eastAsia" w:ascii="Times New Roman" w:hAnsi="Times New Roman" w:eastAsia="宋体" w:cs="Times New Roman"/>
                <w:kern w:val="2"/>
                <w:sz w:val="21"/>
                <w:szCs w:val="24"/>
                <w:highlight w:val="none"/>
                <w:lang w:val="en-US" w:eastAsia="zh-CN" w:bidi="ar-SA"/>
              </w:rPr>
              <w:t>，项目年生产</w:t>
            </w:r>
            <w:r>
              <w:rPr>
                <w:rFonts w:hint="eastAsia" w:cs="Times New Roman"/>
                <w:kern w:val="2"/>
                <w:sz w:val="21"/>
                <w:szCs w:val="24"/>
                <w:highlight w:val="none"/>
                <w:lang w:val="en-US" w:eastAsia="zh-CN" w:bidi="ar-SA"/>
              </w:rPr>
              <w:t>一体板</w:t>
            </w:r>
            <w:r>
              <w:rPr>
                <w:rFonts w:hint="eastAsia" w:ascii="Times New Roman" w:hAnsi="Times New Roman" w:eastAsia="宋体" w:cs="Times New Roman"/>
                <w:kern w:val="2"/>
                <w:sz w:val="21"/>
                <w:szCs w:val="24"/>
                <w:highlight w:val="none"/>
                <w:lang w:val="en-US" w:eastAsia="zh-CN" w:bidi="ar-SA"/>
              </w:rPr>
              <w:t>约</w:t>
            </w:r>
            <w:r>
              <w:rPr>
                <w:rFonts w:hint="eastAsia" w:cs="Times New Roman"/>
                <w:kern w:val="2"/>
                <w:sz w:val="21"/>
                <w:szCs w:val="24"/>
                <w:highlight w:val="none"/>
                <w:lang w:val="en-US" w:eastAsia="zh-CN" w:bidi="ar-SA"/>
              </w:rPr>
              <w:t>5000</w:t>
            </w:r>
            <w:r>
              <w:rPr>
                <w:rFonts w:hint="eastAsia" w:ascii="Times New Roman" w:hAnsi="Times New Roman" w:eastAsia="宋体" w:cs="Times New Roman"/>
                <w:kern w:val="2"/>
                <w:sz w:val="21"/>
                <w:szCs w:val="24"/>
                <w:highlight w:val="none"/>
                <w:lang w:val="en-US" w:eastAsia="zh-CN" w:bidi="ar-SA"/>
              </w:rPr>
              <w:t>t</w:t>
            </w:r>
            <w:r>
              <w:rPr>
                <w:rFonts w:hint="eastAsia" w:cs="Times New Roman"/>
                <w:kern w:val="2"/>
                <w:sz w:val="21"/>
                <w:szCs w:val="24"/>
                <w:highlight w:val="none"/>
                <w:lang w:val="en-US" w:eastAsia="zh-CN" w:bidi="ar-SA"/>
              </w:rPr>
              <w:t>（原料计）</w:t>
            </w:r>
            <w:r>
              <w:rPr>
                <w:rFonts w:hint="eastAsia" w:ascii="Times New Roman" w:hAnsi="Times New Roman" w:eastAsia="宋体" w:cs="Times New Roman"/>
                <w:kern w:val="2"/>
                <w:sz w:val="21"/>
                <w:szCs w:val="24"/>
                <w:highlight w:val="none"/>
                <w:lang w:val="en-US" w:eastAsia="zh-CN" w:bidi="ar-SA"/>
              </w:rPr>
              <w:t>，则</w:t>
            </w:r>
            <w:r>
              <w:rPr>
                <w:rFonts w:hint="eastAsia" w:cs="Times New Roman"/>
                <w:kern w:val="2"/>
                <w:sz w:val="21"/>
                <w:szCs w:val="24"/>
                <w:highlight w:val="none"/>
                <w:lang w:val="en-US" w:eastAsia="zh-CN" w:bidi="ar-SA"/>
              </w:rPr>
              <w:t>打孔、</w:t>
            </w:r>
            <w:r>
              <w:rPr>
                <w:rFonts w:hint="eastAsia" w:ascii="Times New Roman" w:hAnsi="Times New Roman" w:eastAsia="宋体" w:cs="Times New Roman"/>
                <w:kern w:val="2"/>
                <w:sz w:val="21"/>
                <w:szCs w:val="24"/>
                <w:highlight w:val="none"/>
                <w:lang w:val="en-US" w:eastAsia="zh-CN" w:bidi="ar-SA"/>
              </w:rPr>
              <w:t>切割废气产生量约0.</w:t>
            </w:r>
            <w:r>
              <w:rPr>
                <w:rFonts w:hint="eastAsia" w:cs="Times New Roman"/>
                <w:kern w:val="2"/>
                <w:sz w:val="21"/>
                <w:szCs w:val="24"/>
                <w:highlight w:val="none"/>
                <w:lang w:val="en-US" w:eastAsia="zh-CN" w:bidi="ar-SA"/>
              </w:rPr>
              <w:t>5</w:t>
            </w:r>
            <w:r>
              <w:rPr>
                <w:rFonts w:hint="eastAsia" w:ascii="Times New Roman" w:hAnsi="Times New Roman" w:eastAsia="宋体" w:cs="Times New Roman"/>
                <w:kern w:val="2"/>
                <w:sz w:val="21"/>
                <w:szCs w:val="24"/>
                <w:highlight w:val="none"/>
                <w:lang w:val="en-US" w:eastAsia="zh-CN" w:bidi="ar-SA"/>
              </w:rPr>
              <w:t>t/a。</w:t>
            </w:r>
          </w:p>
          <w:p w14:paraId="6426A306">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default"/>
                <w:sz w:val="21"/>
                <w:szCs w:val="21"/>
                <w:highlight w:val="none"/>
                <w:lang w:val="en-US" w:eastAsia="zh-CN"/>
              </w:rPr>
            </w:pPr>
            <w:r>
              <w:rPr>
                <w:rFonts w:ascii="Arial" w:hAnsi="Arial" w:eastAsia="宋体" w:cs="Arial"/>
                <w:i w:val="0"/>
                <w:iCs w:val="0"/>
                <w:caps w:val="0"/>
                <w:color w:val="333333"/>
                <w:spacing w:val="0"/>
                <w:sz w:val="21"/>
                <w:szCs w:val="21"/>
                <w:highlight w:val="none"/>
                <w:shd w:val="clear" w:fill="FFFFFF"/>
              </w:rPr>
              <w:fldChar w:fldCharType="begin"/>
            </w:r>
            <w:r>
              <w:rPr>
                <w:rFonts w:ascii="Arial" w:hAnsi="Arial" w:eastAsia="宋体" w:cs="Arial"/>
                <w:i w:val="0"/>
                <w:iCs w:val="0"/>
                <w:caps w:val="0"/>
                <w:color w:val="333333"/>
                <w:spacing w:val="0"/>
                <w:sz w:val="21"/>
                <w:szCs w:val="21"/>
                <w:highlight w:val="none"/>
                <w:shd w:val="clear" w:fill="FFFFFF"/>
              </w:rPr>
              <w:instrText xml:space="preserve"> = 4 \* GB3 \* MERGEFORMAT </w:instrText>
            </w:r>
            <w:r>
              <w:rPr>
                <w:rFonts w:ascii="Arial" w:hAnsi="Arial" w:eastAsia="宋体" w:cs="Arial"/>
                <w:i w:val="0"/>
                <w:iCs w:val="0"/>
                <w:caps w:val="0"/>
                <w:color w:val="333333"/>
                <w:spacing w:val="0"/>
                <w:sz w:val="21"/>
                <w:szCs w:val="21"/>
                <w:highlight w:val="none"/>
                <w:shd w:val="clear" w:fill="FFFFFF"/>
              </w:rPr>
              <w:fldChar w:fldCharType="separate"/>
            </w:r>
            <w:r>
              <w:rPr>
                <w:highlight w:val="none"/>
              </w:rPr>
              <w:t>④</w:t>
            </w:r>
            <w:r>
              <w:rPr>
                <w:rFonts w:ascii="Arial" w:hAnsi="Arial" w:eastAsia="宋体" w:cs="Arial"/>
                <w:i w:val="0"/>
                <w:iCs w:val="0"/>
                <w:caps w:val="0"/>
                <w:color w:val="333333"/>
                <w:spacing w:val="0"/>
                <w:sz w:val="21"/>
                <w:szCs w:val="21"/>
                <w:highlight w:val="none"/>
                <w:shd w:val="clear" w:fill="FFFFFF"/>
              </w:rPr>
              <w:fldChar w:fldCharType="end"/>
            </w:r>
            <w:r>
              <w:rPr>
                <w:rFonts w:hint="eastAsia"/>
                <w:sz w:val="21"/>
                <w:szCs w:val="21"/>
                <w:highlight w:val="none"/>
                <w:lang w:val="en-US" w:eastAsia="zh-CN"/>
              </w:rPr>
              <w:t>废气治理设施</w:t>
            </w:r>
          </w:p>
          <w:p w14:paraId="5EC5DAF1">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default"/>
                <w:highlight w:val="none"/>
                <w:lang w:val="en-US" w:eastAsia="zh-CN"/>
              </w:rPr>
            </w:pPr>
            <w:r>
              <w:rPr>
                <w:rFonts w:hint="eastAsia"/>
                <w:highlight w:val="none"/>
                <w:lang w:val="en-US" w:eastAsia="zh-CN"/>
              </w:rPr>
              <w:t>本项目拟采用集气罩收集生产过程中产生的颗粒物，配备1套废气治理设施（脉冲布袋除尘器）处理+15m排气筒排放。上料口设置0.5x0.5m的顶部集气罩1个，三面加软帘；3个粮仓、3个计量仓、3个搅拌机各设置一个直径为0.25m的集气管道；打孔机顶部设置3x1.5m的集气罩1个，</w:t>
            </w:r>
            <w:r>
              <w:rPr>
                <w:rFonts w:hint="eastAsia"/>
                <w:b w:val="0"/>
                <w:bCs w:val="0"/>
                <w:highlight w:val="none"/>
                <w:lang w:val="en-US" w:eastAsia="zh-CN"/>
              </w:rPr>
              <w:t>四侧面用铁板封闭（其中两侧门上贴封闭铁板）</w:t>
            </w:r>
            <w:r>
              <w:rPr>
                <w:rFonts w:hint="eastAsia"/>
                <w:highlight w:val="none"/>
                <w:lang w:val="en-US" w:eastAsia="zh-CN"/>
              </w:rPr>
              <w:t>；纵向切割设置封闭铁皮罩，加一个1x1.5m的侧吸集气罩1个；横向切割2个切割锯顶部分别设置1x1m的集气罩2个，四面尽可能用铁板封闭（其中两侧保留轴道运行空间即可），废气收集至布袋除尘器。计算得出每台布袋除尘器设计总风量为17000m</w:t>
            </w:r>
            <w:r>
              <w:rPr>
                <w:rFonts w:hint="eastAsia"/>
                <w:highlight w:val="none"/>
                <w:vertAlign w:val="superscript"/>
                <w:lang w:val="en-US" w:eastAsia="zh-CN"/>
              </w:rPr>
              <w:t>3</w:t>
            </w:r>
            <w:r>
              <w:rPr>
                <w:rFonts w:hint="eastAsia"/>
                <w:highlight w:val="none"/>
                <w:lang w:val="en-US" w:eastAsia="zh-CN"/>
              </w:rPr>
              <w:t>/h。废气收集效率为95%，治理效率为95%，处理后经15m排气筒排出。</w:t>
            </w:r>
          </w:p>
          <w:p w14:paraId="1CE58D9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rPr>
            </w:pPr>
            <w:r>
              <w:rPr>
                <w:rFonts w:hint="default"/>
                <w:highlight w:val="none"/>
              </w:rPr>
              <w:t>根据吸风量的计算公式：</w:t>
            </w:r>
          </w:p>
          <w:p w14:paraId="472BF6F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highlight w:val="none"/>
              </w:rPr>
            </w:pPr>
            <w:r>
              <w:rPr>
                <w:rFonts w:hint="default"/>
                <w:highlight w:val="none"/>
              </w:rPr>
              <w:object>
                <v:shape id="_x0000_i1025" o:spt="75" type="#_x0000_t75" style="height:17pt;width:72pt;" o:ole="t" filled="f" o:preferrelative="t" stroked="f" coordsize="21600,21600">
                  <v:path/>
                  <v:fill on="f" focussize="0,0"/>
                  <v:stroke on="f"/>
                  <v:imagedata r:id="rId17" o:title=""/>
                  <o:lock v:ext="edit" aspectratio="t"/>
                  <w10:wrap type="none"/>
                  <w10:anchorlock/>
                </v:shape>
                <o:OLEObject Type="Embed" ProgID="Equation.KSEE3" ShapeID="_x0000_i1025" DrawAspect="Content" ObjectID="_1468075726" r:id="rId16">
                  <o:LockedField>false</o:LockedField>
                </o:OLEObject>
              </w:object>
            </w:r>
          </w:p>
          <w:p w14:paraId="27252B1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eastAsia="宋体"/>
                <w:highlight w:val="none"/>
                <w:lang w:val="en-US" w:eastAsia="zh-CN"/>
              </w:rPr>
            </w:pPr>
            <w:r>
              <w:rPr>
                <w:rFonts w:hint="default"/>
                <w:highlight w:val="none"/>
              </w:rPr>
              <w:t>式中：Q：吸风量，m</w:t>
            </w:r>
            <w:r>
              <w:rPr>
                <w:rFonts w:hint="default"/>
                <w:highlight w:val="none"/>
                <w:vertAlign w:val="superscript"/>
              </w:rPr>
              <w:t>3</w:t>
            </w:r>
            <w:r>
              <w:rPr>
                <w:rFonts w:hint="default"/>
                <w:highlight w:val="none"/>
              </w:rPr>
              <w:t>/h；</w:t>
            </w:r>
            <w:r>
              <w:rPr>
                <w:rFonts w:hint="eastAsia"/>
                <w:highlight w:val="none"/>
                <w:lang w:val="en-US" w:eastAsia="zh-CN"/>
              </w:rPr>
              <w:t xml:space="preserve"> </w:t>
            </w:r>
          </w:p>
          <w:p w14:paraId="4789161E">
            <w:pPr>
              <w:keepNext w:val="0"/>
              <w:keepLines w:val="0"/>
              <w:pageBreakBefore w:val="0"/>
              <w:widowControl w:val="0"/>
              <w:kinsoku/>
              <w:wordWrap/>
              <w:overflowPunct/>
              <w:topLinePunct w:val="0"/>
              <w:autoSpaceDE/>
              <w:autoSpaceDN/>
              <w:bidi w:val="0"/>
              <w:adjustRightInd w:val="0"/>
              <w:snapToGrid w:val="0"/>
              <w:spacing w:line="400" w:lineRule="exact"/>
              <w:ind w:firstLine="1050" w:firstLineChars="500"/>
              <w:textAlignment w:val="auto"/>
              <w:rPr>
                <w:rFonts w:hint="default"/>
                <w:highlight w:val="none"/>
              </w:rPr>
            </w:pPr>
            <w:r>
              <w:rPr>
                <w:rFonts w:hint="default"/>
                <w:highlight w:val="none"/>
              </w:rPr>
              <w:t>A：罩口面积，m</w:t>
            </w:r>
            <w:r>
              <w:rPr>
                <w:rFonts w:hint="default"/>
                <w:highlight w:val="none"/>
                <w:vertAlign w:val="superscript"/>
              </w:rPr>
              <w:t>2</w:t>
            </w:r>
            <w:r>
              <w:rPr>
                <w:rFonts w:hint="default"/>
                <w:highlight w:val="none"/>
              </w:rPr>
              <w:t>；</w:t>
            </w:r>
          </w:p>
          <w:p w14:paraId="61B0AAFB">
            <w:pPr>
              <w:keepNext w:val="0"/>
              <w:keepLines w:val="0"/>
              <w:pageBreakBefore w:val="0"/>
              <w:widowControl w:val="0"/>
              <w:kinsoku/>
              <w:wordWrap/>
              <w:overflowPunct/>
              <w:topLinePunct w:val="0"/>
              <w:autoSpaceDE/>
              <w:autoSpaceDN/>
              <w:bidi w:val="0"/>
              <w:adjustRightInd w:val="0"/>
              <w:snapToGrid w:val="0"/>
              <w:spacing w:line="400" w:lineRule="exact"/>
              <w:ind w:firstLine="1050" w:firstLineChars="500"/>
              <w:textAlignment w:val="auto"/>
              <w:rPr>
                <w:rFonts w:hint="default"/>
                <w:highlight w:val="none"/>
              </w:rPr>
            </w:pPr>
            <w:r>
              <w:rPr>
                <w:rFonts w:hint="default"/>
                <w:highlight w:val="none"/>
              </w:rPr>
              <w:t>VP1：罩口平均风速，m/s。</w:t>
            </w:r>
          </w:p>
          <w:p w14:paraId="4D31713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highlight w:val="none"/>
                <w:lang w:eastAsia="zh-CN"/>
              </w:rPr>
            </w:pPr>
            <w:r>
              <w:rPr>
                <w:rFonts w:hint="default"/>
                <w:highlight w:val="none"/>
              </w:rPr>
              <w:t>罩口风速不得低于</w:t>
            </w:r>
            <w:r>
              <w:rPr>
                <w:rFonts w:hint="eastAsia"/>
                <w:highlight w:val="none"/>
                <w:lang w:val="en-US" w:eastAsia="zh-CN"/>
              </w:rPr>
              <w:t>0.8</w:t>
            </w:r>
            <w:r>
              <w:rPr>
                <w:rFonts w:hint="default"/>
                <w:highlight w:val="none"/>
              </w:rPr>
              <w:t>m/s。根据经验，风机引风过程，风损约10%~20%，</w:t>
            </w:r>
            <w:r>
              <w:rPr>
                <w:rFonts w:hint="default"/>
                <w:highlight w:val="none"/>
                <w:lang w:eastAsia="zh-CN"/>
              </w:rPr>
              <w:t>取</w:t>
            </w:r>
            <w:r>
              <w:rPr>
                <w:rFonts w:hint="eastAsia"/>
                <w:highlight w:val="none"/>
                <w:lang w:val="en-US" w:eastAsia="zh-CN"/>
              </w:rPr>
              <w:t>10</w:t>
            </w:r>
            <w:r>
              <w:rPr>
                <w:rFonts w:hint="default"/>
                <w:highlight w:val="none"/>
                <w:lang w:val="en-US" w:eastAsia="zh-CN"/>
              </w:rPr>
              <w:t>%，</w:t>
            </w:r>
            <w:r>
              <w:rPr>
                <w:rFonts w:hint="default"/>
                <w:highlight w:val="none"/>
              </w:rPr>
              <w:t>则</w:t>
            </w:r>
            <w:r>
              <w:rPr>
                <w:rFonts w:hint="eastAsia"/>
                <w:highlight w:val="none"/>
                <w:lang w:val="en-US" w:eastAsia="zh-CN"/>
              </w:rPr>
              <w:t>每台</w:t>
            </w:r>
            <w:r>
              <w:rPr>
                <w:rFonts w:hint="default"/>
                <w:highlight w:val="none"/>
              </w:rPr>
              <w:t>风机设计风量</w:t>
            </w:r>
            <w:r>
              <w:rPr>
                <w:rFonts w:hint="default"/>
                <w:highlight w:val="none"/>
                <w:lang w:eastAsia="zh-CN"/>
              </w:rPr>
              <w:t>为</w:t>
            </w:r>
            <w:r>
              <w:rPr>
                <w:rFonts w:hint="eastAsia"/>
                <w:highlight w:val="none"/>
                <w:lang w:val="en-US" w:eastAsia="zh-CN"/>
              </w:rPr>
              <w:t>16692</w:t>
            </w:r>
            <w:r>
              <w:rPr>
                <w:rFonts w:hint="default"/>
                <w:highlight w:val="none"/>
              </w:rPr>
              <w:t>m</w:t>
            </w:r>
            <w:r>
              <w:rPr>
                <w:rFonts w:hint="default"/>
                <w:highlight w:val="none"/>
                <w:vertAlign w:val="superscript"/>
              </w:rPr>
              <w:t>3</w:t>
            </w:r>
            <w:r>
              <w:rPr>
                <w:rFonts w:hint="default"/>
                <w:highlight w:val="none"/>
              </w:rPr>
              <w:t>/h。</w:t>
            </w:r>
            <w:r>
              <w:rPr>
                <w:rFonts w:hint="default"/>
                <w:highlight w:val="none"/>
                <w:lang w:eastAsia="zh-CN"/>
              </w:rPr>
              <w:t>项目设置风机风量为</w:t>
            </w:r>
            <w:r>
              <w:rPr>
                <w:rFonts w:hint="eastAsia"/>
                <w:highlight w:val="none"/>
                <w:lang w:val="en-US" w:eastAsia="zh-CN"/>
              </w:rPr>
              <w:t>17000</w:t>
            </w:r>
            <w:r>
              <w:rPr>
                <w:rFonts w:hint="default"/>
                <w:highlight w:val="none"/>
                <w:lang w:val="en-US" w:eastAsia="zh-CN"/>
              </w:rPr>
              <w:t>m</w:t>
            </w:r>
            <w:r>
              <w:rPr>
                <w:rFonts w:hint="default"/>
                <w:highlight w:val="none"/>
                <w:vertAlign w:val="superscript"/>
                <w:lang w:val="en-US" w:eastAsia="zh-CN"/>
              </w:rPr>
              <w:t>3</w:t>
            </w:r>
            <w:r>
              <w:rPr>
                <w:rFonts w:hint="default"/>
                <w:highlight w:val="none"/>
                <w:lang w:val="en-US" w:eastAsia="zh-CN"/>
              </w:rPr>
              <w:t>/h可满足生产需求。</w:t>
            </w:r>
          </w:p>
          <w:p w14:paraId="15A405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一体板生产</w:t>
            </w:r>
            <w:r>
              <w:rPr>
                <w:rFonts w:hint="eastAsia"/>
                <w:highlight w:val="none"/>
                <w:lang w:eastAsia="zh-CN"/>
              </w:rPr>
              <w:t>工作时间为</w:t>
            </w:r>
            <w:r>
              <w:rPr>
                <w:rFonts w:hint="eastAsia"/>
                <w:highlight w:val="none"/>
                <w:lang w:val="en-US" w:eastAsia="zh-CN"/>
              </w:rPr>
              <w:t>1600h/a，则每台废气量为2720万m</w:t>
            </w:r>
            <w:r>
              <w:rPr>
                <w:rFonts w:hint="eastAsia"/>
                <w:highlight w:val="none"/>
                <w:vertAlign w:val="superscript"/>
                <w:lang w:val="en-US" w:eastAsia="zh-CN"/>
              </w:rPr>
              <w:t>3</w:t>
            </w:r>
            <w:r>
              <w:rPr>
                <w:rFonts w:hint="eastAsia"/>
                <w:highlight w:val="none"/>
                <w:lang w:val="en-US" w:eastAsia="zh-CN"/>
              </w:rPr>
              <w:t>/a</w:t>
            </w:r>
            <w:r>
              <w:rPr>
                <w:rFonts w:hint="default"/>
                <w:highlight w:val="none"/>
              </w:rPr>
              <w:t>，脉冲布袋除尘器除尘效率可达9</w:t>
            </w:r>
            <w:r>
              <w:rPr>
                <w:rFonts w:hint="eastAsia"/>
                <w:highlight w:val="none"/>
                <w:lang w:val="en-US" w:eastAsia="zh-CN"/>
              </w:rPr>
              <w:t>5</w:t>
            </w:r>
            <w:r>
              <w:rPr>
                <w:rFonts w:hint="default"/>
                <w:highlight w:val="none"/>
              </w:rPr>
              <w:t>%</w:t>
            </w:r>
            <w:r>
              <w:rPr>
                <w:rFonts w:hint="eastAsia"/>
                <w:highlight w:val="none"/>
                <w:lang w:val="en-US" w:eastAsia="zh-CN"/>
              </w:rPr>
              <w:t>，</w:t>
            </w:r>
            <w:r>
              <w:rPr>
                <w:rFonts w:hint="eastAsia"/>
                <w:highlight w:val="none"/>
                <w:lang w:eastAsia="zh-CN"/>
              </w:rPr>
              <w:t>则颗粒物</w:t>
            </w:r>
            <w:r>
              <w:rPr>
                <w:rFonts w:hint="default"/>
                <w:highlight w:val="none"/>
              </w:rPr>
              <w:t>排放量为</w:t>
            </w:r>
            <w:r>
              <w:rPr>
                <w:rFonts w:hint="eastAsia"/>
                <w:highlight w:val="none"/>
                <w:lang w:val="en-US" w:eastAsia="zh-CN"/>
              </w:rPr>
              <w:t>0.159t/a，排放浓度为5.846</w:t>
            </w:r>
            <w:r>
              <w:rPr>
                <w:rFonts w:hint="default"/>
                <w:highlight w:val="none"/>
              </w:rPr>
              <w:t>mg/m³，</w:t>
            </w:r>
            <w:r>
              <w:rPr>
                <w:rFonts w:hint="eastAsia"/>
                <w:highlight w:val="none"/>
                <w:lang w:eastAsia="zh-CN"/>
              </w:rPr>
              <w:t>排放速率为</w:t>
            </w:r>
            <w:r>
              <w:rPr>
                <w:rFonts w:hint="eastAsia"/>
                <w:highlight w:val="none"/>
                <w:lang w:val="en-US" w:eastAsia="zh-CN"/>
              </w:rPr>
              <w:t>0.099kg/h。排放浓度满足</w:t>
            </w:r>
            <w:r>
              <w:rPr>
                <w:rFonts w:hint="eastAsia"/>
                <w:highlight w:val="none"/>
                <w:lang w:eastAsia="zh-CN"/>
              </w:rPr>
              <w:t>《水泥工业大气污染物排放标准》（DB 13/ 2167—2015）中表</w:t>
            </w:r>
            <w:r>
              <w:rPr>
                <w:rFonts w:hint="eastAsia"/>
                <w:highlight w:val="none"/>
                <w:lang w:val="en-US" w:eastAsia="zh-CN"/>
              </w:rPr>
              <w:t>1</w:t>
            </w:r>
            <w:r>
              <w:rPr>
                <w:rFonts w:hint="eastAsia"/>
                <w:highlight w:val="none"/>
                <w:lang w:eastAsia="zh-CN"/>
              </w:rPr>
              <w:t>排放限值要求</w:t>
            </w:r>
            <w:r>
              <w:rPr>
                <w:rFonts w:hint="default"/>
                <w:highlight w:val="none"/>
                <w:lang w:val="en-US" w:eastAsia="zh-CN"/>
              </w:rPr>
              <w:t>：</w:t>
            </w:r>
            <w:r>
              <w:rPr>
                <w:rFonts w:hint="eastAsia"/>
                <w:highlight w:val="none"/>
                <w:lang w:val="en-US" w:eastAsia="zh-CN"/>
              </w:rPr>
              <w:t>10</w:t>
            </w:r>
            <w:r>
              <w:rPr>
                <w:rFonts w:hint="default"/>
                <w:highlight w:val="none"/>
                <w:lang w:eastAsia="zh-CN"/>
              </w:rPr>
              <w:t>mg/m</w:t>
            </w:r>
            <w:r>
              <w:rPr>
                <w:rFonts w:hint="default"/>
                <w:highlight w:val="none"/>
                <w:vertAlign w:val="superscript"/>
                <w:lang w:eastAsia="zh-CN"/>
              </w:rPr>
              <w:t>3</w:t>
            </w:r>
            <w:r>
              <w:rPr>
                <w:rFonts w:hint="default"/>
                <w:highlight w:val="none"/>
                <w:lang w:val="en-US" w:eastAsia="zh-CN"/>
              </w:rPr>
              <w:t>。</w:t>
            </w:r>
            <w:r>
              <w:rPr>
                <w:rFonts w:hint="eastAsia"/>
                <w:highlight w:val="none"/>
                <w:lang w:val="en-US" w:eastAsia="zh-CN"/>
              </w:rPr>
              <w:t>排气筒高度设置15m，满足排气筒高度不低于15m且高于200m范围内最高建筑物5m的要求。</w:t>
            </w:r>
          </w:p>
          <w:p w14:paraId="380871D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eastAsia="zh-CN"/>
              </w:rPr>
            </w:pPr>
            <w:r>
              <w:rPr>
                <w:rFonts w:hint="eastAsia"/>
                <w:highlight w:val="none"/>
                <w:lang w:val="en-US" w:eastAsia="zh-CN"/>
              </w:rPr>
              <w:t>（2）无</w:t>
            </w:r>
            <w:r>
              <w:rPr>
                <w:rFonts w:hint="default"/>
                <w:highlight w:val="none"/>
                <w:lang w:val="en-US" w:eastAsia="zh-CN"/>
              </w:rPr>
              <w:t>组织废气</w:t>
            </w:r>
          </w:p>
          <w:p w14:paraId="1513E96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zh-CN" w:eastAsia="zh-CN"/>
              </w:rPr>
            </w:pPr>
            <w:r>
              <w:rPr>
                <w:highlight w:val="none"/>
              </w:rPr>
              <w:t>本项目</w:t>
            </w:r>
            <w:r>
              <w:rPr>
                <w:rFonts w:hint="eastAsia"/>
                <w:highlight w:val="none"/>
                <w:lang w:val="en-US" w:eastAsia="zh-CN"/>
              </w:rPr>
              <w:t>入料口和呼吸阀采取高效的脉冲布袋除尘器处理废气，打孔、切割采用水管边喷洒一体板边打孔、切割，再加高效的脉冲布袋除尘器处理废气、地面全硬化、车间全密闭的措施减少无组织排放。</w:t>
            </w:r>
            <w:r>
              <w:rPr>
                <w:highlight w:val="none"/>
              </w:rPr>
              <w:t>颗粒物</w:t>
            </w:r>
            <w:r>
              <w:rPr>
                <w:rFonts w:hint="eastAsia"/>
                <w:highlight w:val="none"/>
                <w:lang w:eastAsia="zh-CN"/>
              </w:rPr>
              <w:t>未捕集量为</w:t>
            </w:r>
            <w:r>
              <w:rPr>
                <w:rFonts w:hint="eastAsia"/>
                <w:highlight w:val="none"/>
                <w:lang w:val="en-US" w:eastAsia="zh-CN"/>
              </w:rPr>
              <w:t>0.168t/a</w:t>
            </w:r>
            <w:r>
              <w:rPr>
                <w:highlight w:val="none"/>
              </w:rPr>
              <w:t>、</w:t>
            </w:r>
            <w:r>
              <w:rPr>
                <w:rFonts w:hint="eastAsia"/>
                <w:highlight w:val="none"/>
                <w:lang w:eastAsia="zh-CN"/>
              </w:rPr>
              <w:t>经车间沉降</w:t>
            </w:r>
            <w:r>
              <w:rPr>
                <w:rFonts w:hint="eastAsia"/>
                <w:highlight w:val="none"/>
                <w:lang w:val="en-US" w:eastAsia="zh-CN"/>
              </w:rPr>
              <w:t>50%后，排放量为0.084</w:t>
            </w:r>
            <w:r>
              <w:rPr>
                <w:highlight w:val="none"/>
              </w:rPr>
              <w:t>t/a</w:t>
            </w:r>
            <w:r>
              <w:rPr>
                <w:rFonts w:hint="eastAsia"/>
                <w:highlight w:val="none"/>
              </w:rPr>
              <w:t>，排放速率为</w:t>
            </w:r>
            <w:r>
              <w:rPr>
                <w:rFonts w:hint="eastAsia"/>
                <w:highlight w:val="none"/>
                <w:lang w:val="en-US" w:eastAsia="zh-CN"/>
              </w:rPr>
              <w:t>0.053</w:t>
            </w:r>
            <w:r>
              <w:rPr>
                <w:highlight w:val="none"/>
              </w:rPr>
              <w:t>kg/h</w:t>
            </w:r>
            <w:r>
              <w:rPr>
                <w:rFonts w:hint="eastAsia"/>
                <w:highlight w:val="none"/>
              </w:rPr>
              <w:t>。</w:t>
            </w:r>
            <w:r>
              <w:rPr>
                <w:rFonts w:hint="eastAsia"/>
                <w:highlight w:val="none"/>
                <w:lang w:val="en-US" w:eastAsia="zh-CN"/>
              </w:rPr>
              <w:t>经过AERSCREEN软件预测，无组织最大排放浓度为0.236</w:t>
            </w:r>
            <w:r>
              <w:rPr>
                <w:rFonts w:hint="default"/>
                <w:highlight w:val="none"/>
              </w:rPr>
              <w:t>mg/m³</w:t>
            </w:r>
            <w:r>
              <w:rPr>
                <w:rFonts w:hint="eastAsia"/>
                <w:highlight w:val="none"/>
                <w:lang w:eastAsia="zh-CN"/>
              </w:rPr>
              <w:t>，</w:t>
            </w:r>
            <w:r>
              <w:rPr>
                <w:rFonts w:hint="eastAsia"/>
                <w:highlight w:val="none"/>
                <w:lang w:val="en-US" w:eastAsia="zh-CN"/>
              </w:rPr>
              <w:t>符合</w:t>
            </w:r>
            <w:r>
              <w:rPr>
                <w:rFonts w:hint="eastAsia"/>
                <w:highlight w:val="none"/>
                <w:lang w:eastAsia="zh-CN"/>
              </w:rPr>
              <w:t>《水泥工业大气污染物排放标准》（DB 13/ 2167—2015）中表</w:t>
            </w:r>
            <w:r>
              <w:rPr>
                <w:rFonts w:hint="eastAsia"/>
                <w:highlight w:val="none"/>
                <w:lang w:val="en-US" w:eastAsia="zh-CN"/>
              </w:rPr>
              <w:t>2中厂界无组织颗粒物浓度不超过：0.5 mg/m</w:t>
            </w:r>
            <w:r>
              <w:rPr>
                <w:rFonts w:hint="eastAsia"/>
                <w:highlight w:val="none"/>
                <w:vertAlign w:val="superscript"/>
                <w:lang w:val="en-US" w:eastAsia="zh-CN"/>
              </w:rPr>
              <w:t>3</w:t>
            </w:r>
            <w:r>
              <w:rPr>
                <w:rFonts w:hint="eastAsia"/>
                <w:highlight w:val="none"/>
                <w:vertAlign w:val="baseline"/>
                <w:lang w:val="en-US" w:eastAsia="zh-CN"/>
              </w:rPr>
              <w:t>的要求</w:t>
            </w:r>
            <w:r>
              <w:rPr>
                <w:rFonts w:hint="eastAsia"/>
                <w:highlight w:val="none"/>
                <w:lang w:val="en-US" w:eastAsia="zh-CN"/>
              </w:rPr>
              <w:t>。</w:t>
            </w:r>
          </w:p>
          <w:p w14:paraId="69FA938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zh-CN" w:eastAsia="zh-CN"/>
              </w:rPr>
            </w:pPr>
            <w:r>
              <w:rPr>
                <w:rFonts w:hint="eastAsia"/>
                <w:highlight w:val="none"/>
                <w:lang w:val="en-US" w:eastAsia="zh-CN"/>
              </w:rPr>
              <w:t>（3）废气排放口要求</w:t>
            </w:r>
          </w:p>
          <w:p w14:paraId="477052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eastAsia="zh-CN"/>
              </w:rPr>
            </w:pPr>
            <w:r>
              <w:rPr>
                <w:rFonts w:hint="eastAsia"/>
                <w:highlight w:val="none"/>
                <w:lang w:val="zh-CN" w:eastAsia="zh-CN"/>
              </w:rPr>
              <w:t>根据工程分析结果，</w:t>
            </w:r>
            <w:r>
              <w:rPr>
                <w:rFonts w:hint="eastAsia"/>
                <w:highlight w:val="none"/>
                <w:lang w:val="en-US" w:eastAsia="zh-CN"/>
              </w:rPr>
              <w:t>废气治理设施排放口参数见表4-2。</w:t>
            </w:r>
          </w:p>
          <w:p w14:paraId="698B4CB5">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eastAsia"/>
                <w:b/>
                <w:bCs/>
                <w:highlight w:val="none"/>
                <w:lang w:val="en-US" w:eastAsia="zh-CN"/>
              </w:rPr>
            </w:pPr>
            <w:r>
              <w:rPr>
                <w:rFonts w:hint="eastAsia"/>
                <w:b/>
                <w:bCs/>
                <w:highlight w:val="none"/>
                <w:lang w:val="en-US" w:eastAsia="zh-CN"/>
              </w:rPr>
              <w:t>表4-2   废气排放口基本情况一览表</w:t>
            </w:r>
          </w:p>
          <w:tbl>
            <w:tblPr>
              <w:tblStyle w:val="20"/>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37"/>
              <w:gridCol w:w="1111"/>
              <w:gridCol w:w="704"/>
              <w:gridCol w:w="1245"/>
              <w:gridCol w:w="1245"/>
              <w:gridCol w:w="690"/>
              <w:gridCol w:w="705"/>
              <w:gridCol w:w="735"/>
              <w:gridCol w:w="737"/>
            </w:tblGrid>
            <w:tr w14:paraId="5E098C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425" w:hRule="atLeast"/>
                <w:tblHeader/>
                <w:jc w:val="center"/>
              </w:trPr>
              <w:tc>
                <w:tcPr>
                  <w:tcW w:w="465" w:type="pct"/>
                  <w:vMerge w:val="restart"/>
                  <w:tcBorders>
                    <w:tl2br w:val="nil"/>
                    <w:tr2bl w:val="nil"/>
                  </w:tcBorders>
                  <w:noWrap w:val="0"/>
                  <w:vAlign w:val="center"/>
                </w:tcPr>
                <w:p w14:paraId="42A5B35B">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排放口</w:t>
                  </w:r>
                </w:p>
                <w:p w14:paraId="065E2355">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编号</w:t>
                  </w:r>
                </w:p>
              </w:tc>
              <w:tc>
                <w:tcPr>
                  <w:tcW w:w="702" w:type="pct"/>
                  <w:vMerge w:val="restart"/>
                  <w:tcBorders>
                    <w:tl2br w:val="nil"/>
                    <w:tr2bl w:val="nil"/>
                  </w:tcBorders>
                  <w:noWrap w:val="0"/>
                  <w:vAlign w:val="center"/>
                </w:tcPr>
                <w:p w14:paraId="2D2688D4">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r>
                    <w:rPr>
                      <w:rFonts w:hint="eastAsia"/>
                      <w:highlight w:val="none"/>
                    </w:rPr>
                    <w:t>排放口名称</w:t>
                  </w:r>
                </w:p>
              </w:tc>
              <w:tc>
                <w:tcPr>
                  <w:tcW w:w="445" w:type="pct"/>
                  <w:vMerge w:val="restart"/>
                  <w:tcBorders>
                    <w:tl2br w:val="nil"/>
                    <w:tr2bl w:val="nil"/>
                  </w:tcBorders>
                  <w:noWrap w:val="0"/>
                  <w:vAlign w:val="center"/>
                </w:tcPr>
                <w:p w14:paraId="54C91225">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r>
                    <w:rPr>
                      <w:rFonts w:hint="eastAsia"/>
                      <w:highlight w:val="none"/>
                    </w:rPr>
                    <w:t>污染物种类</w:t>
                  </w:r>
                </w:p>
              </w:tc>
              <w:tc>
                <w:tcPr>
                  <w:tcW w:w="1574" w:type="pct"/>
                  <w:gridSpan w:val="2"/>
                  <w:tcBorders>
                    <w:tl2br w:val="nil"/>
                    <w:tr2bl w:val="nil"/>
                  </w:tcBorders>
                  <w:noWrap w:val="0"/>
                  <w:vAlign w:val="center"/>
                </w:tcPr>
                <w:p w14:paraId="7C66CC5E">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排放口地理坐标(°)</w:t>
                  </w:r>
                </w:p>
              </w:tc>
              <w:tc>
                <w:tcPr>
                  <w:tcW w:w="436" w:type="pct"/>
                  <w:vMerge w:val="restart"/>
                  <w:tcBorders>
                    <w:tl2br w:val="nil"/>
                    <w:tr2bl w:val="nil"/>
                  </w:tcBorders>
                  <w:noWrap w:val="0"/>
                  <w:vAlign w:val="center"/>
                </w:tcPr>
                <w:p w14:paraId="1809ED60">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排气筒</w:t>
                  </w:r>
                </w:p>
                <w:p w14:paraId="7B0A9DA4">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高度（m）</w:t>
                  </w:r>
                </w:p>
              </w:tc>
              <w:tc>
                <w:tcPr>
                  <w:tcW w:w="445" w:type="pct"/>
                  <w:vMerge w:val="restart"/>
                  <w:tcBorders>
                    <w:tl2br w:val="nil"/>
                    <w:tr2bl w:val="nil"/>
                  </w:tcBorders>
                  <w:noWrap w:val="0"/>
                  <w:vAlign w:val="center"/>
                </w:tcPr>
                <w:p w14:paraId="429AF97A">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排气筒</w:t>
                  </w:r>
                </w:p>
                <w:p w14:paraId="48C3398B">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内径</w:t>
                  </w:r>
                  <w:r>
                    <w:rPr>
                      <w:rFonts w:hint="eastAsia"/>
                      <w:highlight w:val="none"/>
                    </w:rPr>
                    <w:t>（m）</w:t>
                  </w:r>
                </w:p>
              </w:tc>
              <w:tc>
                <w:tcPr>
                  <w:tcW w:w="464" w:type="pct"/>
                  <w:vMerge w:val="restart"/>
                  <w:tcBorders>
                    <w:tl2br w:val="nil"/>
                    <w:tr2bl w:val="nil"/>
                  </w:tcBorders>
                  <w:noWrap w:val="0"/>
                  <w:vAlign w:val="center"/>
                </w:tcPr>
                <w:p w14:paraId="74A3A611">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排气</w:t>
                  </w:r>
                </w:p>
                <w:p w14:paraId="36DF882E">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highlight w:val="none"/>
                    </w:rPr>
                  </w:pPr>
                  <w:r>
                    <w:rPr>
                      <w:rFonts w:hint="default"/>
                      <w:highlight w:val="none"/>
                    </w:rPr>
                    <w:t>温度</w:t>
                  </w:r>
                  <w:r>
                    <w:rPr>
                      <w:rFonts w:hint="eastAsia"/>
                      <w:highlight w:val="none"/>
                    </w:rPr>
                    <w:t>（℃）</w:t>
                  </w:r>
                </w:p>
              </w:tc>
              <w:tc>
                <w:tcPr>
                  <w:tcW w:w="465" w:type="pct"/>
                  <w:vMerge w:val="restart"/>
                  <w:tcBorders>
                    <w:tl2br w:val="nil"/>
                    <w:tr2bl w:val="nil"/>
                  </w:tcBorders>
                  <w:noWrap w:val="0"/>
                  <w:vAlign w:val="center"/>
                </w:tcPr>
                <w:p w14:paraId="69EF99D3">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r>
                    <w:rPr>
                      <w:rFonts w:hint="eastAsia"/>
                      <w:highlight w:val="none"/>
                    </w:rPr>
                    <w:t>排放口类型</w:t>
                  </w:r>
                </w:p>
              </w:tc>
            </w:tr>
            <w:tr w14:paraId="0C91E4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75" w:hRule="atLeast"/>
                <w:tblHeader/>
                <w:jc w:val="center"/>
              </w:trPr>
              <w:tc>
                <w:tcPr>
                  <w:tcW w:w="465" w:type="pct"/>
                  <w:vMerge w:val="continue"/>
                  <w:tcBorders>
                    <w:tl2br w:val="nil"/>
                    <w:tr2bl w:val="nil"/>
                  </w:tcBorders>
                  <w:noWrap w:val="0"/>
                  <w:vAlign w:val="center"/>
                </w:tcPr>
                <w:p w14:paraId="38EA919C">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p>
              </w:tc>
              <w:tc>
                <w:tcPr>
                  <w:tcW w:w="702" w:type="pct"/>
                  <w:vMerge w:val="continue"/>
                  <w:tcBorders>
                    <w:tl2br w:val="nil"/>
                    <w:tr2bl w:val="nil"/>
                  </w:tcBorders>
                  <w:noWrap w:val="0"/>
                  <w:vAlign w:val="center"/>
                </w:tcPr>
                <w:p w14:paraId="7D85DE23">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p>
              </w:tc>
              <w:tc>
                <w:tcPr>
                  <w:tcW w:w="445" w:type="pct"/>
                  <w:vMerge w:val="continue"/>
                  <w:tcBorders>
                    <w:tl2br w:val="nil"/>
                    <w:tr2bl w:val="nil"/>
                  </w:tcBorders>
                  <w:noWrap w:val="0"/>
                  <w:vAlign w:val="center"/>
                </w:tcPr>
                <w:p w14:paraId="4782C9D7">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p>
              </w:tc>
              <w:tc>
                <w:tcPr>
                  <w:tcW w:w="787" w:type="pct"/>
                  <w:tcBorders>
                    <w:tl2br w:val="nil"/>
                    <w:tr2bl w:val="nil"/>
                  </w:tcBorders>
                  <w:noWrap w:val="0"/>
                  <w:vAlign w:val="center"/>
                </w:tcPr>
                <w:p w14:paraId="4C4BF63A">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经度</w:t>
                  </w:r>
                </w:p>
              </w:tc>
              <w:tc>
                <w:tcPr>
                  <w:tcW w:w="787" w:type="pct"/>
                  <w:tcBorders>
                    <w:tl2br w:val="nil"/>
                    <w:tr2bl w:val="nil"/>
                  </w:tcBorders>
                  <w:noWrap w:val="0"/>
                  <w:vAlign w:val="center"/>
                </w:tcPr>
                <w:p w14:paraId="1727C5A6">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rPr>
                    <w:t>纬度</w:t>
                  </w:r>
                </w:p>
              </w:tc>
              <w:tc>
                <w:tcPr>
                  <w:tcW w:w="436" w:type="pct"/>
                  <w:vMerge w:val="continue"/>
                  <w:tcBorders>
                    <w:tl2br w:val="nil"/>
                    <w:tr2bl w:val="nil"/>
                  </w:tcBorders>
                  <w:noWrap w:val="0"/>
                  <w:vAlign w:val="center"/>
                </w:tcPr>
                <w:p w14:paraId="0BE09BC1">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p>
              </w:tc>
              <w:tc>
                <w:tcPr>
                  <w:tcW w:w="445" w:type="pct"/>
                  <w:vMerge w:val="continue"/>
                  <w:tcBorders>
                    <w:tl2br w:val="nil"/>
                    <w:tr2bl w:val="nil"/>
                  </w:tcBorders>
                  <w:noWrap w:val="0"/>
                  <w:vAlign w:val="center"/>
                </w:tcPr>
                <w:p w14:paraId="438390D3">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p>
              </w:tc>
              <w:tc>
                <w:tcPr>
                  <w:tcW w:w="464" w:type="pct"/>
                  <w:vMerge w:val="continue"/>
                  <w:tcBorders>
                    <w:tl2br w:val="nil"/>
                    <w:tr2bl w:val="nil"/>
                  </w:tcBorders>
                  <w:noWrap w:val="0"/>
                  <w:vAlign w:val="center"/>
                </w:tcPr>
                <w:p w14:paraId="698761F1">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p>
              </w:tc>
              <w:tc>
                <w:tcPr>
                  <w:tcW w:w="465" w:type="pct"/>
                  <w:vMerge w:val="continue"/>
                  <w:tcBorders>
                    <w:tl2br w:val="nil"/>
                    <w:tr2bl w:val="nil"/>
                  </w:tcBorders>
                  <w:noWrap w:val="0"/>
                  <w:vAlign w:val="center"/>
                </w:tcPr>
                <w:p w14:paraId="62217F4F">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rPr>
                  </w:pPr>
                </w:p>
              </w:tc>
            </w:tr>
            <w:tr w14:paraId="32C252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15" w:hRule="atLeast"/>
                <w:tblHeader/>
                <w:jc w:val="center"/>
              </w:trPr>
              <w:tc>
                <w:tcPr>
                  <w:tcW w:w="465" w:type="pct"/>
                  <w:tcBorders>
                    <w:tl2br w:val="nil"/>
                    <w:tr2bl w:val="nil"/>
                  </w:tcBorders>
                  <w:noWrap w:val="0"/>
                  <w:vAlign w:val="center"/>
                </w:tcPr>
                <w:p w14:paraId="6016B5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default"/>
                      <w:highlight w:val="none"/>
                      <w:lang w:val="en-US" w:eastAsia="zh-CN"/>
                    </w:rPr>
                    <w:t>DA00</w:t>
                  </w:r>
                  <w:r>
                    <w:rPr>
                      <w:rFonts w:hint="eastAsia"/>
                      <w:highlight w:val="none"/>
                      <w:lang w:val="en-US" w:eastAsia="zh-CN"/>
                    </w:rPr>
                    <w:t>8</w:t>
                  </w:r>
                </w:p>
              </w:tc>
              <w:tc>
                <w:tcPr>
                  <w:tcW w:w="702" w:type="pct"/>
                  <w:tcBorders>
                    <w:tl2br w:val="nil"/>
                    <w:tr2bl w:val="nil"/>
                  </w:tcBorders>
                  <w:noWrap w:val="0"/>
                  <w:vAlign w:val="center"/>
                </w:tcPr>
                <w:p w14:paraId="4F448FC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color w:val="auto"/>
                      <w:highlight w:val="none"/>
                      <w:lang w:val="en-US" w:eastAsia="zh-CN"/>
                    </w:rPr>
                    <w:t>除尘设备废气排放口</w:t>
                  </w:r>
                </w:p>
              </w:tc>
              <w:tc>
                <w:tcPr>
                  <w:tcW w:w="445" w:type="pct"/>
                  <w:tcBorders>
                    <w:tl2br w:val="nil"/>
                    <w:tr2bl w:val="nil"/>
                  </w:tcBorders>
                  <w:noWrap w:val="0"/>
                  <w:vAlign w:val="center"/>
                </w:tcPr>
                <w:p w14:paraId="6579B5AD">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颗粒物</w:t>
                  </w:r>
                </w:p>
              </w:tc>
              <w:tc>
                <w:tcPr>
                  <w:tcW w:w="787" w:type="pct"/>
                  <w:tcBorders>
                    <w:tl2br w:val="nil"/>
                    <w:tr2bl w:val="nil"/>
                  </w:tcBorders>
                  <w:noWrap w:val="0"/>
                  <w:vAlign w:val="center"/>
                </w:tcPr>
                <w:p w14:paraId="662821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default"/>
                      <w:highlight w:val="none"/>
                      <w:lang w:val="en-US" w:eastAsia="zh-CN"/>
                    </w:rPr>
                    <w:t>118°4′16.251″</w:t>
                  </w:r>
                </w:p>
              </w:tc>
              <w:tc>
                <w:tcPr>
                  <w:tcW w:w="787" w:type="pct"/>
                  <w:tcBorders>
                    <w:tl2br w:val="nil"/>
                    <w:tr2bl w:val="nil"/>
                  </w:tcBorders>
                  <w:noWrap w:val="0"/>
                  <w:vAlign w:val="center"/>
                </w:tcPr>
                <w:p w14:paraId="5E22B56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default"/>
                      <w:highlight w:val="none"/>
                      <w:lang w:val="en-US" w:eastAsia="zh-CN"/>
                    </w:rPr>
                    <w:t>39°40′48.201″</w:t>
                  </w:r>
                </w:p>
              </w:tc>
              <w:tc>
                <w:tcPr>
                  <w:tcW w:w="436" w:type="pct"/>
                  <w:tcBorders>
                    <w:tl2br w:val="nil"/>
                    <w:tr2bl w:val="nil"/>
                  </w:tcBorders>
                  <w:noWrap w:val="0"/>
                  <w:vAlign w:val="center"/>
                </w:tcPr>
                <w:p w14:paraId="0D334D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15</w:t>
                  </w:r>
                </w:p>
              </w:tc>
              <w:tc>
                <w:tcPr>
                  <w:tcW w:w="445" w:type="pct"/>
                  <w:tcBorders>
                    <w:tl2br w:val="nil"/>
                    <w:tr2bl w:val="nil"/>
                  </w:tcBorders>
                  <w:noWrap w:val="0"/>
                  <w:vAlign w:val="center"/>
                </w:tcPr>
                <w:p w14:paraId="7EDE853D">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0.6</w:t>
                  </w:r>
                </w:p>
              </w:tc>
              <w:tc>
                <w:tcPr>
                  <w:tcW w:w="464" w:type="pct"/>
                  <w:tcBorders>
                    <w:tl2br w:val="nil"/>
                    <w:tr2bl w:val="nil"/>
                  </w:tcBorders>
                  <w:noWrap w:val="0"/>
                  <w:vAlign w:val="center"/>
                </w:tcPr>
                <w:p w14:paraId="12B72B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常温</w:t>
                  </w:r>
                </w:p>
              </w:tc>
              <w:tc>
                <w:tcPr>
                  <w:tcW w:w="465" w:type="pct"/>
                  <w:tcBorders>
                    <w:tl2br w:val="nil"/>
                    <w:tr2bl w:val="nil"/>
                  </w:tcBorders>
                  <w:noWrap w:val="0"/>
                  <w:vAlign w:val="center"/>
                </w:tcPr>
                <w:p w14:paraId="554A2485">
                  <w:pPr>
                    <w:pStyle w:val="24"/>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一般排放口</w:t>
                  </w:r>
                </w:p>
              </w:tc>
            </w:tr>
          </w:tbl>
          <w:p w14:paraId="3F3489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（4）检测要求</w:t>
            </w:r>
          </w:p>
          <w:p w14:paraId="4B9DEFA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依据《排污许可证申请与核发技术规范 总则</w:t>
            </w:r>
            <w:r>
              <w:rPr>
                <w:rFonts w:hint="default"/>
                <w:highlight w:val="none"/>
                <w:lang w:val="en-US" w:eastAsia="zh-CN"/>
              </w:rPr>
              <w:t>》(HJ</w:t>
            </w:r>
            <w:r>
              <w:rPr>
                <w:rFonts w:hint="eastAsia"/>
                <w:highlight w:val="none"/>
                <w:lang w:val="en-US" w:eastAsia="zh-CN"/>
              </w:rPr>
              <w:t>942-2018</w:t>
            </w:r>
            <w:r>
              <w:rPr>
                <w:rFonts w:hint="default"/>
                <w:highlight w:val="none"/>
                <w:lang w:val="en-US" w:eastAsia="zh-CN"/>
              </w:rPr>
              <w:t>)</w:t>
            </w:r>
            <w:r>
              <w:rPr>
                <w:rFonts w:hint="eastAsia"/>
                <w:highlight w:val="none"/>
                <w:lang w:val="en-US" w:eastAsia="zh-CN"/>
              </w:rPr>
              <w:t>、《排污单位自行监测技术指南 总则》（HJ819-2017）中的有关规定要求。中的有关规定要求，针对本项目产排污特点，制定本项目的大气污染源检测计划，具体内容见表4-3。</w:t>
            </w:r>
          </w:p>
          <w:p w14:paraId="6AE8CF74">
            <w:pPr>
              <w:pStyle w:val="17"/>
              <w:rPr>
                <w:rFonts w:hint="eastAsia"/>
                <w:highlight w:val="none"/>
                <w:lang w:val="en-US" w:eastAsia="zh-CN"/>
              </w:rPr>
            </w:pPr>
          </w:p>
          <w:p w14:paraId="4E30360A">
            <w:pPr>
              <w:pStyle w:val="18"/>
              <w:rPr>
                <w:rFonts w:hint="default"/>
                <w:lang w:val="en-US" w:eastAsia="zh-CN"/>
              </w:rPr>
            </w:pPr>
          </w:p>
          <w:p w14:paraId="7D4359DF">
            <w:pPr>
              <w:keepNext w:val="0"/>
              <w:keepLines w:val="0"/>
              <w:pageBreakBefore w:val="0"/>
              <w:widowControl w:val="0"/>
              <w:kinsoku/>
              <w:wordWrap/>
              <w:overflowPunct/>
              <w:topLinePunct w:val="0"/>
              <w:autoSpaceDE/>
              <w:autoSpaceDN/>
              <w:bidi w:val="0"/>
              <w:adjustRightInd/>
              <w:snapToGrid/>
              <w:spacing w:line="400" w:lineRule="exact"/>
              <w:ind w:left="0" w:right="0"/>
              <w:jc w:val="center"/>
              <w:textAlignment w:val="auto"/>
              <w:rPr>
                <w:rFonts w:hint="default"/>
                <w:b/>
                <w:bCs/>
                <w:highlight w:val="none"/>
              </w:rPr>
            </w:pPr>
            <w:r>
              <w:rPr>
                <w:rFonts w:hint="default"/>
                <w:b/>
                <w:bCs/>
                <w:highlight w:val="none"/>
              </w:rPr>
              <w:t>表</w:t>
            </w:r>
            <w:r>
              <w:rPr>
                <w:rFonts w:hint="eastAsia"/>
                <w:b/>
                <w:bCs/>
                <w:highlight w:val="none"/>
                <w:lang w:val="en-US" w:eastAsia="zh-CN"/>
              </w:rPr>
              <w:t>4-3</w:t>
            </w:r>
            <w:r>
              <w:rPr>
                <w:rFonts w:hint="default"/>
                <w:b/>
                <w:bCs/>
                <w:highlight w:val="none"/>
              </w:rPr>
              <w:t xml:space="preserve">  </w:t>
            </w:r>
            <w:r>
              <w:rPr>
                <w:rFonts w:hint="default"/>
                <w:b/>
                <w:bCs/>
                <w:highlight w:val="none"/>
                <w:lang w:eastAsia="zh-CN"/>
              </w:rPr>
              <w:t>本项目</w:t>
            </w:r>
            <w:r>
              <w:rPr>
                <w:rFonts w:hint="eastAsia"/>
                <w:b/>
                <w:bCs/>
                <w:highlight w:val="none"/>
                <w:lang w:eastAsia="zh-CN"/>
              </w:rPr>
              <w:t>大气</w:t>
            </w:r>
            <w:r>
              <w:rPr>
                <w:rFonts w:hint="default"/>
                <w:b/>
                <w:bCs/>
                <w:highlight w:val="none"/>
              </w:rPr>
              <w:t>环境</w:t>
            </w:r>
            <w:r>
              <w:rPr>
                <w:rFonts w:hint="eastAsia"/>
                <w:b/>
                <w:bCs/>
                <w:highlight w:val="none"/>
                <w:lang w:val="en-US" w:eastAsia="zh-CN"/>
              </w:rPr>
              <w:t>检测</w:t>
            </w:r>
            <w:r>
              <w:rPr>
                <w:rFonts w:hint="default"/>
                <w:b/>
                <w:bCs/>
                <w:highlight w:val="none"/>
              </w:rPr>
              <w:t>计划一览表</w:t>
            </w:r>
          </w:p>
          <w:tbl>
            <w:tblPr>
              <w:tblStyle w:val="20"/>
              <w:tblW w:w="496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635"/>
              <w:gridCol w:w="1200"/>
              <w:gridCol w:w="3739"/>
              <w:gridCol w:w="1293"/>
            </w:tblGrid>
            <w:tr w14:paraId="1C3FFB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6" w:hRule="atLeast"/>
                <w:jc w:val="center"/>
              </w:trPr>
              <w:tc>
                <w:tcPr>
                  <w:tcW w:w="1039" w:type="pct"/>
                  <w:tcBorders>
                    <w:tl2br w:val="nil"/>
                    <w:tr2bl w:val="nil"/>
                  </w:tcBorders>
                  <w:noWrap w:val="0"/>
                  <w:vAlign w:val="center"/>
                </w:tcPr>
                <w:p w14:paraId="345973F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rPr>
                  </w:pPr>
                  <w:r>
                    <w:rPr>
                      <w:rFonts w:hint="eastAsia"/>
                      <w:highlight w:val="none"/>
                      <w:lang w:val="en-US" w:eastAsia="zh-CN"/>
                    </w:rPr>
                    <w:t>检测</w:t>
                  </w:r>
                  <w:r>
                    <w:rPr>
                      <w:rFonts w:hint="default"/>
                      <w:highlight w:val="none"/>
                    </w:rPr>
                    <w:t>点位</w:t>
                  </w:r>
                </w:p>
              </w:tc>
              <w:tc>
                <w:tcPr>
                  <w:tcW w:w="762" w:type="pct"/>
                  <w:tcBorders>
                    <w:tl2br w:val="nil"/>
                    <w:tr2bl w:val="nil"/>
                  </w:tcBorders>
                  <w:noWrap w:val="0"/>
                  <w:vAlign w:val="center"/>
                </w:tcPr>
                <w:p w14:paraId="4EE59F3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eastAsia="zh-CN"/>
                    </w:rPr>
                  </w:pPr>
                  <w:r>
                    <w:rPr>
                      <w:rFonts w:hint="eastAsia"/>
                      <w:highlight w:val="none"/>
                      <w:lang w:val="en-US" w:eastAsia="zh-CN"/>
                    </w:rPr>
                    <w:t>检测</w:t>
                  </w:r>
                  <w:r>
                    <w:rPr>
                      <w:rFonts w:hint="eastAsia"/>
                      <w:highlight w:val="none"/>
                      <w:lang w:eastAsia="zh-CN"/>
                    </w:rPr>
                    <w:t>因子</w:t>
                  </w:r>
                </w:p>
              </w:tc>
              <w:tc>
                <w:tcPr>
                  <w:tcW w:w="2376" w:type="pct"/>
                  <w:tcBorders>
                    <w:tl2br w:val="nil"/>
                    <w:tr2bl w:val="nil"/>
                  </w:tcBorders>
                  <w:noWrap w:val="0"/>
                  <w:vAlign w:val="center"/>
                </w:tcPr>
                <w:p w14:paraId="40F6F39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highlight w:val="none"/>
                      <w:lang w:eastAsia="zh-CN"/>
                    </w:rPr>
                  </w:pPr>
                  <w:r>
                    <w:rPr>
                      <w:rFonts w:hint="eastAsia"/>
                      <w:highlight w:val="none"/>
                      <w:lang w:eastAsia="zh-CN"/>
                    </w:rPr>
                    <w:t>执行排放标准</w:t>
                  </w:r>
                </w:p>
              </w:tc>
              <w:tc>
                <w:tcPr>
                  <w:tcW w:w="821" w:type="pct"/>
                  <w:tcBorders>
                    <w:tl2br w:val="nil"/>
                    <w:tr2bl w:val="nil"/>
                  </w:tcBorders>
                  <w:noWrap w:val="0"/>
                  <w:vAlign w:val="center"/>
                </w:tcPr>
                <w:p w14:paraId="68DFBF2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rPr>
                  </w:pPr>
                  <w:r>
                    <w:rPr>
                      <w:rFonts w:hint="eastAsia"/>
                      <w:highlight w:val="none"/>
                      <w:lang w:val="en-US" w:eastAsia="zh-CN"/>
                    </w:rPr>
                    <w:t>检测</w:t>
                  </w:r>
                  <w:r>
                    <w:rPr>
                      <w:rFonts w:hint="default"/>
                      <w:highlight w:val="none"/>
                    </w:rPr>
                    <w:t>频次</w:t>
                  </w:r>
                </w:p>
              </w:tc>
            </w:tr>
            <w:tr w14:paraId="5C913C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94" w:hRule="atLeast"/>
                <w:jc w:val="center"/>
              </w:trPr>
              <w:tc>
                <w:tcPr>
                  <w:tcW w:w="1039" w:type="pct"/>
                  <w:tcBorders>
                    <w:tl2br w:val="nil"/>
                    <w:tr2bl w:val="nil"/>
                  </w:tcBorders>
                  <w:noWrap w:val="0"/>
                  <w:vAlign w:val="center"/>
                </w:tcPr>
                <w:p w14:paraId="3EBCD074">
                  <w:pPr>
                    <w:keepNext w:val="0"/>
                    <w:keepLines w:val="0"/>
                    <w:pageBreakBefore w:val="0"/>
                    <w:kinsoku/>
                    <w:wordWrap/>
                    <w:overflowPunct/>
                    <w:topLinePunct w:val="0"/>
                    <w:bidi w:val="0"/>
                    <w:snapToGrid/>
                    <w:spacing w:line="320" w:lineRule="exact"/>
                    <w:jc w:val="center"/>
                    <w:textAlignment w:val="auto"/>
                    <w:rPr>
                      <w:rFonts w:hint="default"/>
                      <w:highlight w:val="none"/>
                      <w:lang w:val="en-US" w:eastAsia="zh-CN"/>
                    </w:rPr>
                  </w:pPr>
                  <w:r>
                    <w:rPr>
                      <w:rFonts w:hint="default"/>
                      <w:highlight w:val="none"/>
                      <w:lang w:val="en-US" w:eastAsia="zh-CN"/>
                    </w:rPr>
                    <w:t>DA00</w:t>
                  </w:r>
                  <w:r>
                    <w:rPr>
                      <w:rFonts w:hint="eastAsia"/>
                      <w:highlight w:val="none"/>
                      <w:lang w:val="en-US" w:eastAsia="zh-CN"/>
                    </w:rPr>
                    <w:t>8</w:t>
                  </w:r>
                </w:p>
              </w:tc>
              <w:tc>
                <w:tcPr>
                  <w:tcW w:w="762" w:type="pct"/>
                  <w:tcBorders>
                    <w:tl2br w:val="nil"/>
                    <w:tr2bl w:val="nil"/>
                  </w:tcBorders>
                  <w:noWrap w:val="0"/>
                  <w:vAlign w:val="center"/>
                </w:tcPr>
                <w:p w14:paraId="50C2C535">
                  <w:pPr>
                    <w:keepNext w:val="0"/>
                    <w:keepLines w:val="0"/>
                    <w:pageBreakBefore w:val="0"/>
                    <w:widowControl/>
                    <w:kinsoku/>
                    <w:wordWrap/>
                    <w:overflowPunct/>
                    <w:topLinePunct w:val="0"/>
                    <w:bidi w:val="0"/>
                    <w:snapToGrid/>
                    <w:spacing w:line="320" w:lineRule="exact"/>
                    <w:jc w:val="center"/>
                    <w:textAlignment w:val="auto"/>
                    <w:outlineLvl w:val="9"/>
                    <w:rPr>
                      <w:rFonts w:hint="default"/>
                      <w:highlight w:val="none"/>
                      <w:lang w:val="en-US" w:eastAsia="zh-CN"/>
                    </w:rPr>
                  </w:pPr>
                  <w:r>
                    <w:rPr>
                      <w:rFonts w:hint="default"/>
                      <w:highlight w:val="none"/>
                      <w:lang w:val="en-US" w:eastAsia="zh-CN"/>
                    </w:rPr>
                    <w:t>颗粒物</w:t>
                  </w:r>
                </w:p>
              </w:tc>
              <w:tc>
                <w:tcPr>
                  <w:tcW w:w="2376" w:type="pct"/>
                  <w:tcBorders>
                    <w:tl2br w:val="nil"/>
                    <w:tr2bl w:val="nil"/>
                  </w:tcBorders>
                  <w:noWrap w:val="0"/>
                  <w:vAlign w:val="center"/>
                </w:tcPr>
                <w:p w14:paraId="0369D4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lang w:eastAsia="zh-CN"/>
                    </w:rPr>
                    <w:t>《水泥工业大气污染物排放标准》（DB 13/ 2167—2015）中表</w:t>
                  </w:r>
                  <w:r>
                    <w:rPr>
                      <w:rFonts w:hint="eastAsia"/>
                      <w:lang w:val="en-US" w:eastAsia="zh-CN"/>
                    </w:rPr>
                    <w:t>1</w:t>
                  </w:r>
                </w:p>
              </w:tc>
              <w:tc>
                <w:tcPr>
                  <w:tcW w:w="821" w:type="pct"/>
                  <w:tcBorders>
                    <w:tl2br w:val="nil"/>
                    <w:tr2bl w:val="nil"/>
                  </w:tcBorders>
                  <w:noWrap w:val="0"/>
                  <w:vAlign w:val="center"/>
                </w:tcPr>
                <w:p w14:paraId="33E75E0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rPr>
                  </w:pPr>
                  <w:r>
                    <w:rPr>
                      <w:rFonts w:hint="default"/>
                      <w:highlight w:val="none"/>
                      <w:lang w:val="en-US" w:eastAsia="zh-CN"/>
                    </w:rPr>
                    <w:t>1</w:t>
                  </w:r>
                  <w:r>
                    <w:rPr>
                      <w:rFonts w:hint="default"/>
                      <w:highlight w:val="none"/>
                    </w:rPr>
                    <w:t>次/a</w:t>
                  </w:r>
                </w:p>
              </w:tc>
            </w:tr>
            <w:tr w14:paraId="3C51BA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2" w:hRule="atLeast"/>
                <w:jc w:val="center"/>
              </w:trPr>
              <w:tc>
                <w:tcPr>
                  <w:tcW w:w="1039" w:type="pct"/>
                  <w:tcBorders>
                    <w:tl2br w:val="nil"/>
                    <w:tr2bl w:val="nil"/>
                  </w:tcBorders>
                  <w:noWrap w:val="0"/>
                  <w:vAlign w:val="center"/>
                </w:tcPr>
                <w:p w14:paraId="7F3952D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eastAsia="zh-CN"/>
                    </w:rPr>
                  </w:pPr>
                  <w:r>
                    <w:rPr>
                      <w:rFonts w:hint="eastAsia"/>
                      <w:highlight w:val="none"/>
                      <w:lang w:eastAsia="zh-CN"/>
                    </w:rPr>
                    <w:t>无组织</w:t>
                  </w:r>
                </w:p>
              </w:tc>
              <w:tc>
                <w:tcPr>
                  <w:tcW w:w="762" w:type="pct"/>
                  <w:tcBorders>
                    <w:tl2br w:val="nil"/>
                    <w:tr2bl w:val="nil"/>
                  </w:tcBorders>
                  <w:noWrap w:val="0"/>
                  <w:vAlign w:val="center"/>
                </w:tcPr>
                <w:p w14:paraId="7D85470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default"/>
                      <w:highlight w:val="none"/>
                    </w:rPr>
                    <w:t>颗粒物</w:t>
                  </w:r>
                </w:p>
              </w:tc>
              <w:tc>
                <w:tcPr>
                  <w:tcW w:w="2376" w:type="pct"/>
                  <w:tcBorders>
                    <w:tl2br w:val="nil"/>
                    <w:tr2bl w:val="nil"/>
                  </w:tcBorders>
                  <w:noWrap w:val="0"/>
                  <w:vAlign w:val="center"/>
                </w:tcPr>
                <w:p w14:paraId="545AB093">
                  <w:pPr>
                    <w:pStyle w:val="2"/>
                    <w:keepNext w:val="0"/>
                    <w:keepLines w:val="0"/>
                    <w:pageBreakBefore w:val="0"/>
                    <w:kinsoku/>
                    <w:wordWrap/>
                    <w:overflowPunct/>
                    <w:topLinePunct w:val="0"/>
                    <w:bidi w:val="0"/>
                    <w:snapToGrid/>
                    <w:spacing w:line="320" w:lineRule="exact"/>
                    <w:jc w:val="center"/>
                    <w:textAlignment w:val="auto"/>
                    <w:rPr>
                      <w:rFonts w:hint="default"/>
                      <w:highlight w:val="none"/>
                      <w:lang w:val="en-US" w:eastAsia="zh-CN"/>
                    </w:rPr>
                  </w:pPr>
                  <w:r>
                    <w:rPr>
                      <w:rFonts w:hint="eastAsia"/>
                      <w:lang w:eastAsia="zh-CN"/>
                    </w:rPr>
                    <w:t>《水泥工业大气污染物排放标准》（DB 13/ 2167—2015）中表</w:t>
                  </w:r>
                  <w:r>
                    <w:rPr>
                      <w:rFonts w:hint="eastAsia"/>
                      <w:lang w:val="en-US" w:eastAsia="zh-CN"/>
                    </w:rPr>
                    <w:t>2</w:t>
                  </w:r>
                </w:p>
              </w:tc>
              <w:tc>
                <w:tcPr>
                  <w:tcW w:w="821" w:type="pct"/>
                  <w:tcBorders>
                    <w:tl2br w:val="nil"/>
                    <w:tr2bl w:val="nil"/>
                  </w:tcBorders>
                  <w:noWrap w:val="0"/>
                  <w:vAlign w:val="center"/>
                </w:tcPr>
                <w:p w14:paraId="4BC242E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default"/>
                      <w:highlight w:val="none"/>
                      <w:lang w:val="en-US" w:eastAsia="zh-CN"/>
                    </w:rPr>
                    <w:t>1</w:t>
                  </w:r>
                  <w:r>
                    <w:rPr>
                      <w:rFonts w:hint="default"/>
                      <w:highlight w:val="none"/>
                    </w:rPr>
                    <w:t>次/a</w:t>
                  </w:r>
                </w:p>
              </w:tc>
            </w:tr>
          </w:tbl>
          <w:p w14:paraId="089982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根据《排污口规范化整治技术要求(试行)》(环监[1996]470号)的要求，</w:t>
            </w:r>
            <w:r>
              <w:rPr>
                <w:rFonts w:hint="eastAsia"/>
                <w:highlight w:val="none"/>
                <w:lang w:eastAsia="zh-CN"/>
              </w:rPr>
              <w:t>唐山市宝鼎建材有限公司</w:t>
            </w:r>
            <w:r>
              <w:rPr>
                <w:rFonts w:hint="eastAsia"/>
                <w:highlight w:val="none"/>
                <w:lang w:val="en-US" w:eastAsia="zh-CN"/>
              </w:rPr>
              <w:t>废气治理设施排放口为管理的重点，应进行规范化管理，有组织排放废气的排气筒高度应符合国家大气污染物排放标准的有关规定根据排污口管理档案内容要求，项目投产后，将主要污染物种类、数量、浓度、排放去向、立标情况及设施运行情况记录于档案。</w:t>
            </w:r>
          </w:p>
          <w:p w14:paraId="5834D2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eastAsia="zh-CN"/>
              </w:rPr>
            </w:pPr>
            <w:r>
              <w:rPr>
                <w:rFonts w:hint="eastAsia"/>
                <w:highlight w:val="none"/>
                <w:lang w:val="en-US" w:eastAsia="zh-CN"/>
              </w:rPr>
              <w:t>（5）非正常工况</w:t>
            </w:r>
          </w:p>
          <w:p w14:paraId="4C0B58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本项目废气非正常工况为废气治理设施非正常运行导致处理失效，颗粒物未经收集、处理直接排放。</w:t>
            </w:r>
          </w:p>
          <w:p w14:paraId="01A95B4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eastAsia="zh-CN"/>
              </w:rPr>
            </w:pPr>
            <w:r>
              <w:rPr>
                <w:rFonts w:hint="eastAsia"/>
                <w:highlight w:val="none"/>
                <w:lang w:val="en-US" w:eastAsia="zh-CN"/>
              </w:rPr>
              <w:t>废气治理设施如果出现事故，废气污染物将按产生浓度、速率排放，60分钟内可采取有效措施，修复或停产，可有效避免污染物非正常排放。考虑最不利条件，即废气治理设施失效，则颗粒物产生速率见表4-4。</w:t>
            </w:r>
          </w:p>
          <w:p w14:paraId="0A9129C6">
            <w:pPr>
              <w:keepNext w:val="0"/>
              <w:keepLines w:val="0"/>
              <w:pageBreakBefore w:val="0"/>
              <w:widowControl w:val="0"/>
              <w:tabs>
                <w:tab w:val="left" w:pos="1902"/>
              </w:tabs>
              <w:kinsoku/>
              <w:wordWrap/>
              <w:overflowPunct/>
              <w:topLinePunct w:val="0"/>
              <w:autoSpaceDE/>
              <w:autoSpaceDN/>
              <w:bidi w:val="0"/>
              <w:adjustRightInd/>
              <w:snapToGrid/>
              <w:spacing w:line="400" w:lineRule="exact"/>
              <w:jc w:val="center"/>
              <w:textAlignment w:val="auto"/>
              <w:rPr>
                <w:rFonts w:hint="default"/>
                <w:b/>
                <w:bCs/>
                <w:highlight w:val="none"/>
                <w:lang w:val="en-US" w:eastAsia="zh-CN"/>
              </w:rPr>
            </w:pPr>
            <w:r>
              <w:rPr>
                <w:rFonts w:hint="default"/>
                <w:b/>
                <w:bCs/>
                <w:highlight w:val="none"/>
                <w:lang w:eastAsia="zh-CN"/>
              </w:rPr>
              <w:t>表</w:t>
            </w:r>
            <w:r>
              <w:rPr>
                <w:rFonts w:hint="eastAsia"/>
                <w:b/>
                <w:bCs/>
                <w:highlight w:val="none"/>
                <w:lang w:val="en-US" w:eastAsia="zh-CN"/>
              </w:rPr>
              <w:t>4-4</w:t>
            </w:r>
            <w:r>
              <w:rPr>
                <w:rFonts w:hint="default"/>
                <w:b/>
                <w:bCs/>
                <w:highlight w:val="none"/>
                <w:lang w:val="en-US" w:eastAsia="zh-CN"/>
              </w:rPr>
              <w:t xml:space="preserve">   污染源非正常排放量核算表（处理效率按50%计）</w:t>
            </w:r>
          </w:p>
          <w:tbl>
            <w:tblPr>
              <w:tblStyle w:val="20"/>
              <w:tblW w:w="7911"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537"/>
              <w:gridCol w:w="810"/>
              <w:gridCol w:w="960"/>
              <w:gridCol w:w="795"/>
              <w:gridCol w:w="1442"/>
              <w:gridCol w:w="1290"/>
              <w:gridCol w:w="1155"/>
              <w:gridCol w:w="922"/>
            </w:tblGrid>
            <w:tr w14:paraId="073DAD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37" w:type="dxa"/>
                  <w:tcBorders>
                    <w:tl2br w:val="nil"/>
                    <w:tr2bl w:val="nil"/>
                  </w:tcBorders>
                  <w:noWrap w:val="0"/>
                  <w:vAlign w:val="center"/>
                </w:tcPr>
                <w:p w14:paraId="1324AE6A">
                  <w:pPr>
                    <w:keepNext w:val="0"/>
                    <w:keepLines w:val="0"/>
                    <w:pageBreakBefore w:val="0"/>
                    <w:widowControl w:val="0"/>
                    <w:kinsoku/>
                    <w:wordWrap/>
                    <w:overflowPunct/>
                    <w:topLinePunct w:val="0"/>
                    <w:autoSpaceDE/>
                    <w:autoSpaceDN/>
                    <w:bidi w:val="0"/>
                    <w:spacing w:line="280" w:lineRule="exact"/>
                    <w:jc w:val="center"/>
                    <w:textAlignment w:val="auto"/>
                    <w:outlineLvl w:val="9"/>
                    <w:rPr>
                      <w:rFonts w:hint="default"/>
                      <w:highlight w:val="none"/>
                      <w:lang w:val="en-US" w:eastAsia="zh-CN"/>
                    </w:rPr>
                  </w:pPr>
                  <w:r>
                    <w:rPr>
                      <w:rFonts w:hint="default"/>
                      <w:highlight w:val="none"/>
                      <w:lang w:val="en-US" w:eastAsia="zh-CN"/>
                    </w:rPr>
                    <w:t>序号</w:t>
                  </w:r>
                </w:p>
              </w:tc>
              <w:tc>
                <w:tcPr>
                  <w:tcW w:w="810" w:type="dxa"/>
                  <w:tcBorders>
                    <w:tl2br w:val="nil"/>
                    <w:tr2bl w:val="nil"/>
                  </w:tcBorders>
                  <w:noWrap w:val="0"/>
                  <w:vAlign w:val="center"/>
                </w:tcPr>
                <w:p w14:paraId="57F28D4D">
                  <w:pPr>
                    <w:keepNext w:val="0"/>
                    <w:keepLines w:val="0"/>
                    <w:pageBreakBefore w:val="0"/>
                    <w:widowControl w:val="0"/>
                    <w:kinsoku/>
                    <w:wordWrap/>
                    <w:overflowPunct/>
                    <w:topLinePunct w:val="0"/>
                    <w:autoSpaceDE/>
                    <w:autoSpaceDN/>
                    <w:bidi w:val="0"/>
                    <w:spacing w:line="280" w:lineRule="exact"/>
                    <w:jc w:val="center"/>
                    <w:textAlignment w:val="auto"/>
                    <w:outlineLvl w:val="9"/>
                    <w:rPr>
                      <w:rFonts w:hint="default"/>
                      <w:highlight w:val="none"/>
                      <w:lang w:val="en-US" w:eastAsia="zh-CN"/>
                    </w:rPr>
                  </w:pPr>
                  <w:r>
                    <w:rPr>
                      <w:rFonts w:hint="default"/>
                      <w:highlight w:val="none"/>
                      <w:lang w:val="en-US" w:eastAsia="zh-CN"/>
                    </w:rPr>
                    <w:t>污染源</w:t>
                  </w:r>
                </w:p>
              </w:tc>
              <w:tc>
                <w:tcPr>
                  <w:tcW w:w="960" w:type="dxa"/>
                  <w:tcBorders>
                    <w:tl2br w:val="nil"/>
                    <w:tr2bl w:val="nil"/>
                  </w:tcBorders>
                  <w:noWrap w:val="0"/>
                  <w:vAlign w:val="center"/>
                </w:tcPr>
                <w:p w14:paraId="501FBD64">
                  <w:pPr>
                    <w:keepNext w:val="0"/>
                    <w:keepLines w:val="0"/>
                    <w:pageBreakBefore w:val="0"/>
                    <w:widowControl w:val="0"/>
                    <w:kinsoku/>
                    <w:wordWrap/>
                    <w:overflowPunct/>
                    <w:topLinePunct w:val="0"/>
                    <w:autoSpaceDE/>
                    <w:autoSpaceDN/>
                    <w:bidi w:val="0"/>
                    <w:spacing w:line="280" w:lineRule="exact"/>
                    <w:jc w:val="center"/>
                    <w:textAlignment w:val="auto"/>
                    <w:outlineLvl w:val="9"/>
                    <w:rPr>
                      <w:rFonts w:hint="default"/>
                      <w:highlight w:val="none"/>
                      <w:lang w:val="en-US" w:eastAsia="zh-CN"/>
                    </w:rPr>
                  </w:pPr>
                  <w:r>
                    <w:rPr>
                      <w:rFonts w:hint="default"/>
                      <w:highlight w:val="none"/>
                      <w:lang w:val="en-US" w:eastAsia="zh-CN"/>
                    </w:rPr>
                    <w:t>非正常排放原因</w:t>
                  </w:r>
                </w:p>
              </w:tc>
              <w:tc>
                <w:tcPr>
                  <w:tcW w:w="795" w:type="dxa"/>
                  <w:tcBorders>
                    <w:tl2br w:val="nil"/>
                    <w:tr2bl w:val="nil"/>
                  </w:tcBorders>
                  <w:noWrap w:val="0"/>
                  <w:vAlign w:val="center"/>
                </w:tcPr>
                <w:p w14:paraId="4BEA461F">
                  <w:pPr>
                    <w:keepNext w:val="0"/>
                    <w:keepLines w:val="0"/>
                    <w:pageBreakBefore w:val="0"/>
                    <w:widowControl w:val="0"/>
                    <w:kinsoku/>
                    <w:wordWrap/>
                    <w:overflowPunct/>
                    <w:topLinePunct w:val="0"/>
                    <w:autoSpaceDE/>
                    <w:autoSpaceDN/>
                    <w:bidi w:val="0"/>
                    <w:spacing w:line="280" w:lineRule="exact"/>
                    <w:jc w:val="center"/>
                    <w:textAlignment w:val="auto"/>
                    <w:outlineLvl w:val="9"/>
                    <w:rPr>
                      <w:rFonts w:hint="default"/>
                      <w:highlight w:val="none"/>
                      <w:lang w:val="en-US" w:eastAsia="zh-CN"/>
                    </w:rPr>
                  </w:pPr>
                  <w:r>
                    <w:rPr>
                      <w:rFonts w:hint="default"/>
                      <w:highlight w:val="none"/>
                      <w:lang w:val="en-US" w:eastAsia="zh-CN"/>
                    </w:rPr>
                    <w:t>污染物</w:t>
                  </w:r>
                </w:p>
              </w:tc>
              <w:tc>
                <w:tcPr>
                  <w:tcW w:w="1442" w:type="dxa"/>
                  <w:tcBorders>
                    <w:tl2br w:val="nil"/>
                    <w:tr2bl w:val="nil"/>
                  </w:tcBorders>
                  <w:noWrap w:val="0"/>
                  <w:vAlign w:val="center"/>
                </w:tcPr>
                <w:p w14:paraId="4478CF2E">
                  <w:pPr>
                    <w:keepNext w:val="0"/>
                    <w:keepLines w:val="0"/>
                    <w:pageBreakBefore w:val="0"/>
                    <w:widowControl w:val="0"/>
                    <w:kinsoku/>
                    <w:wordWrap/>
                    <w:overflowPunct/>
                    <w:topLinePunct w:val="0"/>
                    <w:autoSpaceDE/>
                    <w:autoSpaceDN/>
                    <w:bidi w:val="0"/>
                    <w:spacing w:line="280" w:lineRule="exact"/>
                    <w:jc w:val="center"/>
                    <w:textAlignment w:val="auto"/>
                    <w:outlineLvl w:val="9"/>
                    <w:rPr>
                      <w:rFonts w:hint="default"/>
                      <w:highlight w:val="none"/>
                      <w:lang w:val="en-US" w:eastAsia="zh-CN"/>
                    </w:rPr>
                  </w:pPr>
                  <w:r>
                    <w:rPr>
                      <w:rFonts w:hint="default"/>
                      <w:highlight w:val="none"/>
                      <w:lang w:val="en-US" w:eastAsia="zh-CN"/>
                    </w:rPr>
                    <w:t>非正常排放浓度（mg/m</w:t>
                  </w:r>
                  <w:r>
                    <w:rPr>
                      <w:rFonts w:hint="default"/>
                      <w:highlight w:val="none"/>
                      <w:vertAlign w:val="superscript"/>
                      <w:lang w:val="en-US" w:eastAsia="zh-CN"/>
                    </w:rPr>
                    <w:t>3</w:t>
                  </w:r>
                  <w:r>
                    <w:rPr>
                      <w:rFonts w:hint="default"/>
                      <w:highlight w:val="none"/>
                      <w:lang w:val="en-US" w:eastAsia="zh-CN"/>
                    </w:rPr>
                    <w:t>）</w:t>
                  </w:r>
                </w:p>
              </w:tc>
              <w:tc>
                <w:tcPr>
                  <w:tcW w:w="1290" w:type="dxa"/>
                  <w:tcBorders>
                    <w:tl2br w:val="nil"/>
                    <w:tr2bl w:val="nil"/>
                  </w:tcBorders>
                  <w:noWrap w:val="0"/>
                  <w:vAlign w:val="center"/>
                </w:tcPr>
                <w:p w14:paraId="3503C148">
                  <w:pPr>
                    <w:keepNext w:val="0"/>
                    <w:keepLines w:val="0"/>
                    <w:pageBreakBefore w:val="0"/>
                    <w:widowControl w:val="0"/>
                    <w:kinsoku/>
                    <w:wordWrap/>
                    <w:overflowPunct/>
                    <w:topLinePunct w:val="0"/>
                    <w:autoSpaceDE/>
                    <w:autoSpaceDN/>
                    <w:bidi w:val="0"/>
                    <w:spacing w:line="280" w:lineRule="exact"/>
                    <w:jc w:val="center"/>
                    <w:textAlignment w:val="auto"/>
                    <w:outlineLvl w:val="9"/>
                    <w:rPr>
                      <w:rFonts w:hint="default"/>
                      <w:highlight w:val="none"/>
                      <w:lang w:val="en-US" w:eastAsia="zh-CN"/>
                    </w:rPr>
                  </w:pPr>
                  <w:r>
                    <w:rPr>
                      <w:rFonts w:hint="default"/>
                      <w:highlight w:val="none"/>
                      <w:lang w:val="en-US" w:eastAsia="zh-CN"/>
                    </w:rPr>
                    <w:t>非正常排放速率/(kg/h)</w:t>
                  </w:r>
                </w:p>
              </w:tc>
              <w:tc>
                <w:tcPr>
                  <w:tcW w:w="1155" w:type="dxa"/>
                  <w:tcBorders>
                    <w:tl2br w:val="nil"/>
                    <w:tr2bl w:val="nil"/>
                  </w:tcBorders>
                  <w:noWrap w:val="0"/>
                  <w:vAlign w:val="center"/>
                </w:tcPr>
                <w:p w14:paraId="5A2D7B63">
                  <w:pPr>
                    <w:keepNext w:val="0"/>
                    <w:keepLines w:val="0"/>
                    <w:pageBreakBefore w:val="0"/>
                    <w:widowControl w:val="0"/>
                    <w:kinsoku/>
                    <w:wordWrap/>
                    <w:overflowPunct/>
                    <w:topLinePunct w:val="0"/>
                    <w:autoSpaceDE/>
                    <w:autoSpaceDN/>
                    <w:bidi w:val="0"/>
                    <w:spacing w:line="280" w:lineRule="exact"/>
                    <w:jc w:val="center"/>
                    <w:textAlignment w:val="auto"/>
                    <w:outlineLvl w:val="9"/>
                    <w:rPr>
                      <w:rFonts w:hint="default"/>
                      <w:highlight w:val="none"/>
                      <w:lang w:val="en-US" w:eastAsia="zh-CN"/>
                    </w:rPr>
                  </w:pPr>
                  <w:r>
                    <w:rPr>
                      <w:rFonts w:hint="default"/>
                      <w:highlight w:val="none"/>
                      <w:lang w:val="en-US" w:eastAsia="zh-CN"/>
                    </w:rPr>
                    <w:t>单次持续时间/h</w:t>
                  </w:r>
                </w:p>
              </w:tc>
              <w:tc>
                <w:tcPr>
                  <w:tcW w:w="922" w:type="dxa"/>
                  <w:tcBorders>
                    <w:tl2br w:val="nil"/>
                    <w:tr2bl w:val="nil"/>
                  </w:tcBorders>
                  <w:noWrap w:val="0"/>
                  <w:vAlign w:val="center"/>
                </w:tcPr>
                <w:p w14:paraId="683DDFE9">
                  <w:pPr>
                    <w:keepNext w:val="0"/>
                    <w:keepLines w:val="0"/>
                    <w:pageBreakBefore w:val="0"/>
                    <w:widowControl w:val="0"/>
                    <w:kinsoku/>
                    <w:wordWrap/>
                    <w:overflowPunct/>
                    <w:topLinePunct w:val="0"/>
                    <w:autoSpaceDE/>
                    <w:autoSpaceDN/>
                    <w:bidi w:val="0"/>
                    <w:spacing w:line="280" w:lineRule="exact"/>
                    <w:jc w:val="center"/>
                    <w:textAlignment w:val="auto"/>
                    <w:outlineLvl w:val="9"/>
                    <w:rPr>
                      <w:rFonts w:hint="default"/>
                      <w:highlight w:val="none"/>
                      <w:lang w:val="en-US" w:eastAsia="zh-CN"/>
                    </w:rPr>
                  </w:pPr>
                  <w:r>
                    <w:rPr>
                      <w:rFonts w:hint="default"/>
                      <w:highlight w:val="none"/>
                      <w:lang w:val="en-US" w:eastAsia="zh-CN"/>
                    </w:rPr>
                    <w:t>发生频次/次</w:t>
                  </w:r>
                </w:p>
              </w:tc>
            </w:tr>
            <w:tr w14:paraId="409357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60" w:hRule="atLeast"/>
                <w:jc w:val="center"/>
              </w:trPr>
              <w:tc>
                <w:tcPr>
                  <w:tcW w:w="537" w:type="dxa"/>
                  <w:tcBorders>
                    <w:tl2br w:val="nil"/>
                    <w:tr2bl w:val="nil"/>
                  </w:tcBorders>
                  <w:noWrap w:val="0"/>
                  <w:vAlign w:val="center"/>
                </w:tcPr>
                <w:p w14:paraId="528ADFAD">
                  <w:pPr>
                    <w:keepNext w:val="0"/>
                    <w:keepLines w:val="0"/>
                    <w:pageBreakBefore w:val="0"/>
                    <w:widowControl w:val="0"/>
                    <w:kinsoku/>
                    <w:wordWrap/>
                    <w:overflowPunct/>
                    <w:topLinePunct w:val="0"/>
                    <w:autoSpaceDE/>
                    <w:autoSpaceDN/>
                    <w:bidi w:val="0"/>
                    <w:spacing w:line="280" w:lineRule="exact"/>
                    <w:jc w:val="center"/>
                    <w:textAlignment w:val="auto"/>
                    <w:outlineLvl w:val="9"/>
                    <w:rPr>
                      <w:rFonts w:hint="default"/>
                      <w:highlight w:val="none"/>
                      <w:lang w:val="en-US" w:eastAsia="zh-CN"/>
                    </w:rPr>
                  </w:pPr>
                  <w:r>
                    <w:rPr>
                      <w:rFonts w:hint="default"/>
                      <w:highlight w:val="none"/>
                      <w:lang w:val="en-US" w:eastAsia="zh-CN"/>
                    </w:rPr>
                    <w:t>1</w:t>
                  </w:r>
                </w:p>
              </w:tc>
              <w:tc>
                <w:tcPr>
                  <w:tcW w:w="810" w:type="dxa"/>
                  <w:tcBorders>
                    <w:tl2br w:val="nil"/>
                    <w:tr2bl w:val="nil"/>
                  </w:tcBorders>
                  <w:noWrap w:val="0"/>
                  <w:vAlign w:val="center"/>
                </w:tcPr>
                <w:p w14:paraId="07383ECF">
                  <w:pPr>
                    <w:keepNext w:val="0"/>
                    <w:keepLines w:val="0"/>
                    <w:pageBreakBefore w:val="0"/>
                    <w:widowControl w:val="0"/>
                    <w:kinsoku/>
                    <w:wordWrap/>
                    <w:overflowPunct/>
                    <w:topLinePunct w:val="0"/>
                    <w:autoSpaceDE/>
                    <w:autoSpaceDN/>
                    <w:bidi w:val="0"/>
                    <w:spacing w:line="280" w:lineRule="exact"/>
                    <w:jc w:val="center"/>
                    <w:textAlignment w:val="auto"/>
                    <w:outlineLvl w:val="9"/>
                    <w:rPr>
                      <w:rFonts w:hint="default"/>
                      <w:highlight w:val="none"/>
                      <w:lang w:val="en-US" w:eastAsia="zh-CN"/>
                    </w:rPr>
                  </w:pPr>
                  <w:r>
                    <w:rPr>
                      <w:rFonts w:hint="default"/>
                      <w:highlight w:val="none"/>
                      <w:lang w:val="en-US" w:eastAsia="zh-CN"/>
                    </w:rPr>
                    <w:t>DA00</w:t>
                  </w:r>
                  <w:r>
                    <w:rPr>
                      <w:rFonts w:hint="eastAsia"/>
                      <w:highlight w:val="none"/>
                      <w:lang w:val="en-US" w:eastAsia="zh-CN"/>
                    </w:rPr>
                    <w:t>8</w:t>
                  </w:r>
                </w:p>
              </w:tc>
              <w:tc>
                <w:tcPr>
                  <w:tcW w:w="960" w:type="dxa"/>
                  <w:tcBorders>
                    <w:tl2br w:val="nil"/>
                    <w:tr2bl w:val="nil"/>
                  </w:tcBorders>
                  <w:noWrap w:val="0"/>
                  <w:vAlign w:val="center"/>
                </w:tcPr>
                <w:p w14:paraId="2C878EB8">
                  <w:pPr>
                    <w:keepNext w:val="0"/>
                    <w:keepLines w:val="0"/>
                    <w:pageBreakBefore w:val="0"/>
                    <w:widowControl w:val="0"/>
                    <w:kinsoku/>
                    <w:wordWrap/>
                    <w:overflowPunct/>
                    <w:topLinePunct w:val="0"/>
                    <w:autoSpaceDE/>
                    <w:autoSpaceDN/>
                    <w:bidi w:val="0"/>
                    <w:spacing w:line="280" w:lineRule="exact"/>
                    <w:jc w:val="center"/>
                    <w:textAlignment w:val="auto"/>
                    <w:outlineLvl w:val="9"/>
                    <w:rPr>
                      <w:rFonts w:hint="default"/>
                      <w:highlight w:val="none"/>
                      <w:lang w:val="zh-CN" w:eastAsia="zh-CN"/>
                    </w:rPr>
                  </w:pPr>
                  <w:r>
                    <w:rPr>
                      <w:rFonts w:hint="default"/>
                      <w:highlight w:val="none"/>
                      <w:lang w:val="en-US" w:eastAsia="zh-CN"/>
                    </w:rPr>
                    <w:t>除尘设施故障</w:t>
                  </w:r>
                </w:p>
              </w:tc>
              <w:tc>
                <w:tcPr>
                  <w:tcW w:w="795" w:type="dxa"/>
                  <w:tcBorders>
                    <w:tl2br w:val="nil"/>
                    <w:tr2bl w:val="nil"/>
                  </w:tcBorders>
                  <w:noWrap w:val="0"/>
                  <w:vAlign w:val="center"/>
                </w:tcPr>
                <w:p w14:paraId="269B9C4C">
                  <w:pPr>
                    <w:pStyle w:val="24"/>
                    <w:widowControl/>
                    <w:jc w:val="center"/>
                    <w:rPr>
                      <w:rFonts w:hint="default"/>
                      <w:highlight w:val="none"/>
                      <w:lang w:val="en-US" w:eastAsia="zh-CN"/>
                    </w:rPr>
                  </w:pPr>
                  <w:r>
                    <w:rPr>
                      <w:rFonts w:hint="eastAsia"/>
                      <w:highlight w:val="none"/>
                      <w:lang w:val="en-US" w:eastAsia="zh-CN"/>
                    </w:rPr>
                    <w:t>颗粒物</w:t>
                  </w:r>
                </w:p>
              </w:tc>
              <w:tc>
                <w:tcPr>
                  <w:tcW w:w="1442" w:type="dxa"/>
                  <w:tcBorders>
                    <w:tl2br w:val="nil"/>
                    <w:tr2bl w:val="nil"/>
                  </w:tcBorders>
                  <w:noWrap w:val="0"/>
                  <w:vAlign w:val="center"/>
                </w:tcPr>
                <w:p w14:paraId="18827C44">
                  <w:pPr>
                    <w:keepNext w:val="0"/>
                    <w:keepLines w:val="0"/>
                    <w:pageBreakBefore w:val="0"/>
                    <w:widowControl w:val="0"/>
                    <w:kinsoku/>
                    <w:wordWrap/>
                    <w:overflowPunct/>
                    <w:topLinePunct w:val="0"/>
                    <w:autoSpaceDE/>
                    <w:autoSpaceDN/>
                    <w:bidi w:val="0"/>
                    <w:spacing w:line="280" w:lineRule="exact"/>
                    <w:jc w:val="center"/>
                    <w:textAlignment w:val="auto"/>
                    <w:outlineLvl w:val="9"/>
                    <w:rPr>
                      <w:rFonts w:hint="default"/>
                      <w:highlight w:val="none"/>
                      <w:lang w:val="en-US" w:eastAsia="zh-CN"/>
                    </w:rPr>
                  </w:pPr>
                  <w:r>
                    <w:rPr>
                      <w:rFonts w:hint="eastAsia"/>
                      <w:highlight w:val="none"/>
                      <w:lang w:val="en-US" w:eastAsia="zh-CN"/>
                    </w:rPr>
                    <w:t>26.9357</w:t>
                  </w:r>
                </w:p>
              </w:tc>
              <w:tc>
                <w:tcPr>
                  <w:tcW w:w="1290" w:type="dxa"/>
                  <w:tcBorders>
                    <w:tl2br w:val="nil"/>
                    <w:tr2bl w:val="nil"/>
                  </w:tcBorders>
                  <w:noWrap w:val="0"/>
                  <w:vAlign w:val="center"/>
                </w:tcPr>
                <w:p w14:paraId="550875F5">
                  <w:pPr>
                    <w:keepNext w:val="0"/>
                    <w:keepLines w:val="0"/>
                    <w:pageBreakBefore w:val="0"/>
                    <w:widowControl w:val="0"/>
                    <w:kinsoku/>
                    <w:wordWrap/>
                    <w:overflowPunct/>
                    <w:topLinePunct w:val="0"/>
                    <w:autoSpaceDE/>
                    <w:autoSpaceDN/>
                    <w:bidi w:val="0"/>
                    <w:spacing w:line="280" w:lineRule="exact"/>
                    <w:jc w:val="center"/>
                    <w:textAlignment w:val="auto"/>
                    <w:outlineLvl w:val="9"/>
                    <w:rPr>
                      <w:rFonts w:hint="default"/>
                      <w:highlight w:val="none"/>
                      <w:lang w:val="en-US" w:eastAsia="zh-CN"/>
                    </w:rPr>
                  </w:pPr>
                  <w:r>
                    <w:rPr>
                      <w:rFonts w:hint="eastAsia"/>
                      <w:highlight w:val="none"/>
                      <w:lang w:val="en-US" w:eastAsia="zh-CN"/>
                    </w:rPr>
                    <w:t>0.94275</w:t>
                  </w:r>
                </w:p>
              </w:tc>
              <w:tc>
                <w:tcPr>
                  <w:tcW w:w="1155" w:type="dxa"/>
                  <w:tcBorders>
                    <w:tl2br w:val="nil"/>
                    <w:tr2bl w:val="nil"/>
                  </w:tcBorders>
                  <w:noWrap w:val="0"/>
                  <w:vAlign w:val="center"/>
                </w:tcPr>
                <w:p w14:paraId="4E5F2203">
                  <w:pPr>
                    <w:keepNext w:val="0"/>
                    <w:keepLines w:val="0"/>
                    <w:pageBreakBefore w:val="0"/>
                    <w:widowControl w:val="0"/>
                    <w:kinsoku/>
                    <w:wordWrap/>
                    <w:overflowPunct/>
                    <w:topLinePunct w:val="0"/>
                    <w:autoSpaceDE/>
                    <w:autoSpaceDN/>
                    <w:bidi w:val="0"/>
                    <w:spacing w:line="280" w:lineRule="exact"/>
                    <w:jc w:val="center"/>
                    <w:textAlignment w:val="auto"/>
                    <w:outlineLvl w:val="9"/>
                    <w:rPr>
                      <w:rFonts w:hint="default"/>
                      <w:highlight w:val="none"/>
                      <w:lang w:val="zh-CN" w:eastAsia="zh-CN"/>
                    </w:rPr>
                  </w:pPr>
                  <w:r>
                    <w:rPr>
                      <w:rFonts w:hint="eastAsia"/>
                      <w:highlight w:val="none"/>
                      <w:lang w:val="en-US" w:eastAsia="zh-CN"/>
                    </w:rPr>
                    <w:t>1</w:t>
                  </w:r>
                </w:p>
              </w:tc>
              <w:tc>
                <w:tcPr>
                  <w:tcW w:w="922" w:type="dxa"/>
                  <w:tcBorders>
                    <w:tl2br w:val="nil"/>
                    <w:tr2bl w:val="nil"/>
                  </w:tcBorders>
                  <w:noWrap w:val="0"/>
                  <w:vAlign w:val="center"/>
                </w:tcPr>
                <w:p w14:paraId="5E02E490">
                  <w:pPr>
                    <w:keepNext w:val="0"/>
                    <w:keepLines w:val="0"/>
                    <w:pageBreakBefore w:val="0"/>
                    <w:widowControl w:val="0"/>
                    <w:kinsoku/>
                    <w:wordWrap/>
                    <w:overflowPunct/>
                    <w:topLinePunct w:val="0"/>
                    <w:autoSpaceDE/>
                    <w:autoSpaceDN/>
                    <w:bidi w:val="0"/>
                    <w:spacing w:line="280" w:lineRule="exact"/>
                    <w:jc w:val="center"/>
                    <w:textAlignment w:val="auto"/>
                    <w:outlineLvl w:val="9"/>
                    <w:rPr>
                      <w:rFonts w:hint="default"/>
                      <w:highlight w:val="none"/>
                      <w:lang w:val="en-US" w:eastAsia="zh-CN"/>
                    </w:rPr>
                  </w:pPr>
                  <w:r>
                    <w:rPr>
                      <w:rFonts w:hint="default"/>
                      <w:highlight w:val="none"/>
                      <w:lang w:val="en-US" w:eastAsia="zh-CN"/>
                    </w:rPr>
                    <w:t>1</w:t>
                  </w:r>
                </w:p>
              </w:tc>
            </w:tr>
          </w:tbl>
          <w:p w14:paraId="0A23691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eastAsia="zh-CN"/>
              </w:rPr>
            </w:pPr>
            <w:r>
              <w:rPr>
                <w:rFonts w:hint="eastAsia"/>
                <w:highlight w:val="none"/>
                <w:lang w:val="en-US" w:eastAsia="zh-CN"/>
              </w:rPr>
              <w:t>（6）环境影响分析</w:t>
            </w:r>
          </w:p>
          <w:p w14:paraId="208DB8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本项目废气为上料、搅拌、打孔、切割过程产生的颗粒物。本项目所在区域周边5千米范围内近3年的现有检测数据显示：总悬浮颗粒物0.105～0.248mg/m</w:t>
            </w:r>
            <w:r>
              <w:rPr>
                <w:rFonts w:hint="eastAsia"/>
                <w:highlight w:val="none"/>
                <w:vertAlign w:val="superscript"/>
                <w:lang w:val="en-US" w:eastAsia="zh-CN"/>
              </w:rPr>
              <w:t>3</w:t>
            </w:r>
            <w:r>
              <w:rPr>
                <w:rFonts w:hint="eastAsia"/>
                <w:highlight w:val="none"/>
                <w:lang w:val="en-US" w:eastAsia="zh-CN"/>
              </w:rPr>
              <w:t>，总悬浮颗粒物满足《环境空气质量》(GB3095-2012)中二级标准值及修改单。本项目厂界外500m无自然保护区、珍稀动植物资源、文物、景观等环境敏感目标，周边500m范围内西侧有李官屯村、小星星幼儿园，南侧有大张刘村。本项目通过上料过程加设顶部集气罩，搅拌过程加设集气管道打孔、切割采用喷洒水+集气罩的方式，通过1台17000m</w:t>
            </w:r>
            <w:r>
              <w:rPr>
                <w:rFonts w:hint="eastAsia"/>
                <w:highlight w:val="none"/>
                <w:vertAlign w:val="superscript"/>
                <w:lang w:val="en-US" w:eastAsia="zh-CN"/>
              </w:rPr>
              <w:t>3</w:t>
            </w:r>
            <w:r>
              <w:rPr>
                <w:rFonts w:hint="eastAsia"/>
                <w:highlight w:val="none"/>
                <w:lang w:val="en-US" w:eastAsia="zh-CN"/>
              </w:rPr>
              <w:t>/h脉冲布袋除尘器处理+15m排气筒排出，可有效降低本项目污染物排放量，项目实施后对周围环境的影响是可接受的。</w:t>
            </w:r>
          </w:p>
          <w:p w14:paraId="467673D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p>
          <w:p w14:paraId="4B10496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二、废水</w:t>
            </w:r>
          </w:p>
          <w:p w14:paraId="5FAB6F4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本项目用水主要为原料搅拌用水和裁切、打孔、切割喷洒一体板用水。</w:t>
            </w:r>
          </w:p>
          <w:p w14:paraId="576E69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生产用水：原料搅拌过程用水3m</w:t>
            </w:r>
            <w:r>
              <w:rPr>
                <w:rFonts w:hint="eastAsia"/>
                <w:highlight w:val="none"/>
                <w:vertAlign w:val="superscript"/>
                <w:lang w:val="en-US" w:eastAsia="zh-CN"/>
              </w:rPr>
              <w:t>3</w:t>
            </w:r>
            <w:r>
              <w:rPr>
                <w:rFonts w:hint="eastAsia"/>
                <w:highlight w:val="none"/>
                <w:lang w:val="en-US" w:eastAsia="zh-CN"/>
              </w:rPr>
              <w:t>/d，不产生废水。裁切、打孔、切割过程用水1.5m</w:t>
            </w:r>
            <w:r>
              <w:rPr>
                <w:rFonts w:hint="eastAsia"/>
                <w:highlight w:val="none"/>
                <w:vertAlign w:val="superscript"/>
                <w:lang w:val="en-US" w:eastAsia="zh-CN"/>
              </w:rPr>
              <w:t>3/</w:t>
            </w:r>
            <w:r>
              <w:rPr>
                <w:rFonts w:hint="eastAsia"/>
                <w:highlight w:val="none"/>
                <w:lang w:val="en-US" w:eastAsia="zh-CN"/>
              </w:rPr>
              <w:t>d，产生的废水全部排入沉淀池，循环使用，不外排。</w:t>
            </w:r>
          </w:p>
          <w:p w14:paraId="4139C81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 xml:space="preserve">生活用水：员工由厂内调剂，不新增劳动定员，不新增生活用水，不新增生活废水。 </w:t>
            </w:r>
          </w:p>
          <w:p w14:paraId="0B527F8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综上所述，项目废水全部回用，无废水外排。</w:t>
            </w:r>
          </w:p>
          <w:p w14:paraId="44E395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三、噪声</w:t>
            </w:r>
          </w:p>
          <w:p w14:paraId="6148AE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1、噪声源强及降噪措施</w:t>
            </w:r>
          </w:p>
          <w:p w14:paraId="24A7F07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eastAsia="zh-CN"/>
              </w:rPr>
            </w:pPr>
            <w:r>
              <w:rPr>
                <w:rFonts w:hint="eastAsia"/>
                <w:highlight w:val="none"/>
                <w:lang w:val="en-US" w:eastAsia="zh-CN"/>
              </w:rPr>
              <w:t>本项目噪声源强为65~80dB(A)，所有设备均布置在封闭生产车间内，设备基础安装减振垫，可综合降噪15dB(A）。本项目主要设备的噪声源强详见下表。</w:t>
            </w:r>
          </w:p>
          <w:p w14:paraId="53CCDF6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2、预测模式</w:t>
            </w:r>
          </w:p>
          <w:p w14:paraId="14E1BA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eastAsia="zh-CN"/>
              </w:rPr>
            </w:pPr>
            <w:r>
              <w:rPr>
                <w:rFonts w:hint="eastAsia"/>
                <w:highlight w:val="none"/>
                <w:lang w:val="en-US" w:eastAsia="zh-CN"/>
              </w:rPr>
              <w:t>根据</w:t>
            </w:r>
            <w:r>
              <w:rPr>
                <w:rFonts w:hint="default"/>
                <w:highlight w:val="none"/>
                <w:lang w:val="en-US" w:eastAsia="zh-CN"/>
              </w:rPr>
              <w:t>《环境影响评价技术导则 声环境》（HJ2.4-2009）</w:t>
            </w:r>
            <w:r>
              <w:rPr>
                <w:rFonts w:hint="eastAsia"/>
                <w:highlight w:val="none"/>
                <w:lang w:val="en-US" w:eastAsia="zh-CN"/>
              </w:rPr>
              <w:t>的技术要求，本次评价采取导则上推荐模式。</w:t>
            </w:r>
          </w:p>
          <w:p w14:paraId="6EF78B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（1）噪声距离衰减公式</w:t>
            </w:r>
          </w:p>
          <w:p w14:paraId="78BD6027">
            <w:pPr>
              <w:keepNext w:val="0"/>
              <w:keepLines w:val="0"/>
              <w:pageBreakBefore w:val="0"/>
              <w:widowControl w:val="0"/>
              <w:kinsoku/>
              <w:wordWrap/>
              <w:overflowPunct/>
              <w:topLinePunct w:val="0"/>
              <w:bidi w:val="0"/>
              <w:snapToGrid/>
              <w:spacing w:line="360" w:lineRule="auto"/>
              <w:ind w:left="0" w:leftChars="0" w:firstLine="0" w:firstLineChars="0"/>
              <w:jc w:val="center"/>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LA=L</w:t>
            </w:r>
            <w:r>
              <w:rPr>
                <w:rFonts w:hint="default" w:ascii="Times New Roman" w:hAnsi="Times New Roman" w:eastAsia="宋体" w:cs="Times New Roman"/>
                <w:highlight w:val="none"/>
                <w:vertAlign w:val="subscript"/>
                <w:lang w:val="en-US" w:eastAsia="zh-CN"/>
              </w:rPr>
              <w:t>A0</w:t>
            </w:r>
            <w:r>
              <w:rPr>
                <w:rFonts w:hint="default" w:ascii="Times New Roman" w:hAnsi="Times New Roman" w:eastAsia="宋体" w:cs="Times New Roman"/>
                <w:highlight w:val="none"/>
                <w:lang w:val="en-US" w:eastAsia="zh-CN"/>
              </w:rPr>
              <w:t>-20Lg（</w:t>
            </w:r>
            <m:oMath>
              <m:f>
                <m:fPr>
                  <m:ctrlPr>
                    <w:rPr>
                      <w:rFonts w:hint="default" w:ascii="Cambria Math" w:hAnsi="Cambria Math" w:eastAsia="宋体" w:cs="Times New Roman"/>
                      <w:highlight w:val="none"/>
                      <w:lang w:val="en-US" w:eastAsia="zh-CN"/>
                    </w:rPr>
                  </m:ctrlPr>
                </m:fPr>
                <m:num>
                  <m:r>
                    <m:rPr>
                      <m:sty m:val="p"/>
                    </m:rPr>
                    <w:rPr>
                      <w:rFonts w:hint="default" w:ascii="Cambria Math" w:hAnsi="Cambria Math" w:eastAsia="宋体" w:cs="Times New Roman"/>
                      <w:highlight w:val="none"/>
                      <w:lang w:val="en-US" w:eastAsia="zh-CN"/>
                    </w:rPr>
                    <m:t>r</m:t>
                  </m:r>
                  <m:ctrlPr>
                    <w:rPr>
                      <w:rFonts w:hint="default" w:ascii="Cambria Math" w:hAnsi="Cambria Math" w:eastAsia="宋体" w:cs="Times New Roman"/>
                      <w:highlight w:val="none"/>
                      <w:lang w:val="en-US" w:eastAsia="zh-CN"/>
                    </w:rPr>
                  </m:ctrlPr>
                </m:num>
                <m:den>
                  <m:sSub>
                    <m:sSubPr>
                      <m:ctrlPr>
                        <w:rPr>
                          <w:rFonts w:hint="default" w:ascii="Cambria Math" w:hAnsi="Cambria Math" w:eastAsia="宋体" w:cs="Times New Roman"/>
                          <w:highlight w:val="none"/>
                          <w:lang w:val="en-US" w:eastAsia="zh-CN"/>
                        </w:rPr>
                      </m:ctrlPr>
                    </m:sSubPr>
                    <m:e>
                      <m:r>
                        <m:rPr>
                          <m:sty m:val="p"/>
                        </m:rPr>
                        <w:rPr>
                          <w:rFonts w:hint="default" w:ascii="Cambria Math" w:hAnsi="Cambria Math" w:eastAsia="宋体" w:cs="Times New Roman"/>
                          <w:highlight w:val="none"/>
                          <w:lang w:val="en-US" w:eastAsia="zh-CN"/>
                        </w:rPr>
                        <m:t>r</m:t>
                      </m:r>
                      <m:ctrlPr>
                        <w:rPr>
                          <w:rFonts w:hint="default" w:ascii="Cambria Math" w:hAnsi="Cambria Math" w:eastAsia="宋体" w:cs="Times New Roman"/>
                          <w:highlight w:val="none"/>
                          <w:lang w:val="en-US" w:eastAsia="zh-CN"/>
                        </w:rPr>
                      </m:ctrlPr>
                    </m:e>
                    <m:sub>
                      <m:r>
                        <m:rPr>
                          <m:sty m:val="p"/>
                        </m:rPr>
                        <w:rPr>
                          <w:rFonts w:hint="default" w:ascii="Cambria Math" w:hAnsi="Cambria Math" w:eastAsia="宋体" w:cs="Times New Roman"/>
                          <w:highlight w:val="none"/>
                          <w:lang w:val="en-US" w:eastAsia="zh-CN"/>
                        </w:rPr>
                        <m:t>0</m:t>
                      </m:r>
                      <m:ctrlPr>
                        <w:rPr>
                          <w:rFonts w:hint="default" w:ascii="Cambria Math" w:hAnsi="Cambria Math" w:eastAsia="宋体" w:cs="Times New Roman"/>
                          <w:highlight w:val="none"/>
                          <w:lang w:val="en-US" w:eastAsia="zh-CN"/>
                        </w:rPr>
                      </m:ctrlPr>
                    </m:sub>
                  </m:sSub>
                  <m:ctrlPr>
                    <w:rPr>
                      <w:rFonts w:hint="default" w:ascii="Cambria Math" w:hAnsi="Cambria Math" w:eastAsia="宋体" w:cs="Times New Roman"/>
                      <w:highlight w:val="none"/>
                      <w:lang w:val="en-US" w:eastAsia="zh-CN"/>
                    </w:rPr>
                  </m:ctrlPr>
                </m:den>
              </m:f>
            </m:oMath>
            <w:r>
              <w:rPr>
                <w:rFonts w:hint="default" w:ascii="Times New Roman" w:hAnsi="Times New Roman" w:eastAsia="宋体" w:cs="Times New Roman"/>
                <w:highlight w:val="none"/>
                <w:lang w:val="en-US" w:eastAsia="zh-CN"/>
              </w:rPr>
              <w:t>）-R</w:t>
            </w:r>
            <w:r>
              <w:rPr>
                <w:rFonts w:hint="default" w:ascii="Times New Roman" w:hAnsi="Times New Roman" w:eastAsia="宋体" w:cs="Times New Roman"/>
                <w:highlight w:val="none"/>
                <w:vertAlign w:val="subscript"/>
                <w:lang w:val="en-US" w:eastAsia="zh-CN"/>
              </w:rPr>
              <w:t>0</w:t>
            </w:r>
          </w:p>
          <w:p w14:paraId="59A0753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式中：LA</w:t>
            </w:r>
            <w:r>
              <w:rPr>
                <w:rFonts w:hint="default"/>
                <w:highlight w:val="none"/>
                <w:lang w:val="en-US" w:eastAsia="zh-CN"/>
              </w:rPr>
              <w:t>—</w:t>
            </w:r>
            <w:r>
              <w:rPr>
                <w:rFonts w:hint="eastAsia"/>
                <w:highlight w:val="none"/>
                <w:lang w:val="en-US" w:eastAsia="zh-CN"/>
              </w:rPr>
              <w:t>受声点（即被影响点）所接受的等效A声级，dB(A)；</w:t>
            </w:r>
          </w:p>
          <w:p w14:paraId="0ED9E9D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L</w:t>
            </w:r>
            <w:r>
              <w:rPr>
                <w:rFonts w:hint="eastAsia"/>
                <w:highlight w:val="none"/>
                <w:vertAlign w:val="subscript"/>
                <w:lang w:val="en-US" w:eastAsia="zh-CN"/>
              </w:rPr>
              <w:t>A0</w:t>
            </w:r>
            <w:r>
              <w:rPr>
                <w:rFonts w:hint="default"/>
                <w:highlight w:val="none"/>
                <w:lang w:val="en-US" w:eastAsia="zh-CN"/>
              </w:rPr>
              <w:t>—</w:t>
            </w:r>
            <w:r>
              <w:rPr>
                <w:rFonts w:hint="eastAsia"/>
                <w:highlight w:val="none"/>
                <w:lang w:val="en-US" w:eastAsia="zh-CN"/>
              </w:rPr>
              <w:t>参考位置源强dB(A)；</w:t>
            </w:r>
          </w:p>
          <w:p w14:paraId="544A356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r</w:t>
            </w:r>
            <w:r>
              <w:rPr>
                <w:rFonts w:hint="eastAsia"/>
                <w:highlight w:val="none"/>
                <w:vertAlign w:val="subscript"/>
                <w:lang w:val="en-US" w:eastAsia="zh-CN"/>
              </w:rPr>
              <w:t>0</w:t>
            </w:r>
            <w:r>
              <w:rPr>
                <w:rFonts w:hint="default"/>
                <w:highlight w:val="none"/>
                <w:lang w:val="en-US" w:eastAsia="zh-CN"/>
              </w:rPr>
              <w:t>—</w:t>
            </w:r>
            <w:r>
              <w:rPr>
                <w:rFonts w:hint="eastAsia"/>
                <w:highlight w:val="none"/>
                <w:lang w:val="en-US" w:eastAsia="zh-CN"/>
              </w:rPr>
              <w:t>参考位置，r0取1m；</w:t>
            </w:r>
          </w:p>
          <w:p w14:paraId="7EDCAE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 xml:space="preserve">r </w:t>
            </w:r>
            <w:r>
              <w:rPr>
                <w:rFonts w:hint="default"/>
                <w:highlight w:val="none"/>
                <w:lang w:val="en-US" w:eastAsia="zh-CN"/>
              </w:rPr>
              <w:t>—</w:t>
            </w:r>
            <w:r>
              <w:rPr>
                <w:rFonts w:hint="eastAsia"/>
                <w:highlight w:val="none"/>
                <w:lang w:val="en-US" w:eastAsia="zh-CN"/>
              </w:rPr>
              <w:t>噪声源至受声点的距离；</w:t>
            </w:r>
          </w:p>
          <w:p w14:paraId="57B7561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R</w:t>
            </w:r>
            <w:r>
              <w:rPr>
                <w:rFonts w:hint="eastAsia"/>
                <w:highlight w:val="none"/>
                <w:vertAlign w:val="subscript"/>
                <w:lang w:val="en-US" w:eastAsia="zh-CN"/>
              </w:rPr>
              <w:t>0</w:t>
            </w:r>
            <w:r>
              <w:rPr>
                <w:rFonts w:hint="default"/>
                <w:highlight w:val="none"/>
                <w:lang w:val="en-US" w:eastAsia="zh-CN"/>
              </w:rPr>
              <w:t>—</w:t>
            </w:r>
            <w:r>
              <w:rPr>
                <w:rFonts w:hint="eastAsia"/>
                <w:highlight w:val="none"/>
                <w:lang w:val="en-US" w:eastAsia="zh-CN"/>
              </w:rPr>
              <w:t>噪声源防护结构及房屋的隔声量，取15~20dB(A)。</w:t>
            </w:r>
          </w:p>
          <w:p w14:paraId="440B5B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（2）点源噪声叠加公示</w:t>
            </w:r>
          </w:p>
          <w:p w14:paraId="0AB568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建设项目声源在预测点产生的等效声级贡献值（Leqg）计算公式：</w:t>
            </w:r>
          </w:p>
          <w:p w14:paraId="43D0F43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highlight w:val="none"/>
                <w:lang w:eastAsia="zh-CN"/>
              </w:rPr>
            </w:pPr>
            <w:r>
              <w:rPr>
                <w:rFonts w:hint="eastAsia"/>
                <w:highlight w:val="none"/>
              </w:rPr>
              <w:t> </w:t>
            </w:r>
            <w:r>
              <w:rPr>
                <w:rFonts w:hint="eastAsia"/>
                <w:highlight w:val="none"/>
                <w:lang w:eastAsia="zh-CN"/>
              </w:rPr>
              <w:drawing>
                <wp:inline distT="0" distB="0" distL="114300" distR="114300">
                  <wp:extent cx="1876425" cy="598170"/>
                  <wp:effectExtent l="0" t="0" r="9525" b="11430"/>
                  <wp:docPr id="9" name="图片 9" descr="微信截图_2021101215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截图_20211012151416"/>
                          <pic:cNvPicPr>
                            <a:picLocks noChangeAspect="1"/>
                          </pic:cNvPicPr>
                        </pic:nvPicPr>
                        <pic:blipFill>
                          <a:blip r:embed="rId18"/>
                          <a:stretch>
                            <a:fillRect/>
                          </a:stretch>
                        </pic:blipFill>
                        <pic:spPr>
                          <a:xfrm>
                            <a:off x="0" y="0"/>
                            <a:ext cx="1876425" cy="598170"/>
                          </a:xfrm>
                          <a:prstGeom prst="rect">
                            <a:avLst/>
                          </a:prstGeom>
                        </pic:spPr>
                      </pic:pic>
                    </a:graphicData>
                  </a:graphic>
                </wp:inline>
              </w:drawing>
            </w:r>
          </w:p>
          <w:p w14:paraId="3D9FCB9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default"/>
                <w:highlight w:val="none"/>
                <w:lang w:val="en-US" w:eastAsia="zh-CN"/>
              </w:rPr>
              <w:t>L</w:t>
            </w:r>
            <w:r>
              <w:rPr>
                <w:rFonts w:hint="default"/>
                <w:highlight w:val="none"/>
                <w:vertAlign w:val="subscript"/>
                <w:lang w:val="en-US" w:eastAsia="zh-CN"/>
              </w:rPr>
              <w:t>eqg</w:t>
            </w:r>
            <w:r>
              <w:rPr>
                <w:rFonts w:hint="default"/>
                <w:highlight w:val="none"/>
                <w:lang w:val="en-US" w:eastAsia="zh-CN"/>
              </w:rPr>
              <w:t>—</w:t>
            </w:r>
            <w:r>
              <w:rPr>
                <w:rFonts w:hint="eastAsia"/>
                <w:highlight w:val="none"/>
                <w:lang w:val="en-US" w:eastAsia="zh-CN"/>
              </w:rPr>
              <w:t>建设项目声源在预测点的等效声级贡献值，dB(A)；</w:t>
            </w:r>
          </w:p>
          <w:p w14:paraId="714B34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default"/>
                <w:highlight w:val="none"/>
                <w:lang w:val="en-US" w:eastAsia="zh-CN"/>
              </w:rPr>
              <w:t>L</w:t>
            </w:r>
            <w:r>
              <w:rPr>
                <w:rFonts w:hint="default"/>
                <w:highlight w:val="none"/>
                <w:vertAlign w:val="subscript"/>
                <w:lang w:val="en-US" w:eastAsia="zh-CN"/>
              </w:rPr>
              <w:t>Ai</w:t>
            </w:r>
            <w:r>
              <w:rPr>
                <w:rFonts w:hint="default"/>
                <w:highlight w:val="none"/>
                <w:lang w:val="en-US" w:eastAsia="zh-CN"/>
              </w:rPr>
              <w:t>—</w:t>
            </w:r>
            <w:r>
              <w:rPr>
                <w:rFonts w:hint="eastAsia"/>
                <w:highlight w:val="none"/>
                <w:lang w:val="en-US" w:eastAsia="zh-CN"/>
              </w:rPr>
              <w:t>i声源在预测点产生的A声级，dB(A)；</w:t>
            </w:r>
          </w:p>
          <w:p w14:paraId="3F4038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default"/>
                <w:highlight w:val="none"/>
                <w:lang w:val="en-US" w:eastAsia="zh-CN"/>
              </w:rPr>
              <w:t>T</w:t>
            </w:r>
            <w:r>
              <w:rPr>
                <w:rFonts w:hint="eastAsia"/>
                <w:highlight w:val="none"/>
                <w:lang w:val="en-US" w:eastAsia="zh-CN"/>
              </w:rPr>
              <w:t xml:space="preserve"> </w:t>
            </w:r>
            <w:r>
              <w:rPr>
                <w:rFonts w:hint="default"/>
                <w:highlight w:val="none"/>
                <w:lang w:val="en-US" w:eastAsia="zh-CN"/>
              </w:rPr>
              <w:t>—</w:t>
            </w:r>
            <w:r>
              <w:rPr>
                <w:rFonts w:hint="eastAsia"/>
                <w:highlight w:val="none"/>
                <w:lang w:val="en-US" w:eastAsia="zh-CN"/>
              </w:rPr>
              <w:t>预测计算的时间段，s；</w:t>
            </w:r>
          </w:p>
          <w:p w14:paraId="6F97F80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default"/>
                <w:highlight w:val="none"/>
                <w:lang w:val="en-US" w:eastAsia="zh-CN"/>
              </w:rPr>
              <w:t>ti—</w:t>
            </w:r>
            <w:r>
              <w:rPr>
                <w:rFonts w:hint="eastAsia"/>
                <w:highlight w:val="none"/>
                <w:lang w:val="en-US" w:eastAsia="zh-CN"/>
              </w:rPr>
              <w:t>i声源在</w:t>
            </w:r>
            <w:r>
              <w:rPr>
                <w:rFonts w:hint="default"/>
                <w:highlight w:val="none"/>
                <w:lang w:val="en-US" w:eastAsia="zh-CN"/>
              </w:rPr>
              <w:t>T</w:t>
            </w:r>
            <w:r>
              <w:rPr>
                <w:rFonts w:hint="eastAsia"/>
                <w:highlight w:val="none"/>
                <w:lang w:val="en-US" w:eastAsia="zh-CN"/>
              </w:rPr>
              <w:t>时段内的运行时间，s。</w:t>
            </w:r>
          </w:p>
          <w:p w14:paraId="6EB4D95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（3）预测点的预测等效声级（</w:t>
            </w:r>
            <w:r>
              <w:rPr>
                <w:rFonts w:hint="default"/>
                <w:highlight w:val="none"/>
                <w:lang w:val="en-US" w:eastAsia="zh-CN"/>
              </w:rPr>
              <w:t>Leq</w:t>
            </w:r>
            <w:r>
              <w:rPr>
                <w:rFonts w:hint="eastAsia"/>
                <w:highlight w:val="none"/>
                <w:lang w:val="en-US" w:eastAsia="zh-CN"/>
              </w:rPr>
              <w:t>)计算公式，式中：</w:t>
            </w:r>
          </w:p>
          <w:p w14:paraId="098862E4">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200" w:right="0" w:rightChars="0"/>
              <w:jc w:val="center"/>
              <w:rPr>
                <w:rFonts w:hint="eastAsia"/>
                <w:highlight w:val="none"/>
                <w:lang w:eastAsia="zh-CN"/>
              </w:rPr>
            </w:pPr>
            <w:r>
              <w:rPr>
                <w:rFonts w:hint="eastAsia"/>
                <w:highlight w:val="none"/>
                <w:lang w:eastAsia="zh-CN"/>
              </w:rPr>
              <w:drawing>
                <wp:inline distT="0" distB="0" distL="114300" distR="114300">
                  <wp:extent cx="2063115" cy="414020"/>
                  <wp:effectExtent l="0" t="0" r="13335" b="5080"/>
                  <wp:docPr id="10" name="图片 10" descr="微信截图_20211012151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截图_20211012151156"/>
                          <pic:cNvPicPr>
                            <a:picLocks noChangeAspect="1"/>
                          </pic:cNvPicPr>
                        </pic:nvPicPr>
                        <pic:blipFill>
                          <a:blip r:embed="rId19"/>
                          <a:stretch>
                            <a:fillRect/>
                          </a:stretch>
                        </pic:blipFill>
                        <pic:spPr>
                          <a:xfrm>
                            <a:off x="0" y="0"/>
                            <a:ext cx="2063115" cy="414020"/>
                          </a:xfrm>
                          <a:prstGeom prst="rect">
                            <a:avLst/>
                          </a:prstGeom>
                        </pic:spPr>
                      </pic:pic>
                    </a:graphicData>
                  </a:graphic>
                </wp:inline>
              </w:drawing>
            </w:r>
          </w:p>
          <w:p w14:paraId="7556A1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default"/>
                <w:highlight w:val="none"/>
                <w:lang w:val="en-US" w:eastAsia="zh-CN"/>
              </w:rPr>
              <w:t>L</w:t>
            </w:r>
            <w:r>
              <w:rPr>
                <w:rFonts w:hint="default"/>
                <w:highlight w:val="none"/>
                <w:vertAlign w:val="subscript"/>
                <w:lang w:val="en-US" w:eastAsia="zh-CN"/>
              </w:rPr>
              <w:t>eqg</w:t>
            </w:r>
            <w:r>
              <w:rPr>
                <w:rFonts w:hint="default"/>
                <w:highlight w:val="none"/>
                <w:lang w:val="en-US" w:eastAsia="zh-CN"/>
              </w:rPr>
              <w:t xml:space="preserve"> —</w:t>
            </w:r>
            <w:r>
              <w:rPr>
                <w:rFonts w:hint="eastAsia"/>
                <w:highlight w:val="none"/>
                <w:lang w:val="en-US" w:eastAsia="zh-CN"/>
              </w:rPr>
              <w:t>建设项目声源在预测点的等效声级贡献值，dB(A);</w:t>
            </w:r>
          </w:p>
          <w:p w14:paraId="5BDC453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eastAsia="zh-CN"/>
              </w:rPr>
            </w:pPr>
            <w:r>
              <w:rPr>
                <w:rFonts w:hint="default"/>
                <w:highlight w:val="none"/>
                <w:lang w:val="en-US" w:eastAsia="zh-CN"/>
              </w:rPr>
              <w:t>L</w:t>
            </w:r>
            <w:r>
              <w:rPr>
                <w:rFonts w:hint="default"/>
                <w:highlight w:val="none"/>
                <w:vertAlign w:val="subscript"/>
                <w:lang w:val="en-US" w:eastAsia="zh-CN"/>
              </w:rPr>
              <w:t>eqb</w:t>
            </w:r>
            <w:r>
              <w:rPr>
                <w:rFonts w:hint="eastAsia"/>
                <w:highlight w:val="none"/>
                <w:lang w:val="en-US" w:eastAsia="zh-CN"/>
              </w:rPr>
              <w:t xml:space="preserve"> </w:t>
            </w:r>
            <w:r>
              <w:rPr>
                <w:rFonts w:hint="default"/>
                <w:highlight w:val="none"/>
                <w:lang w:val="en-US" w:eastAsia="zh-CN"/>
              </w:rPr>
              <w:t>—</w:t>
            </w:r>
            <w:r>
              <w:rPr>
                <w:rFonts w:hint="eastAsia"/>
                <w:highlight w:val="none"/>
                <w:lang w:val="en-US" w:eastAsia="zh-CN"/>
              </w:rPr>
              <w:t>预测点的背景值，dB(A)。</w:t>
            </w:r>
          </w:p>
          <w:p w14:paraId="0AC5D16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（4）户外声传播衰减计算</w:t>
            </w:r>
          </w:p>
          <w:p w14:paraId="2EB9CE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户外声传播衰减包括几何发散（</w:t>
            </w:r>
            <w:r>
              <w:rPr>
                <w:rFonts w:hint="default"/>
                <w:highlight w:val="none"/>
                <w:lang w:val="en-US" w:eastAsia="zh-CN"/>
              </w:rPr>
              <w:t>A</w:t>
            </w:r>
            <w:r>
              <w:rPr>
                <w:rFonts w:hint="default"/>
                <w:highlight w:val="none"/>
                <w:vertAlign w:val="subscript"/>
                <w:lang w:val="en-US" w:eastAsia="zh-CN"/>
              </w:rPr>
              <w:t>div</w:t>
            </w:r>
            <w:r>
              <w:rPr>
                <w:rFonts w:hint="eastAsia"/>
                <w:highlight w:val="none"/>
                <w:lang w:val="en-US" w:eastAsia="zh-CN"/>
              </w:rPr>
              <w:t>）、大气吸收（</w:t>
            </w:r>
            <w:r>
              <w:rPr>
                <w:rFonts w:hint="default"/>
                <w:highlight w:val="none"/>
                <w:lang w:val="en-US" w:eastAsia="zh-CN"/>
              </w:rPr>
              <w:t>A</w:t>
            </w:r>
            <w:r>
              <w:rPr>
                <w:rFonts w:hint="default"/>
                <w:highlight w:val="none"/>
                <w:vertAlign w:val="subscript"/>
                <w:lang w:val="en-US" w:eastAsia="zh-CN"/>
              </w:rPr>
              <w:t>atm</w:t>
            </w:r>
            <w:r>
              <w:rPr>
                <w:rFonts w:hint="eastAsia"/>
                <w:highlight w:val="none"/>
                <w:lang w:val="en-US" w:eastAsia="zh-CN"/>
              </w:rPr>
              <w:t>）、地面效应（</w:t>
            </w:r>
            <w:r>
              <w:rPr>
                <w:rFonts w:hint="default"/>
                <w:highlight w:val="none"/>
                <w:lang w:val="en-US" w:eastAsia="zh-CN"/>
              </w:rPr>
              <w:t>A</w:t>
            </w:r>
            <w:r>
              <w:rPr>
                <w:rFonts w:hint="default"/>
                <w:highlight w:val="none"/>
                <w:vertAlign w:val="subscript"/>
                <w:lang w:val="en-US" w:eastAsia="zh-CN"/>
              </w:rPr>
              <w:t>gr</w:t>
            </w:r>
            <w:r>
              <w:rPr>
                <w:rFonts w:hint="eastAsia"/>
                <w:highlight w:val="none"/>
                <w:lang w:val="en-US" w:eastAsia="zh-CN"/>
              </w:rPr>
              <w:t>）、屏</w:t>
            </w:r>
          </w:p>
          <w:p w14:paraId="4A39D96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障屏蔽（</w:t>
            </w:r>
            <w:r>
              <w:rPr>
                <w:rFonts w:hint="default"/>
                <w:highlight w:val="none"/>
                <w:lang w:val="en-US" w:eastAsia="zh-CN"/>
              </w:rPr>
              <w:t>A</w:t>
            </w:r>
            <w:r>
              <w:rPr>
                <w:rFonts w:hint="default"/>
                <w:highlight w:val="none"/>
                <w:vertAlign w:val="subscript"/>
                <w:lang w:val="en-US" w:eastAsia="zh-CN"/>
              </w:rPr>
              <w:t>bar</w:t>
            </w:r>
            <w:r>
              <w:rPr>
                <w:rFonts w:hint="eastAsia"/>
                <w:highlight w:val="none"/>
                <w:lang w:val="en-US" w:eastAsia="zh-CN"/>
              </w:rPr>
              <w:t>）、其他多方面效应（</w:t>
            </w:r>
            <w:r>
              <w:rPr>
                <w:rFonts w:hint="default"/>
                <w:highlight w:val="none"/>
                <w:lang w:val="en-US" w:eastAsia="zh-CN"/>
              </w:rPr>
              <w:t>A</w:t>
            </w:r>
            <w:r>
              <w:rPr>
                <w:rFonts w:hint="default"/>
                <w:highlight w:val="none"/>
                <w:vertAlign w:val="subscript"/>
                <w:lang w:val="en-US" w:eastAsia="zh-CN"/>
              </w:rPr>
              <w:t>misc</w:t>
            </w:r>
            <w:r>
              <w:rPr>
                <w:rFonts w:hint="eastAsia"/>
                <w:highlight w:val="none"/>
                <w:lang w:val="en-US" w:eastAsia="zh-CN"/>
              </w:rPr>
              <w:t>）引起的衰减。</w:t>
            </w:r>
          </w:p>
          <w:p w14:paraId="68ACC0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距声源点r处的A声级按下式计算：</w:t>
            </w:r>
          </w:p>
          <w:p w14:paraId="1E76746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firstLine="420" w:firstLineChars="200"/>
              <w:jc w:val="center"/>
              <w:rPr>
                <w:rFonts w:hint="default" w:ascii="Times New Roman" w:hAnsi="Times New Roman" w:cs="Times New Roman"/>
                <w:sz w:val="21"/>
                <w:szCs w:val="21"/>
                <w:highlight w:val="none"/>
                <w:lang w:eastAsia="zh-CN"/>
              </w:rPr>
            </w:pPr>
            <w:r>
              <w:rPr>
                <w:rFonts w:hint="default" w:ascii="Times New Roman" w:hAnsi="Times New Roman" w:cs="Times New Roman"/>
                <w:sz w:val="21"/>
                <w:szCs w:val="21"/>
                <w:highlight w:val="none"/>
                <w:lang w:eastAsia="zh-CN"/>
              </w:rPr>
              <w:t>L</w:t>
            </w:r>
            <w:r>
              <w:rPr>
                <w:rFonts w:hint="default" w:ascii="Times New Roman" w:hAnsi="Times New Roman" w:cs="Times New Roman"/>
                <w:sz w:val="21"/>
                <w:szCs w:val="21"/>
                <w:highlight w:val="none"/>
                <w:vertAlign w:val="subscript"/>
                <w:lang w:val="en-US" w:eastAsia="zh-CN"/>
              </w:rPr>
              <w:t>p</w:t>
            </w:r>
            <w:r>
              <w:rPr>
                <w:rFonts w:hint="default" w:ascii="Times New Roman" w:hAnsi="Times New Roman" w:cs="Times New Roman"/>
                <w:sz w:val="21"/>
                <w:szCs w:val="21"/>
                <w:highlight w:val="none"/>
                <w:lang w:eastAsia="zh-CN"/>
              </w:rPr>
              <w:t xml:space="preserve"> (r)=L</w:t>
            </w:r>
            <w:r>
              <w:rPr>
                <w:rFonts w:hint="default" w:ascii="Times New Roman" w:hAnsi="Times New Roman" w:cs="Times New Roman"/>
                <w:sz w:val="21"/>
                <w:szCs w:val="21"/>
                <w:highlight w:val="none"/>
                <w:vertAlign w:val="subscript"/>
                <w:lang w:val="en-US" w:eastAsia="zh-CN"/>
              </w:rPr>
              <w:t>p</w:t>
            </w:r>
            <w:r>
              <w:rPr>
                <w:rFonts w:hint="default" w:ascii="Times New Roman" w:hAnsi="Times New Roman" w:cs="Times New Roman"/>
                <w:sz w:val="21"/>
                <w:szCs w:val="21"/>
                <w:highlight w:val="none"/>
                <w:vertAlign w:val="subscript"/>
                <w:lang w:eastAsia="zh-CN"/>
              </w:rPr>
              <w:t xml:space="preserve"> </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 xml:space="preserve"> </w:t>
            </w:r>
            <w:r>
              <w:rPr>
                <w:rFonts w:hint="default" w:ascii="Times New Roman" w:hAnsi="Times New Roman" w:cs="Times New Roman"/>
                <w:sz w:val="21"/>
                <w:szCs w:val="21"/>
                <w:highlight w:val="none"/>
                <w:lang w:eastAsia="zh-CN"/>
              </w:rPr>
              <w:t>r</w:t>
            </w:r>
            <w:r>
              <w:rPr>
                <w:rFonts w:hint="default" w:ascii="Times New Roman" w:hAnsi="Times New Roman" w:cs="Times New Roman"/>
                <w:sz w:val="21"/>
                <w:szCs w:val="21"/>
                <w:highlight w:val="none"/>
                <w:vertAlign w:val="subscript"/>
                <w:lang w:val="en-US" w:eastAsia="zh-CN"/>
              </w:rPr>
              <w:t>0</w:t>
            </w:r>
            <w:r>
              <w:rPr>
                <w:rFonts w:hint="default" w:ascii="Times New Roman" w:hAnsi="Times New Roman" w:cs="Times New Roman"/>
                <w:sz w:val="21"/>
                <w:szCs w:val="21"/>
                <w:highlight w:val="none"/>
                <w:lang w:val="en-US" w:eastAsia="zh-CN"/>
              </w:rPr>
              <w:t xml:space="preserve"> </w:t>
            </w:r>
            <w:r>
              <w:rPr>
                <w:rFonts w:hint="default" w:ascii="Times New Roman" w:hAnsi="Times New Roman" w:cs="Times New Roman"/>
                <w:sz w:val="21"/>
                <w:szCs w:val="21"/>
                <w:highlight w:val="none"/>
                <w:lang w:eastAsia="zh-CN"/>
              </w:rPr>
              <w:t>)</w:t>
            </w:r>
            <w:r>
              <w:rPr>
                <w:rFonts w:hint="default" w:ascii="Times New Roman" w:hAnsi="Times New Roman" w:cs="Times New Roman"/>
                <w:sz w:val="21"/>
                <w:szCs w:val="21"/>
                <w:highlight w:val="none"/>
                <w:lang w:val="en-US" w:eastAsia="zh-CN"/>
              </w:rPr>
              <w:t xml:space="preserve"> - </w:t>
            </w:r>
            <w:r>
              <w:rPr>
                <w:rFonts w:hint="default" w:ascii="Times New Roman" w:hAnsi="Times New Roman" w:cs="Times New Roman"/>
                <w:sz w:val="21"/>
                <w:szCs w:val="21"/>
                <w:highlight w:val="none"/>
                <w:lang w:eastAsia="zh-CN"/>
              </w:rPr>
              <w:t>(A</w:t>
            </w:r>
            <w:r>
              <w:rPr>
                <w:rFonts w:hint="default" w:ascii="Times New Roman" w:hAnsi="Times New Roman" w:cs="Times New Roman"/>
                <w:sz w:val="21"/>
                <w:szCs w:val="21"/>
                <w:highlight w:val="none"/>
                <w:vertAlign w:val="subscript"/>
                <w:lang w:eastAsia="zh-CN"/>
              </w:rPr>
              <w:t>div</w:t>
            </w:r>
            <w:r>
              <w:rPr>
                <w:rFonts w:hint="default" w:ascii="Times New Roman" w:hAnsi="Times New Roman" w:cs="Times New Roman"/>
                <w:sz w:val="21"/>
                <w:szCs w:val="21"/>
                <w:highlight w:val="none"/>
                <w:lang w:eastAsia="zh-CN"/>
              </w:rPr>
              <w:t>+A</w:t>
            </w:r>
            <w:r>
              <w:rPr>
                <w:rFonts w:hint="default" w:ascii="Times New Roman" w:hAnsi="Times New Roman" w:cs="Times New Roman"/>
                <w:sz w:val="21"/>
                <w:szCs w:val="21"/>
                <w:highlight w:val="none"/>
                <w:vertAlign w:val="subscript"/>
                <w:lang w:eastAsia="zh-CN"/>
              </w:rPr>
              <w:t>atm</w:t>
            </w:r>
            <w:r>
              <w:rPr>
                <w:rFonts w:hint="default" w:ascii="Times New Roman" w:hAnsi="Times New Roman" w:cs="Times New Roman"/>
                <w:sz w:val="21"/>
                <w:szCs w:val="21"/>
                <w:highlight w:val="none"/>
                <w:lang w:eastAsia="zh-CN"/>
              </w:rPr>
              <w:t>+A</w:t>
            </w:r>
            <w:r>
              <w:rPr>
                <w:rFonts w:hint="default" w:ascii="Times New Roman" w:hAnsi="Times New Roman" w:cs="Times New Roman"/>
                <w:sz w:val="21"/>
                <w:szCs w:val="21"/>
                <w:highlight w:val="none"/>
                <w:vertAlign w:val="subscript"/>
                <w:lang w:eastAsia="zh-CN"/>
              </w:rPr>
              <w:t>gr</w:t>
            </w:r>
            <w:r>
              <w:rPr>
                <w:rFonts w:hint="default" w:ascii="Times New Roman" w:hAnsi="Times New Roman" w:cs="Times New Roman"/>
                <w:sz w:val="21"/>
                <w:szCs w:val="21"/>
                <w:highlight w:val="none"/>
                <w:lang w:eastAsia="zh-CN"/>
              </w:rPr>
              <w:t>+A</w:t>
            </w:r>
            <w:r>
              <w:rPr>
                <w:rFonts w:hint="default" w:ascii="Times New Roman" w:hAnsi="Times New Roman" w:cs="Times New Roman"/>
                <w:sz w:val="21"/>
                <w:szCs w:val="21"/>
                <w:highlight w:val="none"/>
                <w:vertAlign w:val="subscript"/>
                <w:lang w:eastAsia="zh-CN"/>
              </w:rPr>
              <w:t>bar</w:t>
            </w:r>
            <w:r>
              <w:rPr>
                <w:rFonts w:hint="default" w:ascii="Times New Roman" w:hAnsi="Times New Roman" w:cs="Times New Roman"/>
                <w:sz w:val="21"/>
                <w:szCs w:val="21"/>
                <w:highlight w:val="none"/>
                <w:lang w:eastAsia="zh-CN"/>
              </w:rPr>
              <w:t>+A</w:t>
            </w:r>
            <w:r>
              <w:rPr>
                <w:rFonts w:hint="default" w:ascii="Times New Roman" w:hAnsi="Times New Roman" w:cs="Times New Roman"/>
                <w:sz w:val="21"/>
                <w:szCs w:val="21"/>
                <w:highlight w:val="none"/>
                <w:vertAlign w:val="subscript"/>
                <w:lang w:eastAsia="zh-CN"/>
              </w:rPr>
              <w:t>misc</w:t>
            </w:r>
            <w:r>
              <w:rPr>
                <w:rFonts w:hint="default" w:ascii="Times New Roman" w:hAnsi="Times New Roman" w:cs="Times New Roman"/>
                <w:sz w:val="21"/>
                <w:szCs w:val="21"/>
                <w:highlight w:val="none"/>
                <w:lang w:eastAsia="zh-CN"/>
              </w:rPr>
              <w:t>)</w:t>
            </w:r>
          </w:p>
          <w:p w14:paraId="2935E3F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sz w:val="21"/>
                <w:szCs w:val="21"/>
                <w:highlight w:val="none"/>
                <w:lang w:val="en-US" w:eastAsia="zh-CN"/>
              </w:rPr>
            </w:pPr>
            <w:r>
              <w:rPr>
                <w:rFonts w:hint="eastAsia" w:ascii="Times New Roman" w:hAnsi="Times New Roman" w:eastAsia="宋体" w:cs="Times New Roman"/>
                <w:kern w:val="2"/>
                <w:sz w:val="21"/>
                <w:szCs w:val="24"/>
                <w:highlight w:val="none"/>
                <w:lang w:val="en-US" w:eastAsia="zh-CN" w:bidi="ar-SA"/>
              </w:rPr>
              <w:t>在预测中不考虑反射引起的修正、屏障引起的衰减、双绕射、室内声源等效室外声源等影响和计算方法。</w:t>
            </w:r>
          </w:p>
          <w:p w14:paraId="50426F32">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eastAsia"/>
                <w:b/>
                <w:bCs/>
                <w:highlight w:val="none"/>
                <w:lang w:eastAsia="zh-CN"/>
              </w:rPr>
            </w:pPr>
            <w:r>
              <w:rPr>
                <w:rFonts w:hint="eastAsia"/>
                <w:b/>
                <w:bCs/>
                <w:highlight w:val="none"/>
                <w:lang w:val="en-US" w:eastAsia="zh-CN"/>
              </w:rPr>
              <w:t>表4-5  本项目设备噪声源强一览表  单位：dB(A)</w:t>
            </w:r>
          </w:p>
          <w:tbl>
            <w:tblPr>
              <w:tblStyle w:val="20"/>
              <w:tblW w:w="486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217"/>
              <w:gridCol w:w="1095"/>
              <w:gridCol w:w="1095"/>
              <w:gridCol w:w="990"/>
              <w:gridCol w:w="1551"/>
              <w:gridCol w:w="875"/>
              <w:gridCol w:w="875"/>
            </w:tblGrid>
            <w:tr w14:paraId="5F1DFF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217" w:type="dxa"/>
                  <w:tcBorders>
                    <w:tl2br w:val="nil"/>
                    <w:tr2bl w:val="nil"/>
                  </w:tcBorders>
                  <w:noWrap w:val="0"/>
                  <w:vAlign w:val="center"/>
                </w:tcPr>
                <w:p w14:paraId="7BD43274">
                  <w:pPr>
                    <w:spacing w:line="264" w:lineRule="auto"/>
                    <w:jc w:val="center"/>
                    <w:rPr>
                      <w:rFonts w:hint="eastAsia"/>
                      <w:highlight w:val="none"/>
                      <w:lang w:val="en-US" w:eastAsia="zh-CN"/>
                    </w:rPr>
                  </w:pPr>
                  <w:r>
                    <w:rPr>
                      <w:rFonts w:hint="eastAsia"/>
                      <w:highlight w:val="none"/>
                      <w:lang w:val="en-US" w:eastAsia="zh-CN"/>
                    </w:rPr>
                    <w:t>设备名称</w:t>
                  </w:r>
                </w:p>
              </w:tc>
              <w:tc>
                <w:tcPr>
                  <w:tcW w:w="1095" w:type="dxa"/>
                  <w:tcBorders>
                    <w:tl2br w:val="nil"/>
                    <w:tr2bl w:val="nil"/>
                  </w:tcBorders>
                  <w:noWrap w:val="0"/>
                  <w:vAlign w:val="center"/>
                </w:tcPr>
                <w:p w14:paraId="1191AD4D">
                  <w:pPr>
                    <w:spacing w:line="264" w:lineRule="auto"/>
                    <w:jc w:val="center"/>
                    <w:rPr>
                      <w:rFonts w:hint="eastAsia"/>
                      <w:highlight w:val="none"/>
                      <w:lang w:val="en-US" w:eastAsia="zh-CN"/>
                    </w:rPr>
                  </w:pPr>
                  <w:r>
                    <w:rPr>
                      <w:rFonts w:hint="eastAsia"/>
                      <w:highlight w:val="none"/>
                      <w:lang w:val="en-US" w:eastAsia="zh-CN"/>
                    </w:rPr>
                    <w:t>单台源强[dB(A)]</w:t>
                  </w:r>
                </w:p>
              </w:tc>
              <w:tc>
                <w:tcPr>
                  <w:tcW w:w="1095" w:type="dxa"/>
                  <w:tcBorders>
                    <w:tl2br w:val="nil"/>
                    <w:tr2bl w:val="nil"/>
                  </w:tcBorders>
                  <w:noWrap w:val="0"/>
                  <w:vAlign w:val="center"/>
                </w:tcPr>
                <w:p w14:paraId="71A69C64">
                  <w:pPr>
                    <w:spacing w:line="264" w:lineRule="auto"/>
                    <w:jc w:val="center"/>
                    <w:rPr>
                      <w:rFonts w:hint="eastAsia"/>
                      <w:highlight w:val="none"/>
                      <w:lang w:val="en-US" w:eastAsia="zh-CN"/>
                    </w:rPr>
                  </w:pPr>
                  <w:r>
                    <w:rPr>
                      <w:rFonts w:hint="eastAsia"/>
                      <w:highlight w:val="none"/>
                      <w:lang w:val="en-US" w:eastAsia="zh-CN"/>
                    </w:rPr>
                    <w:t>台（套）数</w:t>
                  </w:r>
                </w:p>
              </w:tc>
              <w:tc>
                <w:tcPr>
                  <w:tcW w:w="990" w:type="dxa"/>
                  <w:tcBorders>
                    <w:tl2br w:val="nil"/>
                    <w:tr2bl w:val="nil"/>
                  </w:tcBorders>
                  <w:noWrap w:val="0"/>
                  <w:vAlign w:val="center"/>
                </w:tcPr>
                <w:p w14:paraId="07E28A18">
                  <w:pPr>
                    <w:spacing w:line="264" w:lineRule="auto"/>
                    <w:jc w:val="center"/>
                    <w:rPr>
                      <w:rFonts w:hint="default"/>
                      <w:highlight w:val="none"/>
                      <w:lang w:val="en-US" w:eastAsia="zh-CN"/>
                    </w:rPr>
                  </w:pPr>
                  <w:r>
                    <w:rPr>
                      <w:rFonts w:hint="eastAsia"/>
                      <w:highlight w:val="none"/>
                      <w:lang w:val="en-US" w:eastAsia="zh-CN"/>
                    </w:rPr>
                    <w:t>持续时间</w:t>
                  </w:r>
                </w:p>
              </w:tc>
              <w:tc>
                <w:tcPr>
                  <w:tcW w:w="1551" w:type="dxa"/>
                  <w:tcBorders>
                    <w:tl2br w:val="nil"/>
                    <w:tr2bl w:val="nil"/>
                  </w:tcBorders>
                  <w:noWrap w:val="0"/>
                  <w:vAlign w:val="center"/>
                </w:tcPr>
                <w:p w14:paraId="2001F746">
                  <w:pPr>
                    <w:spacing w:line="264" w:lineRule="auto"/>
                    <w:jc w:val="center"/>
                    <w:rPr>
                      <w:rFonts w:hint="eastAsia"/>
                      <w:highlight w:val="none"/>
                      <w:lang w:val="en-US" w:eastAsia="zh-CN"/>
                    </w:rPr>
                  </w:pPr>
                  <w:r>
                    <w:rPr>
                      <w:rFonts w:hint="eastAsia"/>
                      <w:highlight w:val="none"/>
                      <w:lang w:val="en-US" w:eastAsia="zh-CN"/>
                    </w:rPr>
                    <w:t>拟采取的治理措施</w:t>
                  </w:r>
                </w:p>
              </w:tc>
              <w:tc>
                <w:tcPr>
                  <w:tcW w:w="875" w:type="dxa"/>
                  <w:tcBorders>
                    <w:tl2br w:val="nil"/>
                    <w:tr2bl w:val="nil"/>
                  </w:tcBorders>
                  <w:noWrap w:val="0"/>
                  <w:vAlign w:val="center"/>
                </w:tcPr>
                <w:p w14:paraId="1A39F0F2">
                  <w:pPr>
                    <w:spacing w:line="264" w:lineRule="auto"/>
                    <w:jc w:val="center"/>
                    <w:rPr>
                      <w:rFonts w:hint="default"/>
                      <w:highlight w:val="none"/>
                      <w:lang w:val="en-US" w:eastAsia="zh-CN"/>
                    </w:rPr>
                  </w:pPr>
                  <w:r>
                    <w:rPr>
                      <w:rFonts w:hint="eastAsia"/>
                      <w:highlight w:val="none"/>
                      <w:lang w:val="en-US" w:eastAsia="zh-CN"/>
                    </w:rPr>
                    <w:t>降噪效果dB(A)</w:t>
                  </w:r>
                </w:p>
              </w:tc>
              <w:tc>
                <w:tcPr>
                  <w:tcW w:w="875" w:type="dxa"/>
                  <w:tcBorders>
                    <w:tl2br w:val="nil"/>
                    <w:tr2bl w:val="nil"/>
                  </w:tcBorders>
                  <w:noWrap w:val="0"/>
                  <w:vAlign w:val="center"/>
                </w:tcPr>
                <w:p w14:paraId="79D31006">
                  <w:pPr>
                    <w:spacing w:line="264" w:lineRule="auto"/>
                    <w:jc w:val="center"/>
                    <w:rPr>
                      <w:rFonts w:hint="eastAsia"/>
                      <w:highlight w:val="none"/>
                      <w:lang w:val="en-US" w:eastAsia="zh-CN"/>
                    </w:rPr>
                  </w:pPr>
                  <w:r>
                    <w:rPr>
                      <w:rFonts w:hint="eastAsia"/>
                      <w:highlight w:val="none"/>
                      <w:lang w:val="en-US" w:eastAsia="zh-CN"/>
                    </w:rPr>
                    <w:t>降噪后 噪声值</w:t>
                  </w:r>
                </w:p>
              </w:tc>
            </w:tr>
            <w:tr w14:paraId="0FE0A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217" w:type="dxa"/>
                  <w:tcBorders>
                    <w:tl2br w:val="nil"/>
                    <w:tr2bl w:val="nil"/>
                  </w:tcBorders>
                  <w:noWrap w:val="0"/>
                  <w:vAlign w:val="center"/>
                </w:tcPr>
                <w:p w14:paraId="334F15C6">
                  <w:pPr>
                    <w:widowControl/>
                    <w:spacing w:line="0" w:lineRule="atLeast"/>
                    <w:jc w:val="center"/>
                    <w:textAlignment w:val="center"/>
                    <w:rPr>
                      <w:rFonts w:hint="default"/>
                      <w:highlight w:val="none"/>
                      <w:lang w:val="en-US" w:eastAsia="zh-CN"/>
                    </w:rPr>
                  </w:pPr>
                  <w:r>
                    <w:rPr>
                      <w:rFonts w:hint="eastAsia"/>
                      <w:highlight w:val="none"/>
                      <w:lang w:val="en-US" w:eastAsia="zh-CN"/>
                    </w:rPr>
                    <w:t>上料风机</w:t>
                  </w:r>
                </w:p>
              </w:tc>
              <w:tc>
                <w:tcPr>
                  <w:tcW w:w="1095" w:type="dxa"/>
                  <w:tcBorders>
                    <w:tl2br w:val="nil"/>
                    <w:tr2bl w:val="nil"/>
                  </w:tcBorders>
                  <w:noWrap w:val="0"/>
                  <w:vAlign w:val="center"/>
                </w:tcPr>
                <w:p w14:paraId="7C6D84A8">
                  <w:pPr>
                    <w:spacing w:line="264" w:lineRule="auto"/>
                    <w:jc w:val="center"/>
                    <w:rPr>
                      <w:rFonts w:hint="default"/>
                      <w:highlight w:val="none"/>
                      <w:lang w:val="en-US" w:eastAsia="zh-CN"/>
                    </w:rPr>
                  </w:pPr>
                  <w:r>
                    <w:rPr>
                      <w:rFonts w:hint="eastAsia"/>
                      <w:highlight w:val="none"/>
                      <w:lang w:val="en-US" w:eastAsia="zh-CN"/>
                    </w:rPr>
                    <w:t>70</w:t>
                  </w:r>
                </w:p>
              </w:tc>
              <w:tc>
                <w:tcPr>
                  <w:tcW w:w="1095" w:type="dxa"/>
                  <w:tcBorders>
                    <w:tl2br w:val="nil"/>
                    <w:tr2bl w:val="nil"/>
                  </w:tcBorders>
                  <w:noWrap w:val="0"/>
                  <w:vAlign w:val="center"/>
                </w:tcPr>
                <w:p w14:paraId="1C7C7825">
                  <w:pPr>
                    <w:spacing w:line="264" w:lineRule="auto"/>
                    <w:jc w:val="center"/>
                    <w:rPr>
                      <w:rFonts w:hint="default"/>
                      <w:highlight w:val="none"/>
                      <w:lang w:val="en-US" w:eastAsia="zh-CN"/>
                    </w:rPr>
                  </w:pPr>
                  <w:r>
                    <w:rPr>
                      <w:rFonts w:hint="eastAsia"/>
                      <w:highlight w:val="none"/>
                      <w:lang w:val="en-US" w:eastAsia="zh-CN"/>
                    </w:rPr>
                    <w:t>2</w:t>
                  </w:r>
                </w:p>
              </w:tc>
              <w:tc>
                <w:tcPr>
                  <w:tcW w:w="990" w:type="dxa"/>
                  <w:vMerge w:val="restart"/>
                  <w:tcBorders>
                    <w:tl2br w:val="nil"/>
                    <w:tr2bl w:val="nil"/>
                  </w:tcBorders>
                  <w:noWrap w:val="0"/>
                  <w:vAlign w:val="center"/>
                </w:tcPr>
                <w:p w14:paraId="29E3F70A">
                  <w:pPr>
                    <w:spacing w:line="264" w:lineRule="auto"/>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8小时/天200天/年</w:t>
                  </w:r>
                </w:p>
              </w:tc>
              <w:tc>
                <w:tcPr>
                  <w:tcW w:w="1551" w:type="dxa"/>
                  <w:vMerge w:val="restart"/>
                  <w:tcBorders>
                    <w:tl2br w:val="nil"/>
                    <w:tr2bl w:val="nil"/>
                  </w:tcBorders>
                  <w:noWrap w:val="0"/>
                  <w:vAlign w:val="center"/>
                </w:tcPr>
                <w:p w14:paraId="4605A221">
                  <w:pPr>
                    <w:spacing w:line="264" w:lineRule="auto"/>
                    <w:jc w:val="cente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厂房隔声+基础减振，可综合降噪15dB(A)</w:t>
                  </w:r>
                </w:p>
              </w:tc>
              <w:tc>
                <w:tcPr>
                  <w:tcW w:w="875" w:type="dxa"/>
                  <w:vMerge w:val="restart"/>
                  <w:tcBorders>
                    <w:tl2br w:val="nil"/>
                    <w:tr2bl w:val="nil"/>
                  </w:tcBorders>
                  <w:noWrap w:val="0"/>
                  <w:vAlign w:val="center"/>
                </w:tcPr>
                <w:p w14:paraId="0CD0DBB5">
                  <w:pPr>
                    <w:spacing w:line="264" w:lineRule="auto"/>
                    <w:jc w:val="center"/>
                    <w:rPr>
                      <w:rFonts w:hint="default"/>
                      <w:highlight w:val="none"/>
                      <w:lang w:val="en-US" w:eastAsia="zh-CN"/>
                    </w:rPr>
                  </w:pPr>
                  <w:r>
                    <w:rPr>
                      <w:rFonts w:hint="eastAsia"/>
                      <w:highlight w:val="none"/>
                      <w:lang w:val="en-US" w:eastAsia="zh-CN"/>
                    </w:rPr>
                    <w:t>15</w:t>
                  </w:r>
                </w:p>
              </w:tc>
              <w:tc>
                <w:tcPr>
                  <w:tcW w:w="875" w:type="dxa"/>
                  <w:vMerge w:val="restart"/>
                  <w:tcBorders>
                    <w:tl2br w:val="nil"/>
                    <w:tr2bl w:val="nil"/>
                  </w:tcBorders>
                  <w:noWrap w:val="0"/>
                  <w:vAlign w:val="center"/>
                </w:tcPr>
                <w:p w14:paraId="603745E5">
                  <w:pPr>
                    <w:spacing w:line="264" w:lineRule="auto"/>
                    <w:ind w:firstLine="0" w:firstLineChars="0"/>
                    <w:jc w:val="center"/>
                    <w:rPr>
                      <w:rFonts w:hint="default"/>
                      <w:highlight w:val="none"/>
                      <w:lang w:val="en-US" w:eastAsia="zh-CN"/>
                    </w:rPr>
                  </w:pPr>
                  <w:r>
                    <w:rPr>
                      <w:rFonts w:hint="eastAsia" w:cs="Times New Roman"/>
                      <w:kern w:val="2"/>
                      <w:sz w:val="21"/>
                      <w:szCs w:val="24"/>
                      <w:highlight w:val="none"/>
                      <w:lang w:val="en-US" w:eastAsia="zh-CN" w:bidi="ar-SA"/>
                    </w:rPr>
                    <w:t>71.4</w:t>
                  </w:r>
                </w:p>
              </w:tc>
            </w:tr>
            <w:tr w14:paraId="1A2BA5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217" w:type="dxa"/>
                  <w:tcBorders>
                    <w:tl2br w:val="nil"/>
                    <w:tr2bl w:val="nil"/>
                  </w:tcBorders>
                  <w:noWrap w:val="0"/>
                  <w:vAlign w:val="center"/>
                </w:tcPr>
                <w:p w14:paraId="03BE21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搅拌机</w:t>
                  </w:r>
                </w:p>
              </w:tc>
              <w:tc>
                <w:tcPr>
                  <w:tcW w:w="1095" w:type="dxa"/>
                  <w:tcBorders>
                    <w:tl2br w:val="nil"/>
                    <w:tr2bl w:val="nil"/>
                  </w:tcBorders>
                  <w:noWrap w:val="0"/>
                  <w:vAlign w:val="center"/>
                </w:tcPr>
                <w:p w14:paraId="19280FC1">
                  <w:pPr>
                    <w:spacing w:line="264" w:lineRule="auto"/>
                    <w:jc w:val="center"/>
                    <w:rPr>
                      <w:rFonts w:hint="default"/>
                      <w:highlight w:val="none"/>
                      <w:lang w:val="en-US" w:eastAsia="zh-CN"/>
                    </w:rPr>
                  </w:pPr>
                  <w:r>
                    <w:rPr>
                      <w:rFonts w:hint="eastAsia"/>
                      <w:highlight w:val="none"/>
                      <w:lang w:val="en-US" w:eastAsia="zh-CN"/>
                    </w:rPr>
                    <w:t>65</w:t>
                  </w:r>
                </w:p>
              </w:tc>
              <w:tc>
                <w:tcPr>
                  <w:tcW w:w="1095" w:type="dxa"/>
                  <w:tcBorders>
                    <w:tl2br w:val="nil"/>
                    <w:tr2bl w:val="nil"/>
                  </w:tcBorders>
                  <w:noWrap w:val="0"/>
                  <w:vAlign w:val="center"/>
                </w:tcPr>
                <w:p w14:paraId="075F8463">
                  <w:pPr>
                    <w:spacing w:line="264" w:lineRule="auto"/>
                    <w:jc w:val="center"/>
                    <w:rPr>
                      <w:rFonts w:hint="default"/>
                      <w:highlight w:val="none"/>
                      <w:lang w:val="en-US" w:eastAsia="zh-CN"/>
                    </w:rPr>
                  </w:pPr>
                  <w:r>
                    <w:rPr>
                      <w:rFonts w:hint="eastAsia"/>
                      <w:highlight w:val="none"/>
                      <w:lang w:val="en-US" w:eastAsia="zh-CN"/>
                    </w:rPr>
                    <w:t>6</w:t>
                  </w:r>
                </w:p>
              </w:tc>
              <w:tc>
                <w:tcPr>
                  <w:tcW w:w="990" w:type="dxa"/>
                  <w:vMerge w:val="continue"/>
                  <w:tcBorders>
                    <w:tl2br w:val="nil"/>
                    <w:tr2bl w:val="nil"/>
                  </w:tcBorders>
                  <w:noWrap w:val="0"/>
                  <w:vAlign w:val="center"/>
                </w:tcPr>
                <w:p w14:paraId="62C81D95">
                  <w:pPr>
                    <w:spacing w:line="264" w:lineRule="auto"/>
                    <w:jc w:val="center"/>
                    <w:rPr>
                      <w:rFonts w:hint="eastAsia"/>
                      <w:highlight w:val="none"/>
                      <w:lang w:val="en-US" w:eastAsia="zh-CN"/>
                    </w:rPr>
                  </w:pPr>
                </w:p>
              </w:tc>
              <w:tc>
                <w:tcPr>
                  <w:tcW w:w="1551" w:type="dxa"/>
                  <w:vMerge w:val="continue"/>
                  <w:tcBorders>
                    <w:tl2br w:val="nil"/>
                    <w:tr2bl w:val="nil"/>
                  </w:tcBorders>
                  <w:noWrap w:val="0"/>
                  <w:vAlign w:val="center"/>
                </w:tcPr>
                <w:p w14:paraId="1BF6E12C">
                  <w:pPr>
                    <w:spacing w:line="264" w:lineRule="auto"/>
                    <w:jc w:val="center"/>
                    <w:rPr>
                      <w:rFonts w:hint="default"/>
                      <w:highlight w:val="none"/>
                      <w:lang w:val="en-US" w:eastAsia="zh-CN"/>
                    </w:rPr>
                  </w:pPr>
                </w:p>
              </w:tc>
              <w:tc>
                <w:tcPr>
                  <w:tcW w:w="875" w:type="dxa"/>
                  <w:vMerge w:val="continue"/>
                  <w:tcBorders>
                    <w:tl2br w:val="nil"/>
                    <w:tr2bl w:val="nil"/>
                  </w:tcBorders>
                  <w:noWrap w:val="0"/>
                  <w:vAlign w:val="center"/>
                </w:tcPr>
                <w:p w14:paraId="436B22FC">
                  <w:pPr>
                    <w:spacing w:line="264" w:lineRule="auto"/>
                    <w:ind w:firstLine="0" w:firstLineChars="0"/>
                    <w:jc w:val="center"/>
                    <w:rPr>
                      <w:rFonts w:hint="eastAsia"/>
                      <w:highlight w:val="none"/>
                      <w:lang w:val="en-US" w:eastAsia="zh-CN"/>
                    </w:rPr>
                  </w:pPr>
                </w:p>
              </w:tc>
              <w:tc>
                <w:tcPr>
                  <w:tcW w:w="875" w:type="dxa"/>
                  <w:vMerge w:val="continue"/>
                  <w:tcBorders>
                    <w:tl2br w:val="nil"/>
                    <w:tr2bl w:val="nil"/>
                  </w:tcBorders>
                  <w:noWrap w:val="0"/>
                  <w:vAlign w:val="center"/>
                </w:tcPr>
                <w:p w14:paraId="62811C05">
                  <w:pPr>
                    <w:spacing w:line="264" w:lineRule="auto"/>
                    <w:ind w:firstLine="0" w:firstLineChars="0"/>
                    <w:jc w:val="center"/>
                    <w:rPr>
                      <w:rFonts w:hint="default"/>
                      <w:highlight w:val="none"/>
                      <w:lang w:val="en-US" w:eastAsia="zh-CN"/>
                    </w:rPr>
                  </w:pPr>
                </w:p>
              </w:tc>
            </w:tr>
            <w:tr w14:paraId="7955FB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217" w:type="dxa"/>
                  <w:tcBorders>
                    <w:tl2br w:val="nil"/>
                    <w:tr2bl w:val="nil"/>
                  </w:tcBorders>
                  <w:noWrap w:val="0"/>
                  <w:vAlign w:val="center"/>
                </w:tcPr>
                <w:p w14:paraId="41663E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裁切机</w:t>
                  </w:r>
                </w:p>
              </w:tc>
              <w:tc>
                <w:tcPr>
                  <w:tcW w:w="1095" w:type="dxa"/>
                  <w:tcBorders>
                    <w:tl2br w:val="nil"/>
                    <w:tr2bl w:val="nil"/>
                  </w:tcBorders>
                  <w:noWrap w:val="0"/>
                  <w:vAlign w:val="center"/>
                </w:tcPr>
                <w:p w14:paraId="521B5F69">
                  <w:pPr>
                    <w:spacing w:line="264" w:lineRule="auto"/>
                    <w:jc w:val="center"/>
                    <w:rPr>
                      <w:rFonts w:hint="default"/>
                      <w:highlight w:val="none"/>
                      <w:lang w:val="en-US" w:eastAsia="zh-CN"/>
                    </w:rPr>
                  </w:pPr>
                  <w:r>
                    <w:rPr>
                      <w:rFonts w:hint="eastAsia"/>
                      <w:highlight w:val="none"/>
                      <w:lang w:val="en-US" w:eastAsia="zh-CN"/>
                    </w:rPr>
                    <w:t>65</w:t>
                  </w:r>
                </w:p>
              </w:tc>
              <w:tc>
                <w:tcPr>
                  <w:tcW w:w="1095" w:type="dxa"/>
                  <w:tcBorders>
                    <w:tl2br w:val="nil"/>
                    <w:tr2bl w:val="nil"/>
                  </w:tcBorders>
                  <w:noWrap w:val="0"/>
                  <w:vAlign w:val="center"/>
                </w:tcPr>
                <w:p w14:paraId="06489512">
                  <w:pPr>
                    <w:spacing w:line="264" w:lineRule="auto"/>
                    <w:jc w:val="center"/>
                    <w:rPr>
                      <w:rFonts w:hint="default"/>
                      <w:highlight w:val="none"/>
                      <w:lang w:val="en-US" w:eastAsia="zh-CN"/>
                    </w:rPr>
                  </w:pPr>
                  <w:r>
                    <w:rPr>
                      <w:rFonts w:hint="eastAsia"/>
                      <w:highlight w:val="none"/>
                      <w:lang w:val="en-US" w:eastAsia="zh-CN"/>
                    </w:rPr>
                    <w:t>1</w:t>
                  </w:r>
                </w:p>
              </w:tc>
              <w:tc>
                <w:tcPr>
                  <w:tcW w:w="990" w:type="dxa"/>
                  <w:vMerge w:val="continue"/>
                  <w:tcBorders>
                    <w:tl2br w:val="nil"/>
                    <w:tr2bl w:val="nil"/>
                  </w:tcBorders>
                  <w:noWrap w:val="0"/>
                  <w:vAlign w:val="center"/>
                </w:tcPr>
                <w:p w14:paraId="5D7E1528">
                  <w:pPr>
                    <w:spacing w:line="264" w:lineRule="auto"/>
                    <w:jc w:val="center"/>
                    <w:rPr>
                      <w:rFonts w:hint="eastAsia"/>
                      <w:highlight w:val="none"/>
                      <w:lang w:val="en-US" w:eastAsia="zh-CN"/>
                    </w:rPr>
                  </w:pPr>
                </w:p>
              </w:tc>
              <w:tc>
                <w:tcPr>
                  <w:tcW w:w="1551" w:type="dxa"/>
                  <w:vMerge w:val="continue"/>
                  <w:tcBorders>
                    <w:tl2br w:val="nil"/>
                    <w:tr2bl w:val="nil"/>
                  </w:tcBorders>
                  <w:noWrap w:val="0"/>
                  <w:vAlign w:val="center"/>
                </w:tcPr>
                <w:p w14:paraId="2D9ED6F9">
                  <w:pPr>
                    <w:spacing w:line="264" w:lineRule="auto"/>
                    <w:jc w:val="center"/>
                    <w:rPr>
                      <w:rFonts w:hint="default"/>
                      <w:highlight w:val="none"/>
                      <w:lang w:val="en-US" w:eastAsia="zh-CN"/>
                    </w:rPr>
                  </w:pPr>
                </w:p>
              </w:tc>
              <w:tc>
                <w:tcPr>
                  <w:tcW w:w="875" w:type="dxa"/>
                  <w:vMerge w:val="continue"/>
                  <w:tcBorders>
                    <w:tl2br w:val="nil"/>
                    <w:tr2bl w:val="nil"/>
                  </w:tcBorders>
                  <w:noWrap w:val="0"/>
                  <w:vAlign w:val="center"/>
                </w:tcPr>
                <w:p w14:paraId="00406B4F">
                  <w:pPr>
                    <w:spacing w:line="264" w:lineRule="auto"/>
                    <w:ind w:firstLine="0" w:firstLineChars="0"/>
                    <w:jc w:val="center"/>
                    <w:rPr>
                      <w:rFonts w:hint="eastAsia"/>
                      <w:highlight w:val="none"/>
                      <w:lang w:val="en-US" w:eastAsia="zh-CN"/>
                    </w:rPr>
                  </w:pPr>
                </w:p>
              </w:tc>
              <w:tc>
                <w:tcPr>
                  <w:tcW w:w="875" w:type="dxa"/>
                  <w:vMerge w:val="continue"/>
                  <w:tcBorders>
                    <w:tl2br w:val="nil"/>
                    <w:tr2bl w:val="nil"/>
                  </w:tcBorders>
                  <w:noWrap w:val="0"/>
                  <w:vAlign w:val="center"/>
                </w:tcPr>
                <w:p w14:paraId="3B8611CB">
                  <w:pPr>
                    <w:spacing w:line="264" w:lineRule="auto"/>
                    <w:ind w:firstLine="0" w:firstLineChars="0"/>
                    <w:jc w:val="center"/>
                    <w:rPr>
                      <w:rFonts w:hint="default"/>
                      <w:highlight w:val="none"/>
                      <w:lang w:val="en-US" w:eastAsia="zh-CN"/>
                    </w:rPr>
                  </w:pPr>
                </w:p>
              </w:tc>
            </w:tr>
            <w:tr w14:paraId="475338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217" w:type="dxa"/>
                  <w:tcBorders>
                    <w:tl2br w:val="nil"/>
                    <w:tr2bl w:val="nil"/>
                  </w:tcBorders>
                  <w:noWrap w:val="0"/>
                  <w:vAlign w:val="center"/>
                </w:tcPr>
                <w:p w14:paraId="673C00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空压机</w:t>
                  </w:r>
                </w:p>
              </w:tc>
              <w:tc>
                <w:tcPr>
                  <w:tcW w:w="1095" w:type="dxa"/>
                  <w:tcBorders>
                    <w:tl2br w:val="nil"/>
                    <w:tr2bl w:val="nil"/>
                  </w:tcBorders>
                  <w:noWrap w:val="0"/>
                  <w:vAlign w:val="center"/>
                </w:tcPr>
                <w:p w14:paraId="3D776B26">
                  <w:pPr>
                    <w:spacing w:line="264" w:lineRule="auto"/>
                    <w:jc w:val="center"/>
                    <w:rPr>
                      <w:rFonts w:hint="default"/>
                      <w:highlight w:val="none"/>
                      <w:lang w:val="en-US" w:eastAsia="zh-CN"/>
                    </w:rPr>
                  </w:pPr>
                  <w:r>
                    <w:rPr>
                      <w:rFonts w:hint="eastAsia"/>
                      <w:highlight w:val="none"/>
                      <w:lang w:val="en-US" w:eastAsia="zh-CN"/>
                    </w:rPr>
                    <w:t>80</w:t>
                  </w:r>
                </w:p>
              </w:tc>
              <w:tc>
                <w:tcPr>
                  <w:tcW w:w="1095" w:type="dxa"/>
                  <w:tcBorders>
                    <w:tl2br w:val="nil"/>
                    <w:tr2bl w:val="nil"/>
                  </w:tcBorders>
                  <w:noWrap w:val="0"/>
                  <w:vAlign w:val="center"/>
                </w:tcPr>
                <w:p w14:paraId="6B1B24E6">
                  <w:pPr>
                    <w:spacing w:line="264" w:lineRule="auto"/>
                    <w:jc w:val="center"/>
                    <w:rPr>
                      <w:rFonts w:hint="default"/>
                      <w:highlight w:val="none"/>
                      <w:lang w:val="en-US" w:eastAsia="zh-CN"/>
                    </w:rPr>
                  </w:pPr>
                  <w:r>
                    <w:rPr>
                      <w:rFonts w:hint="eastAsia"/>
                      <w:highlight w:val="none"/>
                      <w:lang w:val="en-US" w:eastAsia="zh-CN"/>
                    </w:rPr>
                    <w:t>1</w:t>
                  </w:r>
                </w:p>
              </w:tc>
              <w:tc>
                <w:tcPr>
                  <w:tcW w:w="990" w:type="dxa"/>
                  <w:vMerge w:val="continue"/>
                  <w:tcBorders>
                    <w:tl2br w:val="nil"/>
                    <w:tr2bl w:val="nil"/>
                  </w:tcBorders>
                  <w:noWrap w:val="0"/>
                  <w:vAlign w:val="center"/>
                </w:tcPr>
                <w:p w14:paraId="52D49DE1">
                  <w:pPr>
                    <w:spacing w:line="264" w:lineRule="auto"/>
                    <w:jc w:val="center"/>
                    <w:rPr>
                      <w:rFonts w:hint="eastAsia"/>
                      <w:highlight w:val="none"/>
                      <w:lang w:val="en-US" w:eastAsia="zh-CN"/>
                    </w:rPr>
                  </w:pPr>
                </w:p>
              </w:tc>
              <w:tc>
                <w:tcPr>
                  <w:tcW w:w="1551" w:type="dxa"/>
                  <w:vMerge w:val="continue"/>
                  <w:tcBorders>
                    <w:tl2br w:val="nil"/>
                    <w:tr2bl w:val="nil"/>
                  </w:tcBorders>
                  <w:noWrap w:val="0"/>
                  <w:vAlign w:val="center"/>
                </w:tcPr>
                <w:p w14:paraId="34475C5F">
                  <w:pPr>
                    <w:spacing w:line="264" w:lineRule="auto"/>
                    <w:jc w:val="center"/>
                    <w:rPr>
                      <w:rFonts w:hint="default"/>
                      <w:highlight w:val="none"/>
                      <w:lang w:val="en-US" w:eastAsia="zh-CN"/>
                    </w:rPr>
                  </w:pPr>
                </w:p>
              </w:tc>
              <w:tc>
                <w:tcPr>
                  <w:tcW w:w="875" w:type="dxa"/>
                  <w:vMerge w:val="continue"/>
                  <w:tcBorders>
                    <w:tl2br w:val="nil"/>
                    <w:tr2bl w:val="nil"/>
                  </w:tcBorders>
                  <w:noWrap w:val="0"/>
                  <w:vAlign w:val="center"/>
                </w:tcPr>
                <w:p w14:paraId="638EEAC7">
                  <w:pPr>
                    <w:spacing w:line="264" w:lineRule="auto"/>
                    <w:ind w:firstLine="0" w:firstLineChars="0"/>
                    <w:jc w:val="center"/>
                    <w:rPr>
                      <w:rFonts w:hint="eastAsia"/>
                      <w:highlight w:val="none"/>
                      <w:lang w:val="en-US" w:eastAsia="zh-CN"/>
                    </w:rPr>
                  </w:pPr>
                </w:p>
              </w:tc>
              <w:tc>
                <w:tcPr>
                  <w:tcW w:w="875" w:type="dxa"/>
                  <w:vMerge w:val="continue"/>
                  <w:tcBorders>
                    <w:tl2br w:val="nil"/>
                    <w:tr2bl w:val="nil"/>
                  </w:tcBorders>
                  <w:noWrap w:val="0"/>
                  <w:vAlign w:val="center"/>
                </w:tcPr>
                <w:p w14:paraId="706A05CA">
                  <w:pPr>
                    <w:spacing w:line="264" w:lineRule="auto"/>
                    <w:ind w:firstLine="0" w:firstLineChars="0"/>
                    <w:jc w:val="center"/>
                    <w:rPr>
                      <w:rFonts w:hint="default"/>
                      <w:highlight w:val="none"/>
                      <w:lang w:val="en-US" w:eastAsia="zh-CN"/>
                    </w:rPr>
                  </w:pPr>
                </w:p>
              </w:tc>
            </w:tr>
            <w:tr w14:paraId="74DAB8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25" w:hRule="atLeast"/>
                <w:jc w:val="center"/>
              </w:trPr>
              <w:tc>
                <w:tcPr>
                  <w:tcW w:w="1217" w:type="dxa"/>
                  <w:tcBorders>
                    <w:tl2br w:val="nil"/>
                    <w:tr2bl w:val="nil"/>
                  </w:tcBorders>
                  <w:noWrap w:val="0"/>
                  <w:vAlign w:val="center"/>
                </w:tcPr>
                <w:p w14:paraId="0C70072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自动打孔机</w:t>
                  </w:r>
                </w:p>
              </w:tc>
              <w:tc>
                <w:tcPr>
                  <w:tcW w:w="1095" w:type="dxa"/>
                  <w:tcBorders>
                    <w:tl2br w:val="nil"/>
                    <w:tr2bl w:val="nil"/>
                  </w:tcBorders>
                  <w:noWrap w:val="0"/>
                  <w:vAlign w:val="center"/>
                </w:tcPr>
                <w:p w14:paraId="6D5FE474">
                  <w:pPr>
                    <w:spacing w:line="264" w:lineRule="auto"/>
                    <w:jc w:val="cente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75</w:t>
                  </w:r>
                </w:p>
              </w:tc>
              <w:tc>
                <w:tcPr>
                  <w:tcW w:w="1095" w:type="dxa"/>
                  <w:tcBorders>
                    <w:tl2br w:val="nil"/>
                    <w:tr2bl w:val="nil"/>
                  </w:tcBorders>
                  <w:noWrap w:val="0"/>
                  <w:vAlign w:val="center"/>
                </w:tcPr>
                <w:p w14:paraId="694D0129">
                  <w:pPr>
                    <w:spacing w:line="264" w:lineRule="auto"/>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990" w:type="dxa"/>
                  <w:vMerge w:val="continue"/>
                  <w:tcBorders>
                    <w:tl2br w:val="nil"/>
                    <w:tr2bl w:val="nil"/>
                  </w:tcBorders>
                  <w:noWrap w:val="0"/>
                  <w:vAlign w:val="center"/>
                </w:tcPr>
                <w:p w14:paraId="21CA3B1C">
                  <w:pPr>
                    <w:spacing w:line="264" w:lineRule="auto"/>
                    <w:jc w:val="center"/>
                    <w:rPr>
                      <w:rFonts w:hint="eastAsia"/>
                      <w:highlight w:val="none"/>
                      <w:lang w:val="en-US" w:eastAsia="zh-CN"/>
                    </w:rPr>
                  </w:pPr>
                </w:p>
              </w:tc>
              <w:tc>
                <w:tcPr>
                  <w:tcW w:w="1551" w:type="dxa"/>
                  <w:vMerge w:val="continue"/>
                  <w:tcBorders>
                    <w:tl2br w:val="nil"/>
                    <w:tr2bl w:val="nil"/>
                  </w:tcBorders>
                  <w:noWrap w:val="0"/>
                  <w:vAlign w:val="center"/>
                </w:tcPr>
                <w:p w14:paraId="1302FA73">
                  <w:pPr>
                    <w:spacing w:line="264" w:lineRule="auto"/>
                    <w:jc w:val="center"/>
                    <w:rPr>
                      <w:rFonts w:hint="default"/>
                      <w:highlight w:val="none"/>
                      <w:lang w:val="en-US" w:eastAsia="zh-CN"/>
                    </w:rPr>
                  </w:pPr>
                </w:p>
              </w:tc>
              <w:tc>
                <w:tcPr>
                  <w:tcW w:w="875" w:type="dxa"/>
                  <w:vMerge w:val="continue"/>
                  <w:tcBorders>
                    <w:tl2br w:val="nil"/>
                    <w:tr2bl w:val="nil"/>
                  </w:tcBorders>
                  <w:noWrap w:val="0"/>
                  <w:vAlign w:val="center"/>
                </w:tcPr>
                <w:p w14:paraId="55E6725E">
                  <w:pPr>
                    <w:spacing w:line="264" w:lineRule="auto"/>
                    <w:ind w:firstLine="0" w:firstLineChars="0"/>
                    <w:jc w:val="center"/>
                    <w:rPr>
                      <w:rFonts w:hint="eastAsia"/>
                      <w:highlight w:val="none"/>
                      <w:lang w:val="en-US" w:eastAsia="zh-CN"/>
                    </w:rPr>
                  </w:pPr>
                </w:p>
              </w:tc>
              <w:tc>
                <w:tcPr>
                  <w:tcW w:w="875" w:type="dxa"/>
                  <w:vMerge w:val="continue"/>
                  <w:tcBorders>
                    <w:tl2br w:val="nil"/>
                    <w:tr2bl w:val="nil"/>
                  </w:tcBorders>
                  <w:noWrap w:val="0"/>
                  <w:vAlign w:val="center"/>
                </w:tcPr>
                <w:p w14:paraId="4CF1CF1C">
                  <w:pPr>
                    <w:spacing w:line="264" w:lineRule="auto"/>
                    <w:ind w:firstLine="0" w:firstLineChars="0"/>
                    <w:jc w:val="center"/>
                    <w:rPr>
                      <w:rFonts w:hint="default"/>
                      <w:highlight w:val="none"/>
                      <w:lang w:val="en-US" w:eastAsia="zh-CN"/>
                    </w:rPr>
                  </w:pPr>
                </w:p>
              </w:tc>
            </w:tr>
            <w:tr w14:paraId="56CEBC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217" w:type="dxa"/>
                  <w:tcBorders>
                    <w:tl2br w:val="nil"/>
                    <w:tr2bl w:val="nil"/>
                  </w:tcBorders>
                  <w:noWrap w:val="0"/>
                  <w:vAlign w:val="center"/>
                </w:tcPr>
                <w:p w14:paraId="2C6B7B5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切割机</w:t>
                  </w:r>
                </w:p>
              </w:tc>
              <w:tc>
                <w:tcPr>
                  <w:tcW w:w="1095" w:type="dxa"/>
                  <w:tcBorders>
                    <w:tl2br w:val="nil"/>
                    <w:tr2bl w:val="nil"/>
                  </w:tcBorders>
                  <w:noWrap w:val="0"/>
                  <w:vAlign w:val="center"/>
                </w:tcPr>
                <w:p w14:paraId="188442CD">
                  <w:pPr>
                    <w:spacing w:line="264" w:lineRule="auto"/>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75</w:t>
                  </w:r>
                </w:p>
              </w:tc>
              <w:tc>
                <w:tcPr>
                  <w:tcW w:w="1095" w:type="dxa"/>
                  <w:tcBorders>
                    <w:tl2br w:val="nil"/>
                    <w:tr2bl w:val="nil"/>
                  </w:tcBorders>
                  <w:noWrap w:val="0"/>
                  <w:vAlign w:val="center"/>
                </w:tcPr>
                <w:p w14:paraId="4D559F7D">
                  <w:pPr>
                    <w:spacing w:line="264" w:lineRule="auto"/>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2</w:t>
                  </w:r>
                </w:p>
              </w:tc>
              <w:tc>
                <w:tcPr>
                  <w:tcW w:w="990" w:type="dxa"/>
                  <w:vMerge w:val="continue"/>
                  <w:tcBorders>
                    <w:tl2br w:val="nil"/>
                    <w:tr2bl w:val="nil"/>
                  </w:tcBorders>
                  <w:noWrap w:val="0"/>
                  <w:vAlign w:val="center"/>
                </w:tcPr>
                <w:p w14:paraId="2AAA51DC">
                  <w:pPr>
                    <w:spacing w:line="264" w:lineRule="auto"/>
                    <w:jc w:val="center"/>
                    <w:rPr>
                      <w:rFonts w:hint="eastAsia"/>
                      <w:highlight w:val="none"/>
                      <w:lang w:val="en-US" w:eastAsia="zh-CN"/>
                    </w:rPr>
                  </w:pPr>
                </w:p>
              </w:tc>
              <w:tc>
                <w:tcPr>
                  <w:tcW w:w="1551" w:type="dxa"/>
                  <w:vMerge w:val="continue"/>
                  <w:tcBorders>
                    <w:tl2br w:val="nil"/>
                    <w:tr2bl w:val="nil"/>
                  </w:tcBorders>
                  <w:noWrap w:val="0"/>
                  <w:vAlign w:val="center"/>
                </w:tcPr>
                <w:p w14:paraId="5B0BE241">
                  <w:pPr>
                    <w:spacing w:line="264" w:lineRule="auto"/>
                    <w:jc w:val="center"/>
                    <w:rPr>
                      <w:rFonts w:hint="default"/>
                      <w:highlight w:val="none"/>
                      <w:lang w:val="en-US" w:eastAsia="zh-CN"/>
                    </w:rPr>
                  </w:pPr>
                </w:p>
              </w:tc>
              <w:tc>
                <w:tcPr>
                  <w:tcW w:w="875" w:type="dxa"/>
                  <w:vMerge w:val="continue"/>
                  <w:tcBorders>
                    <w:tl2br w:val="nil"/>
                    <w:tr2bl w:val="nil"/>
                  </w:tcBorders>
                  <w:noWrap w:val="0"/>
                  <w:vAlign w:val="center"/>
                </w:tcPr>
                <w:p w14:paraId="4F7D728E">
                  <w:pPr>
                    <w:spacing w:line="264" w:lineRule="auto"/>
                    <w:ind w:firstLine="0" w:firstLineChars="0"/>
                    <w:jc w:val="center"/>
                    <w:rPr>
                      <w:rFonts w:hint="eastAsia"/>
                      <w:highlight w:val="none"/>
                      <w:lang w:val="en-US" w:eastAsia="zh-CN"/>
                    </w:rPr>
                  </w:pPr>
                </w:p>
              </w:tc>
              <w:tc>
                <w:tcPr>
                  <w:tcW w:w="875" w:type="dxa"/>
                  <w:vMerge w:val="continue"/>
                  <w:tcBorders>
                    <w:tl2br w:val="nil"/>
                    <w:tr2bl w:val="nil"/>
                  </w:tcBorders>
                  <w:noWrap w:val="0"/>
                  <w:vAlign w:val="center"/>
                </w:tcPr>
                <w:p w14:paraId="5C08FC7F">
                  <w:pPr>
                    <w:spacing w:line="264" w:lineRule="auto"/>
                    <w:ind w:firstLine="0" w:firstLineChars="0"/>
                    <w:jc w:val="center"/>
                    <w:rPr>
                      <w:rFonts w:hint="default"/>
                      <w:highlight w:val="none"/>
                      <w:lang w:val="en-US" w:eastAsia="zh-CN"/>
                    </w:rPr>
                  </w:pPr>
                </w:p>
              </w:tc>
            </w:tr>
            <w:tr w14:paraId="0ADC0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1217" w:type="dxa"/>
                  <w:tcBorders>
                    <w:tl2br w:val="nil"/>
                    <w:tr2bl w:val="nil"/>
                  </w:tcBorders>
                  <w:noWrap w:val="0"/>
                  <w:vAlign w:val="center"/>
                </w:tcPr>
                <w:p w14:paraId="54E2093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除尘器风机</w:t>
                  </w:r>
                </w:p>
              </w:tc>
              <w:tc>
                <w:tcPr>
                  <w:tcW w:w="1095" w:type="dxa"/>
                  <w:tcBorders>
                    <w:tl2br w:val="nil"/>
                    <w:tr2bl w:val="nil"/>
                  </w:tcBorders>
                  <w:noWrap w:val="0"/>
                  <w:vAlign w:val="center"/>
                </w:tcPr>
                <w:p w14:paraId="2807181A">
                  <w:pPr>
                    <w:spacing w:line="264" w:lineRule="auto"/>
                    <w:jc w:val="center"/>
                    <w:rPr>
                      <w:rFonts w:hint="default"/>
                      <w:highlight w:val="none"/>
                      <w:lang w:val="en-US" w:eastAsia="zh-CN"/>
                    </w:rPr>
                  </w:pPr>
                  <w:r>
                    <w:rPr>
                      <w:rFonts w:hint="eastAsia"/>
                      <w:highlight w:val="none"/>
                      <w:lang w:val="en-US" w:eastAsia="zh-CN"/>
                    </w:rPr>
                    <w:t>80</w:t>
                  </w:r>
                </w:p>
              </w:tc>
              <w:tc>
                <w:tcPr>
                  <w:tcW w:w="1095" w:type="dxa"/>
                  <w:tcBorders>
                    <w:tl2br w:val="nil"/>
                    <w:tr2bl w:val="nil"/>
                  </w:tcBorders>
                  <w:noWrap w:val="0"/>
                  <w:vAlign w:val="center"/>
                </w:tcPr>
                <w:p w14:paraId="32863E9F">
                  <w:pPr>
                    <w:spacing w:line="264" w:lineRule="auto"/>
                    <w:jc w:val="center"/>
                    <w:rPr>
                      <w:rFonts w:hint="default"/>
                      <w:highlight w:val="none"/>
                      <w:lang w:val="en-US" w:eastAsia="zh-CN"/>
                    </w:rPr>
                  </w:pPr>
                  <w:r>
                    <w:rPr>
                      <w:rFonts w:hint="eastAsia"/>
                      <w:highlight w:val="none"/>
                      <w:lang w:val="en-US" w:eastAsia="zh-CN"/>
                    </w:rPr>
                    <w:t>1</w:t>
                  </w:r>
                </w:p>
              </w:tc>
              <w:tc>
                <w:tcPr>
                  <w:tcW w:w="990" w:type="dxa"/>
                  <w:vMerge w:val="continue"/>
                  <w:tcBorders>
                    <w:tl2br w:val="nil"/>
                    <w:tr2bl w:val="nil"/>
                  </w:tcBorders>
                  <w:noWrap w:val="0"/>
                  <w:vAlign w:val="center"/>
                </w:tcPr>
                <w:p w14:paraId="012BC55E">
                  <w:pPr>
                    <w:spacing w:line="264" w:lineRule="auto"/>
                    <w:jc w:val="center"/>
                    <w:rPr>
                      <w:rFonts w:hint="eastAsia"/>
                      <w:highlight w:val="none"/>
                      <w:lang w:val="en-US" w:eastAsia="zh-CN"/>
                    </w:rPr>
                  </w:pPr>
                </w:p>
              </w:tc>
              <w:tc>
                <w:tcPr>
                  <w:tcW w:w="1551" w:type="dxa"/>
                  <w:vMerge w:val="continue"/>
                  <w:tcBorders>
                    <w:tl2br w:val="nil"/>
                    <w:tr2bl w:val="nil"/>
                  </w:tcBorders>
                  <w:noWrap w:val="0"/>
                  <w:vAlign w:val="center"/>
                </w:tcPr>
                <w:p w14:paraId="1B350D64">
                  <w:pPr>
                    <w:spacing w:line="264" w:lineRule="auto"/>
                    <w:jc w:val="center"/>
                    <w:rPr>
                      <w:rFonts w:hint="default"/>
                      <w:highlight w:val="none"/>
                      <w:lang w:val="en-US" w:eastAsia="zh-CN"/>
                    </w:rPr>
                  </w:pPr>
                </w:p>
              </w:tc>
              <w:tc>
                <w:tcPr>
                  <w:tcW w:w="875" w:type="dxa"/>
                  <w:vMerge w:val="continue"/>
                  <w:tcBorders>
                    <w:tl2br w:val="nil"/>
                    <w:tr2bl w:val="nil"/>
                  </w:tcBorders>
                  <w:noWrap w:val="0"/>
                  <w:vAlign w:val="center"/>
                </w:tcPr>
                <w:p w14:paraId="7AF6AA87">
                  <w:pPr>
                    <w:spacing w:line="264" w:lineRule="auto"/>
                    <w:ind w:firstLine="0" w:firstLineChars="0"/>
                    <w:jc w:val="center"/>
                    <w:rPr>
                      <w:rFonts w:hint="default"/>
                      <w:highlight w:val="none"/>
                      <w:lang w:val="en-US" w:eastAsia="zh-CN"/>
                    </w:rPr>
                  </w:pPr>
                </w:p>
              </w:tc>
              <w:tc>
                <w:tcPr>
                  <w:tcW w:w="875" w:type="dxa"/>
                  <w:vMerge w:val="continue"/>
                  <w:tcBorders>
                    <w:tl2br w:val="nil"/>
                    <w:tr2bl w:val="nil"/>
                  </w:tcBorders>
                  <w:noWrap w:val="0"/>
                  <w:vAlign w:val="center"/>
                </w:tcPr>
                <w:p w14:paraId="5C594FFD">
                  <w:pPr>
                    <w:spacing w:line="264" w:lineRule="auto"/>
                    <w:ind w:firstLine="0" w:firstLineChars="0"/>
                    <w:jc w:val="center"/>
                    <w:rPr>
                      <w:rFonts w:hint="default"/>
                      <w:highlight w:val="none"/>
                      <w:lang w:val="en-US" w:eastAsia="zh-CN"/>
                    </w:rPr>
                  </w:pPr>
                </w:p>
              </w:tc>
            </w:tr>
          </w:tbl>
          <w:p w14:paraId="0FEA792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sz w:val="21"/>
                <w:szCs w:val="21"/>
                <w:highlight w:val="none"/>
                <w:lang w:eastAsia="zh-CN"/>
              </w:rPr>
            </w:pPr>
            <w:r>
              <w:rPr>
                <w:rFonts w:hint="eastAsia"/>
                <w:sz w:val="21"/>
                <w:szCs w:val="21"/>
                <w:highlight w:val="none"/>
                <w:lang w:eastAsia="zh-CN"/>
              </w:rPr>
              <w:t>3、影响预测及结论</w:t>
            </w:r>
          </w:p>
          <w:p w14:paraId="1EB954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leftChars="0" w:right="0" w:firstLine="420" w:firstLineChars="200"/>
              <w:textAlignment w:val="auto"/>
              <w:rPr>
                <w:rFonts w:hint="eastAsia"/>
                <w:b/>
                <w:bCs/>
                <w:highlight w:val="none"/>
                <w:lang w:val="en-US" w:eastAsia="zh-CN"/>
              </w:rPr>
            </w:pPr>
            <w:r>
              <w:rPr>
                <w:rFonts w:hint="eastAsia"/>
                <w:sz w:val="21"/>
                <w:szCs w:val="21"/>
                <w:highlight w:val="none"/>
                <w:lang w:eastAsia="zh-CN"/>
              </w:rPr>
              <w:t>本次评价将</w:t>
            </w:r>
            <w:r>
              <w:rPr>
                <w:rFonts w:hint="eastAsia"/>
                <w:sz w:val="21"/>
                <w:szCs w:val="21"/>
                <w:highlight w:val="none"/>
                <w:lang w:val="en-US" w:eastAsia="zh-CN"/>
              </w:rPr>
              <w:t>设备概化为1个点声源，忽略设备噪声在车间内的距离衰减，将设备噪音源强叠加并扣除车间降噪，本项目所有设备</w:t>
            </w:r>
            <w:r>
              <w:rPr>
                <w:rFonts w:hint="eastAsia"/>
                <w:sz w:val="21"/>
                <w:szCs w:val="21"/>
                <w:highlight w:val="none"/>
                <w:lang w:eastAsia="zh-CN"/>
              </w:rPr>
              <w:t>噪声源强扣除车间降噪量</w:t>
            </w:r>
            <w:r>
              <w:rPr>
                <w:rFonts w:hint="eastAsia"/>
                <w:sz w:val="21"/>
                <w:szCs w:val="21"/>
                <w:highlight w:val="none"/>
                <w:lang w:val="en-US" w:eastAsia="zh-CN"/>
              </w:rPr>
              <w:t>后</w:t>
            </w:r>
            <w:r>
              <w:rPr>
                <w:rFonts w:hint="eastAsia"/>
                <w:sz w:val="21"/>
                <w:szCs w:val="21"/>
                <w:highlight w:val="none"/>
                <w:lang w:eastAsia="zh-CN"/>
              </w:rPr>
              <w:t>进行叠加作为</w:t>
            </w:r>
            <w:r>
              <w:rPr>
                <w:rFonts w:hint="eastAsia"/>
                <w:sz w:val="21"/>
                <w:szCs w:val="21"/>
                <w:highlight w:val="none"/>
                <w:lang w:val="en-US" w:eastAsia="zh-CN"/>
              </w:rPr>
              <w:t>1</w:t>
            </w:r>
            <w:r>
              <w:rPr>
                <w:rFonts w:hint="eastAsia"/>
                <w:sz w:val="21"/>
                <w:szCs w:val="21"/>
                <w:highlight w:val="none"/>
                <w:lang w:eastAsia="zh-CN"/>
              </w:rPr>
              <w:t>个声源源强，之后按几何衰减规律计算本项目对各个厂界的噪声</w:t>
            </w:r>
            <w:r>
              <w:rPr>
                <w:rFonts w:hint="eastAsia"/>
                <w:sz w:val="21"/>
                <w:szCs w:val="21"/>
                <w:highlight w:val="none"/>
                <w:lang w:val="en-US" w:eastAsia="zh-CN"/>
              </w:rPr>
              <w:t>贡献值、</w:t>
            </w:r>
            <w:r>
              <w:rPr>
                <w:rFonts w:hint="eastAsia"/>
                <w:sz w:val="21"/>
                <w:szCs w:val="21"/>
                <w:highlight w:val="none"/>
                <w:lang w:eastAsia="zh-CN"/>
              </w:rPr>
              <w:t>预测值。</w:t>
            </w:r>
            <w:r>
              <w:rPr>
                <w:rFonts w:hint="eastAsia"/>
                <w:sz w:val="21"/>
                <w:szCs w:val="21"/>
                <w:highlight w:val="none"/>
                <w:lang w:val="en-US" w:eastAsia="zh-CN"/>
              </w:rPr>
              <w:t>建设单位各厂界处噪音现状值引用唐山市荣恒环境检测有限公司出具的检测报告（唐山荣恒（2021）环检第10322号）中的相关数据。生产车间</w:t>
            </w:r>
            <w:r>
              <w:rPr>
                <w:rFonts w:hint="eastAsia"/>
                <w:sz w:val="21"/>
                <w:szCs w:val="21"/>
                <w:highlight w:val="none"/>
                <w:lang w:eastAsia="zh-CN"/>
              </w:rPr>
              <w:t>与各厂界距离关系见下表，厂界噪声</w:t>
            </w:r>
            <w:r>
              <w:rPr>
                <w:rFonts w:hint="eastAsia"/>
                <w:sz w:val="21"/>
                <w:szCs w:val="21"/>
                <w:highlight w:val="none"/>
                <w:lang w:val="en-US" w:eastAsia="zh-CN"/>
              </w:rPr>
              <w:t>贡献值、</w:t>
            </w:r>
            <w:r>
              <w:rPr>
                <w:rFonts w:hint="eastAsia"/>
                <w:sz w:val="21"/>
                <w:szCs w:val="21"/>
                <w:highlight w:val="none"/>
                <w:lang w:eastAsia="zh-CN"/>
              </w:rPr>
              <w:t>预测值见下表。</w:t>
            </w:r>
          </w:p>
          <w:p w14:paraId="2336EE36">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eastAsia"/>
                <w:b/>
                <w:bCs/>
                <w:highlight w:val="none"/>
                <w:lang w:val="en-US" w:eastAsia="zh-CN"/>
              </w:rPr>
            </w:pPr>
            <w:r>
              <w:rPr>
                <w:rFonts w:hint="eastAsia"/>
                <w:b/>
                <w:bCs/>
                <w:highlight w:val="none"/>
                <w:lang w:val="en-US" w:eastAsia="zh-CN"/>
              </w:rPr>
              <w:t>表4-6   项目产噪车间距各场界最近距离一览表   单位：m</w:t>
            </w:r>
          </w:p>
          <w:tbl>
            <w:tblPr>
              <w:tblStyle w:val="20"/>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84"/>
              <w:gridCol w:w="975"/>
              <w:gridCol w:w="1170"/>
              <w:gridCol w:w="1924"/>
              <w:gridCol w:w="1095"/>
              <w:gridCol w:w="1080"/>
              <w:gridCol w:w="995"/>
            </w:tblGrid>
            <w:tr w14:paraId="6C2B03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1" w:type="pct"/>
                  <w:tcBorders>
                    <w:top w:val="single" w:color="auto" w:sz="12" w:space="0"/>
                    <w:left w:val="single" w:color="auto" w:sz="4" w:space="0"/>
                  </w:tcBorders>
                  <w:noWrap w:val="0"/>
                  <w:vAlign w:val="center"/>
                </w:tcPr>
                <w:p w14:paraId="455736AD">
                  <w:pPr>
                    <w:spacing w:line="264" w:lineRule="auto"/>
                    <w:jc w:val="center"/>
                    <w:rPr>
                      <w:rFonts w:hint="eastAsia"/>
                      <w:highlight w:val="none"/>
                      <w:lang w:val="en-US" w:eastAsia="zh-CN"/>
                    </w:rPr>
                  </w:pPr>
                  <w:r>
                    <w:rPr>
                      <w:rFonts w:hint="eastAsia"/>
                      <w:highlight w:val="none"/>
                      <w:lang w:val="en-US" w:eastAsia="zh-CN"/>
                    </w:rPr>
                    <w:t>序号</w:t>
                  </w:r>
                </w:p>
              </w:tc>
              <w:tc>
                <w:tcPr>
                  <w:tcW w:w="615" w:type="pct"/>
                  <w:tcBorders>
                    <w:top w:val="single" w:color="auto" w:sz="12" w:space="0"/>
                  </w:tcBorders>
                  <w:noWrap w:val="0"/>
                  <w:vAlign w:val="center"/>
                </w:tcPr>
                <w:p w14:paraId="10FE77D3">
                  <w:pPr>
                    <w:spacing w:line="264" w:lineRule="auto"/>
                    <w:jc w:val="center"/>
                    <w:rPr>
                      <w:rFonts w:hint="eastAsia"/>
                      <w:highlight w:val="none"/>
                      <w:lang w:val="en-US" w:eastAsia="zh-CN"/>
                    </w:rPr>
                  </w:pPr>
                  <w:r>
                    <w:rPr>
                      <w:rFonts w:hint="eastAsia"/>
                      <w:highlight w:val="none"/>
                      <w:lang w:val="en-US" w:eastAsia="zh-CN"/>
                    </w:rPr>
                    <w:t>噪声源</w:t>
                  </w:r>
                </w:p>
              </w:tc>
              <w:tc>
                <w:tcPr>
                  <w:tcW w:w="738" w:type="pct"/>
                  <w:tcBorders>
                    <w:top w:val="single" w:color="auto" w:sz="12" w:space="0"/>
                  </w:tcBorders>
                  <w:noWrap w:val="0"/>
                  <w:vAlign w:val="center"/>
                </w:tcPr>
                <w:p w14:paraId="5F261ED6">
                  <w:pPr>
                    <w:spacing w:line="264" w:lineRule="auto"/>
                    <w:jc w:val="center"/>
                    <w:rPr>
                      <w:rFonts w:hint="default"/>
                      <w:highlight w:val="none"/>
                      <w:lang w:val="en-US" w:eastAsia="zh-CN"/>
                    </w:rPr>
                  </w:pPr>
                  <w:r>
                    <w:rPr>
                      <w:rFonts w:hint="eastAsia"/>
                      <w:highlight w:val="none"/>
                      <w:lang w:val="en-US" w:eastAsia="zh-CN"/>
                    </w:rPr>
                    <w:t>源强dB（A）</w:t>
                  </w:r>
                </w:p>
              </w:tc>
              <w:tc>
                <w:tcPr>
                  <w:tcW w:w="1214" w:type="pct"/>
                  <w:tcBorders>
                    <w:top w:val="single" w:color="auto" w:sz="12" w:space="0"/>
                  </w:tcBorders>
                  <w:noWrap w:val="0"/>
                  <w:vAlign w:val="center"/>
                </w:tcPr>
                <w:p w14:paraId="22B8292F">
                  <w:pPr>
                    <w:spacing w:line="264" w:lineRule="auto"/>
                    <w:jc w:val="center"/>
                    <w:rPr>
                      <w:rFonts w:hint="default"/>
                      <w:highlight w:val="none"/>
                      <w:lang w:val="en-US" w:eastAsia="zh-CN"/>
                    </w:rPr>
                  </w:pPr>
                  <w:r>
                    <w:rPr>
                      <w:rFonts w:hint="eastAsia"/>
                      <w:highlight w:val="none"/>
                      <w:lang w:val="en-US" w:eastAsia="zh-CN"/>
                    </w:rPr>
                    <w:t>东厂界</w:t>
                  </w:r>
                </w:p>
              </w:tc>
              <w:tc>
                <w:tcPr>
                  <w:tcW w:w="691" w:type="pct"/>
                  <w:tcBorders>
                    <w:top w:val="single" w:color="auto" w:sz="12" w:space="0"/>
                  </w:tcBorders>
                  <w:noWrap w:val="0"/>
                  <w:vAlign w:val="center"/>
                </w:tcPr>
                <w:p w14:paraId="6434B764">
                  <w:pPr>
                    <w:spacing w:line="264" w:lineRule="auto"/>
                    <w:jc w:val="center"/>
                    <w:rPr>
                      <w:rFonts w:hint="eastAsia"/>
                      <w:highlight w:val="none"/>
                    </w:rPr>
                  </w:pPr>
                  <w:r>
                    <w:rPr>
                      <w:rFonts w:hint="eastAsia"/>
                      <w:highlight w:val="none"/>
                      <w:lang w:val="en-US" w:eastAsia="zh-CN"/>
                    </w:rPr>
                    <w:t>西厂界</w:t>
                  </w:r>
                </w:p>
              </w:tc>
              <w:tc>
                <w:tcPr>
                  <w:tcW w:w="681" w:type="pct"/>
                  <w:tcBorders>
                    <w:top w:val="single" w:color="auto" w:sz="12" w:space="0"/>
                  </w:tcBorders>
                  <w:noWrap w:val="0"/>
                  <w:vAlign w:val="center"/>
                </w:tcPr>
                <w:p w14:paraId="4ADC984B">
                  <w:pPr>
                    <w:spacing w:line="264" w:lineRule="auto"/>
                    <w:jc w:val="center"/>
                    <w:rPr>
                      <w:rFonts w:hint="eastAsia"/>
                      <w:highlight w:val="none"/>
                    </w:rPr>
                  </w:pPr>
                  <w:r>
                    <w:rPr>
                      <w:rFonts w:hint="eastAsia"/>
                      <w:highlight w:val="none"/>
                      <w:lang w:val="en-US" w:eastAsia="zh-CN"/>
                    </w:rPr>
                    <w:t>南厂界</w:t>
                  </w:r>
                </w:p>
              </w:tc>
              <w:tc>
                <w:tcPr>
                  <w:tcW w:w="627" w:type="pct"/>
                  <w:tcBorders>
                    <w:top w:val="single" w:color="auto" w:sz="12" w:space="0"/>
                    <w:right w:val="single" w:color="auto" w:sz="12" w:space="0"/>
                  </w:tcBorders>
                  <w:noWrap w:val="0"/>
                  <w:vAlign w:val="center"/>
                </w:tcPr>
                <w:p w14:paraId="7BCE84BB">
                  <w:pPr>
                    <w:spacing w:line="264" w:lineRule="auto"/>
                    <w:jc w:val="center"/>
                    <w:rPr>
                      <w:rFonts w:hint="default"/>
                      <w:highlight w:val="none"/>
                      <w:lang w:val="en-US"/>
                    </w:rPr>
                  </w:pPr>
                  <w:r>
                    <w:rPr>
                      <w:rFonts w:hint="eastAsia"/>
                      <w:highlight w:val="none"/>
                      <w:lang w:val="en-US" w:eastAsia="zh-CN"/>
                    </w:rPr>
                    <w:t>北厂界</w:t>
                  </w:r>
                </w:p>
              </w:tc>
            </w:tr>
            <w:tr w14:paraId="129B4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431" w:type="pct"/>
                  <w:tcBorders>
                    <w:left w:val="single" w:color="auto" w:sz="4" w:space="0"/>
                    <w:bottom w:val="single" w:color="auto" w:sz="12" w:space="0"/>
                  </w:tcBorders>
                  <w:noWrap w:val="0"/>
                  <w:vAlign w:val="center"/>
                </w:tcPr>
                <w:p w14:paraId="379027D2">
                  <w:pPr>
                    <w:spacing w:line="264" w:lineRule="auto"/>
                    <w:jc w:val="center"/>
                    <w:rPr>
                      <w:rFonts w:hint="eastAsia"/>
                      <w:highlight w:val="none"/>
                      <w:lang w:eastAsia="zh-CN"/>
                    </w:rPr>
                  </w:pPr>
                  <w:r>
                    <w:rPr>
                      <w:rFonts w:hint="eastAsia"/>
                      <w:highlight w:val="none"/>
                      <w:lang w:val="en-US" w:eastAsia="zh-CN"/>
                    </w:rPr>
                    <w:t>1</w:t>
                  </w:r>
                </w:p>
              </w:tc>
              <w:tc>
                <w:tcPr>
                  <w:tcW w:w="615" w:type="pct"/>
                  <w:tcBorders>
                    <w:bottom w:val="single" w:color="auto" w:sz="12" w:space="0"/>
                  </w:tcBorders>
                  <w:noWrap w:val="0"/>
                  <w:vAlign w:val="center"/>
                </w:tcPr>
                <w:p w14:paraId="4D420D51">
                  <w:pPr>
                    <w:spacing w:line="264" w:lineRule="auto"/>
                    <w:jc w:val="center"/>
                    <w:rPr>
                      <w:rFonts w:hint="default"/>
                      <w:highlight w:val="none"/>
                      <w:lang w:val="en-US" w:eastAsia="zh-CN"/>
                    </w:rPr>
                  </w:pPr>
                  <w:r>
                    <w:rPr>
                      <w:rFonts w:hint="eastAsia"/>
                      <w:highlight w:val="none"/>
                      <w:lang w:val="en-US" w:eastAsia="zh-CN"/>
                    </w:rPr>
                    <w:t>设备噪音</w:t>
                  </w:r>
                </w:p>
              </w:tc>
              <w:tc>
                <w:tcPr>
                  <w:tcW w:w="738" w:type="pct"/>
                  <w:tcBorders>
                    <w:bottom w:val="single" w:color="auto" w:sz="12" w:space="0"/>
                  </w:tcBorders>
                  <w:noWrap w:val="0"/>
                  <w:vAlign w:val="center"/>
                </w:tcPr>
                <w:p w14:paraId="36087D46">
                  <w:pPr>
                    <w:spacing w:line="264" w:lineRule="auto"/>
                    <w:ind w:firstLine="0" w:firstLineChars="0"/>
                    <w:jc w:val="center"/>
                    <w:rPr>
                      <w:rFonts w:hint="default"/>
                      <w:highlight w:val="none"/>
                      <w:lang w:val="en-US" w:eastAsia="zh-CN"/>
                    </w:rPr>
                  </w:pPr>
                  <w:r>
                    <w:rPr>
                      <w:rFonts w:hint="eastAsia" w:cs="Times New Roman"/>
                      <w:kern w:val="2"/>
                      <w:sz w:val="21"/>
                      <w:szCs w:val="24"/>
                      <w:highlight w:val="none"/>
                      <w:lang w:val="en-US" w:eastAsia="zh-CN" w:bidi="ar-SA"/>
                    </w:rPr>
                    <w:t>71.4</w:t>
                  </w:r>
                </w:p>
              </w:tc>
              <w:tc>
                <w:tcPr>
                  <w:tcW w:w="1214" w:type="pct"/>
                  <w:tcBorders>
                    <w:bottom w:val="single" w:color="auto" w:sz="12" w:space="0"/>
                  </w:tcBorders>
                  <w:noWrap w:val="0"/>
                  <w:vAlign w:val="center"/>
                </w:tcPr>
                <w:p w14:paraId="3BDAAF5D">
                  <w:pPr>
                    <w:autoSpaceDE w:val="0"/>
                    <w:autoSpaceDN w:val="0"/>
                    <w:adjustRightInd w:val="0"/>
                    <w:snapToGrid w:val="0"/>
                    <w:spacing w:line="264" w:lineRule="auto"/>
                    <w:jc w:val="center"/>
                    <w:rPr>
                      <w:rFonts w:hint="default"/>
                      <w:highlight w:val="none"/>
                      <w:lang w:val="en-US" w:eastAsia="zh-CN"/>
                    </w:rPr>
                  </w:pPr>
                  <w:r>
                    <w:rPr>
                      <w:rFonts w:hint="eastAsia"/>
                      <w:highlight w:val="none"/>
                      <w:lang w:val="en-US" w:eastAsia="zh-CN"/>
                    </w:rPr>
                    <w:t>7.5</w:t>
                  </w:r>
                </w:p>
              </w:tc>
              <w:tc>
                <w:tcPr>
                  <w:tcW w:w="691" w:type="pct"/>
                  <w:tcBorders>
                    <w:top w:val="single" w:color="auto" w:sz="4" w:space="0"/>
                    <w:bottom w:val="single" w:color="auto" w:sz="12" w:space="0"/>
                  </w:tcBorders>
                  <w:noWrap w:val="0"/>
                  <w:vAlign w:val="center"/>
                </w:tcPr>
                <w:p w14:paraId="6BCDB5F7">
                  <w:pPr>
                    <w:spacing w:line="264" w:lineRule="auto"/>
                    <w:jc w:val="center"/>
                    <w:rPr>
                      <w:rFonts w:hint="default"/>
                      <w:highlight w:val="none"/>
                      <w:lang w:val="en-US"/>
                    </w:rPr>
                  </w:pPr>
                  <w:r>
                    <w:rPr>
                      <w:rFonts w:hint="eastAsia"/>
                      <w:highlight w:val="none"/>
                      <w:lang w:val="en-US" w:eastAsia="zh-CN"/>
                    </w:rPr>
                    <w:t>264</w:t>
                  </w:r>
                </w:p>
              </w:tc>
              <w:tc>
                <w:tcPr>
                  <w:tcW w:w="681" w:type="pct"/>
                  <w:tcBorders>
                    <w:top w:val="single" w:color="auto" w:sz="4" w:space="0"/>
                    <w:bottom w:val="single" w:color="auto" w:sz="12" w:space="0"/>
                  </w:tcBorders>
                  <w:noWrap w:val="0"/>
                  <w:vAlign w:val="center"/>
                </w:tcPr>
                <w:p w14:paraId="7211F984">
                  <w:pPr>
                    <w:spacing w:line="264" w:lineRule="auto"/>
                    <w:jc w:val="center"/>
                    <w:rPr>
                      <w:rFonts w:hint="default"/>
                      <w:highlight w:val="none"/>
                      <w:lang w:val="en-US" w:eastAsia="zh-CN"/>
                    </w:rPr>
                  </w:pPr>
                  <w:r>
                    <w:rPr>
                      <w:rFonts w:hint="eastAsia"/>
                      <w:highlight w:val="none"/>
                      <w:lang w:val="en-US" w:eastAsia="zh-CN"/>
                    </w:rPr>
                    <w:t>37.5</w:t>
                  </w:r>
                </w:p>
              </w:tc>
              <w:tc>
                <w:tcPr>
                  <w:tcW w:w="627" w:type="pct"/>
                  <w:tcBorders>
                    <w:top w:val="single" w:color="auto" w:sz="4" w:space="0"/>
                    <w:bottom w:val="single" w:color="auto" w:sz="12" w:space="0"/>
                    <w:right w:val="single" w:color="auto" w:sz="12" w:space="0"/>
                  </w:tcBorders>
                  <w:noWrap w:val="0"/>
                  <w:vAlign w:val="center"/>
                </w:tcPr>
                <w:p w14:paraId="035D2839">
                  <w:pPr>
                    <w:spacing w:line="264" w:lineRule="auto"/>
                    <w:jc w:val="center"/>
                    <w:rPr>
                      <w:rFonts w:hint="default"/>
                      <w:highlight w:val="none"/>
                      <w:lang w:val="en-US" w:eastAsia="zh-CN"/>
                    </w:rPr>
                  </w:pPr>
                  <w:r>
                    <w:rPr>
                      <w:rFonts w:hint="eastAsia"/>
                      <w:highlight w:val="none"/>
                      <w:lang w:val="en-US" w:eastAsia="zh-CN"/>
                    </w:rPr>
                    <w:t>225</w:t>
                  </w:r>
                </w:p>
              </w:tc>
            </w:tr>
          </w:tbl>
          <w:p w14:paraId="4530B0BD">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eastAsia"/>
                <w:b/>
                <w:bCs/>
                <w:highlight w:val="none"/>
                <w:lang w:val="en-US" w:eastAsia="zh-CN"/>
              </w:rPr>
            </w:pPr>
          </w:p>
          <w:p w14:paraId="4EAA85D1">
            <w:pPr>
              <w:keepNext w:val="0"/>
              <w:keepLines w:val="0"/>
              <w:pageBreakBefore w:val="0"/>
              <w:widowControl w:val="0"/>
              <w:kinsoku/>
              <w:wordWrap/>
              <w:overflowPunct/>
              <w:topLinePunct w:val="0"/>
              <w:autoSpaceDE/>
              <w:autoSpaceDN/>
              <w:bidi w:val="0"/>
              <w:adjustRightInd/>
              <w:snapToGrid/>
              <w:spacing w:line="400" w:lineRule="exact"/>
              <w:ind w:firstLine="422" w:firstLineChars="200"/>
              <w:jc w:val="center"/>
              <w:textAlignment w:val="auto"/>
              <w:rPr>
                <w:rFonts w:hint="eastAsia"/>
                <w:b/>
                <w:bCs/>
                <w:highlight w:val="none"/>
                <w:lang w:val="en-US" w:eastAsia="zh-CN"/>
              </w:rPr>
            </w:pPr>
            <w:r>
              <w:rPr>
                <w:rFonts w:hint="eastAsia"/>
                <w:b/>
                <w:bCs/>
                <w:highlight w:val="none"/>
                <w:lang w:val="en-US" w:eastAsia="zh-CN"/>
              </w:rPr>
              <w:t>表4-7   噪声预测结果一览表   单位：dB(A)</w:t>
            </w:r>
          </w:p>
          <w:tbl>
            <w:tblPr>
              <w:tblStyle w:val="20"/>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161"/>
              <w:gridCol w:w="771"/>
              <w:gridCol w:w="759"/>
              <w:gridCol w:w="782"/>
              <w:gridCol w:w="660"/>
              <w:gridCol w:w="645"/>
              <w:gridCol w:w="750"/>
              <w:gridCol w:w="780"/>
              <w:gridCol w:w="727"/>
              <w:gridCol w:w="887"/>
            </w:tblGrid>
            <w:tr w14:paraId="241E9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32" w:type="pct"/>
                  <w:vMerge w:val="restart"/>
                  <w:tcBorders>
                    <w:top w:val="single" w:color="auto" w:sz="12" w:space="0"/>
                    <w:left w:val="single" w:color="auto" w:sz="4" w:space="0"/>
                  </w:tcBorders>
                  <w:noWrap w:val="0"/>
                  <w:vAlign w:val="center"/>
                </w:tcPr>
                <w:p w14:paraId="48957A2E">
                  <w:pPr>
                    <w:spacing w:line="264" w:lineRule="auto"/>
                    <w:jc w:val="center"/>
                    <w:rPr>
                      <w:rFonts w:hint="eastAsia"/>
                      <w:highlight w:val="none"/>
                    </w:rPr>
                  </w:pPr>
                  <w:r>
                    <w:rPr>
                      <w:rFonts w:hint="eastAsia"/>
                      <w:highlight w:val="none"/>
                    </w:rPr>
                    <w:t>预测点名称</w:t>
                  </w:r>
                </w:p>
              </w:tc>
              <w:tc>
                <w:tcPr>
                  <w:tcW w:w="965" w:type="pct"/>
                  <w:gridSpan w:val="2"/>
                  <w:tcBorders>
                    <w:top w:val="single" w:color="auto" w:sz="12" w:space="0"/>
                  </w:tcBorders>
                  <w:noWrap w:val="0"/>
                  <w:vAlign w:val="center"/>
                </w:tcPr>
                <w:p w14:paraId="7288BA5C">
                  <w:pPr>
                    <w:spacing w:line="264" w:lineRule="auto"/>
                    <w:jc w:val="center"/>
                    <w:rPr>
                      <w:rFonts w:hint="eastAsia" w:eastAsia="宋体"/>
                      <w:highlight w:val="none"/>
                      <w:lang w:eastAsia="zh-CN"/>
                    </w:rPr>
                  </w:pPr>
                  <w:r>
                    <w:rPr>
                      <w:rFonts w:hint="eastAsia"/>
                      <w:highlight w:val="none"/>
                      <w:lang w:val="en-US" w:eastAsia="zh-CN"/>
                    </w:rPr>
                    <w:t>贡献值</w:t>
                  </w:r>
                </w:p>
              </w:tc>
              <w:tc>
                <w:tcPr>
                  <w:tcW w:w="910" w:type="pct"/>
                  <w:gridSpan w:val="2"/>
                  <w:tcBorders>
                    <w:top w:val="single" w:color="auto" w:sz="12" w:space="0"/>
                  </w:tcBorders>
                  <w:noWrap w:val="0"/>
                  <w:vAlign w:val="center"/>
                </w:tcPr>
                <w:p w14:paraId="7E030C7A">
                  <w:pPr>
                    <w:spacing w:line="264" w:lineRule="auto"/>
                    <w:jc w:val="center"/>
                    <w:rPr>
                      <w:rFonts w:hint="default" w:eastAsia="宋体"/>
                      <w:highlight w:val="none"/>
                      <w:lang w:val="en-US" w:eastAsia="zh-CN"/>
                    </w:rPr>
                  </w:pPr>
                  <w:r>
                    <w:rPr>
                      <w:rFonts w:hint="eastAsia"/>
                      <w:highlight w:val="none"/>
                      <w:lang w:val="en-US" w:eastAsia="zh-CN"/>
                    </w:rPr>
                    <w:t>检测值</w:t>
                  </w:r>
                </w:p>
              </w:tc>
              <w:tc>
                <w:tcPr>
                  <w:tcW w:w="880" w:type="pct"/>
                  <w:gridSpan w:val="2"/>
                  <w:tcBorders>
                    <w:top w:val="single" w:color="auto" w:sz="12" w:space="0"/>
                  </w:tcBorders>
                  <w:noWrap w:val="0"/>
                  <w:vAlign w:val="center"/>
                </w:tcPr>
                <w:p w14:paraId="55902076">
                  <w:pPr>
                    <w:spacing w:line="264" w:lineRule="auto"/>
                    <w:jc w:val="center"/>
                    <w:rPr>
                      <w:rFonts w:hint="eastAsia"/>
                      <w:highlight w:val="none"/>
                      <w:lang w:val="en-US" w:eastAsia="zh-CN"/>
                    </w:rPr>
                  </w:pPr>
                  <w:r>
                    <w:rPr>
                      <w:rFonts w:hint="eastAsia"/>
                      <w:highlight w:val="none"/>
                      <w:lang w:val="en-US" w:eastAsia="zh-CN"/>
                    </w:rPr>
                    <w:t>预测值</w:t>
                  </w:r>
                </w:p>
              </w:tc>
              <w:tc>
                <w:tcPr>
                  <w:tcW w:w="951" w:type="pct"/>
                  <w:gridSpan w:val="2"/>
                  <w:tcBorders>
                    <w:top w:val="single" w:color="auto" w:sz="12" w:space="0"/>
                  </w:tcBorders>
                  <w:noWrap w:val="0"/>
                  <w:vAlign w:val="center"/>
                </w:tcPr>
                <w:p w14:paraId="4E430736">
                  <w:pPr>
                    <w:spacing w:line="264" w:lineRule="auto"/>
                    <w:jc w:val="center"/>
                    <w:rPr>
                      <w:rFonts w:hint="eastAsia"/>
                      <w:highlight w:val="none"/>
                    </w:rPr>
                  </w:pPr>
                  <w:r>
                    <w:rPr>
                      <w:rFonts w:hint="eastAsia"/>
                      <w:highlight w:val="none"/>
                    </w:rPr>
                    <w:t>标准值</w:t>
                  </w:r>
                </w:p>
              </w:tc>
              <w:tc>
                <w:tcPr>
                  <w:tcW w:w="559" w:type="pct"/>
                  <w:vMerge w:val="restart"/>
                  <w:tcBorders>
                    <w:top w:val="single" w:color="auto" w:sz="12" w:space="0"/>
                    <w:right w:val="single" w:color="auto" w:sz="12" w:space="0"/>
                  </w:tcBorders>
                  <w:noWrap w:val="0"/>
                  <w:vAlign w:val="center"/>
                </w:tcPr>
                <w:p w14:paraId="3FBE1B07">
                  <w:pPr>
                    <w:spacing w:line="264" w:lineRule="auto"/>
                    <w:jc w:val="center"/>
                    <w:rPr>
                      <w:rFonts w:hint="default"/>
                      <w:highlight w:val="none"/>
                      <w:lang w:val="en-US" w:eastAsia="zh-CN"/>
                    </w:rPr>
                  </w:pPr>
                  <w:r>
                    <w:rPr>
                      <w:rFonts w:hint="eastAsia"/>
                      <w:highlight w:val="none"/>
                      <w:lang w:val="en-US" w:eastAsia="zh-CN"/>
                    </w:rPr>
                    <w:t>结论</w:t>
                  </w:r>
                </w:p>
              </w:tc>
            </w:tr>
            <w:tr w14:paraId="79E651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32" w:type="pct"/>
                  <w:vMerge w:val="continue"/>
                  <w:tcBorders>
                    <w:left w:val="single" w:color="auto" w:sz="4" w:space="0"/>
                  </w:tcBorders>
                  <w:noWrap w:val="0"/>
                  <w:vAlign w:val="center"/>
                </w:tcPr>
                <w:p w14:paraId="6197BFCF">
                  <w:pPr>
                    <w:spacing w:line="264" w:lineRule="auto"/>
                    <w:jc w:val="center"/>
                    <w:rPr>
                      <w:rFonts w:hint="eastAsia"/>
                      <w:highlight w:val="none"/>
                    </w:rPr>
                  </w:pPr>
                </w:p>
              </w:tc>
              <w:tc>
                <w:tcPr>
                  <w:tcW w:w="486" w:type="pct"/>
                  <w:noWrap w:val="0"/>
                  <w:vAlign w:val="center"/>
                </w:tcPr>
                <w:p w14:paraId="309CC93A">
                  <w:pPr>
                    <w:spacing w:line="264" w:lineRule="auto"/>
                    <w:jc w:val="center"/>
                    <w:rPr>
                      <w:rFonts w:hint="eastAsia"/>
                      <w:highlight w:val="none"/>
                    </w:rPr>
                  </w:pPr>
                  <w:r>
                    <w:rPr>
                      <w:rFonts w:hint="eastAsia"/>
                      <w:highlight w:val="none"/>
                    </w:rPr>
                    <w:t>昼间</w:t>
                  </w:r>
                </w:p>
              </w:tc>
              <w:tc>
                <w:tcPr>
                  <w:tcW w:w="479" w:type="pct"/>
                  <w:noWrap w:val="0"/>
                  <w:vAlign w:val="center"/>
                </w:tcPr>
                <w:p w14:paraId="4DDC92EC">
                  <w:pPr>
                    <w:spacing w:line="264" w:lineRule="auto"/>
                    <w:jc w:val="center"/>
                    <w:rPr>
                      <w:rFonts w:hint="eastAsia"/>
                      <w:highlight w:val="none"/>
                    </w:rPr>
                  </w:pPr>
                  <w:r>
                    <w:rPr>
                      <w:rFonts w:hint="eastAsia"/>
                      <w:highlight w:val="none"/>
                    </w:rPr>
                    <w:t>夜间</w:t>
                  </w:r>
                </w:p>
              </w:tc>
              <w:tc>
                <w:tcPr>
                  <w:tcW w:w="493" w:type="pct"/>
                  <w:noWrap w:val="0"/>
                  <w:vAlign w:val="center"/>
                </w:tcPr>
                <w:p w14:paraId="5981CCEF">
                  <w:pPr>
                    <w:spacing w:line="264" w:lineRule="auto"/>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昼间</w:t>
                  </w:r>
                </w:p>
              </w:tc>
              <w:tc>
                <w:tcPr>
                  <w:tcW w:w="416" w:type="pct"/>
                  <w:noWrap w:val="0"/>
                  <w:vAlign w:val="center"/>
                </w:tcPr>
                <w:p w14:paraId="413503C2">
                  <w:pPr>
                    <w:spacing w:line="264" w:lineRule="auto"/>
                    <w:jc w:val="center"/>
                    <w:rPr>
                      <w:rFonts w:hint="eastAsia"/>
                      <w:highlight w:val="none"/>
                    </w:rPr>
                  </w:pPr>
                  <w:r>
                    <w:rPr>
                      <w:rFonts w:hint="eastAsia"/>
                      <w:highlight w:val="none"/>
                    </w:rPr>
                    <w:t>夜间</w:t>
                  </w:r>
                </w:p>
              </w:tc>
              <w:tc>
                <w:tcPr>
                  <w:tcW w:w="407" w:type="pct"/>
                  <w:noWrap w:val="0"/>
                  <w:vAlign w:val="center"/>
                </w:tcPr>
                <w:p w14:paraId="62723C4F">
                  <w:pPr>
                    <w:spacing w:line="264" w:lineRule="auto"/>
                    <w:jc w:val="center"/>
                    <w:rPr>
                      <w:rFonts w:hint="eastAsia"/>
                      <w:highlight w:val="none"/>
                    </w:rPr>
                  </w:pPr>
                  <w:r>
                    <w:rPr>
                      <w:rFonts w:hint="eastAsia"/>
                      <w:highlight w:val="none"/>
                    </w:rPr>
                    <w:t>昼间</w:t>
                  </w:r>
                </w:p>
              </w:tc>
              <w:tc>
                <w:tcPr>
                  <w:tcW w:w="473" w:type="pct"/>
                  <w:noWrap w:val="0"/>
                  <w:vAlign w:val="center"/>
                </w:tcPr>
                <w:p w14:paraId="26E9A899">
                  <w:pPr>
                    <w:spacing w:line="264" w:lineRule="auto"/>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夜间</w:t>
                  </w:r>
                </w:p>
              </w:tc>
              <w:tc>
                <w:tcPr>
                  <w:tcW w:w="492" w:type="pct"/>
                  <w:noWrap w:val="0"/>
                  <w:vAlign w:val="center"/>
                </w:tcPr>
                <w:p w14:paraId="3ED0E00E">
                  <w:pPr>
                    <w:spacing w:line="264" w:lineRule="auto"/>
                    <w:jc w:val="center"/>
                    <w:rPr>
                      <w:rFonts w:hint="eastAsia" w:ascii="Times New Roman" w:hAnsi="Times New Roman" w:eastAsia="宋体" w:cs="Times New Roman"/>
                      <w:kern w:val="2"/>
                      <w:sz w:val="21"/>
                      <w:szCs w:val="24"/>
                      <w:highlight w:val="none"/>
                      <w:lang w:val="en-US" w:eastAsia="zh-CN" w:bidi="ar-SA"/>
                    </w:rPr>
                  </w:pPr>
                  <w:r>
                    <w:rPr>
                      <w:rFonts w:hint="eastAsia"/>
                      <w:highlight w:val="none"/>
                    </w:rPr>
                    <w:t>昼间</w:t>
                  </w:r>
                </w:p>
              </w:tc>
              <w:tc>
                <w:tcPr>
                  <w:tcW w:w="458" w:type="pct"/>
                  <w:noWrap w:val="0"/>
                  <w:vAlign w:val="center"/>
                </w:tcPr>
                <w:p w14:paraId="4FAC5B3B">
                  <w:pPr>
                    <w:spacing w:line="264" w:lineRule="auto"/>
                    <w:jc w:val="center"/>
                    <w:rPr>
                      <w:rFonts w:hint="eastAsia"/>
                      <w:highlight w:val="none"/>
                    </w:rPr>
                  </w:pPr>
                  <w:r>
                    <w:rPr>
                      <w:rFonts w:hint="eastAsia"/>
                      <w:highlight w:val="none"/>
                    </w:rPr>
                    <w:t>夜间</w:t>
                  </w:r>
                </w:p>
              </w:tc>
              <w:tc>
                <w:tcPr>
                  <w:tcW w:w="559" w:type="pct"/>
                  <w:vMerge w:val="continue"/>
                  <w:tcBorders>
                    <w:right w:val="single" w:color="auto" w:sz="12" w:space="0"/>
                  </w:tcBorders>
                  <w:noWrap w:val="0"/>
                  <w:vAlign w:val="center"/>
                </w:tcPr>
                <w:p w14:paraId="665B90D8">
                  <w:pPr>
                    <w:spacing w:line="264" w:lineRule="auto"/>
                    <w:jc w:val="center"/>
                    <w:rPr>
                      <w:rFonts w:hint="default"/>
                      <w:highlight w:val="none"/>
                      <w:lang w:val="en-US"/>
                    </w:rPr>
                  </w:pPr>
                </w:p>
              </w:tc>
            </w:tr>
            <w:tr w14:paraId="6020C9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32" w:type="pct"/>
                  <w:tcBorders>
                    <w:left w:val="single" w:color="auto" w:sz="4" w:space="0"/>
                  </w:tcBorders>
                  <w:noWrap w:val="0"/>
                  <w:vAlign w:val="center"/>
                </w:tcPr>
                <w:p w14:paraId="7EFAFE70">
                  <w:pPr>
                    <w:spacing w:line="264" w:lineRule="auto"/>
                    <w:jc w:val="center"/>
                    <w:rPr>
                      <w:rFonts w:hint="eastAsia"/>
                      <w:highlight w:val="none"/>
                    </w:rPr>
                  </w:pPr>
                  <w:r>
                    <w:rPr>
                      <w:rFonts w:hint="eastAsia"/>
                      <w:highlight w:val="none"/>
                    </w:rPr>
                    <w:t>东厂界</w:t>
                  </w:r>
                </w:p>
              </w:tc>
              <w:tc>
                <w:tcPr>
                  <w:tcW w:w="486" w:type="pct"/>
                  <w:noWrap w:val="0"/>
                  <w:vAlign w:val="center"/>
                </w:tcPr>
                <w:p w14:paraId="5C066686">
                  <w:pPr>
                    <w:spacing w:line="264" w:lineRule="auto"/>
                    <w:jc w:val="center"/>
                    <w:rPr>
                      <w:rFonts w:hint="default"/>
                      <w:highlight w:val="none"/>
                      <w:lang w:val="en-US" w:eastAsia="zh-CN"/>
                    </w:rPr>
                  </w:pPr>
                  <w:r>
                    <w:rPr>
                      <w:rFonts w:hint="eastAsia"/>
                      <w:highlight w:val="none"/>
                      <w:lang w:val="en-US" w:eastAsia="zh-CN"/>
                    </w:rPr>
                    <w:t>53.9</w:t>
                  </w:r>
                </w:p>
              </w:tc>
              <w:tc>
                <w:tcPr>
                  <w:tcW w:w="479" w:type="pct"/>
                  <w:tcBorders>
                    <w:bottom w:val="single" w:color="auto" w:sz="4" w:space="0"/>
                  </w:tcBorders>
                  <w:noWrap w:val="0"/>
                  <w:vAlign w:val="center"/>
                </w:tcPr>
                <w:p w14:paraId="14F89A09">
                  <w:pPr>
                    <w:autoSpaceDE w:val="0"/>
                    <w:autoSpaceDN w:val="0"/>
                    <w:adjustRightInd w:val="0"/>
                    <w:snapToGrid w:val="0"/>
                    <w:spacing w:line="264" w:lineRule="auto"/>
                    <w:jc w:val="center"/>
                    <w:rPr>
                      <w:rFonts w:hint="default"/>
                      <w:highlight w:val="none"/>
                      <w:lang w:val="en-US" w:eastAsia="zh-CN"/>
                    </w:rPr>
                  </w:pPr>
                  <w:r>
                    <w:rPr>
                      <w:rFonts w:hint="eastAsia"/>
                      <w:highlight w:val="none"/>
                      <w:lang w:val="en-US" w:eastAsia="zh-CN"/>
                    </w:rPr>
                    <w:t>-</w:t>
                  </w:r>
                </w:p>
              </w:tc>
              <w:tc>
                <w:tcPr>
                  <w:tcW w:w="493" w:type="pct"/>
                  <w:tcBorders>
                    <w:top w:val="single" w:color="auto" w:sz="4" w:space="0"/>
                  </w:tcBorders>
                  <w:noWrap w:val="0"/>
                  <w:vAlign w:val="center"/>
                </w:tcPr>
                <w:p w14:paraId="4958834A">
                  <w:pPr>
                    <w:spacing w:line="264" w:lineRule="auto"/>
                    <w:ind w:firstLine="0" w:firstLineChars="0"/>
                    <w:jc w:val="center"/>
                    <w:rPr>
                      <w:rFonts w:hint="default" w:eastAsia="宋体"/>
                      <w:highlight w:val="none"/>
                      <w:lang w:val="en-US" w:eastAsia="zh-CN"/>
                    </w:rPr>
                  </w:pPr>
                  <w:r>
                    <w:rPr>
                      <w:rFonts w:hint="eastAsia"/>
                      <w:highlight w:val="none"/>
                      <w:lang w:val="en-US" w:eastAsia="zh-CN"/>
                    </w:rPr>
                    <w:t>58.7</w:t>
                  </w:r>
                </w:p>
              </w:tc>
              <w:tc>
                <w:tcPr>
                  <w:tcW w:w="416" w:type="pct"/>
                  <w:tcBorders>
                    <w:top w:val="single" w:color="auto" w:sz="4" w:space="0"/>
                  </w:tcBorders>
                  <w:noWrap w:val="0"/>
                  <w:vAlign w:val="center"/>
                </w:tcPr>
                <w:p w14:paraId="053764A6">
                  <w:pPr>
                    <w:spacing w:line="264" w:lineRule="auto"/>
                    <w:ind w:firstLine="0" w:firstLineChars="0"/>
                    <w:jc w:val="center"/>
                    <w:rPr>
                      <w:rFonts w:hint="default" w:eastAsia="宋体"/>
                      <w:highlight w:val="none"/>
                      <w:lang w:val="en-US" w:eastAsia="zh-CN"/>
                    </w:rPr>
                  </w:pPr>
                  <w:r>
                    <w:rPr>
                      <w:rFonts w:hint="eastAsia"/>
                      <w:highlight w:val="none"/>
                      <w:lang w:val="en-US" w:eastAsia="zh-CN"/>
                    </w:rPr>
                    <w:t>48.8</w:t>
                  </w:r>
                </w:p>
              </w:tc>
              <w:tc>
                <w:tcPr>
                  <w:tcW w:w="407" w:type="pct"/>
                  <w:tcBorders>
                    <w:top w:val="single" w:color="auto" w:sz="4" w:space="0"/>
                  </w:tcBorders>
                  <w:noWrap w:val="0"/>
                  <w:vAlign w:val="center"/>
                </w:tcPr>
                <w:p w14:paraId="4BEA8C00">
                  <w:pPr>
                    <w:spacing w:line="264" w:lineRule="auto"/>
                    <w:ind w:firstLine="0" w:firstLineChars="0"/>
                    <w:jc w:val="center"/>
                    <w:rPr>
                      <w:rFonts w:hint="default" w:eastAsia="宋体"/>
                      <w:highlight w:val="none"/>
                      <w:lang w:val="en-US" w:eastAsia="zh-CN"/>
                    </w:rPr>
                  </w:pPr>
                  <w:r>
                    <w:rPr>
                      <w:rFonts w:hint="eastAsia"/>
                      <w:highlight w:val="none"/>
                      <w:lang w:val="en-US" w:eastAsia="zh-CN"/>
                    </w:rPr>
                    <w:t>59.9</w:t>
                  </w:r>
                </w:p>
              </w:tc>
              <w:tc>
                <w:tcPr>
                  <w:tcW w:w="473" w:type="pct"/>
                  <w:tcBorders>
                    <w:top w:val="single" w:color="auto" w:sz="4" w:space="0"/>
                  </w:tcBorders>
                  <w:noWrap w:val="0"/>
                  <w:vAlign w:val="center"/>
                </w:tcPr>
                <w:p w14:paraId="542F929E">
                  <w:pPr>
                    <w:spacing w:line="264" w:lineRule="auto"/>
                    <w:ind w:firstLine="0" w:firstLineChars="0"/>
                    <w:jc w:val="center"/>
                    <w:rPr>
                      <w:rFonts w:hint="eastAsia"/>
                      <w:highlight w:val="none"/>
                      <w:lang w:val="en-US" w:eastAsia="zh-CN"/>
                    </w:rPr>
                  </w:pPr>
                  <w:r>
                    <w:rPr>
                      <w:rFonts w:hint="eastAsia"/>
                      <w:highlight w:val="none"/>
                      <w:lang w:val="en-US" w:eastAsia="zh-CN"/>
                    </w:rPr>
                    <w:t>48.8</w:t>
                  </w:r>
                </w:p>
              </w:tc>
              <w:tc>
                <w:tcPr>
                  <w:tcW w:w="492" w:type="pct"/>
                  <w:tcBorders>
                    <w:top w:val="single" w:color="auto" w:sz="4" w:space="0"/>
                  </w:tcBorders>
                  <w:noWrap w:val="0"/>
                  <w:vAlign w:val="center"/>
                </w:tcPr>
                <w:p w14:paraId="383DBAFB">
                  <w:pPr>
                    <w:spacing w:line="264" w:lineRule="auto"/>
                    <w:ind w:firstLine="0" w:firstLineChars="0"/>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60</w:t>
                  </w:r>
                </w:p>
              </w:tc>
              <w:tc>
                <w:tcPr>
                  <w:tcW w:w="458" w:type="pct"/>
                  <w:tcBorders>
                    <w:top w:val="single" w:color="auto" w:sz="4" w:space="0"/>
                  </w:tcBorders>
                  <w:noWrap w:val="0"/>
                  <w:vAlign w:val="center"/>
                </w:tcPr>
                <w:p w14:paraId="4F6EBC22">
                  <w:pPr>
                    <w:spacing w:line="264" w:lineRule="auto"/>
                    <w:ind w:firstLine="0" w:firstLineChars="0"/>
                    <w:jc w:val="center"/>
                    <w:rPr>
                      <w:rFonts w:hint="default"/>
                      <w:highlight w:val="none"/>
                      <w:lang w:val="en-US" w:eastAsia="zh-CN"/>
                    </w:rPr>
                  </w:pPr>
                  <w:r>
                    <w:rPr>
                      <w:rFonts w:hint="eastAsia"/>
                      <w:highlight w:val="none"/>
                      <w:lang w:val="en-US" w:eastAsia="zh-CN"/>
                    </w:rPr>
                    <w:t>50</w:t>
                  </w:r>
                </w:p>
              </w:tc>
              <w:tc>
                <w:tcPr>
                  <w:tcW w:w="559" w:type="pct"/>
                  <w:tcBorders>
                    <w:top w:val="single" w:color="auto" w:sz="4" w:space="0"/>
                    <w:right w:val="single" w:color="auto" w:sz="12" w:space="0"/>
                  </w:tcBorders>
                  <w:noWrap w:val="0"/>
                  <w:vAlign w:val="center"/>
                </w:tcPr>
                <w:p w14:paraId="134E9C78">
                  <w:pPr>
                    <w:spacing w:line="264" w:lineRule="auto"/>
                    <w:jc w:val="center"/>
                    <w:rPr>
                      <w:rFonts w:hint="eastAsia"/>
                      <w:highlight w:val="none"/>
                      <w:lang w:val="en-US" w:eastAsia="zh-CN"/>
                    </w:rPr>
                  </w:pPr>
                  <w:r>
                    <w:rPr>
                      <w:rFonts w:hint="eastAsia"/>
                      <w:highlight w:val="none"/>
                      <w:lang w:val="en-US" w:eastAsia="zh-CN"/>
                    </w:rPr>
                    <w:t>达标</w:t>
                  </w:r>
                </w:p>
              </w:tc>
            </w:tr>
            <w:tr w14:paraId="51023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32" w:type="pct"/>
                  <w:tcBorders>
                    <w:left w:val="single" w:color="auto" w:sz="4" w:space="0"/>
                  </w:tcBorders>
                  <w:noWrap w:val="0"/>
                  <w:vAlign w:val="center"/>
                </w:tcPr>
                <w:p w14:paraId="3E84DB9E">
                  <w:pPr>
                    <w:spacing w:line="264" w:lineRule="auto"/>
                    <w:jc w:val="center"/>
                    <w:rPr>
                      <w:rFonts w:hint="eastAsia"/>
                      <w:highlight w:val="none"/>
                    </w:rPr>
                  </w:pPr>
                  <w:r>
                    <w:rPr>
                      <w:rFonts w:hint="eastAsia"/>
                      <w:highlight w:val="none"/>
                    </w:rPr>
                    <w:t>西厂界</w:t>
                  </w:r>
                </w:p>
              </w:tc>
              <w:tc>
                <w:tcPr>
                  <w:tcW w:w="486" w:type="pct"/>
                  <w:noWrap w:val="0"/>
                  <w:vAlign w:val="center"/>
                </w:tcPr>
                <w:p w14:paraId="0CA5BFA2">
                  <w:pPr>
                    <w:spacing w:line="264" w:lineRule="auto"/>
                    <w:jc w:val="center"/>
                    <w:rPr>
                      <w:rFonts w:hint="default"/>
                      <w:highlight w:val="none"/>
                      <w:lang w:val="en-US" w:eastAsia="zh-CN"/>
                    </w:rPr>
                  </w:pPr>
                  <w:r>
                    <w:rPr>
                      <w:rFonts w:hint="eastAsia"/>
                      <w:highlight w:val="none"/>
                      <w:lang w:val="en-US" w:eastAsia="zh-CN"/>
                    </w:rPr>
                    <w:t>23.0</w:t>
                  </w:r>
                </w:p>
              </w:tc>
              <w:tc>
                <w:tcPr>
                  <w:tcW w:w="479" w:type="pct"/>
                  <w:tcBorders>
                    <w:top w:val="single" w:color="auto" w:sz="4" w:space="0"/>
                    <w:bottom w:val="single" w:color="auto" w:sz="4" w:space="0"/>
                  </w:tcBorders>
                  <w:noWrap w:val="0"/>
                  <w:vAlign w:val="center"/>
                </w:tcPr>
                <w:p w14:paraId="322A9D90">
                  <w:pPr>
                    <w:spacing w:line="264" w:lineRule="auto"/>
                    <w:jc w:val="center"/>
                    <w:rPr>
                      <w:rFonts w:hint="default"/>
                      <w:highlight w:val="none"/>
                      <w:lang w:val="en-US" w:eastAsia="zh-CN"/>
                    </w:rPr>
                  </w:pPr>
                  <w:r>
                    <w:rPr>
                      <w:rFonts w:hint="eastAsia"/>
                      <w:highlight w:val="none"/>
                      <w:lang w:val="en-US" w:eastAsia="zh-CN"/>
                    </w:rPr>
                    <w:t>-</w:t>
                  </w:r>
                </w:p>
              </w:tc>
              <w:tc>
                <w:tcPr>
                  <w:tcW w:w="493" w:type="pct"/>
                  <w:noWrap w:val="0"/>
                  <w:vAlign w:val="center"/>
                </w:tcPr>
                <w:p w14:paraId="3A1D4EB2">
                  <w:pPr>
                    <w:spacing w:line="264" w:lineRule="auto"/>
                    <w:ind w:firstLine="0" w:firstLineChars="0"/>
                    <w:jc w:val="center"/>
                    <w:rPr>
                      <w:rFonts w:hint="default"/>
                      <w:highlight w:val="none"/>
                      <w:lang w:val="en-US" w:eastAsia="zh-CN"/>
                    </w:rPr>
                  </w:pPr>
                  <w:r>
                    <w:rPr>
                      <w:rFonts w:hint="eastAsia"/>
                      <w:highlight w:val="none"/>
                      <w:lang w:val="en-US" w:eastAsia="zh-CN"/>
                    </w:rPr>
                    <w:t>58.2</w:t>
                  </w:r>
                </w:p>
              </w:tc>
              <w:tc>
                <w:tcPr>
                  <w:tcW w:w="416" w:type="pct"/>
                  <w:noWrap w:val="0"/>
                  <w:vAlign w:val="center"/>
                </w:tcPr>
                <w:p w14:paraId="1EAA86ED">
                  <w:pPr>
                    <w:spacing w:line="264" w:lineRule="auto"/>
                    <w:ind w:firstLine="0" w:firstLineChars="0"/>
                    <w:jc w:val="center"/>
                    <w:rPr>
                      <w:rFonts w:hint="default"/>
                      <w:highlight w:val="none"/>
                      <w:lang w:val="en-US" w:eastAsia="zh-CN"/>
                    </w:rPr>
                  </w:pPr>
                  <w:r>
                    <w:rPr>
                      <w:rFonts w:hint="eastAsia"/>
                      <w:highlight w:val="none"/>
                      <w:lang w:val="en-US" w:eastAsia="zh-CN"/>
                    </w:rPr>
                    <w:t>48.7</w:t>
                  </w:r>
                </w:p>
              </w:tc>
              <w:tc>
                <w:tcPr>
                  <w:tcW w:w="407" w:type="pct"/>
                  <w:noWrap w:val="0"/>
                  <w:vAlign w:val="center"/>
                </w:tcPr>
                <w:p w14:paraId="06130885">
                  <w:pPr>
                    <w:spacing w:line="264" w:lineRule="auto"/>
                    <w:ind w:firstLine="0" w:firstLineChars="0"/>
                    <w:jc w:val="center"/>
                    <w:rPr>
                      <w:rFonts w:hint="default"/>
                      <w:highlight w:val="none"/>
                      <w:lang w:val="en-US" w:eastAsia="zh-CN"/>
                    </w:rPr>
                  </w:pPr>
                  <w:r>
                    <w:rPr>
                      <w:rFonts w:hint="eastAsia"/>
                      <w:highlight w:val="none"/>
                      <w:lang w:val="en-US" w:eastAsia="zh-CN"/>
                    </w:rPr>
                    <w:t>58.2</w:t>
                  </w:r>
                </w:p>
              </w:tc>
              <w:tc>
                <w:tcPr>
                  <w:tcW w:w="473" w:type="pct"/>
                  <w:noWrap w:val="0"/>
                  <w:vAlign w:val="center"/>
                </w:tcPr>
                <w:p w14:paraId="678D1DFC">
                  <w:pPr>
                    <w:spacing w:line="264" w:lineRule="auto"/>
                    <w:ind w:firstLine="0" w:firstLineChars="0"/>
                    <w:jc w:val="center"/>
                    <w:rPr>
                      <w:rFonts w:hint="eastAsia"/>
                      <w:highlight w:val="none"/>
                      <w:lang w:val="en-US" w:eastAsia="zh-CN"/>
                    </w:rPr>
                  </w:pPr>
                  <w:r>
                    <w:rPr>
                      <w:rFonts w:hint="eastAsia"/>
                      <w:highlight w:val="none"/>
                      <w:lang w:val="en-US" w:eastAsia="zh-CN"/>
                    </w:rPr>
                    <w:t>48.7</w:t>
                  </w:r>
                </w:p>
              </w:tc>
              <w:tc>
                <w:tcPr>
                  <w:tcW w:w="492" w:type="pct"/>
                  <w:noWrap w:val="0"/>
                  <w:vAlign w:val="center"/>
                </w:tcPr>
                <w:p w14:paraId="4425C583">
                  <w:pPr>
                    <w:spacing w:line="264" w:lineRule="auto"/>
                    <w:ind w:firstLine="0" w:firstLineChars="0"/>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60</w:t>
                  </w:r>
                </w:p>
              </w:tc>
              <w:tc>
                <w:tcPr>
                  <w:tcW w:w="458" w:type="pct"/>
                  <w:noWrap w:val="0"/>
                  <w:vAlign w:val="center"/>
                </w:tcPr>
                <w:p w14:paraId="221897C3">
                  <w:pPr>
                    <w:spacing w:line="264" w:lineRule="auto"/>
                    <w:ind w:firstLine="0" w:firstLineChars="0"/>
                    <w:jc w:val="center"/>
                    <w:rPr>
                      <w:rFonts w:hint="default"/>
                      <w:highlight w:val="none"/>
                      <w:lang w:val="en-US" w:eastAsia="zh-CN"/>
                    </w:rPr>
                  </w:pPr>
                  <w:r>
                    <w:rPr>
                      <w:rFonts w:hint="eastAsia"/>
                      <w:highlight w:val="none"/>
                      <w:lang w:val="en-US" w:eastAsia="zh-CN"/>
                    </w:rPr>
                    <w:t>50</w:t>
                  </w:r>
                </w:p>
              </w:tc>
              <w:tc>
                <w:tcPr>
                  <w:tcW w:w="559" w:type="pct"/>
                  <w:tcBorders>
                    <w:top w:val="single" w:color="auto" w:sz="4" w:space="0"/>
                    <w:bottom w:val="single" w:color="auto" w:sz="4" w:space="0"/>
                    <w:right w:val="single" w:color="auto" w:sz="12" w:space="0"/>
                  </w:tcBorders>
                  <w:noWrap w:val="0"/>
                  <w:vAlign w:val="center"/>
                </w:tcPr>
                <w:p w14:paraId="4D24D902">
                  <w:pPr>
                    <w:spacing w:line="264" w:lineRule="auto"/>
                    <w:jc w:val="center"/>
                    <w:rPr>
                      <w:rFonts w:hint="eastAsia"/>
                      <w:highlight w:val="none"/>
                      <w:lang w:val="en-US" w:eastAsia="zh-CN"/>
                    </w:rPr>
                  </w:pPr>
                  <w:r>
                    <w:rPr>
                      <w:rFonts w:hint="eastAsia"/>
                      <w:highlight w:val="none"/>
                      <w:lang w:val="en-US" w:eastAsia="zh-CN"/>
                    </w:rPr>
                    <w:t>达标</w:t>
                  </w:r>
                </w:p>
              </w:tc>
            </w:tr>
            <w:tr w14:paraId="26BA4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32" w:type="pct"/>
                  <w:tcBorders>
                    <w:left w:val="single" w:color="auto" w:sz="4" w:space="0"/>
                  </w:tcBorders>
                  <w:noWrap w:val="0"/>
                  <w:vAlign w:val="center"/>
                </w:tcPr>
                <w:p w14:paraId="1C4A90E9">
                  <w:pPr>
                    <w:spacing w:line="264" w:lineRule="auto"/>
                    <w:jc w:val="center"/>
                    <w:rPr>
                      <w:rFonts w:hint="eastAsia"/>
                      <w:highlight w:val="none"/>
                      <w:lang w:val="en-US" w:eastAsia="zh-CN"/>
                    </w:rPr>
                  </w:pPr>
                  <w:r>
                    <w:rPr>
                      <w:rFonts w:hint="eastAsia"/>
                      <w:highlight w:val="none"/>
                      <w:lang w:val="en-US" w:eastAsia="zh-CN"/>
                    </w:rPr>
                    <w:t>南</w:t>
                  </w:r>
                  <w:r>
                    <w:rPr>
                      <w:rFonts w:hint="eastAsia"/>
                      <w:highlight w:val="none"/>
                    </w:rPr>
                    <w:t>厂界</w:t>
                  </w:r>
                </w:p>
              </w:tc>
              <w:tc>
                <w:tcPr>
                  <w:tcW w:w="486" w:type="pct"/>
                  <w:noWrap w:val="0"/>
                  <w:vAlign w:val="center"/>
                </w:tcPr>
                <w:p w14:paraId="36626B21">
                  <w:pPr>
                    <w:spacing w:line="264" w:lineRule="auto"/>
                    <w:jc w:val="center"/>
                    <w:rPr>
                      <w:rFonts w:hint="default"/>
                      <w:highlight w:val="none"/>
                      <w:lang w:val="en-US" w:eastAsia="zh-CN"/>
                    </w:rPr>
                  </w:pPr>
                  <w:r>
                    <w:rPr>
                      <w:rFonts w:hint="eastAsia"/>
                      <w:highlight w:val="none"/>
                      <w:lang w:val="en-US" w:eastAsia="zh-CN"/>
                    </w:rPr>
                    <w:t>40.0</w:t>
                  </w:r>
                </w:p>
              </w:tc>
              <w:tc>
                <w:tcPr>
                  <w:tcW w:w="479" w:type="pct"/>
                  <w:tcBorders>
                    <w:top w:val="single" w:color="auto" w:sz="4" w:space="0"/>
                    <w:bottom w:val="single" w:color="auto" w:sz="4" w:space="0"/>
                  </w:tcBorders>
                  <w:noWrap w:val="0"/>
                  <w:vAlign w:val="center"/>
                </w:tcPr>
                <w:p w14:paraId="1A0ACE8C">
                  <w:pPr>
                    <w:spacing w:line="264" w:lineRule="auto"/>
                    <w:jc w:val="center"/>
                    <w:rPr>
                      <w:rFonts w:hint="eastAsia"/>
                      <w:highlight w:val="none"/>
                      <w:lang w:val="en-US" w:eastAsia="zh-CN"/>
                    </w:rPr>
                  </w:pPr>
                  <w:r>
                    <w:rPr>
                      <w:rFonts w:hint="eastAsia"/>
                      <w:highlight w:val="none"/>
                      <w:lang w:val="en-US" w:eastAsia="zh-CN"/>
                    </w:rPr>
                    <w:t>-</w:t>
                  </w:r>
                </w:p>
              </w:tc>
              <w:tc>
                <w:tcPr>
                  <w:tcW w:w="493" w:type="pct"/>
                  <w:noWrap w:val="0"/>
                  <w:vAlign w:val="center"/>
                </w:tcPr>
                <w:p w14:paraId="3AF39687">
                  <w:pPr>
                    <w:spacing w:line="264" w:lineRule="auto"/>
                    <w:ind w:firstLine="0" w:firstLineChars="0"/>
                    <w:jc w:val="center"/>
                    <w:rPr>
                      <w:rFonts w:hint="default"/>
                      <w:highlight w:val="none"/>
                      <w:lang w:val="en-US" w:eastAsia="zh-CN"/>
                    </w:rPr>
                  </w:pPr>
                  <w:r>
                    <w:rPr>
                      <w:rFonts w:hint="eastAsia"/>
                      <w:highlight w:val="none"/>
                      <w:lang w:val="en-US" w:eastAsia="zh-CN"/>
                    </w:rPr>
                    <w:t>58.0</w:t>
                  </w:r>
                </w:p>
              </w:tc>
              <w:tc>
                <w:tcPr>
                  <w:tcW w:w="416" w:type="pct"/>
                  <w:noWrap w:val="0"/>
                  <w:vAlign w:val="center"/>
                </w:tcPr>
                <w:p w14:paraId="266913C0">
                  <w:pPr>
                    <w:spacing w:line="264" w:lineRule="auto"/>
                    <w:ind w:firstLine="0" w:firstLineChars="0"/>
                    <w:jc w:val="center"/>
                    <w:rPr>
                      <w:rFonts w:hint="default"/>
                      <w:highlight w:val="none"/>
                      <w:lang w:val="en-US" w:eastAsia="zh-CN"/>
                    </w:rPr>
                  </w:pPr>
                  <w:r>
                    <w:rPr>
                      <w:rFonts w:hint="eastAsia"/>
                      <w:highlight w:val="none"/>
                      <w:lang w:val="en-US" w:eastAsia="zh-CN"/>
                    </w:rPr>
                    <w:t>48.4</w:t>
                  </w:r>
                </w:p>
              </w:tc>
              <w:tc>
                <w:tcPr>
                  <w:tcW w:w="407" w:type="pct"/>
                  <w:noWrap w:val="0"/>
                  <w:vAlign w:val="center"/>
                </w:tcPr>
                <w:p w14:paraId="68AD5B92">
                  <w:pPr>
                    <w:spacing w:line="264" w:lineRule="auto"/>
                    <w:ind w:firstLine="0" w:firstLineChars="0"/>
                    <w:jc w:val="center"/>
                    <w:rPr>
                      <w:rFonts w:hint="default"/>
                      <w:highlight w:val="none"/>
                      <w:lang w:val="en-US" w:eastAsia="zh-CN"/>
                    </w:rPr>
                  </w:pPr>
                  <w:r>
                    <w:rPr>
                      <w:rFonts w:hint="eastAsia"/>
                      <w:highlight w:val="none"/>
                      <w:lang w:val="en-US" w:eastAsia="zh-CN"/>
                    </w:rPr>
                    <w:t>58.0</w:t>
                  </w:r>
                </w:p>
              </w:tc>
              <w:tc>
                <w:tcPr>
                  <w:tcW w:w="473" w:type="pct"/>
                  <w:noWrap w:val="0"/>
                  <w:vAlign w:val="center"/>
                </w:tcPr>
                <w:p w14:paraId="23AF577A">
                  <w:pPr>
                    <w:spacing w:line="264" w:lineRule="auto"/>
                    <w:ind w:firstLine="0" w:firstLineChars="0"/>
                    <w:jc w:val="center"/>
                    <w:rPr>
                      <w:rFonts w:hint="eastAsia"/>
                      <w:highlight w:val="none"/>
                      <w:lang w:val="en-US" w:eastAsia="zh-CN"/>
                    </w:rPr>
                  </w:pPr>
                  <w:r>
                    <w:rPr>
                      <w:rFonts w:hint="eastAsia"/>
                      <w:highlight w:val="none"/>
                      <w:lang w:val="en-US" w:eastAsia="zh-CN"/>
                    </w:rPr>
                    <w:t>48.4</w:t>
                  </w:r>
                </w:p>
              </w:tc>
              <w:tc>
                <w:tcPr>
                  <w:tcW w:w="492" w:type="pct"/>
                  <w:noWrap w:val="0"/>
                  <w:vAlign w:val="center"/>
                </w:tcPr>
                <w:p w14:paraId="733F100C">
                  <w:pPr>
                    <w:spacing w:line="264" w:lineRule="auto"/>
                    <w:ind w:firstLine="0" w:firstLineChars="0"/>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60</w:t>
                  </w:r>
                </w:p>
              </w:tc>
              <w:tc>
                <w:tcPr>
                  <w:tcW w:w="458" w:type="pct"/>
                  <w:noWrap w:val="0"/>
                  <w:vAlign w:val="center"/>
                </w:tcPr>
                <w:p w14:paraId="70D52E41">
                  <w:pPr>
                    <w:spacing w:line="264" w:lineRule="auto"/>
                    <w:ind w:firstLine="0" w:firstLineChars="0"/>
                    <w:jc w:val="center"/>
                    <w:rPr>
                      <w:rFonts w:hint="eastAsia"/>
                      <w:highlight w:val="none"/>
                      <w:lang w:val="en-US" w:eastAsia="zh-CN"/>
                    </w:rPr>
                  </w:pPr>
                  <w:r>
                    <w:rPr>
                      <w:rFonts w:hint="eastAsia"/>
                      <w:highlight w:val="none"/>
                      <w:lang w:val="en-US" w:eastAsia="zh-CN"/>
                    </w:rPr>
                    <w:t>50</w:t>
                  </w:r>
                </w:p>
              </w:tc>
              <w:tc>
                <w:tcPr>
                  <w:tcW w:w="559" w:type="pct"/>
                  <w:tcBorders>
                    <w:top w:val="single" w:color="auto" w:sz="4" w:space="0"/>
                    <w:bottom w:val="single" w:color="auto" w:sz="4" w:space="0"/>
                    <w:right w:val="single" w:color="auto" w:sz="12" w:space="0"/>
                  </w:tcBorders>
                  <w:noWrap w:val="0"/>
                  <w:vAlign w:val="center"/>
                </w:tcPr>
                <w:p w14:paraId="40DD56E6">
                  <w:pPr>
                    <w:spacing w:line="264" w:lineRule="auto"/>
                    <w:jc w:val="center"/>
                    <w:rPr>
                      <w:rFonts w:hint="eastAsia"/>
                      <w:highlight w:val="none"/>
                      <w:lang w:val="en-US" w:eastAsia="zh-CN"/>
                    </w:rPr>
                  </w:pPr>
                  <w:r>
                    <w:rPr>
                      <w:rFonts w:hint="eastAsia"/>
                      <w:highlight w:val="none"/>
                      <w:lang w:val="en-US" w:eastAsia="zh-CN"/>
                    </w:rPr>
                    <w:t>达标</w:t>
                  </w:r>
                </w:p>
              </w:tc>
            </w:tr>
            <w:tr w14:paraId="28403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732" w:type="pct"/>
                  <w:tcBorders>
                    <w:left w:val="single" w:color="auto" w:sz="4" w:space="0"/>
                    <w:bottom w:val="single" w:color="auto" w:sz="12" w:space="0"/>
                  </w:tcBorders>
                  <w:noWrap w:val="0"/>
                  <w:vAlign w:val="center"/>
                </w:tcPr>
                <w:p w14:paraId="617DE17C">
                  <w:pPr>
                    <w:spacing w:line="264" w:lineRule="auto"/>
                    <w:jc w:val="center"/>
                    <w:rPr>
                      <w:rFonts w:hint="eastAsia"/>
                      <w:highlight w:val="none"/>
                      <w:lang w:val="en-US" w:eastAsia="zh-CN"/>
                    </w:rPr>
                  </w:pPr>
                  <w:r>
                    <w:rPr>
                      <w:rFonts w:hint="eastAsia"/>
                      <w:highlight w:val="none"/>
                      <w:lang w:val="en-US" w:eastAsia="zh-CN"/>
                    </w:rPr>
                    <w:t>北</w:t>
                  </w:r>
                  <w:r>
                    <w:rPr>
                      <w:rFonts w:hint="eastAsia"/>
                      <w:highlight w:val="none"/>
                    </w:rPr>
                    <w:t>厂界</w:t>
                  </w:r>
                </w:p>
              </w:tc>
              <w:tc>
                <w:tcPr>
                  <w:tcW w:w="486" w:type="pct"/>
                  <w:tcBorders>
                    <w:bottom w:val="single" w:color="auto" w:sz="12" w:space="0"/>
                  </w:tcBorders>
                  <w:noWrap w:val="0"/>
                  <w:vAlign w:val="center"/>
                </w:tcPr>
                <w:p w14:paraId="40462DBE">
                  <w:pPr>
                    <w:spacing w:line="264" w:lineRule="auto"/>
                    <w:jc w:val="center"/>
                    <w:rPr>
                      <w:rFonts w:hint="default"/>
                      <w:highlight w:val="none"/>
                      <w:lang w:val="en-US" w:eastAsia="zh-CN"/>
                    </w:rPr>
                  </w:pPr>
                  <w:r>
                    <w:rPr>
                      <w:rFonts w:hint="eastAsia"/>
                      <w:highlight w:val="none"/>
                      <w:lang w:val="en-US" w:eastAsia="zh-CN"/>
                    </w:rPr>
                    <w:t>24.6</w:t>
                  </w:r>
                </w:p>
              </w:tc>
              <w:tc>
                <w:tcPr>
                  <w:tcW w:w="479" w:type="pct"/>
                  <w:tcBorders>
                    <w:top w:val="single" w:color="auto" w:sz="4" w:space="0"/>
                    <w:bottom w:val="single" w:color="auto" w:sz="12" w:space="0"/>
                  </w:tcBorders>
                  <w:noWrap w:val="0"/>
                  <w:vAlign w:val="center"/>
                </w:tcPr>
                <w:p w14:paraId="03B42083">
                  <w:pPr>
                    <w:spacing w:line="264" w:lineRule="auto"/>
                    <w:jc w:val="center"/>
                    <w:rPr>
                      <w:rFonts w:hint="default"/>
                      <w:highlight w:val="none"/>
                      <w:lang w:val="en-US" w:eastAsia="zh-CN"/>
                    </w:rPr>
                  </w:pPr>
                  <w:r>
                    <w:rPr>
                      <w:rFonts w:hint="eastAsia"/>
                      <w:highlight w:val="none"/>
                      <w:lang w:val="en-US" w:eastAsia="zh-CN"/>
                    </w:rPr>
                    <w:t>-</w:t>
                  </w:r>
                </w:p>
              </w:tc>
              <w:tc>
                <w:tcPr>
                  <w:tcW w:w="493" w:type="pct"/>
                  <w:tcBorders>
                    <w:bottom w:val="single" w:color="auto" w:sz="12" w:space="0"/>
                  </w:tcBorders>
                  <w:noWrap w:val="0"/>
                  <w:vAlign w:val="center"/>
                </w:tcPr>
                <w:p w14:paraId="4843BAA5">
                  <w:pPr>
                    <w:spacing w:line="264" w:lineRule="auto"/>
                    <w:ind w:firstLine="0" w:firstLineChars="0"/>
                    <w:jc w:val="center"/>
                    <w:rPr>
                      <w:rFonts w:hint="default"/>
                      <w:highlight w:val="none"/>
                      <w:lang w:val="en-US" w:eastAsia="zh-CN"/>
                    </w:rPr>
                  </w:pPr>
                  <w:r>
                    <w:rPr>
                      <w:rFonts w:hint="eastAsia"/>
                      <w:highlight w:val="none"/>
                      <w:lang w:val="en-US" w:eastAsia="zh-CN"/>
                    </w:rPr>
                    <w:t>59.4</w:t>
                  </w:r>
                </w:p>
              </w:tc>
              <w:tc>
                <w:tcPr>
                  <w:tcW w:w="416" w:type="pct"/>
                  <w:tcBorders>
                    <w:bottom w:val="single" w:color="auto" w:sz="12" w:space="0"/>
                  </w:tcBorders>
                  <w:noWrap w:val="0"/>
                  <w:vAlign w:val="center"/>
                </w:tcPr>
                <w:p w14:paraId="7FBDFC02">
                  <w:pPr>
                    <w:spacing w:line="264" w:lineRule="auto"/>
                    <w:ind w:firstLine="0" w:firstLineChars="0"/>
                    <w:jc w:val="center"/>
                    <w:rPr>
                      <w:rFonts w:hint="default"/>
                      <w:highlight w:val="none"/>
                      <w:lang w:val="en-US" w:eastAsia="zh-CN"/>
                    </w:rPr>
                  </w:pPr>
                  <w:r>
                    <w:rPr>
                      <w:rFonts w:hint="eastAsia"/>
                      <w:highlight w:val="none"/>
                      <w:lang w:val="en-US" w:eastAsia="zh-CN"/>
                    </w:rPr>
                    <w:t>49.6</w:t>
                  </w:r>
                </w:p>
              </w:tc>
              <w:tc>
                <w:tcPr>
                  <w:tcW w:w="407" w:type="pct"/>
                  <w:tcBorders>
                    <w:bottom w:val="single" w:color="auto" w:sz="12" w:space="0"/>
                  </w:tcBorders>
                  <w:noWrap w:val="0"/>
                  <w:vAlign w:val="center"/>
                </w:tcPr>
                <w:p w14:paraId="70DD8EB4">
                  <w:pPr>
                    <w:spacing w:line="264" w:lineRule="auto"/>
                    <w:ind w:firstLine="0" w:firstLineChars="0"/>
                    <w:jc w:val="center"/>
                    <w:rPr>
                      <w:rFonts w:hint="default"/>
                      <w:highlight w:val="none"/>
                      <w:lang w:val="en-US" w:eastAsia="zh-CN"/>
                    </w:rPr>
                  </w:pPr>
                  <w:r>
                    <w:rPr>
                      <w:rFonts w:hint="eastAsia"/>
                      <w:highlight w:val="none"/>
                      <w:lang w:val="en-US" w:eastAsia="zh-CN"/>
                    </w:rPr>
                    <w:t>59.4</w:t>
                  </w:r>
                </w:p>
              </w:tc>
              <w:tc>
                <w:tcPr>
                  <w:tcW w:w="473" w:type="pct"/>
                  <w:tcBorders>
                    <w:bottom w:val="single" w:color="auto" w:sz="12" w:space="0"/>
                  </w:tcBorders>
                  <w:noWrap w:val="0"/>
                  <w:vAlign w:val="center"/>
                </w:tcPr>
                <w:p w14:paraId="741125FF">
                  <w:pPr>
                    <w:spacing w:line="264" w:lineRule="auto"/>
                    <w:ind w:firstLine="0" w:firstLineChars="0"/>
                    <w:jc w:val="center"/>
                    <w:rPr>
                      <w:rFonts w:hint="eastAsia"/>
                      <w:highlight w:val="none"/>
                      <w:lang w:val="en-US" w:eastAsia="zh-CN"/>
                    </w:rPr>
                  </w:pPr>
                  <w:r>
                    <w:rPr>
                      <w:rFonts w:hint="eastAsia"/>
                      <w:highlight w:val="none"/>
                      <w:lang w:val="en-US" w:eastAsia="zh-CN"/>
                    </w:rPr>
                    <w:t>49.6</w:t>
                  </w:r>
                </w:p>
              </w:tc>
              <w:tc>
                <w:tcPr>
                  <w:tcW w:w="492" w:type="pct"/>
                  <w:tcBorders>
                    <w:bottom w:val="single" w:color="auto" w:sz="12" w:space="0"/>
                  </w:tcBorders>
                  <w:noWrap w:val="0"/>
                  <w:vAlign w:val="center"/>
                </w:tcPr>
                <w:p w14:paraId="389D6849">
                  <w:pPr>
                    <w:spacing w:line="264" w:lineRule="auto"/>
                    <w:ind w:firstLine="0" w:firstLineChars="0"/>
                    <w:jc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60</w:t>
                  </w:r>
                </w:p>
              </w:tc>
              <w:tc>
                <w:tcPr>
                  <w:tcW w:w="458" w:type="pct"/>
                  <w:tcBorders>
                    <w:bottom w:val="single" w:color="auto" w:sz="12" w:space="0"/>
                  </w:tcBorders>
                  <w:noWrap w:val="0"/>
                  <w:vAlign w:val="center"/>
                </w:tcPr>
                <w:p w14:paraId="089FFD99">
                  <w:pPr>
                    <w:spacing w:line="264" w:lineRule="auto"/>
                    <w:ind w:firstLine="0" w:firstLineChars="0"/>
                    <w:jc w:val="center"/>
                    <w:rPr>
                      <w:rFonts w:hint="eastAsia"/>
                      <w:highlight w:val="none"/>
                      <w:lang w:val="en-US" w:eastAsia="zh-CN"/>
                    </w:rPr>
                  </w:pPr>
                  <w:r>
                    <w:rPr>
                      <w:rFonts w:hint="eastAsia"/>
                      <w:highlight w:val="none"/>
                      <w:lang w:val="en-US" w:eastAsia="zh-CN"/>
                    </w:rPr>
                    <w:t>50</w:t>
                  </w:r>
                </w:p>
              </w:tc>
              <w:tc>
                <w:tcPr>
                  <w:tcW w:w="559" w:type="pct"/>
                  <w:tcBorders>
                    <w:top w:val="single" w:color="auto" w:sz="4" w:space="0"/>
                    <w:bottom w:val="single" w:color="auto" w:sz="12" w:space="0"/>
                    <w:right w:val="single" w:color="auto" w:sz="12" w:space="0"/>
                  </w:tcBorders>
                  <w:noWrap w:val="0"/>
                  <w:vAlign w:val="center"/>
                </w:tcPr>
                <w:p w14:paraId="5FD666AE">
                  <w:pPr>
                    <w:spacing w:line="264" w:lineRule="auto"/>
                    <w:jc w:val="center"/>
                    <w:rPr>
                      <w:rFonts w:hint="eastAsia"/>
                      <w:highlight w:val="none"/>
                      <w:lang w:val="en-US" w:eastAsia="zh-CN"/>
                    </w:rPr>
                  </w:pPr>
                  <w:r>
                    <w:rPr>
                      <w:rFonts w:hint="eastAsia"/>
                      <w:highlight w:val="none"/>
                      <w:lang w:val="en-US" w:eastAsia="zh-CN"/>
                    </w:rPr>
                    <w:t>达标</w:t>
                  </w:r>
                </w:p>
              </w:tc>
            </w:tr>
          </w:tbl>
          <w:p w14:paraId="6A9F2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left"/>
              <w:textAlignment w:val="auto"/>
              <w:rPr>
                <w:rFonts w:hint="eastAsia"/>
                <w:highlight w:val="none"/>
              </w:rPr>
            </w:pPr>
            <w:r>
              <w:rPr>
                <w:rFonts w:hint="eastAsia"/>
                <w:highlight w:val="none"/>
                <w:lang w:val="en-US" w:eastAsia="zh-CN"/>
              </w:rPr>
              <w:t>建设单位在采取厂房隔声、基础减振的措施后，设备噪声叠加，再经过距离衰减，东、西、</w:t>
            </w:r>
            <w:r>
              <w:rPr>
                <w:rFonts w:hint="eastAsia" w:ascii="Times New Roman" w:hAnsi="Times New Roman" w:cs="Times New Roman"/>
                <w:highlight w:val="none"/>
                <w:lang w:val="en-US" w:eastAsia="zh-CN"/>
              </w:rPr>
              <w:t>南</w:t>
            </w:r>
            <w:r>
              <w:rPr>
                <w:rFonts w:hint="eastAsia" w:ascii="Times New Roman" w:hAnsi="Times New Roman" w:eastAsia="宋体" w:cs="Times New Roman"/>
                <w:highlight w:val="none"/>
                <w:lang w:val="en-US" w:eastAsia="zh-CN"/>
              </w:rPr>
              <w:t>、</w:t>
            </w:r>
            <w:r>
              <w:rPr>
                <w:rFonts w:hint="eastAsia" w:ascii="Times New Roman" w:hAnsi="Times New Roman" w:cs="Times New Roman"/>
                <w:highlight w:val="none"/>
                <w:lang w:val="en-US" w:eastAsia="zh-CN"/>
              </w:rPr>
              <w:t>北</w:t>
            </w:r>
            <w:r>
              <w:rPr>
                <w:rFonts w:hint="eastAsia"/>
                <w:highlight w:val="none"/>
                <w:lang w:val="en-US" w:eastAsia="zh-CN"/>
              </w:rPr>
              <w:t>厂界噪声昼间预测值58.0～59.9dB（A），夜间与检测值一直48.4～49.6dB（A）满足《工业企业厂界环境噪声排放标准》（GB12348-2008）2类标准限值要求。</w:t>
            </w:r>
          </w:p>
          <w:p w14:paraId="21D24F7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b/>
                <w:bCs/>
                <w:highlight w:val="none"/>
              </w:rPr>
            </w:pPr>
            <w:r>
              <w:rPr>
                <w:rFonts w:hint="eastAsia"/>
                <w:b/>
                <w:bCs/>
                <w:highlight w:val="none"/>
              </w:rPr>
              <w:t>表</w:t>
            </w:r>
            <w:r>
              <w:rPr>
                <w:rFonts w:hint="eastAsia"/>
                <w:b/>
                <w:bCs/>
                <w:highlight w:val="none"/>
                <w:lang w:val="en-US" w:eastAsia="zh-CN"/>
              </w:rPr>
              <w:t xml:space="preserve">4-8   </w:t>
            </w:r>
            <w:r>
              <w:rPr>
                <w:rFonts w:hint="eastAsia"/>
                <w:b/>
                <w:bCs/>
                <w:highlight w:val="none"/>
              </w:rPr>
              <w:t>噪声</w:t>
            </w:r>
            <w:r>
              <w:rPr>
                <w:rFonts w:hint="eastAsia"/>
                <w:b/>
                <w:bCs/>
                <w:highlight w:val="none"/>
                <w:lang w:val="en-US" w:eastAsia="zh-CN"/>
              </w:rPr>
              <w:t>污染源</w:t>
            </w:r>
            <w:r>
              <w:rPr>
                <w:rFonts w:hint="eastAsia"/>
                <w:b/>
                <w:bCs/>
                <w:color w:val="auto"/>
                <w:highlight w:val="none"/>
                <w:lang w:val="en-US" w:eastAsia="zh-CN"/>
              </w:rPr>
              <w:t>检测</w:t>
            </w:r>
            <w:r>
              <w:rPr>
                <w:rFonts w:hint="eastAsia"/>
                <w:b/>
                <w:bCs/>
                <w:highlight w:val="none"/>
                <w:lang w:val="en-US" w:eastAsia="zh-CN"/>
              </w:rPr>
              <w:t>计划一览表</w:t>
            </w:r>
            <w:r>
              <w:rPr>
                <w:rFonts w:hint="eastAsia"/>
                <w:b/>
                <w:bCs/>
                <w:highlight w:val="none"/>
              </w:rPr>
              <w:t xml:space="preserve"> </w:t>
            </w:r>
          </w:p>
          <w:tbl>
            <w:tblPr>
              <w:tblStyle w:val="20"/>
              <w:tblW w:w="799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88"/>
              <w:gridCol w:w="1245"/>
              <w:gridCol w:w="1275"/>
              <w:gridCol w:w="1245"/>
              <w:gridCol w:w="3341"/>
            </w:tblGrid>
            <w:tr w14:paraId="31EEB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25" w:hRule="atLeast"/>
                <w:jc w:val="center"/>
              </w:trPr>
              <w:tc>
                <w:tcPr>
                  <w:tcW w:w="888" w:type="dxa"/>
                  <w:tcBorders>
                    <w:top w:val="single" w:color="auto" w:sz="12" w:space="0"/>
                    <w:left w:val="single" w:color="auto" w:sz="4" w:space="0"/>
                  </w:tcBorders>
                  <w:noWrap w:val="0"/>
                  <w:vAlign w:val="center"/>
                </w:tcPr>
                <w:p w14:paraId="5A0226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rPr>
                  </w:pPr>
                  <w:r>
                    <w:rPr>
                      <w:rFonts w:hint="eastAsia"/>
                      <w:highlight w:val="none"/>
                      <w:lang w:val="en-US" w:eastAsia="zh-CN"/>
                    </w:rPr>
                    <w:t>要素</w:t>
                  </w:r>
                </w:p>
              </w:tc>
              <w:tc>
                <w:tcPr>
                  <w:tcW w:w="1245" w:type="dxa"/>
                  <w:tcBorders>
                    <w:top w:val="single" w:color="auto" w:sz="12" w:space="0"/>
                  </w:tcBorders>
                  <w:noWrap w:val="0"/>
                  <w:vAlign w:val="center"/>
                </w:tcPr>
                <w:p w14:paraId="380F1BC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检测位置</w:t>
                  </w:r>
                </w:p>
              </w:tc>
              <w:tc>
                <w:tcPr>
                  <w:tcW w:w="1275" w:type="dxa"/>
                  <w:tcBorders>
                    <w:top w:val="single" w:color="auto" w:sz="12" w:space="0"/>
                  </w:tcBorders>
                  <w:noWrap w:val="0"/>
                  <w:vAlign w:val="center"/>
                </w:tcPr>
                <w:p w14:paraId="05000EE0">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highlight w:val="none"/>
                      <w:lang w:val="en-US" w:eastAsia="zh-CN"/>
                    </w:rPr>
                  </w:pPr>
                  <w:r>
                    <w:rPr>
                      <w:rFonts w:hint="eastAsia"/>
                      <w:highlight w:val="none"/>
                      <w:lang w:val="en-US" w:eastAsia="zh-CN"/>
                    </w:rPr>
                    <w:t>检测因子</w:t>
                  </w:r>
                </w:p>
              </w:tc>
              <w:tc>
                <w:tcPr>
                  <w:tcW w:w="1245" w:type="dxa"/>
                  <w:tcBorders>
                    <w:top w:val="single" w:color="auto" w:sz="12" w:space="0"/>
                  </w:tcBorders>
                  <w:noWrap w:val="0"/>
                  <w:vAlign w:val="center"/>
                </w:tcPr>
                <w:p w14:paraId="23B7BB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rPr>
                  </w:pPr>
                  <w:r>
                    <w:rPr>
                      <w:rFonts w:hint="eastAsia"/>
                      <w:highlight w:val="none"/>
                      <w:lang w:val="en-US" w:eastAsia="zh-CN"/>
                    </w:rPr>
                    <w:t>检测频率</w:t>
                  </w:r>
                </w:p>
              </w:tc>
              <w:tc>
                <w:tcPr>
                  <w:tcW w:w="3341" w:type="dxa"/>
                  <w:tcBorders>
                    <w:top w:val="single" w:color="auto" w:sz="12" w:space="0"/>
                    <w:right w:val="single" w:color="auto" w:sz="12" w:space="0"/>
                  </w:tcBorders>
                  <w:noWrap w:val="0"/>
                  <w:vAlign w:val="center"/>
                </w:tcPr>
                <w:p w14:paraId="1D09E63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排放标准</w:t>
                  </w:r>
                </w:p>
              </w:tc>
            </w:tr>
            <w:tr w14:paraId="2100B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5" w:hRule="atLeast"/>
                <w:jc w:val="center"/>
              </w:trPr>
              <w:tc>
                <w:tcPr>
                  <w:tcW w:w="888" w:type="dxa"/>
                  <w:tcBorders>
                    <w:left w:val="single" w:color="auto" w:sz="4" w:space="0"/>
                    <w:bottom w:val="single" w:color="auto" w:sz="12" w:space="0"/>
                  </w:tcBorders>
                  <w:noWrap w:val="0"/>
                  <w:vAlign w:val="center"/>
                </w:tcPr>
                <w:p w14:paraId="363C8A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噪声</w:t>
                  </w:r>
                </w:p>
              </w:tc>
              <w:tc>
                <w:tcPr>
                  <w:tcW w:w="1245" w:type="dxa"/>
                  <w:tcBorders>
                    <w:bottom w:val="single" w:color="auto" w:sz="12" w:space="0"/>
                  </w:tcBorders>
                  <w:noWrap w:val="0"/>
                  <w:vAlign w:val="center"/>
                </w:tcPr>
                <w:p w14:paraId="57FAEC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highlight w:val="none"/>
                      <w:lang w:val="en-US" w:eastAsia="zh-CN"/>
                    </w:rPr>
                  </w:pPr>
                  <w:r>
                    <w:rPr>
                      <w:rFonts w:hint="eastAsia"/>
                      <w:highlight w:val="none"/>
                      <w:lang w:val="en-US" w:eastAsia="zh-CN"/>
                    </w:rPr>
                    <w:t>厂界</w:t>
                  </w:r>
                </w:p>
              </w:tc>
              <w:tc>
                <w:tcPr>
                  <w:tcW w:w="1275" w:type="dxa"/>
                  <w:tcBorders>
                    <w:bottom w:val="single" w:color="auto" w:sz="12" w:space="0"/>
                  </w:tcBorders>
                  <w:noWrap w:val="0"/>
                  <w:vAlign w:val="center"/>
                </w:tcPr>
                <w:p w14:paraId="75634AF2">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highlight w:val="none"/>
                      <w:lang w:val="en-US" w:eastAsia="zh-CN"/>
                    </w:rPr>
                  </w:pPr>
                  <w:r>
                    <w:rPr>
                      <w:rFonts w:hint="eastAsia"/>
                      <w:highlight w:val="none"/>
                      <w:lang w:val="en-US" w:eastAsia="zh-CN"/>
                    </w:rPr>
                    <w:t>连续A声级</w:t>
                  </w:r>
                </w:p>
              </w:tc>
              <w:tc>
                <w:tcPr>
                  <w:tcW w:w="1245" w:type="dxa"/>
                  <w:tcBorders>
                    <w:bottom w:val="single" w:color="auto" w:sz="12" w:space="0"/>
                  </w:tcBorders>
                  <w:noWrap w:val="0"/>
                  <w:vAlign w:val="center"/>
                </w:tcPr>
                <w:p w14:paraId="1790DDDC">
                  <w:pPr>
                    <w:keepNext w:val="0"/>
                    <w:keepLines w:val="0"/>
                    <w:pageBreakBefore w:val="0"/>
                    <w:widowControl w:val="0"/>
                    <w:kinsoku/>
                    <w:wordWrap/>
                    <w:overflowPunct/>
                    <w:topLinePunct w:val="0"/>
                    <w:autoSpaceDE/>
                    <w:autoSpaceDN/>
                    <w:bidi w:val="0"/>
                    <w:adjustRightInd/>
                    <w:snapToGrid/>
                    <w:spacing w:line="320" w:lineRule="exact"/>
                    <w:ind w:firstLine="0" w:firstLineChars="0"/>
                    <w:jc w:val="center"/>
                    <w:textAlignment w:val="auto"/>
                    <w:rPr>
                      <w:rFonts w:hint="default"/>
                      <w:highlight w:val="none"/>
                      <w:lang w:val="en-US" w:eastAsia="zh-CN"/>
                    </w:rPr>
                  </w:pPr>
                  <w:r>
                    <w:rPr>
                      <w:rFonts w:hint="eastAsia"/>
                      <w:highlight w:val="none"/>
                      <w:lang w:val="en-US" w:eastAsia="zh-CN"/>
                    </w:rPr>
                    <w:t>1次/季度</w:t>
                  </w:r>
                </w:p>
              </w:tc>
              <w:tc>
                <w:tcPr>
                  <w:tcW w:w="3341" w:type="dxa"/>
                  <w:tcBorders>
                    <w:top w:val="single" w:color="auto" w:sz="4" w:space="0"/>
                    <w:bottom w:val="single" w:color="auto" w:sz="12" w:space="0"/>
                    <w:right w:val="single" w:color="auto" w:sz="12" w:space="0"/>
                  </w:tcBorders>
                  <w:noWrap w:val="0"/>
                  <w:vAlign w:val="center"/>
                </w:tcPr>
                <w:p w14:paraId="5C8D90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东、西、南、北厂界满足《工业企业厂界环境噪声排放标准》（GB12348-2008）2类标准</w:t>
                  </w:r>
                </w:p>
              </w:tc>
            </w:tr>
          </w:tbl>
          <w:p w14:paraId="2449E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left"/>
              <w:textAlignment w:val="auto"/>
              <w:rPr>
                <w:rFonts w:hint="eastAsia"/>
                <w:highlight w:val="none"/>
                <w:lang w:val="en-US" w:eastAsia="zh-CN"/>
              </w:rPr>
            </w:pPr>
            <w:r>
              <w:rPr>
                <w:rFonts w:hint="eastAsia"/>
                <w:highlight w:val="none"/>
                <w:lang w:val="en-US" w:eastAsia="zh-CN"/>
              </w:rPr>
              <w:t>四、固体废物</w:t>
            </w:r>
          </w:p>
          <w:p w14:paraId="69A35D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left"/>
              <w:textAlignment w:val="auto"/>
              <w:rPr>
                <w:rFonts w:hint="default"/>
                <w:highlight w:val="none"/>
                <w:lang w:val="en-US" w:eastAsia="zh-CN"/>
              </w:rPr>
            </w:pPr>
            <w:r>
              <w:rPr>
                <w:rFonts w:hint="eastAsia"/>
                <w:highlight w:val="none"/>
                <w:lang w:val="en-US" w:eastAsia="zh-CN"/>
              </w:rPr>
              <w:t>本项目产生的固废主要为一般工业固体废弃物、危险废物。</w:t>
            </w:r>
          </w:p>
          <w:p w14:paraId="7ABE2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0" w:firstLineChars="200"/>
              <w:jc w:val="left"/>
              <w:textAlignment w:val="auto"/>
              <w:rPr>
                <w:rFonts w:hint="default"/>
                <w:highlight w:val="none"/>
                <w:lang w:val="en-US" w:eastAsia="zh-CN"/>
              </w:rPr>
            </w:pPr>
            <w:r>
              <w:rPr>
                <w:rFonts w:hint="eastAsia"/>
                <w:highlight w:val="none"/>
                <w:lang w:val="en-US" w:eastAsia="zh-CN"/>
              </w:rPr>
              <w:t>1、一般工业固体废弃物</w:t>
            </w:r>
            <w:r>
              <w:rPr>
                <w:rFonts w:hint="default"/>
                <w:highlight w:val="none"/>
                <w:lang w:val="en-US" w:eastAsia="zh-CN"/>
              </w:rPr>
              <w:t>汇总表见表</w:t>
            </w:r>
            <w:r>
              <w:rPr>
                <w:rFonts w:hint="eastAsia"/>
                <w:highlight w:val="none"/>
                <w:lang w:val="en-US" w:eastAsia="zh-CN"/>
              </w:rPr>
              <w:t>4-9</w:t>
            </w:r>
            <w:r>
              <w:rPr>
                <w:rFonts w:hint="default"/>
                <w:highlight w:val="none"/>
                <w:lang w:val="en-US" w:eastAsia="zh-CN"/>
              </w:rPr>
              <w:t>。</w:t>
            </w:r>
          </w:p>
          <w:p w14:paraId="2261C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2" w:firstLineChars="200"/>
              <w:jc w:val="center"/>
              <w:textAlignment w:val="auto"/>
              <w:rPr>
                <w:rFonts w:hint="default"/>
                <w:b/>
                <w:bCs/>
                <w:highlight w:val="none"/>
                <w:lang w:val="en-US" w:eastAsia="zh-CN"/>
              </w:rPr>
            </w:pPr>
            <w:r>
              <w:rPr>
                <w:rFonts w:hint="default"/>
                <w:b/>
                <w:bCs/>
                <w:highlight w:val="none"/>
                <w:lang w:val="en-US" w:eastAsia="zh-CN"/>
              </w:rPr>
              <w:t>表</w:t>
            </w:r>
            <w:r>
              <w:rPr>
                <w:rFonts w:hint="eastAsia"/>
                <w:b/>
                <w:bCs/>
                <w:highlight w:val="none"/>
                <w:lang w:val="en-US" w:eastAsia="zh-CN"/>
              </w:rPr>
              <w:t>4-9</w:t>
            </w:r>
            <w:r>
              <w:rPr>
                <w:rFonts w:hint="default"/>
                <w:b/>
                <w:bCs/>
                <w:highlight w:val="none"/>
                <w:lang w:val="en-US" w:eastAsia="zh-CN"/>
              </w:rPr>
              <w:t xml:space="preserve">   项目</w:t>
            </w:r>
            <w:r>
              <w:rPr>
                <w:rFonts w:hint="eastAsia"/>
                <w:b/>
                <w:bCs/>
                <w:highlight w:val="none"/>
                <w:lang w:val="en-US" w:eastAsia="zh-CN"/>
              </w:rPr>
              <w:t>一般工业固废</w:t>
            </w:r>
            <w:r>
              <w:rPr>
                <w:rFonts w:hint="default"/>
                <w:b/>
                <w:bCs/>
                <w:highlight w:val="none"/>
                <w:lang w:val="en-US" w:eastAsia="zh-CN"/>
              </w:rPr>
              <w:t>汇总表</w:t>
            </w:r>
          </w:p>
          <w:tbl>
            <w:tblPr>
              <w:tblStyle w:val="20"/>
              <w:tblW w:w="785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04"/>
              <w:gridCol w:w="640"/>
              <w:gridCol w:w="1227"/>
              <w:gridCol w:w="690"/>
              <w:gridCol w:w="1260"/>
              <w:gridCol w:w="1098"/>
              <w:gridCol w:w="2538"/>
            </w:tblGrid>
            <w:tr w14:paraId="6F7814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4" w:type="dxa"/>
                  <w:tcBorders>
                    <w:tl2br w:val="nil"/>
                    <w:tr2bl w:val="nil"/>
                  </w:tcBorders>
                  <w:noWrap w:val="0"/>
                  <w:vAlign w:val="center"/>
                </w:tcPr>
                <w:p w14:paraId="7A2B5FBD">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eastAsia="zh-CN"/>
                    </w:rPr>
                  </w:pPr>
                  <w:r>
                    <w:rPr>
                      <w:rFonts w:hint="default"/>
                      <w:highlight w:val="none"/>
                      <w:lang w:eastAsia="zh-CN"/>
                    </w:rPr>
                    <w:t>序号</w:t>
                  </w:r>
                </w:p>
              </w:tc>
              <w:tc>
                <w:tcPr>
                  <w:tcW w:w="640" w:type="dxa"/>
                  <w:tcBorders>
                    <w:tl2br w:val="nil"/>
                    <w:tr2bl w:val="nil"/>
                  </w:tcBorders>
                  <w:noWrap w:val="0"/>
                  <w:vAlign w:val="center"/>
                </w:tcPr>
                <w:p w14:paraId="66E5505F">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eastAsia"/>
                      <w:highlight w:val="none"/>
                      <w:lang w:val="en-US" w:eastAsia="zh-CN"/>
                    </w:rPr>
                    <w:t>产生环节</w:t>
                  </w:r>
                </w:p>
              </w:tc>
              <w:tc>
                <w:tcPr>
                  <w:tcW w:w="1227" w:type="dxa"/>
                  <w:tcBorders>
                    <w:tl2br w:val="nil"/>
                    <w:tr2bl w:val="nil"/>
                  </w:tcBorders>
                  <w:noWrap w:val="0"/>
                  <w:vAlign w:val="center"/>
                </w:tcPr>
                <w:p w14:paraId="150A28DD">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eastAsia"/>
                      <w:highlight w:val="none"/>
                      <w:lang w:val="en-US" w:eastAsia="zh-CN"/>
                    </w:rPr>
                    <w:t>一般固废</w:t>
                  </w:r>
                  <w:r>
                    <w:rPr>
                      <w:rFonts w:hint="default"/>
                      <w:highlight w:val="none"/>
                    </w:rPr>
                    <w:t>名称</w:t>
                  </w:r>
                </w:p>
              </w:tc>
              <w:tc>
                <w:tcPr>
                  <w:tcW w:w="690" w:type="dxa"/>
                  <w:tcBorders>
                    <w:tl2br w:val="nil"/>
                    <w:tr2bl w:val="nil"/>
                  </w:tcBorders>
                  <w:noWrap w:val="0"/>
                  <w:vAlign w:val="center"/>
                </w:tcPr>
                <w:p w14:paraId="1A7AE642">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val="en-US" w:eastAsia="zh-CN"/>
                    </w:rPr>
                  </w:pPr>
                  <w:r>
                    <w:rPr>
                      <w:rFonts w:hint="eastAsia"/>
                      <w:highlight w:val="none"/>
                      <w:lang w:val="en-US" w:eastAsia="zh-CN"/>
                    </w:rPr>
                    <w:t>形态</w:t>
                  </w:r>
                </w:p>
              </w:tc>
              <w:tc>
                <w:tcPr>
                  <w:tcW w:w="1260" w:type="dxa"/>
                  <w:tcBorders>
                    <w:tl2br w:val="nil"/>
                    <w:tr2bl w:val="nil"/>
                  </w:tcBorders>
                  <w:noWrap w:val="0"/>
                  <w:vAlign w:val="center"/>
                </w:tcPr>
                <w:p w14:paraId="14B974E3">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val="en-US" w:eastAsia="zh-CN"/>
                    </w:rPr>
                  </w:pPr>
                  <w:r>
                    <w:rPr>
                      <w:rFonts w:hint="eastAsia"/>
                      <w:highlight w:val="none"/>
                      <w:lang w:val="en-US" w:eastAsia="zh-CN"/>
                    </w:rPr>
                    <w:t>代码</w:t>
                  </w:r>
                </w:p>
              </w:tc>
              <w:tc>
                <w:tcPr>
                  <w:tcW w:w="1098" w:type="dxa"/>
                  <w:tcBorders>
                    <w:tl2br w:val="nil"/>
                    <w:tr2bl w:val="nil"/>
                  </w:tcBorders>
                  <w:noWrap w:val="0"/>
                  <w:vAlign w:val="center"/>
                </w:tcPr>
                <w:p w14:paraId="358A0C66">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default"/>
                      <w:highlight w:val="none"/>
                    </w:rPr>
                    <w:t>产生量</w:t>
                  </w:r>
                </w:p>
              </w:tc>
              <w:tc>
                <w:tcPr>
                  <w:tcW w:w="2538" w:type="dxa"/>
                  <w:tcBorders>
                    <w:tl2br w:val="nil"/>
                    <w:tr2bl w:val="nil"/>
                  </w:tcBorders>
                  <w:noWrap w:val="0"/>
                  <w:vAlign w:val="center"/>
                </w:tcPr>
                <w:p w14:paraId="219B4948">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val="en-US" w:eastAsia="zh-CN"/>
                    </w:rPr>
                  </w:pPr>
                  <w:r>
                    <w:rPr>
                      <w:rFonts w:hint="eastAsia"/>
                      <w:highlight w:val="none"/>
                      <w:lang w:val="en-US" w:eastAsia="zh-CN"/>
                    </w:rPr>
                    <w:t>处置方式和去向</w:t>
                  </w:r>
                </w:p>
              </w:tc>
            </w:tr>
            <w:tr w14:paraId="5C3D85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4" w:type="dxa"/>
                  <w:tcBorders>
                    <w:tl2br w:val="nil"/>
                    <w:tr2bl w:val="nil"/>
                  </w:tcBorders>
                  <w:noWrap w:val="0"/>
                  <w:vAlign w:val="center"/>
                </w:tcPr>
                <w:p w14:paraId="70563F59">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640" w:type="dxa"/>
                  <w:vMerge w:val="restart"/>
                  <w:tcBorders>
                    <w:tl2br w:val="nil"/>
                    <w:tr2bl w:val="nil"/>
                  </w:tcBorders>
                  <w:noWrap w:val="0"/>
                  <w:vAlign w:val="center"/>
                </w:tcPr>
                <w:p w14:paraId="4E8F255C">
                  <w:pPr>
                    <w:keepNext w:val="0"/>
                    <w:keepLines w:val="0"/>
                    <w:pageBreakBefore w:val="0"/>
                    <w:widowControl w:val="0"/>
                    <w:kinsoku/>
                    <w:wordWrap/>
                    <w:overflowPunct/>
                    <w:autoSpaceDE/>
                    <w:autoSpaceDN/>
                    <w:bidi w:val="0"/>
                    <w:adjustRightInd w:val="0"/>
                    <w:spacing w:line="320" w:lineRule="exact"/>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生产过程</w:t>
                  </w:r>
                </w:p>
              </w:tc>
              <w:tc>
                <w:tcPr>
                  <w:tcW w:w="1227" w:type="dxa"/>
                  <w:tcBorders>
                    <w:tl2br w:val="nil"/>
                    <w:tr2bl w:val="nil"/>
                  </w:tcBorders>
                  <w:noWrap w:val="0"/>
                  <w:vAlign w:val="center"/>
                </w:tcPr>
                <w:p w14:paraId="66070DF7">
                  <w:pPr>
                    <w:keepNext w:val="0"/>
                    <w:keepLines w:val="0"/>
                    <w:pageBreakBefore w:val="0"/>
                    <w:widowControl w:val="0"/>
                    <w:kinsoku/>
                    <w:wordWrap/>
                    <w:overflowPunct/>
                    <w:autoSpaceDE/>
                    <w:autoSpaceDN/>
                    <w:bidi w:val="0"/>
                    <w:adjustRightInd w:val="0"/>
                    <w:spacing w:line="320" w:lineRule="exact"/>
                    <w:jc w:val="center"/>
                    <w:textAlignment w:val="auto"/>
                    <w:rPr>
                      <w:rFonts w:hint="default"/>
                      <w:highlight w:val="none"/>
                      <w:lang w:val="en-US" w:eastAsia="zh-CN"/>
                    </w:rPr>
                  </w:pPr>
                  <w:r>
                    <w:rPr>
                      <w:rFonts w:hint="eastAsia"/>
                      <w:highlight w:val="none"/>
                      <w:lang w:val="en-US" w:eastAsia="zh-CN"/>
                    </w:rPr>
                    <w:t>废包装袋</w:t>
                  </w:r>
                </w:p>
              </w:tc>
              <w:tc>
                <w:tcPr>
                  <w:tcW w:w="690" w:type="dxa"/>
                  <w:tcBorders>
                    <w:tl2br w:val="nil"/>
                    <w:tr2bl w:val="nil"/>
                  </w:tcBorders>
                  <w:noWrap w:val="0"/>
                  <w:vAlign w:val="center"/>
                </w:tcPr>
                <w:p w14:paraId="47DFEB6A">
                  <w:pPr>
                    <w:keepNext w:val="0"/>
                    <w:keepLines w:val="0"/>
                    <w:pageBreakBefore w:val="0"/>
                    <w:widowControl w:val="0"/>
                    <w:kinsoku/>
                    <w:wordWrap/>
                    <w:overflowPunct/>
                    <w:autoSpaceDE/>
                    <w:autoSpaceDN/>
                    <w:bidi w:val="0"/>
                    <w:adjustRightInd w:val="0"/>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固态</w:t>
                  </w:r>
                </w:p>
              </w:tc>
              <w:tc>
                <w:tcPr>
                  <w:tcW w:w="1260" w:type="dxa"/>
                  <w:tcBorders>
                    <w:tl2br w:val="nil"/>
                    <w:tr2bl w:val="nil"/>
                  </w:tcBorders>
                  <w:noWrap w:val="0"/>
                  <w:vAlign w:val="center"/>
                </w:tcPr>
                <w:p w14:paraId="270D1F96">
                  <w:pPr>
                    <w:keepNext w:val="0"/>
                    <w:keepLines w:val="0"/>
                    <w:pageBreakBefore w:val="0"/>
                    <w:widowControl w:val="0"/>
                    <w:kinsoku/>
                    <w:wordWrap/>
                    <w:overflowPunct/>
                    <w:autoSpaceDE/>
                    <w:autoSpaceDN/>
                    <w:bidi w:val="0"/>
                    <w:adjustRightInd w:val="0"/>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900-999-06</w:t>
                  </w:r>
                </w:p>
              </w:tc>
              <w:tc>
                <w:tcPr>
                  <w:tcW w:w="1098" w:type="dxa"/>
                  <w:tcBorders>
                    <w:tl2br w:val="nil"/>
                    <w:tr2bl w:val="nil"/>
                  </w:tcBorders>
                  <w:noWrap w:val="0"/>
                  <w:vAlign w:val="center"/>
                </w:tcPr>
                <w:p w14:paraId="44A65943">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1万个/a</w:t>
                  </w:r>
                </w:p>
              </w:tc>
              <w:tc>
                <w:tcPr>
                  <w:tcW w:w="2538" w:type="dxa"/>
                  <w:tcBorders>
                    <w:tl2br w:val="nil"/>
                    <w:tr2bl w:val="nil"/>
                  </w:tcBorders>
                  <w:noWrap w:val="0"/>
                  <w:vAlign w:val="center"/>
                </w:tcPr>
                <w:p w14:paraId="2F9EC0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集中收集，外卖废品回收站</w:t>
                  </w:r>
                </w:p>
              </w:tc>
            </w:tr>
            <w:tr w14:paraId="40F42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4" w:type="dxa"/>
                  <w:tcBorders>
                    <w:tl2br w:val="nil"/>
                    <w:tr2bl w:val="nil"/>
                  </w:tcBorders>
                  <w:noWrap w:val="0"/>
                  <w:vAlign w:val="center"/>
                </w:tcPr>
                <w:p w14:paraId="71A25D22">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w:t>
                  </w:r>
                </w:p>
              </w:tc>
              <w:tc>
                <w:tcPr>
                  <w:tcW w:w="640" w:type="dxa"/>
                  <w:vMerge w:val="continue"/>
                  <w:tcBorders>
                    <w:tl2br w:val="nil"/>
                    <w:tr2bl w:val="nil"/>
                  </w:tcBorders>
                  <w:noWrap w:val="0"/>
                  <w:vAlign w:val="center"/>
                </w:tcPr>
                <w:p w14:paraId="26F9E0EE">
                  <w:pPr>
                    <w:keepNext w:val="0"/>
                    <w:keepLines w:val="0"/>
                    <w:pageBreakBefore w:val="0"/>
                    <w:widowControl w:val="0"/>
                    <w:kinsoku/>
                    <w:wordWrap/>
                    <w:overflowPunct/>
                    <w:autoSpaceDE/>
                    <w:autoSpaceDN/>
                    <w:bidi w:val="0"/>
                    <w:adjustRightInd w:val="0"/>
                    <w:spacing w:line="320" w:lineRule="exact"/>
                    <w:jc w:val="center"/>
                    <w:textAlignment w:val="auto"/>
                    <w:rPr>
                      <w:rFonts w:hint="default" w:ascii="Times New Roman" w:hAnsi="Times New Roman" w:eastAsia="宋体" w:cs="Times New Roman"/>
                      <w:kern w:val="2"/>
                      <w:sz w:val="21"/>
                      <w:szCs w:val="24"/>
                      <w:highlight w:val="none"/>
                      <w:lang w:val="en-US" w:eastAsia="zh-CN" w:bidi="ar-SA"/>
                    </w:rPr>
                  </w:pPr>
                </w:p>
              </w:tc>
              <w:tc>
                <w:tcPr>
                  <w:tcW w:w="1227" w:type="dxa"/>
                  <w:tcBorders>
                    <w:tl2br w:val="nil"/>
                    <w:tr2bl w:val="nil"/>
                  </w:tcBorders>
                  <w:noWrap w:val="0"/>
                  <w:vAlign w:val="center"/>
                </w:tcPr>
                <w:p w14:paraId="551A5B75">
                  <w:pPr>
                    <w:keepNext w:val="0"/>
                    <w:keepLines w:val="0"/>
                    <w:pageBreakBefore w:val="0"/>
                    <w:widowControl w:val="0"/>
                    <w:kinsoku/>
                    <w:wordWrap/>
                    <w:overflowPunct/>
                    <w:autoSpaceDE/>
                    <w:autoSpaceDN/>
                    <w:bidi w:val="0"/>
                    <w:adjustRightInd w:val="0"/>
                    <w:spacing w:line="320" w:lineRule="exact"/>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废砂浆</w:t>
                  </w:r>
                </w:p>
              </w:tc>
              <w:tc>
                <w:tcPr>
                  <w:tcW w:w="690" w:type="dxa"/>
                  <w:tcBorders>
                    <w:tl2br w:val="nil"/>
                    <w:tr2bl w:val="nil"/>
                  </w:tcBorders>
                  <w:noWrap w:val="0"/>
                  <w:vAlign w:val="center"/>
                </w:tcPr>
                <w:p w14:paraId="7CB9197F">
                  <w:pPr>
                    <w:keepNext w:val="0"/>
                    <w:keepLines w:val="0"/>
                    <w:pageBreakBefore w:val="0"/>
                    <w:widowControl w:val="0"/>
                    <w:kinsoku/>
                    <w:wordWrap/>
                    <w:overflowPunct/>
                    <w:autoSpaceDE/>
                    <w:autoSpaceDN/>
                    <w:bidi w:val="0"/>
                    <w:adjustRightInd w:val="0"/>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固态</w:t>
                  </w:r>
                </w:p>
              </w:tc>
              <w:tc>
                <w:tcPr>
                  <w:tcW w:w="1260" w:type="dxa"/>
                  <w:tcBorders>
                    <w:tl2br w:val="nil"/>
                    <w:tr2bl w:val="nil"/>
                  </w:tcBorders>
                  <w:noWrap w:val="0"/>
                  <w:vAlign w:val="center"/>
                </w:tcPr>
                <w:p w14:paraId="697D69A6">
                  <w:pPr>
                    <w:keepNext w:val="0"/>
                    <w:keepLines w:val="0"/>
                    <w:pageBreakBefore w:val="0"/>
                    <w:widowControl w:val="0"/>
                    <w:kinsoku/>
                    <w:wordWrap/>
                    <w:overflowPunct/>
                    <w:autoSpaceDE/>
                    <w:autoSpaceDN/>
                    <w:bidi w:val="0"/>
                    <w:adjustRightInd w:val="0"/>
                    <w:spacing w:line="320" w:lineRule="exact"/>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900-999-99</w:t>
                  </w:r>
                </w:p>
              </w:tc>
              <w:tc>
                <w:tcPr>
                  <w:tcW w:w="1098" w:type="dxa"/>
                  <w:tcBorders>
                    <w:tl2br w:val="nil"/>
                    <w:tr2bl w:val="nil"/>
                  </w:tcBorders>
                  <w:noWrap w:val="0"/>
                  <w:vAlign w:val="center"/>
                </w:tcPr>
                <w:p w14:paraId="5DB45DAC">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5</w:t>
                  </w:r>
                  <w:r>
                    <w:rPr>
                      <w:rFonts w:hint="default"/>
                      <w:highlight w:val="none"/>
                    </w:rPr>
                    <w:t>t/a</w:t>
                  </w:r>
                </w:p>
              </w:tc>
              <w:tc>
                <w:tcPr>
                  <w:tcW w:w="2538" w:type="dxa"/>
                  <w:tcBorders>
                    <w:tl2br w:val="nil"/>
                    <w:tr2bl w:val="nil"/>
                  </w:tcBorders>
                  <w:noWrap w:val="0"/>
                  <w:vAlign w:val="center"/>
                </w:tcPr>
                <w:p w14:paraId="6A9DF2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用铁铲及时收集，再利用于复合板材加工上</w:t>
                  </w:r>
                </w:p>
              </w:tc>
            </w:tr>
            <w:tr w14:paraId="1BEACA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4" w:type="dxa"/>
                  <w:tcBorders>
                    <w:tl2br w:val="nil"/>
                    <w:tr2bl w:val="nil"/>
                  </w:tcBorders>
                  <w:noWrap w:val="0"/>
                  <w:vAlign w:val="center"/>
                </w:tcPr>
                <w:p w14:paraId="57FAC19E">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3</w:t>
                  </w:r>
                </w:p>
              </w:tc>
              <w:tc>
                <w:tcPr>
                  <w:tcW w:w="640" w:type="dxa"/>
                  <w:vMerge w:val="continue"/>
                  <w:tcBorders>
                    <w:tl2br w:val="nil"/>
                    <w:tr2bl w:val="nil"/>
                  </w:tcBorders>
                  <w:noWrap w:val="0"/>
                  <w:vAlign w:val="center"/>
                </w:tcPr>
                <w:p w14:paraId="29DEA451">
                  <w:pPr>
                    <w:keepNext w:val="0"/>
                    <w:keepLines w:val="0"/>
                    <w:pageBreakBefore w:val="0"/>
                    <w:widowControl w:val="0"/>
                    <w:kinsoku/>
                    <w:wordWrap/>
                    <w:overflowPunct/>
                    <w:autoSpaceDE/>
                    <w:autoSpaceDN/>
                    <w:bidi w:val="0"/>
                    <w:adjustRightInd w:val="0"/>
                    <w:spacing w:line="320" w:lineRule="exact"/>
                    <w:jc w:val="center"/>
                    <w:textAlignment w:val="auto"/>
                    <w:rPr>
                      <w:rFonts w:hint="eastAsia"/>
                      <w:highlight w:val="none"/>
                      <w:lang w:val="en-US" w:eastAsia="zh-CN"/>
                    </w:rPr>
                  </w:pPr>
                </w:p>
              </w:tc>
              <w:tc>
                <w:tcPr>
                  <w:tcW w:w="1227" w:type="dxa"/>
                  <w:tcBorders>
                    <w:tl2br w:val="nil"/>
                    <w:tr2bl w:val="nil"/>
                  </w:tcBorders>
                  <w:noWrap w:val="0"/>
                  <w:vAlign w:val="center"/>
                </w:tcPr>
                <w:p w14:paraId="2D71FE6B">
                  <w:pPr>
                    <w:keepNext w:val="0"/>
                    <w:keepLines w:val="0"/>
                    <w:pageBreakBefore w:val="0"/>
                    <w:widowControl w:val="0"/>
                    <w:kinsoku/>
                    <w:wordWrap/>
                    <w:overflowPunct/>
                    <w:autoSpaceDE/>
                    <w:autoSpaceDN/>
                    <w:bidi w:val="0"/>
                    <w:adjustRightInd w:val="0"/>
                    <w:spacing w:line="320" w:lineRule="exact"/>
                    <w:jc w:val="center"/>
                    <w:textAlignment w:val="auto"/>
                    <w:rPr>
                      <w:rFonts w:hint="default"/>
                      <w:highlight w:val="none"/>
                      <w:lang w:val="en-US" w:eastAsia="zh-CN"/>
                    </w:rPr>
                  </w:pPr>
                  <w:r>
                    <w:rPr>
                      <w:rFonts w:hint="eastAsia"/>
                      <w:highlight w:val="none"/>
                      <w:lang w:val="en-US" w:eastAsia="zh-CN"/>
                    </w:rPr>
                    <w:t>凝固砂浆废料</w:t>
                  </w:r>
                </w:p>
              </w:tc>
              <w:tc>
                <w:tcPr>
                  <w:tcW w:w="690" w:type="dxa"/>
                  <w:tcBorders>
                    <w:tl2br w:val="nil"/>
                    <w:tr2bl w:val="nil"/>
                  </w:tcBorders>
                  <w:noWrap w:val="0"/>
                  <w:vAlign w:val="center"/>
                </w:tcPr>
                <w:p w14:paraId="04207799">
                  <w:pPr>
                    <w:keepNext w:val="0"/>
                    <w:keepLines w:val="0"/>
                    <w:pageBreakBefore w:val="0"/>
                    <w:widowControl w:val="0"/>
                    <w:kinsoku/>
                    <w:wordWrap/>
                    <w:overflowPunct/>
                    <w:autoSpaceDE/>
                    <w:autoSpaceDN/>
                    <w:bidi w:val="0"/>
                    <w:adjustRightInd w:val="0"/>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固态</w:t>
                  </w:r>
                </w:p>
              </w:tc>
              <w:tc>
                <w:tcPr>
                  <w:tcW w:w="1260" w:type="dxa"/>
                  <w:tcBorders>
                    <w:tl2br w:val="nil"/>
                    <w:tr2bl w:val="nil"/>
                  </w:tcBorders>
                  <w:noWrap w:val="0"/>
                  <w:vAlign w:val="center"/>
                </w:tcPr>
                <w:p w14:paraId="52250F82">
                  <w:pPr>
                    <w:keepNext w:val="0"/>
                    <w:keepLines w:val="0"/>
                    <w:pageBreakBefore w:val="0"/>
                    <w:widowControl w:val="0"/>
                    <w:kinsoku/>
                    <w:wordWrap/>
                    <w:overflowPunct/>
                    <w:autoSpaceDE/>
                    <w:autoSpaceDN/>
                    <w:bidi w:val="0"/>
                    <w:adjustRightInd w:val="0"/>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900-999-99</w:t>
                  </w:r>
                </w:p>
              </w:tc>
              <w:tc>
                <w:tcPr>
                  <w:tcW w:w="1098" w:type="dxa"/>
                  <w:tcBorders>
                    <w:tl2br w:val="nil"/>
                    <w:tr2bl w:val="nil"/>
                  </w:tcBorders>
                  <w:noWrap w:val="0"/>
                  <w:vAlign w:val="center"/>
                </w:tcPr>
                <w:p w14:paraId="273A1F7E">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val="en-US" w:eastAsia="zh-CN"/>
                    </w:rPr>
                  </w:pPr>
                  <w:r>
                    <w:rPr>
                      <w:rFonts w:hint="eastAsia"/>
                      <w:highlight w:val="none"/>
                      <w:lang w:val="en-US" w:eastAsia="zh-CN"/>
                    </w:rPr>
                    <w:t>22t/a</w:t>
                  </w:r>
                </w:p>
              </w:tc>
              <w:tc>
                <w:tcPr>
                  <w:tcW w:w="2538" w:type="dxa"/>
                  <w:vMerge w:val="restart"/>
                  <w:tcBorders>
                    <w:tl2br w:val="nil"/>
                    <w:tr2bl w:val="nil"/>
                  </w:tcBorders>
                  <w:noWrap w:val="0"/>
                  <w:vAlign w:val="center"/>
                </w:tcPr>
                <w:p w14:paraId="17E80A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收集于吨包袋内，外卖于保温板生产厂</w:t>
                  </w:r>
                </w:p>
              </w:tc>
            </w:tr>
            <w:tr w14:paraId="65EFE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4" w:type="dxa"/>
                  <w:tcBorders>
                    <w:tl2br w:val="nil"/>
                    <w:tr2bl w:val="nil"/>
                  </w:tcBorders>
                  <w:noWrap w:val="0"/>
                  <w:vAlign w:val="center"/>
                </w:tcPr>
                <w:p w14:paraId="49F5BAC9">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4</w:t>
                  </w:r>
                </w:p>
              </w:tc>
              <w:tc>
                <w:tcPr>
                  <w:tcW w:w="640" w:type="dxa"/>
                  <w:vMerge w:val="continue"/>
                  <w:tcBorders>
                    <w:tl2br w:val="nil"/>
                    <w:tr2bl w:val="nil"/>
                  </w:tcBorders>
                  <w:noWrap w:val="0"/>
                  <w:vAlign w:val="center"/>
                </w:tcPr>
                <w:p w14:paraId="0EF6D9C9">
                  <w:pPr>
                    <w:keepNext w:val="0"/>
                    <w:keepLines w:val="0"/>
                    <w:pageBreakBefore w:val="0"/>
                    <w:widowControl w:val="0"/>
                    <w:kinsoku/>
                    <w:wordWrap/>
                    <w:overflowPunct/>
                    <w:autoSpaceDE/>
                    <w:autoSpaceDN/>
                    <w:bidi w:val="0"/>
                    <w:adjustRightInd w:val="0"/>
                    <w:spacing w:line="320" w:lineRule="exact"/>
                    <w:jc w:val="center"/>
                    <w:textAlignment w:val="auto"/>
                    <w:rPr>
                      <w:rFonts w:hint="default" w:ascii="Times New Roman" w:hAnsi="Times New Roman" w:eastAsia="宋体" w:cs="Times New Roman"/>
                      <w:kern w:val="2"/>
                      <w:sz w:val="21"/>
                      <w:szCs w:val="24"/>
                      <w:highlight w:val="none"/>
                      <w:lang w:val="en-US" w:eastAsia="zh-CN" w:bidi="ar-SA"/>
                    </w:rPr>
                  </w:pPr>
                </w:p>
              </w:tc>
              <w:tc>
                <w:tcPr>
                  <w:tcW w:w="1227" w:type="dxa"/>
                  <w:tcBorders>
                    <w:tl2br w:val="nil"/>
                    <w:tr2bl w:val="nil"/>
                  </w:tcBorders>
                  <w:noWrap w:val="0"/>
                  <w:vAlign w:val="center"/>
                </w:tcPr>
                <w:p w14:paraId="7FC83FDB">
                  <w:pPr>
                    <w:keepNext w:val="0"/>
                    <w:keepLines w:val="0"/>
                    <w:pageBreakBefore w:val="0"/>
                    <w:widowControl w:val="0"/>
                    <w:kinsoku/>
                    <w:wordWrap/>
                    <w:overflowPunct/>
                    <w:autoSpaceDE/>
                    <w:autoSpaceDN/>
                    <w:bidi w:val="0"/>
                    <w:adjustRightInd w:val="0"/>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废下脚料</w:t>
                  </w:r>
                </w:p>
              </w:tc>
              <w:tc>
                <w:tcPr>
                  <w:tcW w:w="690" w:type="dxa"/>
                  <w:tcBorders>
                    <w:tl2br w:val="nil"/>
                    <w:tr2bl w:val="nil"/>
                  </w:tcBorders>
                  <w:noWrap w:val="0"/>
                  <w:vAlign w:val="center"/>
                </w:tcPr>
                <w:p w14:paraId="7CFD9D60">
                  <w:pPr>
                    <w:keepNext w:val="0"/>
                    <w:keepLines w:val="0"/>
                    <w:pageBreakBefore w:val="0"/>
                    <w:widowControl w:val="0"/>
                    <w:kinsoku/>
                    <w:wordWrap/>
                    <w:overflowPunct/>
                    <w:autoSpaceDE/>
                    <w:autoSpaceDN/>
                    <w:bidi w:val="0"/>
                    <w:adjustRightInd w:val="0"/>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固态</w:t>
                  </w:r>
                </w:p>
              </w:tc>
              <w:tc>
                <w:tcPr>
                  <w:tcW w:w="1260" w:type="dxa"/>
                  <w:tcBorders>
                    <w:tl2br w:val="nil"/>
                    <w:tr2bl w:val="nil"/>
                  </w:tcBorders>
                  <w:noWrap w:val="0"/>
                  <w:vAlign w:val="center"/>
                </w:tcPr>
                <w:p w14:paraId="3D1F70F4">
                  <w:pPr>
                    <w:keepNext w:val="0"/>
                    <w:keepLines w:val="0"/>
                    <w:pageBreakBefore w:val="0"/>
                    <w:widowControl w:val="0"/>
                    <w:kinsoku/>
                    <w:wordWrap/>
                    <w:overflowPunct/>
                    <w:autoSpaceDE/>
                    <w:autoSpaceDN/>
                    <w:bidi w:val="0"/>
                    <w:adjustRightInd w:val="0"/>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900-999-99</w:t>
                  </w:r>
                </w:p>
              </w:tc>
              <w:tc>
                <w:tcPr>
                  <w:tcW w:w="1098" w:type="dxa"/>
                  <w:tcBorders>
                    <w:tl2br w:val="nil"/>
                    <w:tr2bl w:val="nil"/>
                  </w:tcBorders>
                  <w:noWrap w:val="0"/>
                  <w:vAlign w:val="center"/>
                </w:tcPr>
                <w:p w14:paraId="09CC224D">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80</w:t>
                  </w:r>
                  <w:r>
                    <w:rPr>
                      <w:rFonts w:hint="default"/>
                      <w:highlight w:val="none"/>
                    </w:rPr>
                    <w:t>t/a</w:t>
                  </w:r>
                </w:p>
              </w:tc>
              <w:tc>
                <w:tcPr>
                  <w:tcW w:w="2538" w:type="dxa"/>
                  <w:vMerge w:val="continue"/>
                  <w:tcBorders>
                    <w:tl2br w:val="nil"/>
                    <w:tr2bl w:val="nil"/>
                  </w:tcBorders>
                  <w:noWrap w:val="0"/>
                  <w:vAlign w:val="center"/>
                </w:tcPr>
                <w:p w14:paraId="416E674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p>
              </w:tc>
            </w:tr>
            <w:tr w14:paraId="473F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4" w:type="dxa"/>
                  <w:tcBorders>
                    <w:tl2br w:val="nil"/>
                    <w:tr2bl w:val="nil"/>
                  </w:tcBorders>
                  <w:noWrap w:val="0"/>
                  <w:vAlign w:val="center"/>
                </w:tcPr>
                <w:p w14:paraId="5D5590EB">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5</w:t>
                  </w:r>
                </w:p>
              </w:tc>
              <w:tc>
                <w:tcPr>
                  <w:tcW w:w="640" w:type="dxa"/>
                  <w:vMerge w:val="continue"/>
                  <w:tcBorders>
                    <w:tl2br w:val="nil"/>
                    <w:tr2bl w:val="nil"/>
                  </w:tcBorders>
                  <w:noWrap w:val="0"/>
                  <w:vAlign w:val="center"/>
                </w:tcPr>
                <w:p w14:paraId="698D02A0">
                  <w:pPr>
                    <w:keepNext w:val="0"/>
                    <w:keepLines w:val="0"/>
                    <w:pageBreakBefore w:val="0"/>
                    <w:widowControl w:val="0"/>
                    <w:kinsoku/>
                    <w:wordWrap/>
                    <w:overflowPunct/>
                    <w:autoSpaceDE/>
                    <w:autoSpaceDN/>
                    <w:bidi w:val="0"/>
                    <w:adjustRightInd w:val="0"/>
                    <w:spacing w:line="320" w:lineRule="exact"/>
                    <w:jc w:val="center"/>
                    <w:textAlignment w:val="auto"/>
                    <w:rPr>
                      <w:rFonts w:hint="default" w:ascii="Times New Roman" w:hAnsi="Times New Roman" w:eastAsia="宋体" w:cs="Times New Roman"/>
                      <w:kern w:val="2"/>
                      <w:sz w:val="21"/>
                      <w:szCs w:val="24"/>
                      <w:highlight w:val="none"/>
                      <w:lang w:val="en-US" w:eastAsia="zh-CN" w:bidi="ar-SA"/>
                    </w:rPr>
                  </w:pPr>
                </w:p>
              </w:tc>
              <w:tc>
                <w:tcPr>
                  <w:tcW w:w="1227" w:type="dxa"/>
                  <w:tcBorders>
                    <w:tl2br w:val="nil"/>
                    <w:tr2bl w:val="nil"/>
                  </w:tcBorders>
                  <w:noWrap w:val="0"/>
                  <w:vAlign w:val="center"/>
                </w:tcPr>
                <w:p w14:paraId="673BF624">
                  <w:pPr>
                    <w:keepNext w:val="0"/>
                    <w:keepLines w:val="0"/>
                    <w:pageBreakBefore w:val="0"/>
                    <w:widowControl w:val="0"/>
                    <w:kinsoku/>
                    <w:wordWrap/>
                    <w:overflowPunct/>
                    <w:autoSpaceDE/>
                    <w:autoSpaceDN/>
                    <w:bidi w:val="0"/>
                    <w:adjustRightInd w:val="0"/>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eastAsia="zh-CN"/>
                    </w:rPr>
                    <w:t>除尘灰</w:t>
                  </w:r>
                </w:p>
              </w:tc>
              <w:tc>
                <w:tcPr>
                  <w:tcW w:w="690" w:type="dxa"/>
                  <w:tcBorders>
                    <w:tl2br w:val="nil"/>
                    <w:tr2bl w:val="nil"/>
                  </w:tcBorders>
                  <w:noWrap w:val="0"/>
                  <w:vAlign w:val="center"/>
                </w:tcPr>
                <w:p w14:paraId="6613B400">
                  <w:pPr>
                    <w:keepNext w:val="0"/>
                    <w:keepLines w:val="0"/>
                    <w:pageBreakBefore w:val="0"/>
                    <w:widowControl w:val="0"/>
                    <w:kinsoku/>
                    <w:wordWrap/>
                    <w:overflowPunct/>
                    <w:autoSpaceDE/>
                    <w:autoSpaceDN/>
                    <w:bidi w:val="0"/>
                    <w:adjustRightInd w:val="0"/>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固态</w:t>
                  </w:r>
                </w:p>
              </w:tc>
              <w:tc>
                <w:tcPr>
                  <w:tcW w:w="1260" w:type="dxa"/>
                  <w:tcBorders>
                    <w:tl2br w:val="nil"/>
                    <w:tr2bl w:val="nil"/>
                  </w:tcBorders>
                  <w:noWrap w:val="0"/>
                  <w:vAlign w:val="center"/>
                </w:tcPr>
                <w:p w14:paraId="0365BBFE">
                  <w:pPr>
                    <w:keepNext w:val="0"/>
                    <w:keepLines w:val="0"/>
                    <w:pageBreakBefore w:val="0"/>
                    <w:widowControl w:val="0"/>
                    <w:kinsoku/>
                    <w:wordWrap/>
                    <w:overflowPunct/>
                    <w:autoSpaceDE/>
                    <w:autoSpaceDN/>
                    <w:bidi w:val="0"/>
                    <w:adjustRightInd w:val="0"/>
                    <w:spacing w:line="320" w:lineRule="exact"/>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900-999-66</w:t>
                  </w:r>
                </w:p>
              </w:tc>
              <w:tc>
                <w:tcPr>
                  <w:tcW w:w="1098" w:type="dxa"/>
                  <w:tcBorders>
                    <w:tl2br w:val="nil"/>
                    <w:tr2bl w:val="nil"/>
                  </w:tcBorders>
                  <w:noWrap w:val="0"/>
                  <w:vAlign w:val="center"/>
                </w:tcPr>
                <w:p w14:paraId="05726B66">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3</w:t>
                  </w:r>
                  <w:r>
                    <w:rPr>
                      <w:rFonts w:hint="default"/>
                      <w:highlight w:val="none"/>
                    </w:rPr>
                    <w:t>t/a</w:t>
                  </w:r>
                </w:p>
              </w:tc>
              <w:tc>
                <w:tcPr>
                  <w:tcW w:w="2538" w:type="dxa"/>
                  <w:tcBorders>
                    <w:tl2br w:val="nil"/>
                    <w:tr2bl w:val="nil"/>
                  </w:tcBorders>
                  <w:noWrap w:val="0"/>
                  <w:vAlign w:val="center"/>
                </w:tcPr>
                <w:p w14:paraId="4167EFE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除尘灰不外排，回用于砂浆生产</w:t>
                  </w:r>
                </w:p>
              </w:tc>
            </w:tr>
            <w:tr w14:paraId="7F636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04" w:type="dxa"/>
                  <w:tcBorders>
                    <w:tl2br w:val="nil"/>
                    <w:tr2bl w:val="nil"/>
                  </w:tcBorders>
                  <w:noWrap w:val="0"/>
                  <w:vAlign w:val="center"/>
                </w:tcPr>
                <w:p w14:paraId="21AFD23B">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val="en-US" w:eastAsia="zh-CN"/>
                    </w:rPr>
                  </w:pPr>
                  <w:r>
                    <w:rPr>
                      <w:rFonts w:hint="eastAsia"/>
                      <w:highlight w:val="none"/>
                      <w:lang w:val="en-US" w:eastAsia="zh-CN"/>
                    </w:rPr>
                    <w:t>6</w:t>
                  </w:r>
                </w:p>
              </w:tc>
              <w:tc>
                <w:tcPr>
                  <w:tcW w:w="640" w:type="dxa"/>
                  <w:vMerge w:val="continue"/>
                  <w:tcBorders>
                    <w:tl2br w:val="nil"/>
                    <w:tr2bl w:val="nil"/>
                  </w:tcBorders>
                  <w:noWrap w:val="0"/>
                  <w:vAlign w:val="center"/>
                </w:tcPr>
                <w:p w14:paraId="3005DE67">
                  <w:pPr>
                    <w:keepNext w:val="0"/>
                    <w:keepLines w:val="0"/>
                    <w:pageBreakBefore w:val="0"/>
                    <w:widowControl w:val="0"/>
                    <w:kinsoku/>
                    <w:wordWrap/>
                    <w:overflowPunct/>
                    <w:autoSpaceDE/>
                    <w:autoSpaceDN/>
                    <w:bidi w:val="0"/>
                    <w:adjustRightInd w:val="0"/>
                    <w:spacing w:line="320" w:lineRule="exact"/>
                    <w:jc w:val="center"/>
                    <w:textAlignment w:val="auto"/>
                    <w:rPr>
                      <w:rFonts w:hint="eastAsia"/>
                      <w:highlight w:val="none"/>
                      <w:lang w:val="en-US" w:eastAsia="zh-CN"/>
                    </w:rPr>
                  </w:pPr>
                </w:p>
              </w:tc>
              <w:tc>
                <w:tcPr>
                  <w:tcW w:w="1227" w:type="dxa"/>
                  <w:tcBorders>
                    <w:tl2br w:val="nil"/>
                    <w:tr2bl w:val="nil"/>
                  </w:tcBorders>
                  <w:noWrap w:val="0"/>
                  <w:vAlign w:val="center"/>
                </w:tcPr>
                <w:p w14:paraId="31CD37EC">
                  <w:pPr>
                    <w:keepNext w:val="0"/>
                    <w:keepLines w:val="0"/>
                    <w:pageBreakBefore w:val="0"/>
                    <w:widowControl w:val="0"/>
                    <w:kinsoku/>
                    <w:wordWrap/>
                    <w:overflowPunct/>
                    <w:autoSpaceDE/>
                    <w:autoSpaceDN/>
                    <w:bidi w:val="0"/>
                    <w:adjustRightInd w:val="0"/>
                    <w:spacing w:line="320" w:lineRule="exact"/>
                    <w:jc w:val="center"/>
                    <w:textAlignment w:val="auto"/>
                    <w:rPr>
                      <w:rFonts w:hint="eastAsia"/>
                      <w:highlight w:val="none"/>
                      <w:lang w:val="en-US" w:eastAsia="zh-CN"/>
                    </w:rPr>
                  </w:pPr>
                  <w:r>
                    <w:rPr>
                      <w:rFonts w:hint="eastAsia"/>
                      <w:highlight w:val="none"/>
                      <w:lang w:val="en-US" w:eastAsia="zh-CN"/>
                    </w:rPr>
                    <w:t>悬浮挤塑板下脚料</w:t>
                  </w:r>
                </w:p>
              </w:tc>
              <w:tc>
                <w:tcPr>
                  <w:tcW w:w="690" w:type="dxa"/>
                  <w:tcBorders>
                    <w:tl2br w:val="nil"/>
                    <w:tr2bl w:val="nil"/>
                  </w:tcBorders>
                  <w:noWrap w:val="0"/>
                  <w:vAlign w:val="center"/>
                </w:tcPr>
                <w:p w14:paraId="19D63598">
                  <w:pPr>
                    <w:keepNext w:val="0"/>
                    <w:keepLines w:val="0"/>
                    <w:pageBreakBefore w:val="0"/>
                    <w:widowControl w:val="0"/>
                    <w:kinsoku/>
                    <w:wordWrap/>
                    <w:overflowPunct/>
                    <w:autoSpaceDE/>
                    <w:autoSpaceDN/>
                    <w:bidi w:val="0"/>
                    <w:adjustRightInd w:val="0"/>
                    <w:spacing w:line="320" w:lineRule="exact"/>
                    <w:jc w:val="center"/>
                    <w:textAlignment w:val="auto"/>
                    <w:rPr>
                      <w:rFonts w:hint="default"/>
                      <w:highlight w:val="none"/>
                      <w:lang w:val="en-US" w:eastAsia="zh-CN"/>
                    </w:rPr>
                  </w:pPr>
                  <w:r>
                    <w:rPr>
                      <w:rFonts w:hint="eastAsia"/>
                      <w:highlight w:val="none"/>
                      <w:lang w:val="en-US" w:eastAsia="zh-CN"/>
                    </w:rPr>
                    <w:t>固态</w:t>
                  </w:r>
                </w:p>
              </w:tc>
              <w:tc>
                <w:tcPr>
                  <w:tcW w:w="1260" w:type="dxa"/>
                  <w:tcBorders>
                    <w:tl2br w:val="nil"/>
                    <w:tr2bl w:val="nil"/>
                  </w:tcBorders>
                  <w:noWrap w:val="0"/>
                  <w:vAlign w:val="center"/>
                </w:tcPr>
                <w:p w14:paraId="300AD334">
                  <w:pPr>
                    <w:keepNext w:val="0"/>
                    <w:keepLines w:val="0"/>
                    <w:pageBreakBefore w:val="0"/>
                    <w:widowControl w:val="0"/>
                    <w:kinsoku/>
                    <w:wordWrap/>
                    <w:overflowPunct/>
                    <w:autoSpaceDE/>
                    <w:autoSpaceDN/>
                    <w:bidi w:val="0"/>
                    <w:adjustRightInd w:val="0"/>
                    <w:spacing w:line="320" w:lineRule="exact"/>
                    <w:jc w:val="center"/>
                    <w:textAlignment w:val="auto"/>
                    <w:rPr>
                      <w:rFonts w:hint="default"/>
                      <w:highlight w:val="none"/>
                      <w:lang w:val="en-US" w:eastAsia="zh-CN"/>
                    </w:rPr>
                  </w:pPr>
                  <w:r>
                    <w:rPr>
                      <w:rFonts w:hint="eastAsia"/>
                      <w:highlight w:val="none"/>
                      <w:lang w:val="en-US" w:eastAsia="zh-CN"/>
                    </w:rPr>
                    <w:t>900-999-06</w:t>
                  </w:r>
                </w:p>
              </w:tc>
              <w:tc>
                <w:tcPr>
                  <w:tcW w:w="1098" w:type="dxa"/>
                  <w:tcBorders>
                    <w:tl2br w:val="nil"/>
                    <w:tr2bl w:val="nil"/>
                  </w:tcBorders>
                  <w:noWrap w:val="0"/>
                  <w:vAlign w:val="center"/>
                </w:tcPr>
                <w:p w14:paraId="1EF64912">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val="en-US" w:eastAsia="zh-CN"/>
                    </w:rPr>
                  </w:pPr>
                  <w:r>
                    <w:rPr>
                      <w:rFonts w:hint="eastAsia"/>
                      <w:highlight w:val="none"/>
                      <w:lang w:val="en-US" w:eastAsia="zh-CN"/>
                    </w:rPr>
                    <w:t>0.1t/a</w:t>
                  </w:r>
                </w:p>
              </w:tc>
              <w:tc>
                <w:tcPr>
                  <w:tcW w:w="2538" w:type="dxa"/>
                  <w:tcBorders>
                    <w:tl2br w:val="nil"/>
                    <w:tr2bl w:val="nil"/>
                  </w:tcBorders>
                  <w:noWrap w:val="0"/>
                  <w:vAlign w:val="center"/>
                </w:tcPr>
                <w:p w14:paraId="3B41E24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highlight w:val="none"/>
                      <w:lang w:val="en-US" w:eastAsia="zh-CN"/>
                    </w:rPr>
                  </w:pPr>
                  <w:r>
                    <w:rPr>
                      <w:rFonts w:hint="eastAsia"/>
                      <w:highlight w:val="none"/>
                      <w:lang w:val="en-US" w:eastAsia="zh-CN"/>
                    </w:rPr>
                    <w:t>收集于吨包袋内，由环卫部门统一处理</w:t>
                  </w:r>
                </w:p>
              </w:tc>
            </w:tr>
          </w:tbl>
          <w:p w14:paraId="3E0AE6A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00" w:lineRule="exact"/>
              <w:ind w:right="0" w:rightChars="0" w:firstLine="420" w:firstLineChars="200"/>
              <w:jc w:val="left"/>
              <w:textAlignment w:val="auto"/>
              <w:rPr>
                <w:rFonts w:hint="default"/>
                <w:highlight w:val="none"/>
                <w:lang w:val="en-US" w:eastAsia="zh-CN"/>
              </w:rPr>
            </w:pPr>
            <w:r>
              <w:rPr>
                <w:rFonts w:hint="eastAsia"/>
                <w:highlight w:val="none"/>
                <w:lang w:val="en-US" w:eastAsia="zh-CN"/>
              </w:rPr>
              <w:t>2、险废物</w:t>
            </w:r>
            <w:r>
              <w:rPr>
                <w:rFonts w:hint="default"/>
                <w:highlight w:val="none"/>
                <w:lang w:val="en-US" w:eastAsia="zh-CN"/>
              </w:rPr>
              <w:t>汇总表见表</w:t>
            </w:r>
            <w:r>
              <w:rPr>
                <w:rFonts w:hint="eastAsia"/>
                <w:highlight w:val="none"/>
                <w:lang w:val="en-US" w:eastAsia="zh-CN"/>
              </w:rPr>
              <w:t>4-10</w:t>
            </w:r>
            <w:r>
              <w:rPr>
                <w:rFonts w:hint="default"/>
                <w:highlight w:val="none"/>
                <w:lang w:val="en-US" w:eastAsia="zh-CN"/>
              </w:rPr>
              <w:t>。</w:t>
            </w:r>
          </w:p>
          <w:p w14:paraId="62A8F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2" w:firstLineChars="200"/>
              <w:jc w:val="center"/>
              <w:textAlignment w:val="auto"/>
              <w:rPr>
                <w:rFonts w:hint="default"/>
                <w:b/>
                <w:bCs/>
                <w:highlight w:val="none"/>
                <w:lang w:val="en-US" w:eastAsia="zh-CN"/>
              </w:rPr>
            </w:pPr>
          </w:p>
          <w:p w14:paraId="65053EDC">
            <w:pPr>
              <w:pStyle w:val="2"/>
              <w:rPr>
                <w:rFonts w:hint="default"/>
                <w:lang w:val="en-US" w:eastAsia="zh-CN"/>
              </w:rPr>
            </w:pPr>
          </w:p>
          <w:p w14:paraId="0590E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2" w:firstLineChars="200"/>
              <w:jc w:val="center"/>
              <w:textAlignment w:val="auto"/>
              <w:rPr>
                <w:rFonts w:hint="default"/>
                <w:b/>
                <w:bCs/>
                <w:highlight w:val="none"/>
                <w:lang w:val="en-US" w:eastAsia="zh-CN"/>
              </w:rPr>
            </w:pPr>
            <w:r>
              <w:rPr>
                <w:rFonts w:hint="default"/>
                <w:b/>
                <w:bCs/>
                <w:highlight w:val="none"/>
                <w:lang w:val="en-US" w:eastAsia="zh-CN"/>
              </w:rPr>
              <w:t>表</w:t>
            </w:r>
            <w:r>
              <w:rPr>
                <w:rFonts w:hint="eastAsia"/>
                <w:b/>
                <w:bCs/>
                <w:highlight w:val="none"/>
                <w:lang w:val="en-US" w:eastAsia="zh-CN"/>
              </w:rPr>
              <w:t>4-10</w:t>
            </w:r>
            <w:r>
              <w:rPr>
                <w:rFonts w:hint="default"/>
                <w:b/>
                <w:bCs/>
                <w:highlight w:val="none"/>
                <w:lang w:val="en-US" w:eastAsia="zh-CN"/>
              </w:rPr>
              <w:t xml:space="preserve">   项目危险废物汇总表</w:t>
            </w:r>
          </w:p>
          <w:tbl>
            <w:tblPr>
              <w:tblStyle w:val="20"/>
              <w:tblW w:w="79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66"/>
              <w:gridCol w:w="789"/>
              <w:gridCol w:w="848"/>
              <w:gridCol w:w="730"/>
              <w:gridCol w:w="720"/>
              <w:gridCol w:w="612"/>
              <w:gridCol w:w="875"/>
              <w:gridCol w:w="658"/>
              <w:gridCol w:w="555"/>
              <w:gridCol w:w="1481"/>
            </w:tblGrid>
            <w:tr w14:paraId="28F26C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25" w:hRule="atLeast"/>
                <w:jc w:val="center"/>
              </w:trPr>
              <w:tc>
                <w:tcPr>
                  <w:tcW w:w="666" w:type="dxa"/>
                  <w:tcBorders>
                    <w:tl2br w:val="nil"/>
                    <w:tr2bl w:val="nil"/>
                  </w:tcBorders>
                  <w:noWrap w:val="0"/>
                  <w:vAlign w:val="center"/>
                </w:tcPr>
                <w:p w14:paraId="06E88DE9">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default"/>
                      <w:highlight w:val="none"/>
                    </w:rPr>
                    <w:t>危险废物名称</w:t>
                  </w:r>
                </w:p>
              </w:tc>
              <w:tc>
                <w:tcPr>
                  <w:tcW w:w="789" w:type="dxa"/>
                  <w:tcBorders>
                    <w:tl2br w:val="nil"/>
                    <w:tr2bl w:val="nil"/>
                  </w:tcBorders>
                  <w:noWrap w:val="0"/>
                  <w:vAlign w:val="center"/>
                </w:tcPr>
                <w:p w14:paraId="4A38F3FC">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default"/>
                      <w:highlight w:val="none"/>
                    </w:rPr>
                    <w:t>危险废物类别</w:t>
                  </w:r>
                </w:p>
              </w:tc>
              <w:tc>
                <w:tcPr>
                  <w:tcW w:w="848" w:type="dxa"/>
                  <w:tcBorders>
                    <w:tl2br w:val="nil"/>
                    <w:tr2bl w:val="nil"/>
                  </w:tcBorders>
                  <w:noWrap w:val="0"/>
                  <w:vAlign w:val="center"/>
                </w:tcPr>
                <w:p w14:paraId="2E64EF84">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default"/>
                      <w:highlight w:val="none"/>
                    </w:rPr>
                    <w:t>危险废物代码</w:t>
                  </w:r>
                </w:p>
              </w:tc>
              <w:tc>
                <w:tcPr>
                  <w:tcW w:w="730" w:type="dxa"/>
                  <w:tcBorders>
                    <w:tl2br w:val="nil"/>
                    <w:tr2bl w:val="nil"/>
                  </w:tcBorders>
                  <w:noWrap w:val="0"/>
                  <w:vAlign w:val="center"/>
                </w:tcPr>
                <w:p w14:paraId="175E239D">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default"/>
                      <w:highlight w:val="none"/>
                    </w:rPr>
                    <w:t>产生量</w:t>
                  </w:r>
                </w:p>
              </w:tc>
              <w:tc>
                <w:tcPr>
                  <w:tcW w:w="720" w:type="dxa"/>
                  <w:tcBorders>
                    <w:tl2br w:val="nil"/>
                    <w:tr2bl w:val="nil"/>
                  </w:tcBorders>
                  <w:noWrap w:val="0"/>
                  <w:vAlign w:val="center"/>
                </w:tcPr>
                <w:p w14:paraId="574917F3">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default"/>
                      <w:highlight w:val="none"/>
                    </w:rPr>
                    <w:t>产生工序及装置</w:t>
                  </w:r>
                </w:p>
              </w:tc>
              <w:tc>
                <w:tcPr>
                  <w:tcW w:w="612" w:type="dxa"/>
                  <w:tcBorders>
                    <w:tl2br w:val="nil"/>
                    <w:tr2bl w:val="nil"/>
                  </w:tcBorders>
                  <w:noWrap w:val="0"/>
                  <w:vAlign w:val="center"/>
                </w:tcPr>
                <w:p w14:paraId="396BC2A5">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default"/>
                      <w:highlight w:val="none"/>
                    </w:rPr>
                    <w:t>形态</w:t>
                  </w:r>
                </w:p>
              </w:tc>
              <w:tc>
                <w:tcPr>
                  <w:tcW w:w="875" w:type="dxa"/>
                  <w:tcBorders>
                    <w:tl2br w:val="nil"/>
                    <w:tr2bl w:val="nil"/>
                  </w:tcBorders>
                  <w:noWrap w:val="0"/>
                  <w:vAlign w:val="center"/>
                </w:tcPr>
                <w:p w14:paraId="6406B86C">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default"/>
                      <w:highlight w:val="none"/>
                    </w:rPr>
                    <w:t>主要成分</w:t>
                  </w:r>
                </w:p>
              </w:tc>
              <w:tc>
                <w:tcPr>
                  <w:tcW w:w="658" w:type="dxa"/>
                  <w:tcBorders>
                    <w:tl2br w:val="nil"/>
                    <w:tr2bl w:val="nil"/>
                  </w:tcBorders>
                  <w:noWrap w:val="0"/>
                  <w:vAlign w:val="center"/>
                </w:tcPr>
                <w:p w14:paraId="7276564C">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default"/>
                      <w:highlight w:val="none"/>
                    </w:rPr>
                    <w:t>有害成分</w:t>
                  </w:r>
                </w:p>
              </w:tc>
              <w:tc>
                <w:tcPr>
                  <w:tcW w:w="555" w:type="dxa"/>
                  <w:tcBorders>
                    <w:tl2br w:val="nil"/>
                    <w:tr2bl w:val="nil"/>
                  </w:tcBorders>
                  <w:noWrap w:val="0"/>
                  <w:vAlign w:val="center"/>
                </w:tcPr>
                <w:p w14:paraId="018DCEFF">
                  <w:pPr>
                    <w:keepNext w:val="0"/>
                    <w:keepLines w:val="0"/>
                    <w:pageBreakBefore w:val="0"/>
                    <w:widowControl w:val="0"/>
                    <w:kinsoku/>
                    <w:wordWrap/>
                    <w:overflowPunct/>
                    <w:topLinePunct/>
                    <w:autoSpaceDE/>
                    <w:autoSpaceDN/>
                    <w:bidi w:val="0"/>
                    <w:spacing w:line="320" w:lineRule="exact"/>
                    <w:jc w:val="center"/>
                    <w:textAlignment w:val="auto"/>
                    <w:rPr>
                      <w:rFonts w:hint="eastAsia"/>
                      <w:highlight w:val="none"/>
                    </w:rPr>
                  </w:pPr>
                  <w:r>
                    <w:rPr>
                      <w:rFonts w:hint="eastAsia"/>
                      <w:highlight w:val="none"/>
                    </w:rPr>
                    <w:t>危险</w:t>
                  </w:r>
                </w:p>
                <w:p w14:paraId="0BBCFCC0">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eastAsia"/>
                      <w:highlight w:val="none"/>
                    </w:rPr>
                    <w:t>特性</w:t>
                  </w:r>
                </w:p>
              </w:tc>
              <w:tc>
                <w:tcPr>
                  <w:tcW w:w="1481" w:type="dxa"/>
                  <w:tcBorders>
                    <w:tl2br w:val="nil"/>
                    <w:tr2bl w:val="nil"/>
                  </w:tcBorders>
                  <w:noWrap w:val="0"/>
                  <w:vAlign w:val="center"/>
                </w:tcPr>
                <w:p w14:paraId="30DD522E">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default"/>
                      <w:highlight w:val="none"/>
                    </w:rPr>
                    <w:t>污染防治措施</w:t>
                  </w:r>
                </w:p>
              </w:tc>
            </w:tr>
            <w:tr w14:paraId="7AA83E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6" w:type="dxa"/>
                  <w:tcBorders>
                    <w:tl2br w:val="nil"/>
                    <w:tr2bl w:val="nil"/>
                  </w:tcBorders>
                  <w:noWrap w:val="0"/>
                  <w:vAlign w:val="center"/>
                </w:tcPr>
                <w:p w14:paraId="7974310E">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eastAsia" w:eastAsia="宋体"/>
                      <w:highlight w:val="none"/>
                      <w:lang w:eastAsia="zh-CN"/>
                    </w:rPr>
                  </w:pPr>
                  <w:r>
                    <w:rPr>
                      <w:rFonts w:hint="default"/>
                      <w:highlight w:val="none"/>
                    </w:rPr>
                    <w:t>废</w:t>
                  </w:r>
                  <w:r>
                    <w:rPr>
                      <w:rFonts w:hint="eastAsia"/>
                      <w:highlight w:val="none"/>
                      <w:lang w:val="en-US" w:eastAsia="zh-CN"/>
                    </w:rPr>
                    <w:t>润滑油</w:t>
                  </w:r>
                </w:p>
              </w:tc>
              <w:tc>
                <w:tcPr>
                  <w:tcW w:w="789" w:type="dxa"/>
                  <w:tcBorders>
                    <w:tl2br w:val="nil"/>
                    <w:tr2bl w:val="nil"/>
                  </w:tcBorders>
                  <w:noWrap w:val="0"/>
                  <w:vAlign w:val="center"/>
                </w:tcPr>
                <w:p w14:paraId="6DFBB62E">
                  <w:pPr>
                    <w:keepNext w:val="0"/>
                    <w:keepLines w:val="0"/>
                    <w:pageBreakBefore w:val="0"/>
                    <w:widowControl w:val="0"/>
                    <w:kinsoku/>
                    <w:wordWrap/>
                    <w:overflowPunct/>
                    <w:autoSpaceDE/>
                    <w:autoSpaceDN/>
                    <w:bidi w:val="0"/>
                    <w:adjustRightInd w:val="0"/>
                    <w:spacing w:line="320" w:lineRule="exact"/>
                    <w:jc w:val="center"/>
                    <w:textAlignment w:val="auto"/>
                    <w:rPr>
                      <w:rFonts w:hint="default"/>
                      <w:highlight w:val="none"/>
                      <w:lang w:val="en-US" w:eastAsia="zh-CN"/>
                    </w:rPr>
                  </w:pPr>
                  <w:r>
                    <w:rPr>
                      <w:rFonts w:hint="default"/>
                      <w:highlight w:val="none"/>
                      <w:lang w:val="en-US" w:eastAsia="zh-CN"/>
                    </w:rPr>
                    <w:t>HW08</w:t>
                  </w:r>
                </w:p>
              </w:tc>
              <w:tc>
                <w:tcPr>
                  <w:tcW w:w="848" w:type="dxa"/>
                  <w:tcBorders>
                    <w:tl2br w:val="nil"/>
                    <w:tr2bl w:val="nil"/>
                  </w:tcBorders>
                  <w:noWrap w:val="0"/>
                  <w:vAlign w:val="center"/>
                </w:tcPr>
                <w:p w14:paraId="3ABC362A">
                  <w:pPr>
                    <w:keepNext w:val="0"/>
                    <w:keepLines w:val="0"/>
                    <w:pageBreakBefore w:val="0"/>
                    <w:widowControl w:val="0"/>
                    <w:kinsoku/>
                    <w:wordWrap/>
                    <w:overflowPunct/>
                    <w:autoSpaceDE/>
                    <w:autoSpaceDN/>
                    <w:bidi w:val="0"/>
                    <w:adjustRightInd w:val="0"/>
                    <w:spacing w:line="320" w:lineRule="exact"/>
                    <w:jc w:val="center"/>
                    <w:textAlignment w:val="auto"/>
                    <w:rPr>
                      <w:rFonts w:hint="default"/>
                      <w:highlight w:val="none"/>
                      <w:lang w:val="en-US" w:eastAsia="zh-CN"/>
                    </w:rPr>
                  </w:pPr>
                  <w:r>
                    <w:rPr>
                      <w:rFonts w:hint="default"/>
                      <w:highlight w:val="none"/>
                      <w:lang w:val="en-US" w:eastAsia="zh-CN"/>
                    </w:rPr>
                    <w:t>900-217-08</w:t>
                  </w:r>
                </w:p>
              </w:tc>
              <w:tc>
                <w:tcPr>
                  <w:tcW w:w="730" w:type="dxa"/>
                  <w:tcBorders>
                    <w:tl2br w:val="nil"/>
                    <w:tr2bl w:val="nil"/>
                  </w:tcBorders>
                  <w:noWrap w:val="0"/>
                  <w:vAlign w:val="center"/>
                </w:tcPr>
                <w:p w14:paraId="6C7534C6">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val="en-US" w:eastAsia="zh-CN"/>
                    </w:rPr>
                  </w:pPr>
                  <w:r>
                    <w:rPr>
                      <w:rFonts w:hint="eastAsia"/>
                      <w:highlight w:val="none"/>
                      <w:lang w:val="en-US" w:eastAsia="zh-CN"/>
                    </w:rPr>
                    <w:t>0.008</w:t>
                  </w:r>
                  <w:r>
                    <w:rPr>
                      <w:rFonts w:hint="default"/>
                      <w:highlight w:val="none"/>
                    </w:rPr>
                    <w:t>t/a</w:t>
                  </w:r>
                </w:p>
              </w:tc>
              <w:tc>
                <w:tcPr>
                  <w:tcW w:w="720" w:type="dxa"/>
                  <w:vMerge w:val="restart"/>
                  <w:tcBorders>
                    <w:tl2br w:val="nil"/>
                    <w:tr2bl w:val="nil"/>
                  </w:tcBorders>
                  <w:noWrap w:val="0"/>
                  <w:vAlign w:val="center"/>
                </w:tcPr>
                <w:p w14:paraId="0E4F3BC3">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eastAsia="zh-CN"/>
                    </w:rPr>
                  </w:pPr>
                  <w:r>
                    <w:rPr>
                      <w:rFonts w:hint="default"/>
                      <w:highlight w:val="none"/>
                      <w:lang w:val="en-US" w:eastAsia="zh-CN"/>
                    </w:rPr>
                    <w:t>设备维修</w:t>
                  </w:r>
                </w:p>
              </w:tc>
              <w:tc>
                <w:tcPr>
                  <w:tcW w:w="612" w:type="dxa"/>
                  <w:tcBorders>
                    <w:tl2br w:val="nil"/>
                    <w:tr2bl w:val="nil"/>
                  </w:tcBorders>
                  <w:noWrap w:val="0"/>
                  <w:vAlign w:val="center"/>
                </w:tcPr>
                <w:p w14:paraId="3D72B5EF">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default"/>
                      <w:highlight w:val="none"/>
                    </w:rPr>
                    <w:t>液态</w:t>
                  </w:r>
                </w:p>
              </w:tc>
              <w:tc>
                <w:tcPr>
                  <w:tcW w:w="875" w:type="dxa"/>
                  <w:vMerge w:val="restart"/>
                  <w:tcBorders>
                    <w:tl2br w:val="nil"/>
                    <w:tr2bl w:val="nil"/>
                  </w:tcBorders>
                  <w:noWrap w:val="0"/>
                  <w:vAlign w:val="center"/>
                </w:tcPr>
                <w:p w14:paraId="728141FF">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default"/>
                      <w:highlight w:val="none"/>
                    </w:rPr>
                    <w:t>烷烃、多环芳烃、烯烃、苯系物、酚类</w:t>
                  </w:r>
                </w:p>
              </w:tc>
              <w:tc>
                <w:tcPr>
                  <w:tcW w:w="658" w:type="dxa"/>
                  <w:vMerge w:val="restart"/>
                  <w:tcBorders>
                    <w:tl2br w:val="nil"/>
                    <w:tr2bl w:val="nil"/>
                  </w:tcBorders>
                  <w:noWrap w:val="0"/>
                  <w:vAlign w:val="center"/>
                </w:tcPr>
                <w:p w14:paraId="59BAD125">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default"/>
                      <w:highlight w:val="none"/>
                    </w:rPr>
                    <w:t>苯系物、多环芳烃</w:t>
                  </w:r>
                </w:p>
              </w:tc>
              <w:tc>
                <w:tcPr>
                  <w:tcW w:w="555" w:type="dxa"/>
                  <w:tcBorders>
                    <w:tl2br w:val="nil"/>
                    <w:tr2bl w:val="nil"/>
                  </w:tcBorders>
                  <w:noWrap w:val="0"/>
                  <w:vAlign w:val="center"/>
                </w:tcPr>
                <w:p w14:paraId="3C386192">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eastAsia"/>
                      <w:highlight w:val="none"/>
                      <w:lang w:val="en-US" w:eastAsia="zh-CN"/>
                    </w:rPr>
                    <w:t>T，I</w:t>
                  </w:r>
                </w:p>
              </w:tc>
              <w:tc>
                <w:tcPr>
                  <w:tcW w:w="1481" w:type="dxa"/>
                  <w:tcBorders>
                    <w:tl2br w:val="nil"/>
                    <w:tr2bl w:val="nil"/>
                  </w:tcBorders>
                  <w:noWrap w:val="0"/>
                  <w:vAlign w:val="center"/>
                </w:tcPr>
                <w:p w14:paraId="2A5841A0">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default"/>
                      <w:highlight w:val="none"/>
                      <w:lang w:eastAsia="zh-CN"/>
                    </w:rPr>
                    <w:t>采用专用容器密封储存</w:t>
                  </w:r>
                  <w:r>
                    <w:rPr>
                      <w:rFonts w:hint="default"/>
                      <w:highlight w:val="none"/>
                    </w:rPr>
                    <w:t>，暂存于</w:t>
                  </w:r>
                  <w:r>
                    <w:rPr>
                      <w:rFonts w:hint="eastAsia"/>
                      <w:highlight w:val="none"/>
                      <w:lang w:val="en-US" w:eastAsia="zh-CN"/>
                    </w:rPr>
                    <w:t>原有的</w:t>
                  </w:r>
                  <w:r>
                    <w:rPr>
                      <w:rFonts w:hint="default"/>
                      <w:highlight w:val="none"/>
                      <w:lang w:val="en-US" w:eastAsia="zh-CN"/>
                    </w:rPr>
                    <w:t>危废间内</w:t>
                  </w:r>
                  <w:r>
                    <w:rPr>
                      <w:rFonts w:hint="default"/>
                      <w:highlight w:val="none"/>
                    </w:rPr>
                    <w:t>，定期</w:t>
                  </w:r>
                  <w:r>
                    <w:rPr>
                      <w:rFonts w:hint="default"/>
                      <w:highlight w:val="none"/>
                      <w:lang w:eastAsia="zh-CN"/>
                    </w:rPr>
                    <w:t>交</w:t>
                  </w:r>
                  <w:r>
                    <w:rPr>
                      <w:rFonts w:hint="default"/>
                      <w:highlight w:val="none"/>
                    </w:rPr>
                    <w:t>有</w:t>
                  </w:r>
                  <w:r>
                    <w:rPr>
                      <w:rFonts w:hint="default"/>
                      <w:highlight w:val="none"/>
                      <w:lang w:eastAsia="zh-CN"/>
                    </w:rPr>
                    <w:t>资质</w:t>
                  </w:r>
                  <w:r>
                    <w:rPr>
                      <w:rFonts w:hint="default"/>
                      <w:highlight w:val="none"/>
                    </w:rPr>
                    <w:t>单位统一处理</w:t>
                  </w:r>
                </w:p>
              </w:tc>
            </w:tr>
            <w:tr w14:paraId="0A904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6" w:type="dxa"/>
                  <w:tcBorders>
                    <w:tl2br w:val="nil"/>
                    <w:tr2bl w:val="nil"/>
                  </w:tcBorders>
                  <w:noWrap w:val="0"/>
                  <w:vAlign w:val="center"/>
                </w:tcPr>
                <w:p w14:paraId="7B6F5531">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eastAsia="zh-CN"/>
                    </w:rPr>
                  </w:pPr>
                  <w:r>
                    <w:rPr>
                      <w:rFonts w:hint="default"/>
                      <w:highlight w:val="none"/>
                      <w:lang w:eastAsia="zh-CN"/>
                    </w:rPr>
                    <w:t>废油桶</w:t>
                  </w:r>
                </w:p>
              </w:tc>
              <w:tc>
                <w:tcPr>
                  <w:tcW w:w="789" w:type="dxa"/>
                  <w:tcBorders>
                    <w:tl2br w:val="nil"/>
                    <w:tr2bl w:val="nil"/>
                  </w:tcBorders>
                  <w:noWrap w:val="0"/>
                  <w:vAlign w:val="center"/>
                </w:tcPr>
                <w:p w14:paraId="210F602C">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val="en-US" w:eastAsia="zh-CN"/>
                    </w:rPr>
                  </w:pPr>
                  <w:r>
                    <w:rPr>
                      <w:rFonts w:hint="default"/>
                      <w:highlight w:val="none"/>
                      <w:lang w:val="en-US" w:eastAsia="zh-CN"/>
                    </w:rPr>
                    <w:t>HW</w:t>
                  </w:r>
                  <w:r>
                    <w:rPr>
                      <w:rFonts w:hint="eastAsia"/>
                      <w:highlight w:val="none"/>
                      <w:lang w:val="en-US" w:eastAsia="zh-CN"/>
                    </w:rPr>
                    <w:t>08</w:t>
                  </w:r>
                </w:p>
              </w:tc>
              <w:tc>
                <w:tcPr>
                  <w:tcW w:w="848" w:type="dxa"/>
                  <w:tcBorders>
                    <w:tl2br w:val="nil"/>
                    <w:tr2bl w:val="nil"/>
                  </w:tcBorders>
                  <w:noWrap w:val="0"/>
                  <w:vAlign w:val="center"/>
                </w:tcPr>
                <w:p w14:paraId="17162DE5">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val="en-US" w:eastAsia="zh-CN"/>
                    </w:rPr>
                  </w:pPr>
                  <w:r>
                    <w:rPr>
                      <w:rFonts w:hint="default"/>
                      <w:highlight w:val="none"/>
                      <w:lang w:val="en-US" w:eastAsia="zh-CN"/>
                    </w:rPr>
                    <w:t>900-217-08</w:t>
                  </w:r>
                </w:p>
              </w:tc>
              <w:tc>
                <w:tcPr>
                  <w:tcW w:w="730" w:type="dxa"/>
                  <w:tcBorders>
                    <w:tl2br w:val="nil"/>
                    <w:tr2bl w:val="nil"/>
                  </w:tcBorders>
                  <w:noWrap w:val="0"/>
                  <w:vAlign w:val="center"/>
                </w:tcPr>
                <w:p w14:paraId="057776D4">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val="en-US" w:eastAsia="zh-CN"/>
                    </w:rPr>
                  </w:pPr>
                  <w:r>
                    <w:rPr>
                      <w:rFonts w:hint="eastAsia"/>
                      <w:highlight w:val="none"/>
                      <w:lang w:val="en-US" w:eastAsia="zh-CN"/>
                    </w:rPr>
                    <w:t>2个 /a</w:t>
                  </w:r>
                </w:p>
              </w:tc>
              <w:tc>
                <w:tcPr>
                  <w:tcW w:w="720" w:type="dxa"/>
                  <w:vMerge w:val="continue"/>
                  <w:tcBorders>
                    <w:tl2br w:val="nil"/>
                    <w:tr2bl w:val="nil"/>
                  </w:tcBorders>
                  <w:noWrap w:val="0"/>
                  <w:vAlign w:val="center"/>
                </w:tcPr>
                <w:p w14:paraId="65C089C8">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eastAsia="zh-CN"/>
                    </w:rPr>
                  </w:pPr>
                </w:p>
              </w:tc>
              <w:tc>
                <w:tcPr>
                  <w:tcW w:w="612" w:type="dxa"/>
                  <w:tcBorders>
                    <w:tl2br w:val="nil"/>
                    <w:tr2bl w:val="nil"/>
                  </w:tcBorders>
                  <w:noWrap w:val="0"/>
                  <w:vAlign w:val="center"/>
                </w:tcPr>
                <w:p w14:paraId="0D0F7412">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eastAsia="zh-CN"/>
                    </w:rPr>
                  </w:pPr>
                  <w:r>
                    <w:rPr>
                      <w:rFonts w:hint="eastAsia"/>
                      <w:highlight w:val="none"/>
                      <w:lang w:val="en-US" w:eastAsia="zh-CN"/>
                    </w:rPr>
                    <w:t>固态</w:t>
                  </w:r>
                </w:p>
              </w:tc>
              <w:tc>
                <w:tcPr>
                  <w:tcW w:w="875" w:type="dxa"/>
                  <w:vMerge w:val="continue"/>
                  <w:tcBorders>
                    <w:tl2br w:val="nil"/>
                    <w:tr2bl w:val="nil"/>
                  </w:tcBorders>
                  <w:noWrap w:val="0"/>
                  <w:vAlign w:val="center"/>
                </w:tcPr>
                <w:p w14:paraId="4D10BD6D">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eastAsia="zh-CN"/>
                    </w:rPr>
                  </w:pPr>
                </w:p>
              </w:tc>
              <w:tc>
                <w:tcPr>
                  <w:tcW w:w="658" w:type="dxa"/>
                  <w:vMerge w:val="continue"/>
                  <w:tcBorders>
                    <w:tl2br w:val="nil"/>
                    <w:tr2bl w:val="nil"/>
                  </w:tcBorders>
                  <w:noWrap w:val="0"/>
                  <w:vAlign w:val="center"/>
                </w:tcPr>
                <w:p w14:paraId="6BCE896C">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p>
              </w:tc>
              <w:tc>
                <w:tcPr>
                  <w:tcW w:w="555" w:type="dxa"/>
                  <w:tcBorders>
                    <w:tl2br w:val="nil"/>
                    <w:tr2bl w:val="nil"/>
                  </w:tcBorders>
                  <w:noWrap w:val="0"/>
                  <w:vAlign w:val="center"/>
                </w:tcPr>
                <w:p w14:paraId="70CC9102">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eastAsia"/>
                      <w:highlight w:val="none"/>
                      <w:lang w:val="en-US" w:eastAsia="zh-CN"/>
                    </w:rPr>
                    <w:t>T，I</w:t>
                  </w:r>
                </w:p>
              </w:tc>
              <w:tc>
                <w:tcPr>
                  <w:tcW w:w="1481" w:type="dxa"/>
                  <w:tcBorders>
                    <w:tl2br w:val="nil"/>
                    <w:tr2bl w:val="nil"/>
                  </w:tcBorders>
                  <w:noWrap w:val="0"/>
                  <w:vAlign w:val="center"/>
                </w:tcPr>
                <w:p w14:paraId="066C7EC8">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r>
                    <w:rPr>
                      <w:rFonts w:hint="default"/>
                      <w:highlight w:val="none"/>
                    </w:rPr>
                    <w:t>暂存于</w:t>
                  </w:r>
                  <w:r>
                    <w:rPr>
                      <w:rFonts w:hint="eastAsia"/>
                      <w:highlight w:val="none"/>
                      <w:lang w:val="en-US" w:eastAsia="zh-CN"/>
                    </w:rPr>
                    <w:t>原有的</w:t>
                  </w:r>
                  <w:r>
                    <w:rPr>
                      <w:rFonts w:hint="default"/>
                      <w:highlight w:val="none"/>
                      <w:lang w:val="en-US" w:eastAsia="zh-CN"/>
                    </w:rPr>
                    <w:t>危废间内</w:t>
                  </w:r>
                  <w:r>
                    <w:rPr>
                      <w:rFonts w:hint="default"/>
                      <w:highlight w:val="none"/>
                    </w:rPr>
                    <w:t>，定期</w:t>
                  </w:r>
                  <w:r>
                    <w:rPr>
                      <w:rFonts w:hint="default"/>
                      <w:highlight w:val="none"/>
                      <w:lang w:eastAsia="zh-CN"/>
                    </w:rPr>
                    <w:t>交</w:t>
                  </w:r>
                  <w:r>
                    <w:rPr>
                      <w:rFonts w:hint="default"/>
                      <w:highlight w:val="none"/>
                    </w:rPr>
                    <w:t>有</w:t>
                  </w:r>
                  <w:r>
                    <w:rPr>
                      <w:rFonts w:hint="default"/>
                      <w:highlight w:val="none"/>
                      <w:lang w:eastAsia="zh-CN"/>
                    </w:rPr>
                    <w:t>资质</w:t>
                  </w:r>
                  <w:r>
                    <w:rPr>
                      <w:rFonts w:hint="default"/>
                      <w:highlight w:val="none"/>
                    </w:rPr>
                    <w:t>单位统一处理</w:t>
                  </w:r>
                </w:p>
              </w:tc>
            </w:tr>
          </w:tbl>
          <w:p w14:paraId="32699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firstLine="422" w:firstLineChars="200"/>
              <w:jc w:val="center"/>
              <w:textAlignment w:val="auto"/>
              <w:rPr>
                <w:rFonts w:hint="default"/>
                <w:b/>
                <w:bCs/>
                <w:highlight w:val="none"/>
                <w:lang w:val="en-US" w:eastAsia="zh-CN"/>
              </w:rPr>
            </w:pPr>
            <w:r>
              <w:rPr>
                <w:rFonts w:hint="default"/>
                <w:b/>
                <w:bCs/>
                <w:highlight w:val="none"/>
                <w:lang w:val="en-US" w:eastAsia="zh-CN"/>
              </w:rPr>
              <w:t>表</w:t>
            </w:r>
            <w:r>
              <w:rPr>
                <w:rFonts w:hint="eastAsia"/>
                <w:b/>
                <w:bCs/>
                <w:highlight w:val="none"/>
                <w:lang w:val="en-US" w:eastAsia="zh-CN"/>
              </w:rPr>
              <w:t>4-11</w:t>
            </w:r>
            <w:r>
              <w:rPr>
                <w:rFonts w:hint="default"/>
                <w:b/>
                <w:bCs/>
                <w:highlight w:val="none"/>
                <w:lang w:val="en-US" w:eastAsia="zh-CN"/>
              </w:rPr>
              <w:t xml:space="preserve">  建设项目危险废物贮存场所（设施）基本情况表</w:t>
            </w:r>
          </w:p>
          <w:tbl>
            <w:tblPr>
              <w:tblStyle w:val="20"/>
              <w:tblW w:w="79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185"/>
              <w:gridCol w:w="856"/>
              <w:gridCol w:w="1214"/>
              <w:gridCol w:w="645"/>
              <w:gridCol w:w="758"/>
              <w:gridCol w:w="930"/>
              <w:gridCol w:w="705"/>
              <w:gridCol w:w="634"/>
            </w:tblGrid>
            <w:tr w14:paraId="3B29E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16" w:type="dxa"/>
                  <w:tcBorders>
                    <w:tl2br w:val="nil"/>
                    <w:tr2bl w:val="nil"/>
                  </w:tcBorders>
                  <w:noWrap w:val="0"/>
                  <w:vAlign w:val="center"/>
                </w:tcPr>
                <w:p w14:paraId="78CE5E9C">
                  <w:pPr>
                    <w:keepNext w:val="0"/>
                    <w:keepLines w:val="0"/>
                    <w:pageBreakBefore w:val="0"/>
                    <w:widowControl w:val="0"/>
                    <w:kinsoku/>
                    <w:wordWrap/>
                    <w:overflowPunct/>
                    <w:autoSpaceDE/>
                    <w:autoSpaceDN/>
                    <w:bidi w:val="0"/>
                    <w:spacing w:line="320" w:lineRule="exact"/>
                    <w:ind w:firstLine="0" w:firstLineChars="0"/>
                    <w:jc w:val="center"/>
                    <w:textAlignment w:val="auto"/>
                    <w:rPr>
                      <w:rFonts w:hint="default"/>
                      <w:highlight w:val="none"/>
                    </w:rPr>
                  </w:pPr>
                  <w:r>
                    <w:rPr>
                      <w:rFonts w:hint="default"/>
                      <w:highlight w:val="none"/>
                    </w:rPr>
                    <w:t>贮存场所（设施）</w:t>
                  </w:r>
                  <w:r>
                    <w:rPr>
                      <w:rFonts w:hint="default"/>
                      <w:highlight w:val="none"/>
                      <w:lang w:eastAsia="zh-CN"/>
                    </w:rPr>
                    <w:t>名</w:t>
                  </w:r>
                  <w:r>
                    <w:rPr>
                      <w:rFonts w:hint="default"/>
                      <w:highlight w:val="none"/>
                    </w:rPr>
                    <w:t>称</w:t>
                  </w:r>
                </w:p>
              </w:tc>
              <w:tc>
                <w:tcPr>
                  <w:tcW w:w="1185" w:type="dxa"/>
                  <w:tcBorders>
                    <w:tl2br w:val="nil"/>
                    <w:tr2bl w:val="nil"/>
                  </w:tcBorders>
                  <w:noWrap w:val="0"/>
                  <w:vAlign w:val="center"/>
                </w:tcPr>
                <w:p w14:paraId="53FDF634">
                  <w:pPr>
                    <w:keepNext w:val="0"/>
                    <w:keepLines w:val="0"/>
                    <w:pageBreakBefore w:val="0"/>
                    <w:widowControl w:val="0"/>
                    <w:kinsoku/>
                    <w:wordWrap/>
                    <w:overflowPunct/>
                    <w:autoSpaceDE/>
                    <w:autoSpaceDN/>
                    <w:bidi w:val="0"/>
                    <w:spacing w:line="320" w:lineRule="exact"/>
                    <w:ind w:firstLine="0" w:firstLineChars="0"/>
                    <w:jc w:val="center"/>
                    <w:textAlignment w:val="auto"/>
                    <w:rPr>
                      <w:rFonts w:hint="default"/>
                      <w:highlight w:val="none"/>
                    </w:rPr>
                  </w:pPr>
                  <w:r>
                    <w:rPr>
                      <w:rFonts w:hint="default"/>
                      <w:highlight w:val="none"/>
                    </w:rPr>
                    <w:t>危险废物名称</w:t>
                  </w:r>
                </w:p>
              </w:tc>
              <w:tc>
                <w:tcPr>
                  <w:tcW w:w="856" w:type="dxa"/>
                  <w:tcBorders>
                    <w:tl2br w:val="nil"/>
                    <w:tr2bl w:val="nil"/>
                  </w:tcBorders>
                  <w:noWrap w:val="0"/>
                  <w:vAlign w:val="center"/>
                </w:tcPr>
                <w:p w14:paraId="5EE44C09">
                  <w:pPr>
                    <w:keepNext w:val="0"/>
                    <w:keepLines w:val="0"/>
                    <w:pageBreakBefore w:val="0"/>
                    <w:widowControl w:val="0"/>
                    <w:kinsoku/>
                    <w:wordWrap/>
                    <w:overflowPunct/>
                    <w:autoSpaceDE/>
                    <w:autoSpaceDN/>
                    <w:bidi w:val="0"/>
                    <w:spacing w:line="320" w:lineRule="exact"/>
                    <w:ind w:firstLine="0" w:firstLineChars="0"/>
                    <w:jc w:val="center"/>
                    <w:textAlignment w:val="auto"/>
                    <w:rPr>
                      <w:rFonts w:hint="default"/>
                      <w:highlight w:val="none"/>
                    </w:rPr>
                  </w:pPr>
                  <w:r>
                    <w:rPr>
                      <w:rFonts w:hint="default"/>
                      <w:highlight w:val="none"/>
                    </w:rPr>
                    <w:t>危险废物类别</w:t>
                  </w:r>
                </w:p>
              </w:tc>
              <w:tc>
                <w:tcPr>
                  <w:tcW w:w="1214" w:type="dxa"/>
                  <w:tcBorders>
                    <w:tl2br w:val="nil"/>
                    <w:tr2bl w:val="nil"/>
                  </w:tcBorders>
                  <w:noWrap w:val="0"/>
                  <w:vAlign w:val="center"/>
                </w:tcPr>
                <w:p w14:paraId="6F0CF2CB">
                  <w:pPr>
                    <w:keepNext w:val="0"/>
                    <w:keepLines w:val="0"/>
                    <w:pageBreakBefore w:val="0"/>
                    <w:widowControl w:val="0"/>
                    <w:kinsoku/>
                    <w:wordWrap/>
                    <w:overflowPunct/>
                    <w:autoSpaceDE/>
                    <w:autoSpaceDN/>
                    <w:bidi w:val="0"/>
                    <w:spacing w:line="320" w:lineRule="exact"/>
                    <w:ind w:firstLine="0" w:firstLineChars="0"/>
                    <w:jc w:val="center"/>
                    <w:textAlignment w:val="auto"/>
                    <w:rPr>
                      <w:rFonts w:hint="default"/>
                      <w:highlight w:val="none"/>
                    </w:rPr>
                  </w:pPr>
                  <w:r>
                    <w:rPr>
                      <w:rFonts w:hint="default"/>
                      <w:highlight w:val="none"/>
                    </w:rPr>
                    <w:t>危险废物代码</w:t>
                  </w:r>
                </w:p>
              </w:tc>
              <w:tc>
                <w:tcPr>
                  <w:tcW w:w="645" w:type="dxa"/>
                  <w:tcBorders>
                    <w:tl2br w:val="nil"/>
                    <w:tr2bl w:val="nil"/>
                  </w:tcBorders>
                  <w:noWrap w:val="0"/>
                  <w:vAlign w:val="center"/>
                </w:tcPr>
                <w:p w14:paraId="79E59994">
                  <w:pPr>
                    <w:keepNext w:val="0"/>
                    <w:keepLines w:val="0"/>
                    <w:pageBreakBefore w:val="0"/>
                    <w:widowControl w:val="0"/>
                    <w:kinsoku/>
                    <w:wordWrap/>
                    <w:overflowPunct/>
                    <w:autoSpaceDE/>
                    <w:autoSpaceDN/>
                    <w:bidi w:val="0"/>
                    <w:spacing w:line="320" w:lineRule="exact"/>
                    <w:ind w:firstLine="0" w:firstLineChars="0"/>
                    <w:jc w:val="center"/>
                    <w:textAlignment w:val="auto"/>
                    <w:rPr>
                      <w:rFonts w:hint="default"/>
                      <w:highlight w:val="none"/>
                    </w:rPr>
                  </w:pPr>
                  <w:r>
                    <w:rPr>
                      <w:rFonts w:hint="default"/>
                      <w:highlight w:val="none"/>
                    </w:rPr>
                    <w:t>位置</w:t>
                  </w:r>
                </w:p>
              </w:tc>
              <w:tc>
                <w:tcPr>
                  <w:tcW w:w="758" w:type="dxa"/>
                  <w:tcBorders>
                    <w:tl2br w:val="nil"/>
                    <w:tr2bl w:val="nil"/>
                  </w:tcBorders>
                  <w:noWrap w:val="0"/>
                  <w:vAlign w:val="center"/>
                </w:tcPr>
                <w:p w14:paraId="298940F5">
                  <w:pPr>
                    <w:keepNext w:val="0"/>
                    <w:keepLines w:val="0"/>
                    <w:pageBreakBefore w:val="0"/>
                    <w:widowControl w:val="0"/>
                    <w:kinsoku/>
                    <w:wordWrap/>
                    <w:overflowPunct/>
                    <w:autoSpaceDE/>
                    <w:autoSpaceDN/>
                    <w:bidi w:val="0"/>
                    <w:spacing w:line="320" w:lineRule="exact"/>
                    <w:ind w:firstLine="0" w:firstLineChars="0"/>
                    <w:jc w:val="center"/>
                    <w:textAlignment w:val="auto"/>
                    <w:rPr>
                      <w:rFonts w:hint="default"/>
                      <w:highlight w:val="none"/>
                    </w:rPr>
                  </w:pPr>
                  <w:r>
                    <w:rPr>
                      <w:rFonts w:hint="default"/>
                      <w:highlight w:val="none"/>
                    </w:rPr>
                    <w:t>占地面积</w:t>
                  </w:r>
                </w:p>
              </w:tc>
              <w:tc>
                <w:tcPr>
                  <w:tcW w:w="930" w:type="dxa"/>
                  <w:tcBorders>
                    <w:tl2br w:val="nil"/>
                    <w:tr2bl w:val="nil"/>
                  </w:tcBorders>
                  <w:noWrap w:val="0"/>
                  <w:vAlign w:val="center"/>
                </w:tcPr>
                <w:p w14:paraId="0F9B0A76">
                  <w:pPr>
                    <w:keepNext w:val="0"/>
                    <w:keepLines w:val="0"/>
                    <w:pageBreakBefore w:val="0"/>
                    <w:widowControl w:val="0"/>
                    <w:kinsoku/>
                    <w:wordWrap/>
                    <w:overflowPunct/>
                    <w:autoSpaceDE/>
                    <w:autoSpaceDN/>
                    <w:bidi w:val="0"/>
                    <w:spacing w:line="320" w:lineRule="exact"/>
                    <w:ind w:firstLine="0" w:firstLineChars="0"/>
                    <w:jc w:val="center"/>
                    <w:textAlignment w:val="auto"/>
                    <w:rPr>
                      <w:rFonts w:hint="default"/>
                      <w:highlight w:val="none"/>
                    </w:rPr>
                  </w:pPr>
                  <w:r>
                    <w:rPr>
                      <w:rFonts w:hint="default"/>
                      <w:highlight w:val="none"/>
                    </w:rPr>
                    <w:t>贮存</w:t>
                  </w:r>
                </w:p>
                <w:p w14:paraId="687FFEE0">
                  <w:pPr>
                    <w:keepNext w:val="0"/>
                    <w:keepLines w:val="0"/>
                    <w:pageBreakBefore w:val="0"/>
                    <w:widowControl w:val="0"/>
                    <w:kinsoku/>
                    <w:wordWrap/>
                    <w:overflowPunct/>
                    <w:autoSpaceDE/>
                    <w:autoSpaceDN/>
                    <w:bidi w:val="0"/>
                    <w:spacing w:line="320" w:lineRule="exact"/>
                    <w:ind w:firstLine="0" w:firstLineChars="0"/>
                    <w:jc w:val="center"/>
                    <w:textAlignment w:val="auto"/>
                    <w:rPr>
                      <w:rFonts w:hint="default"/>
                      <w:highlight w:val="none"/>
                    </w:rPr>
                  </w:pPr>
                  <w:r>
                    <w:rPr>
                      <w:rFonts w:hint="default"/>
                      <w:highlight w:val="none"/>
                    </w:rPr>
                    <w:t>方式</w:t>
                  </w:r>
                </w:p>
              </w:tc>
              <w:tc>
                <w:tcPr>
                  <w:tcW w:w="705" w:type="dxa"/>
                  <w:tcBorders>
                    <w:tl2br w:val="nil"/>
                    <w:tr2bl w:val="nil"/>
                  </w:tcBorders>
                  <w:noWrap w:val="0"/>
                  <w:vAlign w:val="center"/>
                </w:tcPr>
                <w:p w14:paraId="617E3820">
                  <w:pPr>
                    <w:keepNext w:val="0"/>
                    <w:keepLines w:val="0"/>
                    <w:pageBreakBefore w:val="0"/>
                    <w:widowControl w:val="0"/>
                    <w:kinsoku/>
                    <w:wordWrap/>
                    <w:overflowPunct/>
                    <w:autoSpaceDE/>
                    <w:autoSpaceDN/>
                    <w:bidi w:val="0"/>
                    <w:spacing w:line="320" w:lineRule="exact"/>
                    <w:ind w:firstLine="0" w:firstLineChars="0"/>
                    <w:jc w:val="center"/>
                    <w:textAlignment w:val="auto"/>
                    <w:rPr>
                      <w:rFonts w:hint="default"/>
                      <w:highlight w:val="none"/>
                    </w:rPr>
                  </w:pPr>
                  <w:r>
                    <w:rPr>
                      <w:rFonts w:hint="default"/>
                      <w:highlight w:val="none"/>
                    </w:rPr>
                    <w:t>贮存</w:t>
                  </w:r>
                </w:p>
                <w:p w14:paraId="1CF41F97">
                  <w:pPr>
                    <w:keepNext w:val="0"/>
                    <w:keepLines w:val="0"/>
                    <w:pageBreakBefore w:val="0"/>
                    <w:widowControl w:val="0"/>
                    <w:kinsoku/>
                    <w:wordWrap/>
                    <w:overflowPunct/>
                    <w:autoSpaceDE/>
                    <w:autoSpaceDN/>
                    <w:bidi w:val="0"/>
                    <w:spacing w:line="320" w:lineRule="exact"/>
                    <w:ind w:firstLine="0" w:firstLineChars="0"/>
                    <w:jc w:val="center"/>
                    <w:textAlignment w:val="auto"/>
                    <w:rPr>
                      <w:rFonts w:hint="default"/>
                      <w:highlight w:val="none"/>
                    </w:rPr>
                  </w:pPr>
                  <w:r>
                    <w:rPr>
                      <w:rFonts w:hint="default"/>
                      <w:highlight w:val="none"/>
                    </w:rPr>
                    <w:t>能力</w:t>
                  </w:r>
                </w:p>
              </w:tc>
              <w:tc>
                <w:tcPr>
                  <w:tcW w:w="634" w:type="dxa"/>
                  <w:tcBorders>
                    <w:tl2br w:val="nil"/>
                    <w:tr2bl w:val="nil"/>
                  </w:tcBorders>
                  <w:noWrap w:val="0"/>
                  <w:vAlign w:val="center"/>
                </w:tcPr>
                <w:p w14:paraId="0237B17F">
                  <w:pPr>
                    <w:keepNext w:val="0"/>
                    <w:keepLines w:val="0"/>
                    <w:pageBreakBefore w:val="0"/>
                    <w:widowControl w:val="0"/>
                    <w:kinsoku/>
                    <w:wordWrap/>
                    <w:overflowPunct/>
                    <w:autoSpaceDE/>
                    <w:autoSpaceDN/>
                    <w:bidi w:val="0"/>
                    <w:spacing w:line="320" w:lineRule="exact"/>
                    <w:ind w:firstLine="0" w:firstLineChars="0"/>
                    <w:jc w:val="center"/>
                    <w:textAlignment w:val="auto"/>
                    <w:rPr>
                      <w:rFonts w:hint="default"/>
                      <w:highlight w:val="none"/>
                    </w:rPr>
                  </w:pPr>
                  <w:r>
                    <w:rPr>
                      <w:rFonts w:hint="default"/>
                      <w:highlight w:val="none"/>
                    </w:rPr>
                    <w:t>贮存</w:t>
                  </w:r>
                </w:p>
                <w:p w14:paraId="3CEF4FCB">
                  <w:pPr>
                    <w:keepNext w:val="0"/>
                    <w:keepLines w:val="0"/>
                    <w:pageBreakBefore w:val="0"/>
                    <w:widowControl w:val="0"/>
                    <w:kinsoku/>
                    <w:wordWrap/>
                    <w:overflowPunct/>
                    <w:autoSpaceDE/>
                    <w:autoSpaceDN/>
                    <w:bidi w:val="0"/>
                    <w:spacing w:line="320" w:lineRule="exact"/>
                    <w:ind w:firstLine="0" w:firstLineChars="0"/>
                    <w:jc w:val="center"/>
                    <w:textAlignment w:val="auto"/>
                    <w:rPr>
                      <w:rFonts w:hint="default"/>
                      <w:highlight w:val="none"/>
                    </w:rPr>
                  </w:pPr>
                  <w:r>
                    <w:rPr>
                      <w:rFonts w:hint="default"/>
                      <w:highlight w:val="none"/>
                    </w:rPr>
                    <w:t>周期</w:t>
                  </w:r>
                </w:p>
              </w:tc>
            </w:tr>
            <w:tr w14:paraId="2FAE7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016" w:type="dxa"/>
                  <w:vMerge w:val="restart"/>
                  <w:tcBorders>
                    <w:tl2br w:val="nil"/>
                    <w:tr2bl w:val="nil"/>
                  </w:tcBorders>
                  <w:noWrap w:val="0"/>
                  <w:vAlign w:val="center"/>
                </w:tcPr>
                <w:p w14:paraId="2A471077">
                  <w:pPr>
                    <w:keepNext w:val="0"/>
                    <w:keepLines w:val="0"/>
                    <w:pageBreakBefore w:val="0"/>
                    <w:widowControl w:val="0"/>
                    <w:kinsoku/>
                    <w:wordWrap/>
                    <w:overflowPunct/>
                    <w:autoSpaceDE/>
                    <w:autoSpaceDN/>
                    <w:bidi w:val="0"/>
                    <w:spacing w:line="320" w:lineRule="exact"/>
                    <w:ind w:firstLine="0" w:firstLineChars="0"/>
                    <w:jc w:val="center"/>
                    <w:textAlignment w:val="auto"/>
                    <w:rPr>
                      <w:rFonts w:hint="default"/>
                      <w:highlight w:val="none"/>
                    </w:rPr>
                  </w:pPr>
                  <w:r>
                    <w:rPr>
                      <w:rFonts w:hint="default"/>
                      <w:highlight w:val="none"/>
                    </w:rPr>
                    <w:t>危废间</w:t>
                  </w:r>
                </w:p>
              </w:tc>
              <w:tc>
                <w:tcPr>
                  <w:tcW w:w="1185" w:type="dxa"/>
                  <w:tcBorders>
                    <w:tl2br w:val="nil"/>
                    <w:tr2bl w:val="nil"/>
                  </w:tcBorders>
                  <w:noWrap w:val="0"/>
                  <w:vAlign w:val="center"/>
                </w:tcPr>
                <w:p w14:paraId="5A138F26">
                  <w:pPr>
                    <w:keepNext w:val="0"/>
                    <w:keepLines w:val="0"/>
                    <w:pageBreakBefore w:val="0"/>
                    <w:widowControl w:val="0"/>
                    <w:kinsoku/>
                    <w:wordWrap/>
                    <w:overflowPunct/>
                    <w:topLinePunct/>
                    <w:autoSpaceDE/>
                    <w:autoSpaceDN/>
                    <w:bidi w:val="0"/>
                    <w:adjustRightInd w:val="0"/>
                    <w:snapToGrid w:val="0"/>
                    <w:spacing w:line="320" w:lineRule="exact"/>
                    <w:ind w:firstLine="0" w:firstLineChars="0"/>
                    <w:jc w:val="center"/>
                    <w:textAlignment w:val="auto"/>
                    <w:rPr>
                      <w:rFonts w:hint="eastAsia" w:eastAsia="宋体"/>
                      <w:highlight w:val="none"/>
                      <w:lang w:eastAsia="zh-CN"/>
                    </w:rPr>
                  </w:pPr>
                  <w:r>
                    <w:rPr>
                      <w:rFonts w:hint="default"/>
                      <w:highlight w:val="none"/>
                    </w:rPr>
                    <w:t>废</w:t>
                  </w:r>
                  <w:r>
                    <w:rPr>
                      <w:rFonts w:hint="eastAsia"/>
                      <w:highlight w:val="none"/>
                      <w:lang w:val="en-US" w:eastAsia="zh-CN"/>
                    </w:rPr>
                    <w:t>润滑油</w:t>
                  </w:r>
                </w:p>
              </w:tc>
              <w:tc>
                <w:tcPr>
                  <w:tcW w:w="856" w:type="dxa"/>
                  <w:tcBorders>
                    <w:tl2br w:val="nil"/>
                    <w:tr2bl w:val="nil"/>
                  </w:tcBorders>
                  <w:noWrap w:val="0"/>
                  <w:vAlign w:val="center"/>
                </w:tcPr>
                <w:p w14:paraId="025BA76F">
                  <w:pPr>
                    <w:keepNext w:val="0"/>
                    <w:keepLines w:val="0"/>
                    <w:pageBreakBefore w:val="0"/>
                    <w:widowControl w:val="0"/>
                    <w:kinsoku/>
                    <w:wordWrap/>
                    <w:overflowPunct/>
                    <w:autoSpaceDE w:val="0"/>
                    <w:autoSpaceDN w:val="0"/>
                    <w:bidi w:val="0"/>
                    <w:adjustRightInd w:val="0"/>
                    <w:spacing w:line="240" w:lineRule="auto"/>
                    <w:ind w:firstLine="0" w:firstLineChars="0"/>
                    <w:jc w:val="center"/>
                    <w:textAlignment w:val="auto"/>
                    <w:rPr>
                      <w:rFonts w:hint="default"/>
                      <w:highlight w:val="none"/>
                      <w:lang w:val="en-US" w:eastAsia="zh-CN"/>
                    </w:rPr>
                  </w:pPr>
                  <w:r>
                    <w:rPr>
                      <w:rFonts w:hint="default"/>
                      <w:highlight w:val="none"/>
                      <w:lang w:val="en-US" w:eastAsia="zh-CN"/>
                    </w:rPr>
                    <w:t>HW08</w:t>
                  </w:r>
                </w:p>
              </w:tc>
              <w:tc>
                <w:tcPr>
                  <w:tcW w:w="1214" w:type="dxa"/>
                  <w:tcBorders>
                    <w:tl2br w:val="nil"/>
                    <w:tr2bl w:val="nil"/>
                  </w:tcBorders>
                  <w:noWrap w:val="0"/>
                  <w:vAlign w:val="center"/>
                </w:tcPr>
                <w:p w14:paraId="2BB653D4">
                  <w:pPr>
                    <w:keepNext w:val="0"/>
                    <w:keepLines w:val="0"/>
                    <w:pageBreakBefore w:val="0"/>
                    <w:widowControl w:val="0"/>
                    <w:kinsoku/>
                    <w:wordWrap/>
                    <w:overflowPunct/>
                    <w:autoSpaceDE w:val="0"/>
                    <w:autoSpaceDN w:val="0"/>
                    <w:bidi w:val="0"/>
                    <w:adjustRightInd w:val="0"/>
                    <w:spacing w:line="240" w:lineRule="auto"/>
                    <w:ind w:firstLine="0" w:firstLineChars="0"/>
                    <w:jc w:val="center"/>
                    <w:textAlignment w:val="auto"/>
                    <w:rPr>
                      <w:rFonts w:hint="default"/>
                      <w:highlight w:val="none"/>
                      <w:lang w:val="en-US" w:eastAsia="zh-CN"/>
                    </w:rPr>
                  </w:pPr>
                  <w:r>
                    <w:rPr>
                      <w:rFonts w:hint="default"/>
                      <w:highlight w:val="none"/>
                      <w:lang w:val="en-US" w:eastAsia="zh-CN"/>
                    </w:rPr>
                    <w:t>900-217-08</w:t>
                  </w:r>
                </w:p>
              </w:tc>
              <w:tc>
                <w:tcPr>
                  <w:tcW w:w="645" w:type="dxa"/>
                  <w:vMerge w:val="restart"/>
                  <w:tcBorders>
                    <w:tl2br w:val="nil"/>
                    <w:tr2bl w:val="nil"/>
                  </w:tcBorders>
                  <w:noWrap w:val="0"/>
                  <w:vAlign w:val="center"/>
                </w:tcPr>
                <w:p w14:paraId="04F3BCD2">
                  <w:pPr>
                    <w:keepNext w:val="0"/>
                    <w:keepLines w:val="0"/>
                    <w:pageBreakBefore w:val="0"/>
                    <w:widowControl w:val="0"/>
                    <w:kinsoku/>
                    <w:wordWrap/>
                    <w:overflowPunct/>
                    <w:autoSpaceDE w:val="0"/>
                    <w:autoSpaceDN w:val="0"/>
                    <w:bidi w:val="0"/>
                    <w:adjustRightInd w:val="0"/>
                    <w:spacing w:line="240" w:lineRule="auto"/>
                    <w:ind w:firstLine="0" w:firstLineChars="0"/>
                    <w:jc w:val="center"/>
                    <w:textAlignment w:val="auto"/>
                    <w:rPr>
                      <w:rFonts w:hint="default" w:eastAsia="宋体"/>
                      <w:highlight w:val="none"/>
                      <w:lang w:val="en-US" w:eastAsia="zh-CN"/>
                    </w:rPr>
                  </w:pPr>
                  <w:r>
                    <w:rPr>
                      <w:rFonts w:hint="eastAsia" w:eastAsia="宋体"/>
                      <w:highlight w:val="none"/>
                      <w:lang w:val="en-US" w:eastAsia="zh-CN"/>
                    </w:rPr>
                    <w:t>危废间内</w:t>
                  </w:r>
                </w:p>
              </w:tc>
              <w:tc>
                <w:tcPr>
                  <w:tcW w:w="758" w:type="dxa"/>
                  <w:vMerge w:val="restart"/>
                  <w:tcBorders>
                    <w:tl2br w:val="nil"/>
                    <w:tr2bl w:val="nil"/>
                  </w:tcBorders>
                  <w:noWrap w:val="0"/>
                  <w:vAlign w:val="center"/>
                </w:tcPr>
                <w:p w14:paraId="1F1F55E3">
                  <w:pPr>
                    <w:keepNext w:val="0"/>
                    <w:keepLines w:val="0"/>
                    <w:pageBreakBefore w:val="0"/>
                    <w:widowControl w:val="0"/>
                    <w:kinsoku/>
                    <w:wordWrap/>
                    <w:overflowPunct/>
                    <w:autoSpaceDE w:val="0"/>
                    <w:autoSpaceDN w:val="0"/>
                    <w:bidi w:val="0"/>
                    <w:adjustRightInd w:val="0"/>
                    <w:spacing w:line="240" w:lineRule="auto"/>
                    <w:ind w:firstLine="0" w:firstLineChars="0"/>
                    <w:jc w:val="center"/>
                    <w:textAlignment w:val="auto"/>
                    <w:rPr>
                      <w:rFonts w:hint="default" w:eastAsia="宋体"/>
                      <w:highlight w:val="none"/>
                      <w:lang w:val="en-US" w:eastAsia="zh-CN"/>
                    </w:rPr>
                  </w:pPr>
                  <w:r>
                    <w:rPr>
                      <w:rFonts w:hint="eastAsia" w:eastAsia="宋体"/>
                      <w:highlight w:val="none"/>
                      <w:lang w:val="en-US" w:eastAsia="zh-CN"/>
                    </w:rPr>
                    <w:t>12</w:t>
                  </w:r>
                  <w:r>
                    <w:rPr>
                      <w:rFonts w:hint="default" w:eastAsia="宋体"/>
                      <w:highlight w:val="none"/>
                      <w:lang w:val="en-US" w:eastAsia="zh-CN"/>
                    </w:rPr>
                    <w:t>m</w:t>
                  </w:r>
                  <w:r>
                    <w:rPr>
                      <w:rFonts w:hint="default" w:eastAsia="宋体"/>
                      <w:highlight w:val="none"/>
                      <w:vertAlign w:val="superscript"/>
                      <w:lang w:val="en-US" w:eastAsia="zh-CN"/>
                    </w:rPr>
                    <w:t>2</w:t>
                  </w:r>
                </w:p>
              </w:tc>
              <w:tc>
                <w:tcPr>
                  <w:tcW w:w="930" w:type="dxa"/>
                  <w:tcBorders>
                    <w:tl2br w:val="nil"/>
                    <w:tr2bl w:val="nil"/>
                  </w:tcBorders>
                  <w:noWrap w:val="0"/>
                  <w:vAlign w:val="center"/>
                </w:tcPr>
                <w:p w14:paraId="1714CD4A">
                  <w:pPr>
                    <w:keepNext w:val="0"/>
                    <w:keepLines w:val="0"/>
                    <w:pageBreakBefore w:val="0"/>
                    <w:widowControl w:val="0"/>
                    <w:kinsoku/>
                    <w:wordWrap/>
                    <w:overflowPunct/>
                    <w:autoSpaceDE/>
                    <w:autoSpaceDN/>
                    <w:bidi w:val="0"/>
                    <w:spacing w:line="320" w:lineRule="exact"/>
                    <w:ind w:firstLine="0" w:firstLineChars="0"/>
                    <w:jc w:val="center"/>
                    <w:textAlignment w:val="auto"/>
                    <w:rPr>
                      <w:rFonts w:hint="default"/>
                      <w:highlight w:val="none"/>
                      <w:lang w:eastAsia="zh-CN"/>
                    </w:rPr>
                  </w:pPr>
                  <w:r>
                    <w:rPr>
                      <w:rFonts w:hint="default"/>
                      <w:highlight w:val="none"/>
                      <w:lang w:eastAsia="zh-CN"/>
                    </w:rPr>
                    <w:t>废油桶</w:t>
                  </w:r>
                </w:p>
              </w:tc>
              <w:tc>
                <w:tcPr>
                  <w:tcW w:w="705" w:type="dxa"/>
                  <w:vMerge w:val="restart"/>
                  <w:tcBorders>
                    <w:tl2br w:val="nil"/>
                    <w:tr2bl w:val="nil"/>
                  </w:tcBorders>
                  <w:noWrap w:val="0"/>
                  <w:vAlign w:val="center"/>
                </w:tcPr>
                <w:p w14:paraId="59D0B060">
                  <w:pPr>
                    <w:keepNext w:val="0"/>
                    <w:keepLines w:val="0"/>
                    <w:pageBreakBefore w:val="0"/>
                    <w:widowControl w:val="0"/>
                    <w:kinsoku/>
                    <w:wordWrap/>
                    <w:overflowPunct/>
                    <w:autoSpaceDE/>
                    <w:autoSpaceDN/>
                    <w:bidi w:val="0"/>
                    <w:spacing w:line="320" w:lineRule="exact"/>
                    <w:ind w:firstLine="0" w:firstLineChars="0"/>
                    <w:jc w:val="center"/>
                    <w:textAlignment w:val="auto"/>
                    <w:rPr>
                      <w:rFonts w:hint="default" w:eastAsia="宋体"/>
                      <w:highlight w:val="none"/>
                      <w:lang w:val="en-US" w:eastAsia="zh-CN"/>
                    </w:rPr>
                  </w:pPr>
                  <w:r>
                    <w:rPr>
                      <w:rFonts w:hint="eastAsia"/>
                      <w:highlight w:val="none"/>
                      <w:lang w:val="en-US" w:eastAsia="zh-CN"/>
                    </w:rPr>
                    <w:t>5t</w:t>
                  </w:r>
                </w:p>
              </w:tc>
              <w:tc>
                <w:tcPr>
                  <w:tcW w:w="634" w:type="dxa"/>
                  <w:vMerge w:val="restart"/>
                  <w:tcBorders>
                    <w:tl2br w:val="nil"/>
                    <w:tr2bl w:val="nil"/>
                  </w:tcBorders>
                  <w:noWrap w:val="0"/>
                  <w:vAlign w:val="center"/>
                </w:tcPr>
                <w:p w14:paraId="53988F14">
                  <w:pPr>
                    <w:keepNext w:val="0"/>
                    <w:keepLines w:val="0"/>
                    <w:pageBreakBefore w:val="0"/>
                    <w:widowControl w:val="0"/>
                    <w:kinsoku/>
                    <w:wordWrap/>
                    <w:overflowPunct/>
                    <w:topLinePunct/>
                    <w:autoSpaceDE/>
                    <w:autoSpaceDN/>
                    <w:bidi w:val="0"/>
                    <w:adjustRightInd w:val="0"/>
                    <w:snapToGrid w:val="0"/>
                    <w:spacing w:line="320" w:lineRule="exact"/>
                    <w:ind w:firstLine="0" w:firstLineChars="0"/>
                    <w:jc w:val="center"/>
                    <w:textAlignment w:val="auto"/>
                    <w:rPr>
                      <w:rFonts w:hint="default"/>
                      <w:highlight w:val="none"/>
                    </w:rPr>
                  </w:pPr>
                  <w:r>
                    <w:rPr>
                      <w:rFonts w:hint="default"/>
                      <w:highlight w:val="none"/>
                      <w:lang w:val="en-US" w:eastAsia="zh-CN"/>
                    </w:rPr>
                    <w:t>0.5年</w:t>
                  </w:r>
                </w:p>
              </w:tc>
            </w:tr>
            <w:tr w14:paraId="1A69EB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6" w:type="dxa"/>
                  <w:vMerge w:val="continue"/>
                  <w:tcBorders>
                    <w:tl2br w:val="nil"/>
                    <w:tr2bl w:val="nil"/>
                  </w:tcBorders>
                  <w:noWrap w:val="0"/>
                  <w:vAlign w:val="center"/>
                </w:tcPr>
                <w:p w14:paraId="7249822B">
                  <w:pPr>
                    <w:keepNext w:val="0"/>
                    <w:keepLines w:val="0"/>
                    <w:pageBreakBefore w:val="0"/>
                    <w:widowControl w:val="0"/>
                    <w:kinsoku/>
                    <w:wordWrap/>
                    <w:overflowPunct/>
                    <w:autoSpaceDE/>
                    <w:autoSpaceDN/>
                    <w:bidi w:val="0"/>
                    <w:spacing w:line="320" w:lineRule="exact"/>
                    <w:jc w:val="center"/>
                    <w:textAlignment w:val="auto"/>
                    <w:rPr>
                      <w:rFonts w:hint="default"/>
                      <w:highlight w:val="none"/>
                    </w:rPr>
                  </w:pPr>
                </w:p>
              </w:tc>
              <w:tc>
                <w:tcPr>
                  <w:tcW w:w="1185" w:type="dxa"/>
                  <w:tcBorders>
                    <w:tl2br w:val="nil"/>
                    <w:tr2bl w:val="nil"/>
                  </w:tcBorders>
                  <w:noWrap w:val="0"/>
                  <w:vAlign w:val="center"/>
                </w:tcPr>
                <w:p w14:paraId="09EEE882">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val="en-US" w:eastAsia="zh-CN"/>
                    </w:rPr>
                  </w:pPr>
                  <w:r>
                    <w:rPr>
                      <w:rFonts w:hint="default"/>
                      <w:highlight w:val="none"/>
                      <w:lang w:val="en-US" w:eastAsia="zh-CN"/>
                    </w:rPr>
                    <w:t>废油桶</w:t>
                  </w:r>
                </w:p>
              </w:tc>
              <w:tc>
                <w:tcPr>
                  <w:tcW w:w="856" w:type="dxa"/>
                  <w:tcBorders>
                    <w:tl2br w:val="nil"/>
                    <w:tr2bl w:val="nil"/>
                  </w:tcBorders>
                  <w:noWrap w:val="0"/>
                  <w:vAlign w:val="center"/>
                </w:tcPr>
                <w:p w14:paraId="056CDE24">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val="en-US" w:eastAsia="zh-CN"/>
                    </w:rPr>
                  </w:pPr>
                  <w:r>
                    <w:rPr>
                      <w:rFonts w:hint="default"/>
                      <w:highlight w:val="none"/>
                      <w:lang w:val="en-US" w:eastAsia="zh-CN"/>
                    </w:rPr>
                    <w:t>HW08</w:t>
                  </w:r>
                </w:p>
              </w:tc>
              <w:tc>
                <w:tcPr>
                  <w:tcW w:w="1214" w:type="dxa"/>
                  <w:tcBorders>
                    <w:tl2br w:val="nil"/>
                    <w:tr2bl w:val="nil"/>
                  </w:tcBorders>
                  <w:noWrap w:val="0"/>
                  <w:vAlign w:val="center"/>
                </w:tcPr>
                <w:p w14:paraId="6BEDFDE5">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lang w:val="en-US" w:eastAsia="zh-CN"/>
                    </w:rPr>
                  </w:pPr>
                  <w:r>
                    <w:rPr>
                      <w:rFonts w:hint="eastAsia"/>
                      <w:highlight w:val="none"/>
                      <w:lang w:val="en-US" w:eastAsia="zh-CN"/>
                    </w:rPr>
                    <w:t>9</w:t>
                  </w:r>
                  <w:r>
                    <w:rPr>
                      <w:rFonts w:hint="default"/>
                      <w:highlight w:val="none"/>
                      <w:lang w:val="en-US" w:eastAsia="zh-CN"/>
                    </w:rPr>
                    <w:t>00-217-08</w:t>
                  </w:r>
                </w:p>
              </w:tc>
              <w:tc>
                <w:tcPr>
                  <w:tcW w:w="645" w:type="dxa"/>
                  <w:vMerge w:val="continue"/>
                  <w:tcBorders>
                    <w:tl2br w:val="nil"/>
                    <w:tr2bl w:val="nil"/>
                  </w:tcBorders>
                  <w:noWrap w:val="0"/>
                  <w:vAlign w:val="center"/>
                </w:tcPr>
                <w:p w14:paraId="7C7A82D5">
                  <w:pPr>
                    <w:keepNext w:val="0"/>
                    <w:keepLines w:val="0"/>
                    <w:pageBreakBefore w:val="0"/>
                    <w:widowControl w:val="0"/>
                    <w:kinsoku/>
                    <w:wordWrap/>
                    <w:overflowPunct/>
                    <w:autoSpaceDE/>
                    <w:autoSpaceDN/>
                    <w:bidi w:val="0"/>
                    <w:spacing w:line="320" w:lineRule="exact"/>
                    <w:jc w:val="center"/>
                    <w:textAlignment w:val="auto"/>
                    <w:rPr>
                      <w:rFonts w:hint="default"/>
                      <w:highlight w:val="none"/>
                    </w:rPr>
                  </w:pPr>
                </w:p>
              </w:tc>
              <w:tc>
                <w:tcPr>
                  <w:tcW w:w="758" w:type="dxa"/>
                  <w:vMerge w:val="continue"/>
                  <w:tcBorders>
                    <w:tl2br w:val="nil"/>
                    <w:tr2bl w:val="nil"/>
                  </w:tcBorders>
                  <w:noWrap w:val="0"/>
                  <w:vAlign w:val="center"/>
                </w:tcPr>
                <w:p w14:paraId="3DD65763">
                  <w:pPr>
                    <w:keepNext w:val="0"/>
                    <w:keepLines w:val="0"/>
                    <w:pageBreakBefore w:val="0"/>
                    <w:widowControl w:val="0"/>
                    <w:kinsoku/>
                    <w:wordWrap/>
                    <w:overflowPunct/>
                    <w:autoSpaceDE/>
                    <w:autoSpaceDN/>
                    <w:bidi w:val="0"/>
                    <w:spacing w:line="320" w:lineRule="exact"/>
                    <w:jc w:val="center"/>
                    <w:textAlignment w:val="auto"/>
                    <w:rPr>
                      <w:rFonts w:hint="default"/>
                      <w:highlight w:val="none"/>
                    </w:rPr>
                  </w:pPr>
                </w:p>
              </w:tc>
              <w:tc>
                <w:tcPr>
                  <w:tcW w:w="930" w:type="dxa"/>
                  <w:tcBorders>
                    <w:tl2br w:val="nil"/>
                    <w:tr2bl w:val="nil"/>
                  </w:tcBorders>
                  <w:noWrap w:val="0"/>
                  <w:vAlign w:val="center"/>
                </w:tcPr>
                <w:p w14:paraId="7543449A">
                  <w:pPr>
                    <w:keepNext w:val="0"/>
                    <w:keepLines w:val="0"/>
                    <w:pageBreakBefore w:val="0"/>
                    <w:widowControl w:val="0"/>
                    <w:kinsoku/>
                    <w:wordWrap/>
                    <w:overflowPunct/>
                    <w:autoSpaceDE/>
                    <w:autoSpaceDN/>
                    <w:bidi w:val="0"/>
                    <w:spacing w:line="320" w:lineRule="exact"/>
                    <w:jc w:val="center"/>
                    <w:textAlignment w:val="auto"/>
                    <w:rPr>
                      <w:rFonts w:hint="default"/>
                      <w:highlight w:val="none"/>
                      <w:lang w:eastAsia="zh-CN"/>
                    </w:rPr>
                  </w:pPr>
                  <w:r>
                    <w:rPr>
                      <w:rFonts w:hint="default"/>
                      <w:highlight w:val="none"/>
                      <w:lang w:eastAsia="zh-CN"/>
                    </w:rPr>
                    <w:t>封盖密封</w:t>
                  </w:r>
                </w:p>
              </w:tc>
              <w:tc>
                <w:tcPr>
                  <w:tcW w:w="705" w:type="dxa"/>
                  <w:vMerge w:val="continue"/>
                  <w:tcBorders>
                    <w:tl2br w:val="nil"/>
                    <w:tr2bl w:val="nil"/>
                  </w:tcBorders>
                  <w:noWrap w:val="0"/>
                  <w:vAlign w:val="center"/>
                </w:tcPr>
                <w:p w14:paraId="3B135FBB">
                  <w:pPr>
                    <w:keepNext w:val="0"/>
                    <w:keepLines w:val="0"/>
                    <w:pageBreakBefore w:val="0"/>
                    <w:widowControl w:val="0"/>
                    <w:kinsoku/>
                    <w:wordWrap/>
                    <w:overflowPunct/>
                    <w:autoSpaceDE/>
                    <w:autoSpaceDN/>
                    <w:bidi w:val="0"/>
                    <w:spacing w:line="320" w:lineRule="exact"/>
                    <w:jc w:val="center"/>
                    <w:textAlignment w:val="auto"/>
                    <w:rPr>
                      <w:rFonts w:hint="default"/>
                      <w:highlight w:val="none"/>
                      <w:lang w:val="en-US"/>
                    </w:rPr>
                  </w:pPr>
                </w:p>
              </w:tc>
              <w:tc>
                <w:tcPr>
                  <w:tcW w:w="634" w:type="dxa"/>
                  <w:vMerge w:val="continue"/>
                  <w:tcBorders>
                    <w:tl2br w:val="nil"/>
                    <w:tr2bl w:val="nil"/>
                  </w:tcBorders>
                  <w:noWrap w:val="0"/>
                  <w:vAlign w:val="center"/>
                </w:tcPr>
                <w:p w14:paraId="369C1043">
                  <w:pPr>
                    <w:keepNext w:val="0"/>
                    <w:keepLines w:val="0"/>
                    <w:pageBreakBefore w:val="0"/>
                    <w:widowControl w:val="0"/>
                    <w:kinsoku/>
                    <w:wordWrap/>
                    <w:overflowPunct/>
                    <w:topLinePunct/>
                    <w:autoSpaceDE/>
                    <w:autoSpaceDN/>
                    <w:bidi w:val="0"/>
                    <w:adjustRightInd w:val="0"/>
                    <w:snapToGrid w:val="0"/>
                    <w:spacing w:line="320" w:lineRule="exact"/>
                    <w:jc w:val="center"/>
                    <w:textAlignment w:val="auto"/>
                    <w:rPr>
                      <w:rFonts w:hint="default"/>
                      <w:highlight w:val="none"/>
                    </w:rPr>
                  </w:pPr>
                </w:p>
              </w:tc>
            </w:tr>
          </w:tbl>
          <w:p w14:paraId="433DF86F">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cs="Times New Roman"/>
                <w:highlight w:val="none"/>
                <w:lang w:val="en-US" w:eastAsia="zh-CN"/>
              </w:rPr>
            </w:pPr>
            <w:r>
              <w:rPr>
                <w:rFonts w:hint="eastAsia" w:cs="Times New Roman"/>
                <w:highlight w:val="none"/>
                <w:lang w:val="en-US" w:eastAsia="zh-CN"/>
              </w:rPr>
              <w:t>根据《国家危险废物名录》(2021年本)，废机油(HW08 900-217-08)、废机油桶(HW08 900-217-08)为危险废物，根据《危险废物鉴别标准 通则》(GB5085.7-2019)及《危险废物鉴别技术规范》(HJ298-2019)，本评价建议将污泥暂存于厂区现有危废暂存间，定期送有资质的危险废物处置单位处置。</w:t>
            </w:r>
          </w:p>
          <w:p w14:paraId="6D8ACF74">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cs="Times New Roman"/>
                <w:highlight w:val="none"/>
                <w:lang w:val="en-US" w:eastAsia="zh-CN"/>
              </w:rPr>
            </w:pPr>
            <w:r>
              <w:rPr>
                <w:rFonts w:hint="eastAsia" w:cs="Times New Roman"/>
                <w:highlight w:val="none"/>
                <w:lang w:val="en-US" w:eastAsia="zh-CN"/>
              </w:rPr>
              <w:t>五、地下水、土壤</w:t>
            </w:r>
          </w:p>
          <w:p w14:paraId="581B6B0A">
            <w:pPr>
              <w:keepNext w:val="0"/>
              <w:keepLines w:val="0"/>
              <w:pageBreakBefore w:val="0"/>
              <w:widowControl w:val="0"/>
              <w:kinsoku/>
              <w:wordWrap/>
              <w:overflowPunct/>
              <w:topLinePunct w:val="0"/>
              <w:autoSpaceDE/>
              <w:autoSpaceDN/>
              <w:bidi w:val="0"/>
              <w:adjustRightInd/>
              <w:snapToGrid/>
              <w:spacing w:line="400" w:lineRule="exact"/>
              <w:ind w:firstLine="411" w:firstLineChars="196"/>
              <w:textAlignment w:val="auto"/>
              <w:rPr>
                <w:rFonts w:hint="eastAsia" w:cs="Times New Roman"/>
                <w:highlight w:val="none"/>
                <w:lang w:val="en-US" w:eastAsia="zh-CN"/>
              </w:rPr>
            </w:pPr>
            <w:r>
              <w:rPr>
                <w:rFonts w:hint="eastAsia" w:cs="Times New Roman"/>
                <w:highlight w:val="none"/>
                <w:lang w:val="en-US" w:eastAsia="zh-CN"/>
              </w:rPr>
              <w:t xml:space="preserve">1、周边地下水环境 </w:t>
            </w:r>
          </w:p>
          <w:p w14:paraId="1286C4A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eastAsia="宋体" w:cs="Times New Roman"/>
                <w:highlight w:val="none"/>
                <w:lang w:eastAsia="zh-CN"/>
              </w:rPr>
            </w:pPr>
            <w:r>
              <w:rPr>
                <w:rFonts w:hint="eastAsia" w:ascii="Times New Roman" w:hAnsi="Times New Roman" w:eastAsia="宋体" w:cs="Times New Roman"/>
                <w:highlight w:val="none"/>
                <w:lang w:val="en-US" w:eastAsia="zh-CN"/>
              </w:rPr>
              <w:t>本项目不涉及集中式饮用水源和热水、矿泉水、温泉等特殊地下水资源保护区。本项目距离最近的</w:t>
            </w:r>
            <w:r>
              <w:rPr>
                <w:rFonts w:hint="eastAsia" w:cs="Times New Roman"/>
                <w:highlight w:val="none"/>
                <w:lang w:val="en-US" w:eastAsia="zh-CN"/>
              </w:rPr>
              <w:t>大张刘庄集中式饮用水水源一级保护区360</w:t>
            </w:r>
            <w:r>
              <w:rPr>
                <w:rFonts w:hint="eastAsia" w:ascii="Times New Roman" w:hAnsi="Times New Roman" w:eastAsia="宋体" w:cs="Times New Roman"/>
                <w:highlight w:val="none"/>
                <w:lang w:val="en-US" w:eastAsia="zh-CN"/>
              </w:rPr>
              <w:t>m（见附图）。因此不需开展专项评价。</w:t>
            </w:r>
          </w:p>
          <w:p w14:paraId="1E8553D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textAlignment w:val="auto"/>
              <w:rPr>
                <w:rFonts w:hint="eastAsia"/>
                <w:highlight w:val="none"/>
                <w:lang w:val="en-US" w:eastAsia="zh-CN"/>
              </w:rPr>
            </w:pPr>
            <w:r>
              <w:rPr>
                <w:rFonts w:hint="eastAsia"/>
                <w:highlight w:val="none"/>
                <w:lang w:val="en-US" w:eastAsia="zh-CN"/>
              </w:rPr>
              <w:t>2、地下水、土壤</w:t>
            </w:r>
            <w:r>
              <w:rPr>
                <w:rFonts w:hint="default"/>
                <w:highlight w:val="none"/>
                <w:lang w:eastAsia="zh-CN"/>
              </w:rPr>
              <w:t>污染源、污染物</w:t>
            </w:r>
            <w:r>
              <w:rPr>
                <w:rFonts w:hint="default"/>
                <w:highlight w:val="none"/>
                <w:lang w:val="en-US" w:eastAsia="zh-CN"/>
              </w:rPr>
              <w:t>类型</w:t>
            </w:r>
            <w:r>
              <w:rPr>
                <w:rFonts w:hint="eastAsia"/>
                <w:highlight w:val="none"/>
                <w:lang w:val="en-US" w:eastAsia="zh-CN"/>
              </w:rPr>
              <w:t>和</w:t>
            </w:r>
            <w:r>
              <w:rPr>
                <w:rFonts w:hint="default"/>
                <w:highlight w:val="none"/>
                <w:lang w:eastAsia="zh-CN"/>
              </w:rPr>
              <w:t>污染途经</w:t>
            </w:r>
            <w:r>
              <w:rPr>
                <w:rFonts w:hint="eastAsia"/>
                <w:highlight w:val="none"/>
                <w:lang w:eastAsia="zh-CN"/>
              </w:rPr>
              <w:t>、</w:t>
            </w:r>
            <w:r>
              <w:rPr>
                <w:rFonts w:hint="eastAsia"/>
                <w:highlight w:val="none"/>
                <w:lang w:val="en-US" w:eastAsia="zh-CN"/>
              </w:rPr>
              <w:t>防渗措施</w:t>
            </w:r>
          </w:p>
          <w:p w14:paraId="13C6C91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本项目建成后对地下水、土壤的污染源主要为危废间储存的危险废物</w:t>
            </w:r>
            <w:r>
              <w:rPr>
                <w:rFonts w:hint="eastAsia" w:cs="Times New Roman"/>
                <w:highlight w:val="none"/>
                <w:lang w:val="en-US" w:eastAsia="zh-CN"/>
              </w:rPr>
              <w:t>，沉淀池废水，</w:t>
            </w:r>
            <w:r>
              <w:rPr>
                <w:rFonts w:hint="default"/>
                <w:highlight w:val="none"/>
                <w:lang w:eastAsia="zh-CN"/>
              </w:rPr>
              <w:t>安装、使用</w:t>
            </w:r>
            <w:r>
              <w:rPr>
                <w:rFonts w:hint="eastAsia"/>
                <w:highlight w:val="none"/>
                <w:lang w:val="en-US" w:eastAsia="zh-CN"/>
              </w:rPr>
              <w:t>过程产生的废机油</w:t>
            </w:r>
            <w:r>
              <w:rPr>
                <w:rFonts w:hint="default" w:ascii="Times New Roman" w:hAnsi="Times New Roman" w:eastAsia="宋体" w:cs="Times New Roman"/>
                <w:highlight w:val="none"/>
                <w:lang w:val="en-US" w:eastAsia="zh-CN"/>
              </w:rPr>
              <w:t>，可能因泄漏导致垂直入渗污染地下水、土壤，本项目按照“源头控制、分区防治、污染监控、应急响应”相结合的原则，采用源头控制措施、分区防治措施。尽可能从源头上减少污染物的产生，防止环境污染，严格按照国家相关规范要求，对工艺、管道、设备、构建物采取相应措施，以防止和降低污染物的跑、冒、滴、漏，做好防渗措施，避免由于泄漏造成物料下渗污染地下水。</w:t>
            </w:r>
          </w:p>
          <w:p w14:paraId="02E930F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危废间为重点防渗区，</w:t>
            </w:r>
            <w:r>
              <w:rPr>
                <w:rFonts w:hint="eastAsia" w:cs="Times New Roman"/>
                <w:highlight w:val="none"/>
                <w:lang w:val="en-US" w:eastAsia="zh-CN"/>
              </w:rPr>
              <w:t>沉淀池等</w:t>
            </w:r>
            <w:r>
              <w:rPr>
                <w:rFonts w:hint="default" w:ascii="Times New Roman" w:hAnsi="Times New Roman" w:eastAsia="宋体" w:cs="Times New Roman"/>
                <w:highlight w:val="none"/>
                <w:lang w:val="en-US" w:eastAsia="zh-CN"/>
              </w:rPr>
              <w:t>生产区域为一般防渗区，厂区地面为简单防渗区。</w:t>
            </w:r>
          </w:p>
          <w:p w14:paraId="280300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eastAsia="zh-CN"/>
              </w:rPr>
            </w:pPr>
            <w:r>
              <w:rPr>
                <w:rFonts w:hint="default" w:ascii="Times New Roman" w:hAnsi="Times New Roman" w:eastAsia="宋体" w:cs="Times New Roman"/>
                <w:highlight w:val="none"/>
                <w:lang w:val="en-US" w:eastAsia="zh-CN"/>
              </w:rPr>
              <w:t>①重点防渗区：</w:t>
            </w:r>
            <w:r>
              <w:rPr>
                <w:rFonts w:hint="eastAsia"/>
                <w:highlight w:val="none"/>
                <w:lang w:val="en-US" w:eastAsia="zh-CN"/>
              </w:rPr>
              <w:t>危废暂存间应按照《危险废物贮存污染控制标准》(GB18597-2001)及修改单(环保部公告 2013 年第 36 号)的相关要求采取防火、防雨、防渗处理，</w:t>
            </w:r>
            <w:r>
              <w:rPr>
                <w:rFonts w:hint="default" w:ascii="Times New Roman" w:hAnsi="Times New Roman" w:eastAsia="宋体" w:cs="Times New Roman"/>
                <w:highlight w:val="none"/>
                <w:lang w:val="en-US" w:eastAsia="zh-CN"/>
              </w:rPr>
              <w:t>防渗层为至少1m厚粘土层（渗透系数≤1.0×10</w:t>
            </w:r>
            <w:r>
              <w:rPr>
                <w:rFonts w:hint="default" w:ascii="Times New Roman" w:hAnsi="Times New Roman" w:eastAsia="宋体" w:cs="Times New Roman"/>
                <w:highlight w:val="none"/>
                <w:vertAlign w:val="superscript"/>
                <w:lang w:val="en-US" w:eastAsia="zh-CN"/>
              </w:rPr>
              <w:t>-7</w:t>
            </w:r>
            <w:r>
              <w:rPr>
                <w:rFonts w:hint="default" w:ascii="Times New Roman" w:hAnsi="Times New Roman" w:eastAsia="宋体" w:cs="Times New Roman"/>
                <w:highlight w:val="none"/>
                <w:lang w:val="en-US" w:eastAsia="zh-CN"/>
              </w:rPr>
              <w:t>cm/s），或2mm厚高密度聚乙烯，或至少2mm厚的其它人工材料，渗透系数≤1.0×10</w:t>
            </w:r>
            <w:r>
              <w:rPr>
                <w:rFonts w:hint="default" w:ascii="Times New Roman" w:hAnsi="Times New Roman" w:eastAsia="宋体" w:cs="Times New Roman"/>
                <w:highlight w:val="none"/>
                <w:vertAlign w:val="superscript"/>
                <w:lang w:val="en-US" w:eastAsia="zh-CN"/>
              </w:rPr>
              <w:t>-10</w:t>
            </w:r>
            <w:r>
              <w:rPr>
                <w:rFonts w:hint="default" w:ascii="Times New Roman" w:hAnsi="Times New Roman" w:eastAsia="宋体" w:cs="Times New Roman"/>
                <w:highlight w:val="none"/>
                <w:lang w:val="en-US" w:eastAsia="zh-CN"/>
              </w:rPr>
              <w:t>cm/s</w:t>
            </w:r>
            <w:r>
              <w:rPr>
                <w:rFonts w:hint="eastAsia" w:cs="Times New Roman"/>
                <w:highlight w:val="none"/>
                <w:lang w:val="en-US" w:eastAsia="zh-CN"/>
              </w:rPr>
              <w:t>，</w:t>
            </w:r>
            <w:r>
              <w:rPr>
                <w:rFonts w:hint="eastAsia"/>
                <w:highlight w:val="none"/>
                <w:lang w:val="en-US" w:eastAsia="zh-CN"/>
              </w:rPr>
              <w:t>各类危废分类收集、暂存，及时委托资质单位处置，不在厂区内长期存放。</w:t>
            </w:r>
          </w:p>
          <w:p w14:paraId="33A7925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②一般防渗区：</w:t>
            </w:r>
            <w:r>
              <w:rPr>
                <w:rFonts w:hint="eastAsia" w:cs="Times New Roman"/>
                <w:highlight w:val="none"/>
                <w:lang w:val="en-US" w:eastAsia="zh-CN"/>
              </w:rPr>
              <w:t>沉淀池</w:t>
            </w:r>
            <w:r>
              <w:rPr>
                <w:rFonts w:hint="default" w:ascii="Times New Roman" w:hAnsi="Times New Roman" w:eastAsia="宋体" w:cs="Times New Roman"/>
                <w:highlight w:val="none"/>
                <w:lang w:val="en-US" w:eastAsia="zh-CN"/>
              </w:rPr>
              <w:t>等</w:t>
            </w:r>
            <w:r>
              <w:rPr>
                <w:rFonts w:hint="eastAsia" w:cs="Times New Roman"/>
                <w:highlight w:val="none"/>
                <w:lang w:val="en-US" w:eastAsia="zh-CN"/>
              </w:rPr>
              <w:t>生产区</w:t>
            </w:r>
            <w:r>
              <w:rPr>
                <w:rFonts w:hint="default" w:ascii="Times New Roman" w:hAnsi="Times New Roman" w:eastAsia="宋体" w:cs="Times New Roman"/>
                <w:highlight w:val="none"/>
                <w:lang w:val="en-US" w:eastAsia="zh-CN"/>
              </w:rPr>
              <w:t>建设进行基础防渗处理，需满足等效黏土防渗层Mb≥6.0m，K≤1.0×10</w:t>
            </w:r>
            <w:r>
              <w:rPr>
                <w:rFonts w:hint="default" w:ascii="Times New Roman" w:hAnsi="Times New Roman" w:eastAsia="宋体" w:cs="Times New Roman"/>
                <w:highlight w:val="none"/>
                <w:vertAlign w:val="superscript"/>
                <w:lang w:val="en-US" w:eastAsia="zh-CN"/>
              </w:rPr>
              <w:t>-7</w:t>
            </w:r>
            <w:r>
              <w:rPr>
                <w:rFonts w:hint="default" w:ascii="Times New Roman" w:hAnsi="Times New Roman" w:eastAsia="宋体" w:cs="Times New Roman"/>
                <w:highlight w:val="none"/>
                <w:lang w:val="en-US" w:eastAsia="zh-CN"/>
              </w:rPr>
              <w:t>cm/s。</w:t>
            </w:r>
          </w:p>
          <w:p w14:paraId="49A2E0B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③简单防渗区：厂区地面（除绿化用地）全部进行硬化处理。</w:t>
            </w:r>
          </w:p>
          <w:p w14:paraId="50A015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lang w:val="en-US" w:eastAsia="zh-CN"/>
              </w:rPr>
              <w:t>综上，采取上述防控措施后，本项目建成后对区域地下水、土壤环境影响较小。</w:t>
            </w:r>
          </w:p>
          <w:p w14:paraId="7F69BEC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4、环境影响分析</w:t>
            </w:r>
          </w:p>
          <w:p w14:paraId="4D89A06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本项目废气污染物主要为颗粒物，不涉及重金属及二噁英的排放；废水排入沉淀池，循环使用，不外排；沉淀池和生产车间作为一般防渗区，已全部做好了翻身处理；危废间作为重点防渗区根据相应的防渗要求进行防渗；固体废物全部妥善处置。因此本项目地下水、土壤环境影响可接受。</w:t>
            </w:r>
          </w:p>
          <w:p w14:paraId="70CD85FC">
            <w:pPr>
              <w:pStyle w:val="2"/>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highlight w:val="none"/>
                <w:lang w:val="en-US" w:eastAsia="zh-CN"/>
              </w:rPr>
            </w:pPr>
            <w:r>
              <w:rPr>
                <w:rFonts w:hint="eastAsia"/>
                <w:highlight w:val="none"/>
                <w:lang w:val="en-US" w:eastAsia="zh-CN"/>
              </w:rPr>
              <w:t>六、生态</w:t>
            </w:r>
          </w:p>
          <w:p w14:paraId="4CA23456">
            <w:pPr>
              <w:keepNext w:val="0"/>
              <w:keepLines w:val="0"/>
              <w:pageBreakBefore w:val="0"/>
              <w:widowControl w:val="0"/>
              <w:kinsoku/>
              <w:wordWrap/>
              <w:overflowPunct/>
              <w:topLinePunct w:val="0"/>
              <w:autoSpaceDE/>
              <w:autoSpaceDN/>
              <w:bidi w:val="0"/>
              <w:adjustRightInd/>
              <w:snapToGrid/>
              <w:spacing w:line="400" w:lineRule="exact"/>
              <w:ind w:left="0" w:right="0" w:firstLine="420" w:firstLineChars="200"/>
              <w:textAlignment w:val="auto"/>
              <w:rPr>
                <w:rFonts w:hint="eastAsia"/>
                <w:highlight w:val="none"/>
                <w:lang w:val="en-US" w:eastAsia="zh-CN"/>
              </w:rPr>
            </w:pPr>
            <w:r>
              <w:rPr>
                <w:rFonts w:hint="eastAsia"/>
                <w:highlight w:val="none"/>
                <w:lang w:val="en-US" w:eastAsia="zh-CN"/>
              </w:rPr>
              <w:t>本项目位于唐山高新技术产业开发区，无需进行生态现状调查。</w:t>
            </w:r>
          </w:p>
          <w:p w14:paraId="59E17C9C">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firstLine="420" w:firstLineChars="200"/>
              <w:textAlignment w:val="auto"/>
              <w:rPr>
                <w:rFonts w:hint="eastAsia"/>
                <w:highlight w:val="none"/>
                <w:lang w:val="en-US" w:eastAsia="zh-CN"/>
              </w:rPr>
            </w:pPr>
            <w:r>
              <w:rPr>
                <w:rFonts w:hint="eastAsia"/>
                <w:highlight w:val="none"/>
                <w:lang w:val="en-US" w:eastAsia="zh-CN"/>
              </w:rPr>
              <w:t>七、环境风险</w:t>
            </w:r>
          </w:p>
          <w:p w14:paraId="2BFA3E8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default"/>
                <w:highlight w:val="none"/>
                <w:lang w:val="en-US" w:eastAsia="zh-CN"/>
              </w:rPr>
              <w:t>本项目涉及到的危险物质主要为</w:t>
            </w:r>
            <w:r>
              <w:rPr>
                <w:rFonts w:hint="eastAsia"/>
                <w:highlight w:val="none"/>
                <w:lang w:val="en-US" w:eastAsia="zh-CN"/>
              </w:rPr>
              <w:t>润滑油</w:t>
            </w:r>
            <w:r>
              <w:rPr>
                <w:rFonts w:hint="default"/>
                <w:highlight w:val="none"/>
                <w:lang w:val="en-US" w:eastAsia="zh-CN"/>
              </w:rPr>
              <w:t>、废</w:t>
            </w:r>
            <w:r>
              <w:rPr>
                <w:rFonts w:hint="eastAsia"/>
                <w:highlight w:val="none"/>
                <w:lang w:val="en-US" w:eastAsia="zh-CN"/>
              </w:rPr>
              <w:t>润滑油。风险单元为生产车间、危废间，风险类型主要为润滑油、废润滑渗漏、遇明火发生火灾。根据《建设项目环境风险评价技术导则》（HJ169-2018）突发环境事件风险物质临界量：矿物质油类2500t，Q总=Q矿物油类=0.0000032&lt;1。</w:t>
            </w:r>
          </w:p>
          <w:p w14:paraId="727C7B5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eastAsia="zh-CN"/>
              </w:rPr>
            </w:pPr>
            <w:r>
              <w:rPr>
                <w:rFonts w:hint="eastAsia"/>
                <w:highlight w:val="none"/>
                <w:lang w:val="en-US" w:eastAsia="zh-CN"/>
              </w:rPr>
              <w:t>1、</w:t>
            </w:r>
            <w:r>
              <w:rPr>
                <w:rFonts w:hint="default"/>
                <w:highlight w:val="none"/>
                <w:lang w:val="en-US" w:eastAsia="zh-CN"/>
              </w:rPr>
              <w:t>环境风险影响分析</w:t>
            </w:r>
          </w:p>
          <w:p w14:paraId="1F46372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（1）风险识别</w:t>
            </w:r>
          </w:p>
          <w:p w14:paraId="695469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①物质危险性识别</w:t>
            </w:r>
          </w:p>
          <w:p w14:paraId="3041D4E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b/>
                <w:bCs/>
                <w:highlight w:val="none"/>
                <w:lang w:val="en-US" w:eastAsia="zh-CN"/>
              </w:rPr>
            </w:pPr>
            <w:r>
              <w:rPr>
                <w:b/>
                <w:bCs/>
                <w:highlight w:val="none"/>
              </w:rPr>
              <w:t xml:space="preserve"> 表</w:t>
            </w:r>
            <w:r>
              <w:rPr>
                <w:rFonts w:hint="eastAsia"/>
                <w:b/>
                <w:bCs/>
                <w:highlight w:val="none"/>
                <w:lang w:val="en-US" w:eastAsia="zh-CN"/>
              </w:rPr>
              <w:t xml:space="preserve">4-12 </w:t>
            </w:r>
            <w:r>
              <w:rPr>
                <w:b/>
                <w:bCs/>
                <w:highlight w:val="none"/>
              </w:rPr>
              <w:t xml:space="preserve"> </w:t>
            </w:r>
            <w:r>
              <w:rPr>
                <w:rFonts w:hint="eastAsia"/>
                <w:b/>
                <w:bCs/>
                <w:highlight w:val="none"/>
                <w:lang w:val="en-US" w:eastAsia="zh-CN"/>
              </w:rPr>
              <w:t>废润滑油</w:t>
            </w:r>
            <w:r>
              <w:rPr>
                <w:b/>
                <w:bCs/>
                <w:highlight w:val="none"/>
              </w:rPr>
              <w:t>的理化性质</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663"/>
              <w:gridCol w:w="2190"/>
              <w:gridCol w:w="2309"/>
            </w:tblGrid>
            <w:tr w14:paraId="495D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16" w:type="pct"/>
                  <w:tcBorders>
                    <w:top w:val="single" w:color="auto" w:sz="12" w:space="0"/>
                  </w:tcBorders>
                  <w:noWrap w:val="0"/>
                  <w:vAlign w:val="center"/>
                </w:tcPr>
                <w:p w14:paraId="6AE98136">
                  <w:pPr>
                    <w:spacing w:line="0" w:lineRule="atLeast"/>
                    <w:jc w:val="center"/>
                    <w:rPr>
                      <w:sz w:val="21"/>
                      <w:szCs w:val="21"/>
                      <w:highlight w:val="none"/>
                    </w:rPr>
                  </w:pPr>
                  <w:r>
                    <w:rPr>
                      <w:sz w:val="21"/>
                      <w:szCs w:val="21"/>
                      <w:highlight w:val="none"/>
                    </w:rPr>
                    <w:t>外观及性状：</w:t>
                  </w:r>
                </w:p>
              </w:tc>
              <w:tc>
                <w:tcPr>
                  <w:tcW w:w="3883" w:type="pct"/>
                  <w:gridSpan w:val="3"/>
                  <w:tcBorders>
                    <w:top w:val="single" w:color="auto" w:sz="12" w:space="0"/>
                    <w:right w:val="single" w:color="auto" w:sz="12" w:space="0"/>
                  </w:tcBorders>
                  <w:noWrap w:val="0"/>
                  <w:vAlign w:val="center"/>
                </w:tcPr>
                <w:p w14:paraId="5742844F">
                  <w:pPr>
                    <w:spacing w:line="0" w:lineRule="atLeast"/>
                    <w:jc w:val="center"/>
                    <w:rPr>
                      <w:sz w:val="21"/>
                      <w:szCs w:val="21"/>
                      <w:highlight w:val="none"/>
                    </w:rPr>
                  </w:pPr>
                  <w:r>
                    <w:rPr>
                      <w:sz w:val="21"/>
                      <w:szCs w:val="21"/>
                      <w:highlight w:val="none"/>
                    </w:rPr>
                    <w:t>油状液体, 淡黄色至褐色, 无气味或略带异味。</w:t>
                  </w:r>
                </w:p>
              </w:tc>
            </w:tr>
            <w:tr w14:paraId="6F5E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16" w:type="pct"/>
                  <w:tcBorders>
                    <w:left w:val="single" w:color="auto" w:sz="4" w:space="0"/>
                  </w:tcBorders>
                  <w:noWrap w:val="0"/>
                  <w:vAlign w:val="center"/>
                </w:tcPr>
                <w:p w14:paraId="0B164932">
                  <w:pPr>
                    <w:spacing w:line="0" w:lineRule="atLeast"/>
                    <w:jc w:val="center"/>
                    <w:rPr>
                      <w:sz w:val="21"/>
                      <w:szCs w:val="21"/>
                      <w:highlight w:val="none"/>
                    </w:rPr>
                  </w:pPr>
                  <w:r>
                    <w:rPr>
                      <w:sz w:val="21"/>
                      <w:szCs w:val="21"/>
                      <w:highlight w:val="none"/>
                    </w:rPr>
                    <w:t>熔点（℃）：</w:t>
                  </w:r>
                </w:p>
              </w:tc>
              <w:tc>
                <w:tcPr>
                  <w:tcW w:w="1048" w:type="pct"/>
                  <w:noWrap w:val="0"/>
                  <w:vAlign w:val="center"/>
                </w:tcPr>
                <w:p w14:paraId="1C0150D7">
                  <w:pPr>
                    <w:spacing w:line="0" w:lineRule="atLeast"/>
                    <w:jc w:val="center"/>
                    <w:rPr>
                      <w:rFonts w:hint="default" w:eastAsia="宋体"/>
                      <w:sz w:val="21"/>
                      <w:szCs w:val="21"/>
                      <w:highlight w:val="none"/>
                      <w:lang w:val="en-US" w:eastAsia="zh-CN"/>
                    </w:rPr>
                  </w:pPr>
                  <w:r>
                    <w:rPr>
                      <w:rFonts w:hint="eastAsia"/>
                      <w:sz w:val="21"/>
                      <w:szCs w:val="21"/>
                      <w:highlight w:val="none"/>
                      <w:lang w:val="en-US" w:eastAsia="zh-CN"/>
                    </w:rPr>
                    <w:t>-</w:t>
                  </w:r>
                </w:p>
              </w:tc>
              <w:tc>
                <w:tcPr>
                  <w:tcW w:w="1380" w:type="pct"/>
                  <w:noWrap w:val="0"/>
                  <w:vAlign w:val="center"/>
                </w:tcPr>
                <w:p w14:paraId="300A473F">
                  <w:pPr>
                    <w:spacing w:line="0" w:lineRule="atLeast"/>
                    <w:jc w:val="center"/>
                    <w:rPr>
                      <w:sz w:val="21"/>
                      <w:szCs w:val="21"/>
                      <w:highlight w:val="none"/>
                    </w:rPr>
                  </w:pPr>
                  <w:r>
                    <w:rPr>
                      <w:sz w:val="21"/>
                      <w:szCs w:val="21"/>
                      <w:highlight w:val="none"/>
                    </w:rPr>
                    <w:t>相对密度（水＝1）</w:t>
                  </w:r>
                </w:p>
              </w:tc>
              <w:tc>
                <w:tcPr>
                  <w:tcW w:w="1455" w:type="pct"/>
                  <w:tcBorders>
                    <w:right w:val="single" w:color="auto" w:sz="12" w:space="0"/>
                  </w:tcBorders>
                  <w:noWrap w:val="0"/>
                  <w:vAlign w:val="center"/>
                </w:tcPr>
                <w:p w14:paraId="16D9B5F2">
                  <w:pPr>
                    <w:spacing w:line="0" w:lineRule="atLeast"/>
                    <w:jc w:val="center"/>
                    <w:rPr>
                      <w:rFonts w:hint="default" w:eastAsia="宋体"/>
                      <w:sz w:val="21"/>
                      <w:szCs w:val="21"/>
                      <w:highlight w:val="none"/>
                      <w:lang w:val="en-US" w:eastAsia="zh-CN"/>
                    </w:rPr>
                  </w:pPr>
                  <w:r>
                    <w:rPr>
                      <w:rFonts w:hint="eastAsia" w:ascii="Times New Roman" w:hAnsi="Times New Roman"/>
                      <w:kern w:val="2"/>
                      <w:sz w:val="24"/>
                      <w:szCs w:val="21"/>
                      <w:highlight w:val="none"/>
                      <w:lang w:val="en-US" w:eastAsia="zh-CN" w:bidi="ar-SA"/>
                    </w:rPr>
                    <w:t>＜</w:t>
                  </w:r>
                  <w:r>
                    <w:rPr>
                      <w:rFonts w:hint="eastAsia" w:ascii="Times New Roman" w:hAnsi="Times New Roman" w:eastAsia="宋体"/>
                      <w:kern w:val="2"/>
                      <w:sz w:val="24"/>
                      <w:szCs w:val="21"/>
                      <w:highlight w:val="none"/>
                      <w:lang w:val="en-US" w:eastAsia="zh-CN" w:bidi="ar-SA"/>
                    </w:rPr>
                    <w:t>1</w:t>
                  </w:r>
                </w:p>
              </w:tc>
            </w:tr>
            <w:tr w14:paraId="6431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16" w:type="pct"/>
                  <w:tcBorders>
                    <w:left w:val="single" w:color="auto" w:sz="4" w:space="0"/>
                  </w:tcBorders>
                  <w:noWrap w:val="0"/>
                  <w:vAlign w:val="center"/>
                </w:tcPr>
                <w:p w14:paraId="11D8E80E">
                  <w:pPr>
                    <w:spacing w:line="0" w:lineRule="atLeast"/>
                    <w:jc w:val="center"/>
                    <w:rPr>
                      <w:sz w:val="21"/>
                      <w:szCs w:val="21"/>
                      <w:highlight w:val="none"/>
                    </w:rPr>
                  </w:pPr>
                  <w:r>
                    <w:rPr>
                      <w:sz w:val="21"/>
                      <w:szCs w:val="21"/>
                      <w:highlight w:val="none"/>
                    </w:rPr>
                    <w:t>闪点（℃）：</w:t>
                  </w:r>
                </w:p>
              </w:tc>
              <w:tc>
                <w:tcPr>
                  <w:tcW w:w="1048" w:type="pct"/>
                  <w:noWrap w:val="0"/>
                  <w:vAlign w:val="center"/>
                </w:tcPr>
                <w:p w14:paraId="534C5312">
                  <w:pPr>
                    <w:spacing w:line="0" w:lineRule="atLeast"/>
                    <w:jc w:val="center"/>
                    <w:rPr>
                      <w:rFonts w:hint="default" w:eastAsia="宋体"/>
                      <w:sz w:val="21"/>
                      <w:szCs w:val="21"/>
                      <w:highlight w:val="none"/>
                      <w:lang w:val="en-US" w:eastAsia="zh-CN"/>
                    </w:rPr>
                  </w:pPr>
                  <w:r>
                    <w:rPr>
                      <w:rFonts w:hint="eastAsia"/>
                      <w:sz w:val="21"/>
                      <w:szCs w:val="21"/>
                      <w:highlight w:val="none"/>
                      <w:lang w:val="en-US" w:eastAsia="zh-CN"/>
                    </w:rPr>
                    <w:t>140</w:t>
                  </w:r>
                </w:p>
              </w:tc>
              <w:tc>
                <w:tcPr>
                  <w:tcW w:w="1380" w:type="pct"/>
                  <w:noWrap w:val="0"/>
                  <w:vAlign w:val="center"/>
                </w:tcPr>
                <w:p w14:paraId="631BA7DB">
                  <w:pPr>
                    <w:spacing w:line="0" w:lineRule="atLeast"/>
                    <w:jc w:val="center"/>
                    <w:rPr>
                      <w:sz w:val="21"/>
                      <w:szCs w:val="21"/>
                      <w:highlight w:val="none"/>
                    </w:rPr>
                  </w:pPr>
                  <w:r>
                    <w:rPr>
                      <w:sz w:val="21"/>
                      <w:szCs w:val="21"/>
                      <w:highlight w:val="none"/>
                    </w:rPr>
                    <w:t>相对密度（空气=1）</w:t>
                  </w:r>
                </w:p>
              </w:tc>
              <w:tc>
                <w:tcPr>
                  <w:tcW w:w="1455" w:type="pct"/>
                  <w:tcBorders>
                    <w:right w:val="single" w:color="auto" w:sz="12" w:space="0"/>
                  </w:tcBorders>
                  <w:noWrap w:val="0"/>
                  <w:vAlign w:val="center"/>
                </w:tcPr>
                <w:p w14:paraId="6A722A98">
                  <w:pPr>
                    <w:spacing w:line="0" w:lineRule="atLeast"/>
                    <w:jc w:val="center"/>
                    <w:rPr>
                      <w:rFonts w:hint="default" w:eastAsia="宋体"/>
                      <w:sz w:val="21"/>
                      <w:szCs w:val="21"/>
                      <w:highlight w:val="none"/>
                      <w:lang w:val="en-US" w:eastAsia="zh-CN"/>
                    </w:rPr>
                  </w:pPr>
                  <w:r>
                    <w:rPr>
                      <w:rFonts w:hint="default" w:eastAsia="宋体"/>
                      <w:sz w:val="21"/>
                      <w:szCs w:val="21"/>
                      <w:highlight w:val="none"/>
                      <w:lang w:val="en-US" w:eastAsia="zh-CN"/>
                    </w:rPr>
                    <w:t>0.6</w:t>
                  </w:r>
                </w:p>
              </w:tc>
            </w:tr>
            <w:tr w14:paraId="60DE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16" w:type="pct"/>
                  <w:tcBorders>
                    <w:left w:val="single" w:color="auto" w:sz="4" w:space="0"/>
                  </w:tcBorders>
                  <w:noWrap w:val="0"/>
                  <w:vAlign w:val="center"/>
                </w:tcPr>
                <w:p w14:paraId="77FB048E">
                  <w:pPr>
                    <w:spacing w:line="0" w:lineRule="atLeast"/>
                    <w:jc w:val="center"/>
                    <w:rPr>
                      <w:sz w:val="21"/>
                      <w:szCs w:val="21"/>
                      <w:highlight w:val="none"/>
                    </w:rPr>
                  </w:pPr>
                  <w:r>
                    <w:rPr>
                      <w:sz w:val="21"/>
                      <w:szCs w:val="21"/>
                      <w:highlight w:val="none"/>
                    </w:rPr>
                    <w:t>引燃温度（℃）：</w:t>
                  </w:r>
                </w:p>
              </w:tc>
              <w:tc>
                <w:tcPr>
                  <w:tcW w:w="1048" w:type="pct"/>
                  <w:noWrap w:val="0"/>
                  <w:vAlign w:val="center"/>
                </w:tcPr>
                <w:p w14:paraId="338DA288">
                  <w:pPr>
                    <w:spacing w:line="0" w:lineRule="atLeast"/>
                    <w:jc w:val="center"/>
                    <w:rPr>
                      <w:rFonts w:hint="default" w:eastAsia="宋体"/>
                      <w:sz w:val="21"/>
                      <w:szCs w:val="21"/>
                      <w:highlight w:val="none"/>
                      <w:lang w:val="en-US" w:eastAsia="zh-CN"/>
                    </w:rPr>
                  </w:pPr>
                  <w:r>
                    <w:rPr>
                      <w:rFonts w:hint="default" w:eastAsia="宋体"/>
                      <w:sz w:val="21"/>
                      <w:szCs w:val="21"/>
                      <w:highlight w:val="none"/>
                      <w:lang w:val="en-US" w:eastAsia="zh-CN"/>
                    </w:rPr>
                    <w:t>248</w:t>
                  </w:r>
                </w:p>
              </w:tc>
              <w:tc>
                <w:tcPr>
                  <w:tcW w:w="1380" w:type="pct"/>
                  <w:noWrap w:val="0"/>
                  <w:vAlign w:val="center"/>
                </w:tcPr>
                <w:p w14:paraId="19EBCAEE">
                  <w:pPr>
                    <w:spacing w:line="0" w:lineRule="atLeast"/>
                    <w:jc w:val="center"/>
                    <w:rPr>
                      <w:sz w:val="21"/>
                      <w:szCs w:val="21"/>
                      <w:highlight w:val="none"/>
                    </w:rPr>
                  </w:pPr>
                  <w:r>
                    <w:rPr>
                      <w:sz w:val="21"/>
                      <w:szCs w:val="21"/>
                      <w:highlight w:val="none"/>
                    </w:rPr>
                    <w:t>爆炸上限％（V/V）：</w:t>
                  </w:r>
                </w:p>
              </w:tc>
              <w:tc>
                <w:tcPr>
                  <w:tcW w:w="1455" w:type="pct"/>
                  <w:tcBorders>
                    <w:right w:val="single" w:color="auto" w:sz="12" w:space="0"/>
                  </w:tcBorders>
                  <w:noWrap w:val="0"/>
                  <w:vAlign w:val="center"/>
                </w:tcPr>
                <w:p w14:paraId="5A1498F6">
                  <w:pPr>
                    <w:spacing w:line="0" w:lineRule="atLeast"/>
                    <w:jc w:val="center"/>
                    <w:rPr>
                      <w:rFonts w:hint="default" w:eastAsia="宋体"/>
                      <w:sz w:val="21"/>
                      <w:szCs w:val="21"/>
                      <w:highlight w:val="none"/>
                      <w:lang w:val="en-US" w:eastAsia="zh-CN"/>
                    </w:rPr>
                  </w:pPr>
                  <w:r>
                    <w:rPr>
                      <w:rFonts w:hint="eastAsia"/>
                      <w:sz w:val="21"/>
                      <w:szCs w:val="21"/>
                      <w:highlight w:val="none"/>
                      <w:lang w:val="en-US" w:eastAsia="zh-CN"/>
                    </w:rPr>
                    <w:t>-</w:t>
                  </w:r>
                </w:p>
              </w:tc>
            </w:tr>
            <w:tr w14:paraId="35B7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16" w:type="pct"/>
                  <w:tcBorders>
                    <w:left w:val="single" w:color="auto" w:sz="4" w:space="0"/>
                  </w:tcBorders>
                  <w:noWrap w:val="0"/>
                  <w:vAlign w:val="center"/>
                </w:tcPr>
                <w:p w14:paraId="02895E93">
                  <w:pPr>
                    <w:spacing w:line="0" w:lineRule="atLeast"/>
                    <w:jc w:val="center"/>
                    <w:rPr>
                      <w:sz w:val="21"/>
                      <w:szCs w:val="21"/>
                      <w:highlight w:val="none"/>
                    </w:rPr>
                  </w:pPr>
                  <w:r>
                    <w:rPr>
                      <w:sz w:val="21"/>
                      <w:szCs w:val="21"/>
                      <w:highlight w:val="none"/>
                    </w:rPr>
                    <w:t>溶解性：</w:t>
                  </w:r>
                </w:p>
              </w:tc>
              <w:tc>
                <w:tcPr>
                  <w:tcW w:w="3883" w:type="pct"/>
                  <w:gridSpan w:val="3"/>
                  <w:tcBorders>
                    <w:right w:val="single" w:color="auto" w:sz="12" w:space="0"/>
                  </w:tcBorders>
                  <w:noWrap w:val="0"/>
                  <w:vAlign w:val="center"/>
                </w:tcPr>
                <w:p w14:paraId="37FE0704">
                  <w:pPr>
                    <w:spacing w:line="0" w:lineRule="atLeast"/>
                    <w:jc w:val="center"/>
                    <w:rPr>
                      <w:sz w:val="21"/>
                      <w:szCs w:val="21"/>
                      <w:highlight w:val="none"/>
                    </w:rPr>
                  </w:pPr>
                  <w:r>
                    <w:rPr>
                      <w:rFonts w:hint="eastAsia"/>
                      <w:sz w:val="21"/>
                      <w:szCs w:val="21"/>
                      <w:highlight w:val="none"/>
                      <w:lang w:eastAsia="zh-CN"/>
                    </w:rPr>
                    <w:t>不溶于水，溶于多种有机溶剂。</w:t>
                  </w:r>
                </w:p>
              </w:tc>
            </w:tr>
            <w:tr w14:paraId="3555E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16" w:type="pct"/>
                  <w:tcBorders>
                    <w:left w:val="single" w:color="auto" w:sz="4" w:space="0"/>
                  </w:tcBorders>
                  <w:noWrap w:val="0"/>
                  <w:vAlign w:val="center"/>
                </w:tcPr>
                <w:p w14:paraId="31342BE5">
                  <w:pPr>
                    <w:spacing w:line="0" w:lineRule="atLeast"/>
                    <w:jc w:val="center"/>
                    <w:rPr>
                      <w:sz w:val="21"/>
                      <w:szCs w:val="21"/>
                      <w:highlight w:val="none"/>
                    </w:rPr>
                  </w:pPr>
                  <w:r>
                    <w:rPr>
                      <w:sz w:val="21"/>
                      <w:szCs w:val="21"/>
                      <w:highlight w:val="none"/>
                    </w:rPr>
                    <w:t>主要用途：</w:t>
                  </w:r>
                </w:p>
              </w:tc>
              <w:tc>
                <w:tcPr>
                  <w:tcW w:w="3883" w:type="pct"/>
                  <w:gridSpan w:val="3"/>
                  <w:tcBorders>
                    <w:right w:val="single" w:color="auto" w:sz="12" w:space="0"/>
                  </w:tcBorders>
                  <w:noWrap w:val="0"/>
                  <w:vAlign w:val="center"/>
                </w:tcPr>
                <w:p w14:paraId="64745462">
                  <w:pPr>
                    <w:spacing w:line="0" w:lineRule="atLeast"/>
                    <w:jc w:val="center"/>
                    <w:rPr>
                      <w:rFonts w:hint="default" w:eastAsia="宋体"/>
                      <w:sz w:val="21"/>
                      <w:szCs w:val="21"/>
                      <w:highlight w:val="none"/>
                      <w:lang w:val="en-US" w:eastAsia="zh-CN"/>
                    </w:rPr>
                  </w:pPr>
                  <w:r>
                    <w:rPr>
                      <w:sz w:val="21"/>
                      <w:szCs w:val="21"/>
                      <w:highlight w:val="none"/>
                    </w:rPr>
                    <w:t>主要用</w:t>
                  </w:r>
                  <w:r>
                    <w:rPr>
                      <w:rFonts w:hint="eastAsia"/>
                      <w:sz w:val="21"/>
                      <w:szCs w:val="21"/>
                      <w:highlight w:val="none"/>
                      <w:lang w:val="en-US" w:eastAsia="zh-CN"/>
                    </w:rPr>
                    <w:t>于机械的摩擦部分，起润滑、冷却和密封作用</w:t>
                  </w:r>
                </w:p>
              </w:tc>
            </w:tr>
            <w:tr w14:paraId="6588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16" w:type="pct"/>
                  <w:tcBorders>
                    <w:left w:val="single" w:color="auto" w:sz="4" w:space="0"/>
                  </w:tcBorders>
                  <w:noWrap w:val="0"/>
                  <w:vAlign w:val="center"/>
                </w:tcPr>
                <w:p w14:paraId="1C874F66">
                  <w:pPr>
                    <w:spacing w:line="0" w:lineRule="atLeast"/>
                    <w:jc w:val="center"/>
                    <w:rPr>
                      <w:sz w:val="21"/>
                      <w:szCs w:val="21"/>
                      <w:highlight w:val="none"/>
                    </w:rPr>
                  </w:pPr>
                  <w:r>
                    <w:rPr>
                      <w:sz w:val="21"/>
                      <w:szCs w:val="21"/>
                      <w:highlight w:val="none"/>
                    </w:rPr>
                    <w:t>稳定性：</w:t>
                  </w:r>
                </w:p>
              </w:tc>
              <w:tc>
                <w:tcPr>
                  <w:tcW w:w="1048" w:type="pct"/>
                  <w:noWrap w:val="0"/>
                  <w:vAlign w:val="center"/>
                </w:tcPr>
                <w:p w14:paraId="04AA0087">
                  <w:pPr>
                    <w:spacing w:line="0" w:lineRule="atLeast"/>
                    <w:jc w:val="center"/>
                    <w:rPr>
                      <w:sz w:val="21"/>
                      <w:szCs w:val="21"/>
                      <w:highlight w:val="none"/>
                    </w:rPr>
                  </w:pPr>
                  <w:r>
                    <w:rPr>
                      <w:sz w:val="21"/>
                      <w:szCs w:val="21"/>
                      <w:highlight w:val="none"/>
                    </w:rPr>
                    <w:t>稳定</w:t>
                  </w:r>
                </w:p>
              </w:tc>
              <w:tc>
                <w:tcPr>
                  <w:tcW w:w="1380" w:type="pct"/>
                  <w:noWrap w:val="0"/>
                  <w:vAlign w:val="center"/>
                </w:tcPr>
                <w:p w14:paraId="010E683D">
                  <w:pPr>
                    <w:spacing w:line="0" w:lineRule="atLeast"/>
                    <w:jc w:val="center"/>
                    <w:rPr>
                      <w:sz w:val="21"/>
                      <w:szCs w:val="21"/>
                      <w:highlight w:val="none"/>
                    </w:rPr>
                  </w:pPr>
                  <w:r>
                    <w:rPr>
                      <w:sz w:val="21"/>
                      <w:szCs w:val="21"/>
                      <w:highlight w:val="none"/>
                    </w:rPr>
                    <w:t>避免接触的条件：</w:t>
                  </w:r>
                </w:p>
              </w:tc>
              <w:tc>
                <w:tcPr>
                  <w:tcW w:w="1455" w:type="pct"/>
                  <w:tcBorders>
                    <w:right w:val="single" w:color="auto" w:sz="12" w:space="0"/>
                  </w:tcBorders>
                  <w:noWrap w:val="0"/>
                  <w:vAlign w:val="center"/>
                </w:tcPr>
                <w:p w14:paraId="0221F76D">
                  <w:pPr>
                    <w:spacing w:line="0" w:lineRule="atLeast"/>
                    <w:jc w:val="center"/>
                    <w:rPr>
                      <w:sz w:val="21"/>
                      <w:szCs w:val="21"/>
                      <w:highlight w:val="none"/>
                    </w:rPr>
                  </w:pPr>
                  <w:r>
                    <w:rPr>
                      <w:sz w:val="21"/>
                      <w:szCs w:val="21"/>
                      <w:highlight w:val="none"/>
                    </w:rPr>
                    <w:t>明火、高热。</w:t>
                  </w:r>
                </w:p>
              </w:tc>
            </w:tr>
            <w:tr w14:paraId="07CF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116" w:type="pct"/>
                  <w:tcBorders>
                    <w:left w:val="single" w:color="auto" w:sz="4" w:space="0"/>
                    <w:bottom w:val="single" w:color="auto" w:sz="12" w:space="0"/>
                  </w:tcBorders>
                  <w:noWrap w:val="0"/>
                  <w:vAlign w:val="center"/>
                </w:tcPr>
                <w:p w14:paraId="242C25E2">
                  <w:pPr>
                    <w:spacing w:line="0" w:lineRule="atLeast"/>
                    <w:jc w:val="center"/>
                    <w:rPr>
                      <w:sz w:val="21"/>
                      <w:szCs w:val="21"/>
                      <w:highlight w:val="none"/>
                    </w:rPr>
                  </w:pPr>
                  <w:r>
                    <w:rPr>
                      <w:sz w:val="21"/>
                      <w:szCs w:val="21"/>
                      <w:highlight w:val="none"/>
                    </w:rPr>
                    <w:t>禁配物：</w:t>
                  </w:r>
                </w:p>
              </w:tc>
              <w:tc>
                <w:tcPr>
                  <w:tcW w:w="1048" w:type="pct"/>
                  <w:tcBorders>
                    <w:bottom w:val="single" w:color="auto" w:sz="12" w:space="0"/>
                  </w:tcBorders>
                  <w:noWrap w:val="0"/>
                  <w:vAlign w:val="center"/>
                </w:tcPr>
                <w:p w14:paraId="5AB2F11C">
                  <w:pPr>
                    <w:spacing w:line="0" w:lineRule="atLeast"/>
                    <w:jc w:val="center"/>
                    <w:rPr>
                      <w:sz w:val="21"/>
                      <w:szCs w:val="21"/>
                      <w:highlight w:val="none"/>
                    </w:rPr>
                  </w:pPr>
                  <w:r>
                    <w:rPr>
                      <w:sz w:val="21"/>
                      <w:szCs w:val="21"/>
                      <w:highlight w:val="none"/>
                    </w:rPr>
                    <w:t>强氧化剂</w:t>
                  </w:r>
                </w:p>
              </w:tc>
              <w:tc>
                <w:tcPr>
                  <w:tcW w:w="1380" w:type="pct"/>
                  <w:tcBorders>
                    <w:bottom w:val="single" w:color="auto" w:sz="12" w:space="0"/>
                  </w:tcBorders>
                  <w:noWrap w:val="0"/>
                  <w:vAlign w:val="center"/>
                </w:tcPr>
                <w:p w14:paraId="0E9FE934">
                  <w:pPr>
                    <w:spacing w:line="0" w:lineRule="atLeast"/>
                    <w:jc w:val="center"/>
                    <w:rPr>
                      <w:sz w:val="21"/>
                      <w:szCs w:val="21"/>
                      <w:highlight w:val="none"/>
                    </w:rPr>
                  </w:pPr>
                  <w:r>
                    <w:rPr>
                      <w:sz w:val="21"/>
                      <w:szCs w:val="21"/>
                      <w:highlight w:val="none"/>
                    </w:rPr>
                    <w:t>聚合危害：</w:t>
                  </w:r>
                </w:p>
              </w:tc>
              <w:tc>
                <w:tcPr>
                  <w:tcW w:w="1455" w:type="pct"/>
                  <w:tcBorders>
                    <w:bottom w:val="single" w:color="auto" w:sz="12" w:space="0"/>
                    <w:right w:val="single" w:color="auto" w:sz="12" w:space="0"/>
                  </w:tcBorders>
                  <w:noWrap w:val="0"/>
                  <w:vAlign w:val="center"/>
                </w:tcPr>
                <w:p w14:paraId="18686F60">
                  <w:pPr>
                    <w:spacing w:line="0" w:lineRule="atLeast"/>
                    <w:jc w:val="center"/>
                    <w:rPr>
                      <w:sz w:val="21"/>
                      <w:szCs w:val="21"/>
                      <w:highlight w:val="none"/>
                    </w:rPr>
                  </w:pPr>
                  <w:r>
                    <w:rPr>
                      <w:sz w:val="21"/>
                      <w:szCs w:val="21"/>
                      <w:highlight w:val="none"/>
                    </w:rPr>
                    <w:t>不聚合</w:t>
                  </w:r>
                </w:p>
              </w:tc>
            </w:tr>
          </w:tbl>
          <w:p w14:paraId="01AF66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b/>
                <w:bCs/>
                <w:highlight w:val="none"/>
              </w:rPr>
            </w:pPr>
            <w:r>
              <w:rPr>
                <w:b/>
                <w:bCs/>
                <w:highlight w:val="none"/>
              </w:rPr>
              <w:t>表</w:t>
            </w:r>
            <w:r>
              <w:rPr>
                <w:rFonts w:hint="eastAsia"/>
                <w:b/>
                <w:bCs/>
                <w:highlight w:val="none"/>
                <w:lang w:val="en-US" w:eastAsia="zh-CN"/>
              </w:rPr>
              <w:t xml:space="preserve">4-13 </w:t>
            </w:r>
            <w:r>
              <w:rPr>
                <w:b/>
                <w:bCs/>
                <w:highlight w:val="none"/>
              </w:rPr>
              <w:t xml:space="preserve">  危险物质暂存及分布情况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30"/>
              <w:gridCol w:w="937"/>
              <w:gridCol w:w="1126"/>
              <w:gridCol w:w="1346"/>
              <w:gridCol w:w="1607"/>
              <w:gridCol w:w="1386"/>
            </w:tblGrid>
            <w:tr w14:paraId="7833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5" w:hRule="atLeast"/>
                <w:tblHeader/>
                <w:jc w:val="center"/>
              </w:trPr>
              <w:tc>
                <w:tcPr>
                  <w:tcW w:w="964" w:type="pct"/>
                  <w:tcBorders>
                    <w:top w:val="single" w:color="auto" w:sz="12" w:space="0"/>
                  </w:tcBorders>
                  <w:noWrap w:val="0"/>
                  <w:vAlign w:val="center"/>
                </w:tcPr>
                <w:p w14:paraId="30C7C172">
                  <w:pPr>
                    <w:spacing w:line="0" w:lineRule="atLeast"/>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危险物质名称</w:t>
                  </w:r>
                </w:p>
              </w:tc>
              <w:tc>
                <w:tcPr>
                  <w:tcW w:w="590" w:type="pct"/>
                  <w:tcBorders>
                    <w:top w:val="single" w:color="auto" w:sz="12" w:space="0"/>
                  </w:tcBorders>
                  <w:noWrap w:val="0"/>
                  <w:vAlign w:val="center"/>
                </w:tcPr>
                <w:p w14:paraId="6D29332C">
                  <w:pPr>
                    <w:spacing w:line="0" w:lineRule="atLeast"/>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规格</w:t>
                  </w:r>
                </w:p>
              </w:tc>
              <w:tc>
                <w:tcPr>
                  <w:tcW w:w="709" w:type="pct"/>
                  <w:tcBorders>
                    <w:top w:val="single" w:color="auto" w:sz="12" w:space="0"/>
                  </w:tcBorders>
                  <w:noWrap w:val="0"/>
                  <w:vAlign w:val="center"/>
                </w:tcPr>
                <w:p w14:paraId="01827480">
                  <w:pPr>
                    <w:spacing w:line="0" w:lineRule="atLeast"/>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最大暂存量/(t/a)</w:t>
                  </w:r>
                </w:p>
              </w:tc>
              <w:tc>
                <w:tcPr>
                  <w:tcW w:w="848" w:type="pct"/>
                  <w:tcBorders>
                    <w:top w:val="single" w:color="auto" w:sz="12" w:space="0"/>
                  </w:tcBorders>
                  <w:noWrap w:val="0"/>
                  <w:vAlign w:val="center"/>
                </w:tcPr>
                <w:p w14:paraId="14E7F3D5">
                  <w:pPr>
                    <w:spacing w:line="0" w:lineRule="atLeast"/>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暂存位置</w:t>
                  </w:r>
                </w:p>
              </w:tc>
              <w:tc>
                <w:tcPr>
                  <w:tcW w:w="1012" w:type="pct"/>
                  <w:tcBorders>
                    <w:top w:val="single" w:color="auto" w:sz="12" w:space="0"/>
                  </w:tcBorders>
                  <w:noWrap w:val="0"/>
                  <w:vAlign w:val="center"/>
                </w:tcPr>
                <w:p w14:paraId="3844D2F1">
                  <w:pPr>
                    <w:spacing w:line="0" w:lineRule="atLeast"/>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涉及风险物质</w:t>
                  </w:r>
                </w:p>
              </w:tc>
              <w:tc>
                <w:tcPr>
                  <w:tcW w:w="873" w:type="pct"/>
                  <w:tcBorders>
                    <w:top w:val="single" w:color="auto" w:sz="12" w:space="0"/>
                    <w:right w:val="single" w:color="auto" w:sz="12" w:space="0"/>
                  </w:tcBorders>
                  <w:noWrap w:val="0"/>
                  <w:vAlign w:val="center"/>
                </w:tcPr>
                <w:p w14:paraId="2B6340C7">
                  <w:pPr>
                    <w:spacing w:line="0" w:lineRule="atLeast"/>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临界量（t）</w:t>
                  </w:r>
                </w:p>
              </w:tc>
            </w:tr>
            <w:tr w14:paraId="28A7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964" w:type="pct"/>
                  <w:tcBorders>
                    <w:left w:val="single" w:color="auto" w:sz="4" w:space="0"/>
                  </w:tcBorders>
                  <w:noWrap w:val="0"/>
                  <w:vAlign w:val="center"/>
                </w:tcPr>
                <w:p w14:paraId="75AA576B">
                  <w:pPr>
                    <w:spacing w:line="0" w:lineRule="atLeast"/>
                    <w:jc w:val="center"/>
                    <w:rPr>
                      <w:rFonts w:hint="eastAsia"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润滑油</w:t>
                  </w:r>
                </w:p>
              </w:tc>
              <w:tc>
                <w:tcPr>
                  <w:tcW w:w="590" w:type="pct"/>
                  <w:noWrap w:val="0"/>
                  <w:vAlign w:val="center"/>
                </w:tcPr>
                <w:p w14:paraId="530CA47C">
                  <w:pPr>
                    <w:spacing w:line="0" w:lineRule="atLeast"/>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w:t>
                  </w:r>
                </w:p>
              </w:tc>
              <w:tc>
                <w:tcPr>
                  <w:tcW w:w="709" w:type="pct"/>
                  <w:noWrap w:val="0"/>
                  <w:vAlign w:val="center"/>
                </w:tcPr>
                <w:p w14:paraId="039A2D16">
                  <w:pPr>
                    <w:spacing w:line="0" w:lineRule="atLeast"/>
                    <w:jc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0.008</w:t>
                  </w:r>
                </w:p>
              </w:tc>
              <w:tc>
                <w:tcPr>
                  <w:tcW w:w="848" w:type="pct"/>
                  <w:noWrap w:val="0"/>
                  <w:vAlign w:val="center"/>
                </w:tcPr>
                <w:p w14:paraId="69FC61DF">
                  <w:pPr>
                    <w:spacing w:line="0" w:lineRule="atLeast"/>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生产设备</w:t>
                  </w:r>
                </w:p>
              </w:tc>
              <w:tc>
                <w:tcPr>
                  <w:tcW w:w="1012" w:type="pct"/>
                  <w:noWrap w:val="0"/>
                  <w:vAlign w:val="center"/>
                </w:tcPr>
                <w:p w14:paraId="256771FD">
                  <w:pPr>
                    <w:spacing w:line="0" w:lineRule="atLeast"/>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cs="Times New Roman"/>
                      <w:sz w:val="21"/>
                      <w:szCs w:val="21"/>
                      <w:highlight w:val="none"/>
                      <w:lang w:val="en-US" w:eastAsia="zh-CN"/>
                    </w:rPr>
                    <w:t>润滑油</w:t>
                  </w:r>
                </w:p>
              </w:tc>
              <w:tc>
                <w:tcPr>
                  <w:tcW w:w="873" w:type="pct"/>
                  <w:tcBorders>
                    <w:right w:val="single" w:color="auto" w:sz="12" w:space="0"/>
                  </w:tcBorders>
                  <w:noWrap w:val="0"/>
                  <w:vAlign w:val="center"/>
                </w:tcPr>
                <w:p w14:paraId="1B6F0995">
                  <w:pPr>
                    <w:spacing w:line="0" w:lineRule="atLeast"/>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2500</w:t>
                  </w:r>
                </w:p>
              </w:tc>
            </w:tr>
            <w:tr w14:paraId="1A65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25" w:hRule="atLeast"/>
                <w:jc w:val="center"/>
              </w:trPr>
              <w:tc>
                <w:tcPr>
                  <w:tcW w:w="964" w:type="pct"/>
                  <w:tcBorders>
                    <w:left w:val="single" w:color="auto" w:sz="4" w:space="0"/>
                    <w:bottom w:val="single" w:color="auto" w:sz="12" w:space="0"/>
                  </w:tcBorders>
                  <w:noWrap w:val="0"/>
                  <w:vAlign w:val="center"/>
                </w:tcPr>
                <w:p w14:paraId="7AF9424E">
                  <w:pPr>
                    <w:spacing w:line="0" w:lineRule="atLeast"/>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废</w:t>
                  </w:r>
                  <w:r>
                    <w:rPr>
                      <w:rFonts w:hint="eastAsia" w:cs="Times New Roman"/>
                      <w:sz w:val="21"/>
                      <w:szCs w:val="21"/>
                      <w:highlight w:val="none"/>
                      <w:lang w:val="en-US" w:eastAsia="zh-CN"/>
                    </w:rPr>
                    <w:t>润滑油</w:t>
                  </w:r>
                </w:p>
              </w:tc>
              <w:tc>
                <w:tcPr>
                  <w:tcW w:w="590" w:type="pct"/>
                  <w:tcBorders>
                    <w:bottom w:val="single" w:color="auto" w:sz="12" w:space="0"/>
                  </w:tcBorders>
                  <w:noWrap w:val="0"/>
                  <w:vAlign w:val="center"/>
                </w:tcPr>
                <w:p w14:paraId="3AC612B6">
                  <w:pPr>
                    <w:spacing w:line="0" w:lineRule="atLeast"/>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w:t>
                  </w:r>
                </w:p>
              </w:tc>
              <w:tc>
                <w:tcPr>
                  <w:tcW w:w="709" w:type="pct"/>
                  <w:tcBorders>
                    <w:bottom w:val="single" w:color="auto" w:sz="12" w:space="0"/>
                  </w:tcBorders>
                  <w:noWrap w:val="0"/>
                  <w:vAlign w:val="center"/>
                </w:tcPr>
                <w:p w14:paraId="53DCA482">
                  <w:pPr>
                    <w:spacing w:line="0" w:lineRule="atLeast"/>
                    <w:ind w:firstLine="0" w:firstLineChars="0"/>
                    <w:jc w:val="center"/>
                    <w:rPr>
                      <w:rFonts w:hint="default"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0.0</w:t>
                  </w:r>
                  <w:r>
                    <w:rPr>
                      <w:rFonts w:hint="eastAsia" w:cs="Times New Roman"/>
                      <w:sz w:val="21"/>
                      <w:szCs w:val="21"/>
                      <w:highlight w:val="none"/>
                      <w:lang w:val="en-US" w:eastAsia="zh-CN"/>
                    </w:rPr>
                    <w:t>08</w:t>
                  </w:r>
                </w:p>
              </w:tc>
              <w:tc>
                <w:tcPr>
                  <w:tcW w:w="848" w:type="pct"/>
                  <w:tcBorders>
                    <w:bottom w:val="single" w:color="auto" w:sz="12" w:space="0"/>
                  </w:tcBorders>
                  <w:noWrap w:val="0"/>
                  <w:vAlign w:val="center"/>
                </w:tcPr>
                <w:p w14:paraId="4364F8F2">
                  <w:pPr>
                    <w:spacing w:line="0" w:lineRule="atLeast"/>
                    <w:jc w:val="center"/>
                    <w:rPr>
                      <w:rFonts w:hint="eastAsia" w:ascii="Times New Roman" w:hAnsi="Times New Roman" w:eastAsia="宋体" w:cs="Times New Roman"/>
                      <w:sz w:val="21"/>
                      <w:szCs w:val="21"/>
                      <w:highlight w:val="none"/>
                      <w:lang w:val="en-US" w:eastAsia="zh-CN"/>
                    </w:rPr>
                  </w:pPr>
                  <w:r>
                    <w:rPr>
                      <w:rFonts w:hint="eastAsia" w:ascii="Times New Roman" w:hAnsi="Times New Roman" w:eastAsia="宋体" w:cs="Times New Roman"/>
                      <w:sz w:val="21"/>
                      <w:szCs w:val="21"/>
                      <w:highlight w:val="none"/>
                      <w:lang w:val="en-US" w:eastAsia="zh-CN"/>
                    </w:rPr>
                    <w:t>危废间</w:t>
                  </w:r>
                </w:p>
              </w:tc>
              <w:tc>
                <w:tcPr>
                  <w:tcW w:w="1012" w:type="pct"/>
                  <w:tcBorders>
                    <w:bottom w:val="single" w:color="auto" w:sz="12" w:space="0"/>
                  </w:tcBorders>
                  <w:noWrap w:val="0"/>
                  <w:vAlign w:val="center"/>
                </w:tcPr>
                <w:p w14:paraId="4058E94A">
                  <w:pPr>
                    <w:spacing w:line="0" w:lineRule="atLeast"/>
                    <w:ind w:firstLine="0" w:firstLineChars="0"/>
                    <w:jc w:val="center"/>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 w:val="21"/>
                      <w:szCs w:val="21"/>
                      <w:highlight w:val="none"/>
                      <w:lang w:val="en-US" w:eastAsia="zh-CN"/>
                    </w:rPr>
                    <w:t>废</w:t>
                  </w:r>
                  <w:r>
                    <w:rPr>
                      <w:rFonts w:hint="eastAsia" w:cs="Times New Roman"/>
                      <w:sz w:val="21"/>
                      <w:szCs w:val="21"/>
                      <w:highlight w:val="none"/>
                      <w:lang w:val="en-US" w:eastAsia="zh-CN"/>
                    </w:rPr>
                    <w:t>润滑油</w:t>
                  </w:r>
                </w:p>
              </w:tc>
              <w:tc>
                <w:tcPr>
                  <w:tcW w:w="873" w:type="pct"/>
                  <w:tcBorders>
                    <w:bottom w:val="single" w:color="auto" w:sz="12" w:space="0"/>
                    <w:right w:val="single" w:color="auto" w:sz="12" w:space="0"/>
                  </w:tcBorders>
                  <w:noWrap w:val="0"/>
                  <w:vAlign w:val="center"/>
                </w:tcPr>
                <w:p w14:paraId="43664EBD">
                  <w:pPr>
                    <w:spacing w:line="0" w:lineRule="atLeast"/>
                    <w:jc w:val="center"/>
                    <w:rPr>
                      <w:rFonts w:hint="default" w:ascii="Times New Roman" w:hAnsi="Times New Roman" w:eastAsia="宋体" w:cs="Times New Roman"/>
                      <w:sz w:val="21"/>
                      <w:szCs w:val="21"/>
                      <w:highlight w:val="none"/>
                      <w:lang w:val="en-US" w:eastAsia="zh-CN"/>
                    </w:rPr>
                  </w:pPr>
                  <w:r>
                    <w:rPr>
                      <w:rFonts w:hint="eastAsia" w:cs="Times New Roman"/>
                      <w:sz w:val="21"/>
                      <w:szCs w:val="21"/>
                      <w:highlight w:val="none"/>
                      <w:lang w:val="en-US" w:eastAsia="zh-CN"/>
                    </w:rPr>
                    <w:t>100</w:t>
                  </w:r>
                </w:p>
              </w:tc>
            </w:tr>
          </w:tbl>
          <w:p w14:paraId="591528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由上表可知，本项目危险物质最大暂存量均未超过《建设项目环境风险评价技术导则》（HJ 169-2018）附录B、附录C中的临界量。</w:t>
            </w:r>
          </w:p>
          <w:p w14:paraId="6654697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②主要风险场所识别</w:t>
            </w:r>
          </w:p>
          <w:p w14:paraId="5FC3F06E">
            <w:pPr>
              <w:pStyle w:val="17"/>
              <w:keepNext w:val="0"/>
              <w:keepLines w:val="0"/>
              <w:pageBreakBefore w:val="0"/>
              <w:kinsoku/>
              <w:wordWrap/>
              <w:overflowPunct/>
              <w:topLinePunct w:val="0"/>
              <w:autoSpaceDE/>
              <w:autoSpaceDN/>
              <w:bidi w:val="0"/>
              <w:spacing w:after="0" w:afterLines="0" w:line="360" w:lineRule="auto"/>
              <w:ind w:left="0" w:leftChars="0" w:right="0" w:firstLine="0" w:firstLineChars="0"/>
              <w:textAlignment w:val="auto"/>
              <w:rPr>
                <w:rFonts w:hint="eastAsia" w:ascii="Times New Roman" w:hAnsi="Times New Roman" w:eastAsia="宋体" w:cs="Times New Roman"/>
                <w:b/>
                <w:bCs/>
                <w:kern w:val="2"/>
                <w:sz w:val="21"/>
                <w:szCs w:val="24"/>
                <w:highlight w:val="none"/>
                <w:lang w:val="en-US" w:eastAsia="zh-CN" w:bidi="ar-SA"/>
              </w:rPr>
            </w:pPr>
            <w:r>
              <w:rPr>
                <w:rFonts w:hint="eastAsia"/>
                <w:highlight w:val="none"/>
                <w:lang w:val="en-US" w:eastAsia="zh-CN"/>
              </w:rPr>
              <w:t xml:space="preserve">              </w:t>
            </w:r>
            <w:r>
              <w:rPr>
                <w:rFonts w:hint="eastAsia"/>
                <w:b/>
                <w:bCs/>
                <w:highlight w:val="none"/>
                <w:lang w:val="en-US" w:eastAsia="zh-CN"/>
              </w:rPr>
              <w:t xml:space="preserve">        </w:t>
            </w:r>
            <w:r>
              <w:rPr>
                <w:rFonts w:hint="eastAsia" w:ascii="Times New Roman" w:hAnsi="Times New Roman" w:eastAsia="宋体" w:cs="Times New Roman"/>
                <w:b/>
                <w:bCs/>
                <w:kern w:val="2"/>
                <w:sz w:val="21"/>
                <w:szCs w:val="24"/>
                <w:highlight w:val="none"/>
                <w:lang w:val="en-US" w:eastAsia="zh-CN" w:bidi="ar-SA"/>
              </w:rPr>
              <w:t>表4-14  建设项目环境风险识别表</w:t>
            </w:r>
          </w:p>
          <w:tbl>
            <w:tblPr>
              <w:tblStyle w:val="21"/>
              <w:tblW w:w="79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065"/>
              <w:gridCol w:w="1832"/>
              <w:gridCol w:w="958"/>
              <w:gridCol w:w="1530"/>
              <w:gridCol w:w="1485"/>
            </w:tblGrid>
            <w:tr w14:paraId="1756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75" w:type="dxa"/>
                  <w:tcBorders>
                    <w:top w:val="single" w:color="auto" w:sz="12" w:space="0"/>
                  </w:tcBorders>
                  <w:vAlign w:val="center"/>
                </w:tcPr>
                <w:p w14:paraId="35B16990">
                  <w:pPr>
                    <w:jc w:val="center"/>
                    <w:rPr>
                      <w:rFonts w:hint="default"/>
                      <w:highlight w:val="none"/>
                      <w:lang w:val="en-US" w:eastAsia="zh-CN"/>
                    </w:rPr>
                  </w:pPr>
                  <w:r>
                    <w:rPr>
                      <w:rFonts w:hint="eastAsia"/>
                      <w:highlight w:val="none"/>
                      <w:lang w:val="en-US" w:eastAsia="zh-CN"/>
                    </w:rPr>
                    <w:t>生产工序</w:t>
                  </w:r>
                </w:p>
              </w:tc>
              <w:tc>
                <w:tcPr>
                  <w:tcW w:w="1065" w:type="dxa"/>
                  <w:tcBorders>
                    <w:top w:val="single" w:color="auto" w:sz="12" w:space="0"/>
                  </w:tcBorders>
                  <w:vAlign w:val="center"/>
                </w:tcPr>
                <w:p w14:paraId="4636E469">
                  <w:pPr>
                    <w:jc w:val="center"/>
                    <w:rPr>
                      <w:rFonts w:hint="default"/>
                      <w:highlight w:val="none"/>
                      <w:lang w:val="en-US" w:eastAsia="zh-CN"/>
                    </w:rPr>
                  </w:pPr>
                  <w:r>
                    <w:rPr>
                      <w:rFonts w:hint="eastAsia"/>
                      <w:highlight w:val="none"/>
                      <w:lang w:val="en-US" w:eastAsia="zh-CN"/>
                    </w:rPr>
                    <w:t>危险单元</w:t>
                  </w:r>
                </w:p>
              </w:tc>
              <w:tc>
                <w:tcPr>
                  <w:tcW w:w="1832" w:type="dxa"/>
                  <w:tcBorders>
                    <w:top w:val="single" w:color="auto" w:sz="12" w:space="0"/>
                  </w:tcBorders>
                  <w:vAlign w:val="center"/>
                </w:tcPr>
                <w:p w14:paraId="47C1A67A">
                  <w:pPr>
                    <w:jc w:val="center"/>
                    <w:rPr>
                      <w:rFonts w:hint="default"/>
                      <w:highlight w:val="none"/>
                      <w:lang w:val="en-US" w:eastAsia="zh-CN"/>
                    </w:rPr>
                  </w:pPr>
                  <w:r>
                    <w:rPr>
                      <w:rFonts w:hint="eastAsia"/>
                      <w:highlight w:val="none"/>
                      <w:lang w:val="en-US" w:eastAsia="zh-CN"/>
                    </w:rPr>
                    <w:t>涉及风险物质及最大储存量</w:t>
                  </w:r>
                </w:p>
              </w:tc>
              <w:tc>
                <w:tcPr>
                  <w:tcW w:w="958" w:type="dxa"/>
                  <w:tcBorders>
                    <w:top w:val="single" w:color="auto" w:sz="12" w:space="0"/>
                  </w:tcBorders>
                  <w:vAlign w:val="center"/>
                </w:tcPr>
                <w:p w14:paraId="6B4A6504">
                  <w:pPr>
                    <w:jc w:val="center"/>
                    <w:rPr>
                      <w:rFonts w:hint="default"/>
                      <w:highlight w:val="none"/>
                      <w:lang w:val="en-US" w:eastAsia="zh-CN"/>
                    </w:rPr>
                  </w:pPr>
                  <w:r>
                    <w:rPr>
                      <w:rFonts w:hint="eastAsia"/>
                      <w:highlight w:val="none"/>
                      <w:lang w:val="en-US" w:eastAsia="zh-CN"/>
                    </w:rPr>
                    <w:t>环境风险类型</w:t>
                  </w:r>
                </w:p>
              </w:tc>
              <w:tc>
                <w:tcPr>
                  <w:tcW w:w="1530" w:type="dxa"/>
                  <w:tcBorders>
                    <w:top w:val="single" w:color="auto" w:sz="12" w:space="0"/>
                  </w:tcBorders>
                  <w:vAlign w:val="center"/>
                </w:tcPr>
                <w:p w14:paraId="65C119E9">
                  <w:pPr>
                    <w:jc w:val="center"/>
                    <w:rPr>
                      <w:rFonts w:hint="default"/>
                      <w:highlight w:val="none"/>
                      <w:lang w:val="en-US" w:eastAsia="zh-CN"/>
                    </w:rPr>
                  </w:pPr>
                  <w:r>
                    <w:rPr>
                      <w:rFonts w:hint="eastAsia"/>
                      <w:highlight w:val="none"/>
                      <w:lang w:val="en-US" w:eastAsia="zh-CN"/>
                    </w:rPr>
                    <w:t>事故触发因素</w:t>
                  </w:r>
                </w:p>
              </w:tc>
              <w:tc>
                <w:tcPr>
                  <w:tcW w:w="1485" w:type="dxa"/>
                  <w:tcBorders>
                    <w:top w:val="single" w:color="auto" w:sz="12" w:space="0"/>
                    <w:right w:val="single" w:color="auto" w:sz="12" w:space="0"/>
                  </w:tcBorders>
                  <w:vAlign w:val="center"/>
                </w:tcPr>
                <w:p w14:paraId="1DCC3C97">
                  <w:pPr>
                    <w:jc w:val="center"/>
                    <w:rPr>
                      <w:rFonts w:hint="default"/>
                      <w:highlight w:val="none"/>
                      <w:lang w:val="en-US" w:eastAsia="zh-CN"/>
                    </w:rPr>
                  </w:pPr>
                  <w:r>
                    <w:rPr>
                      <w:rFonts w:hint="eastAsia"/>
                      <w:highlight w:val="none"/>
                      <w:lang w:val="en-US" w:eastAsia="zh-CN"/>
                    </w:rPr>
                    <w:t>环境影响途径</w:t>
                  </w:r>
                </w:p>
              </w:tc>
            </w:tr>
            <w:tr w14:paraId="130D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1075" w:type="dxa"/>
                  <w:tcBorders>
                    <w:left w:val="single" w:color="auto" w:sz="4" w:space="0"/>
                  </w:tcBorders>
                  <w:vAlign w:val="center"/>
                </w:tcPr>
                <w:p w14:paraId="65ED4548">
                  <w:pPr>
                    <w:jc w:val="center"/>
                    <w:rPr>
                      <w:rFonts w:hint="default"/>
                      <w:highlight w:val="none"/>
                      <w:lang w:val="en-US" w:eastAsia="zh-CN"/>
                    </w:rPr>
                  </w:pPr>
                  <w:r>
                    <w:rPr>
                      <w:rFonts w:hint="eastAsia"/>
                      <w:highlight w:val="none"/>
                      <w:lang w:val="en-US" w:eastAsia="zh-CN"/>
                    </w:rPr>
                    <w:t>设备维修</w:t>
                  </w:r>
                </w:p>
              </w:tc>
              <w:tc>
                <w:tcPr>
                  <w:tcW w:w="1065" w:type="dxa"/>
                  <w:vAlign w:val="center"/>
                </w:tcPr>
                <w:p w14:paraId="692DA662">
                  <w:pPr>
                    <w:jc w:val="center"/>
                    <w:rPr>
                      <w:rFonts w:hint="default"/>
                      <w:highlight w:val="none"/>
                      <w:lang w:val="en-US" w:eastAsia="zh-CN"/>
                    </w:rPr>
                  </w:pPr>
                  <w:r>
                    <w:rPr>
                      <w:rFonts w:hint="eastAsia"/>
                      <w:highlight w:val="none"/>
                      <w:lang w:val="en-US" w:eastAsia="zh-CN"/>
                    </w:rPr>
                    <w:t>生产设备</w:t>
                  </w:r>
                </w:p>
              </w:tc>
              <w:tc>
                <w:tcPr>
                  <w:tcW w:w="1832" w:type="dxa"/>
                  <w:vAlign w:val="center"/>
                </w:tcPr>
                <w:p w14:paraId="50AE6BE6">
                  <w:pPr>
                    <w:jc w:val="center"/>
                    <w:rPr>
                      <w:rFonts w:hint="default"/>
                      <w:highlight w:val="none"/>
                      <w:lang w:val="en-US" w:eastAsia="zh-CN"/>
                    </w:rPr>
                  </w:pPr>
                  <w:r>
                    <w:rPr>
                      <w:rFonts w:hint="eastAsia"/>
                      <w:highlight w:val="none"/>
                      <w:lang w:val="en-US" w:eastAsia="zh-CN"/>
                    </w:rPr>
                    <w:t>润滑油</w:t>
                  </w:r>
                  <w:r>
                    <w:rPr>
                      <w:rFonts w:hint="eastAsia" w:ascii="Times New Roman" w:hAnsi="Times New Roman" w:eastAsia="宋体" w:cs="Times New Roman"/>
                      <w:sz w:val="21"/>
                      <w:szCs w:val="21"/>
                      <w:highlight w:val="none"/>
                      <w:lang w:val="en-US" w:eastAsia="zh-CN"/>
                    </w:rPr>
                    <w:t>0.0</w:t>
                  </w:r>
                  <w:r>
                    <w:rPr>
                      <w:rFonts w:hint="eastAsia" w:cs="Times New Roman"/>
                      <w:sz w:val="21"/>
                      <w:szCs w:val="21"/>
                      <w:highlight w:val="none"/>
                      <w:lang w:val="en-US" w:eastAsia="zh-CN"/>
                    </w:rPr>
                    <w:t>08</w:t>
                  </w:r>
                  <w:r>
                    <w:rPr>
                      <w:rFonts w:hint="eastAsia"/>
                      <w:highlight w:val="none"/>
                      <w:lang w:val="en-US" w:eastAsia="zh-CN"/>
                    </w:rPr>
                    <w:t>t/a</w:t>
                  </w:r>
                </w:p>
              </w:tc>
              <w:tc>
                <w:tcPr>
                  <w:tcW w:w="958" w:type="dxa"/>
                  <w:vAlign w:val="center"/>
                </w:tcPr>
                <w:p w14:paraId="6A63A4A2">
                  <w:pPr>
                    <w:jc w:val="center"/>
                    <w:rPr>
                      <w:rFonts w:hint="default"/>
                      <w:highlight w:val="none"/>
                      <w:lang w:val="en-US" w:eastAsia="zh-CN"/>
                    </w:rPr>
                  </w:pPr>
                  <w:r>
                    <w:rPr>
                      <w:rFonts w:hint="eastAsia"/>
                      <w:highlight w:val="none"/>
                      <w:lang w:val="en-US" w:eastAsia="zh-CN"/>
                    </w:rPr>
                    <w:t>易燃</w:t>
                  </w:r>
                </w:p>
              </w:tc>
              <w:tc>
                <w:tcPr>
                  <w:tcW w:w="1530" w:type="dxa"/>
                  <w:vAlign w:val="center"/>
                </w:tcPr>
                <w:p w14:paraId="336E551C">
                  <w:pPr>
                    <w:jc w:val="center"/>
                    <w:rPr>
                      <w:rFonts w:hint="default"/>
                      <w:highlight w:val="none"/>
                      <w:lang w:val="en-US" w:eastAsia="zh-CN"/>
                    </w:rPr>
                  </w:pPr>
                  <w:r>
                    <w:rPr>
                      <w:rFonts w:hint="eastAsia"/>
                      <w:highlight w:val="none"/>
                      <w:lang w:val="en-US" w:eastAsia="zh-CN"/>
                    </w:rPr>
                    <w:t>废润滑油遇明火燃烧</w:t>
                  </w:r>
                </w:p>
              </w:tc>
              <w:tc>
                <w:tcPr>
                  <w:tcW w:w="1485" w:type="dxa"/>
                  <w:tcBorders>
                    <w:right w:val="single" w:color="auto" w:sz="12" w:space="0"/>
                  </w:tcBorders>
                  <w:vAlign w:val="center"/>
                </w:tcPr>
                <w:p w14:paraId="43D9B6E3">
                  <w:pPr>
                    <w:jc w:val="center"/>
                    <w:rPr>
                      <w:rFonts w:hint="default"/>
                      <w:highlight w:val="none"/>
                      <w:lang w:val="en-US" w:eastAsia="zh-CN"/>
                    </w:rPr>
                  </w:pPr>
                  <w:r>
                    <w:rPr>
                      <w:rFonts w:hint="eastAsia"/>
                      <w:highlight w:val="none"/>
                      <w:lang w:val="en-US" w:eastAsia="zh-CN"/>
                    </w:rPr>
                    <w:t>润滑油渗漏、燃烧产物无组织扩散</w:t>
                  </w:r>
                </w:p>
              </w:tc>
            </w:tr>
            <w:tr w14:paraId="18942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075" w:type="dxa"/>
                  <w:tcBorders>
                    <w:left w:val="single" w:color="auto" w:sz="4" w:space="0"/>
                    <w:bottom w:val="single" w:color="auto" w:sz="12" w:space="0"/>
                  </w:tcBorders>
                  <w:vAlign w:val="center"/>
                </w:tcPr>
                <w:p w14:paraId="549B6DB1">
                  <w:pPr>
                    <w:jc w:val="center"/>
                    <w:rPr>
                      <w:rFonts w:hint="default"/>
                      <w:highlight w:val="none"/>
                      <w:lang w:val="en-US" w:eastAsia="zh-CN"/>
                    </w:rPr>
                  </w:pPr>
                  <w:r>
                    <w:rPr>
                      <w:rFonts w:hint="eastAsia"/>
                      <w:highlight w:val="none"/>
                      <w:lang w:val="en-US" w:eastAsia="zh-CN"/>
                    </w:rPr>
                    <w:t>设备维修</w:t>
                  </w:r>
                </w:p>
              </w:tc>
              <w:tc>
                <w:tcPr>
                  <w:tcW w:w="1065" w:type="dxa"/>
                  <w:tcBorders>
                    <w:bottom w:val="single" w:color="auto" w:sz="12" w:space="0"/>
                  </w:tcBorders>
                  <w:vAlign w:val="center"/>
                </w:tcPr>
                <w:p w14:paraId="0BC1CC5F">
                  <w:pPr>
                    <w:jc w:val="center"/>
                    <w:rPr>
                      <w:rFonts w:hint="default"/>
                      <w:highlight w:val="none"/>
                      <w:lang w:val="en-US" w:eastAsia="zh-CN"/>
                    </w:rPr>
                  </w:pPr>
                  <w:r>
                    <w:rPr>
                      <w:rFonts w:hint="eastAsia"/>
                      <w:highlight w:val="none"/>
                      <w:lang w:val="en-US" w:eastAsia="zh-CN"/>
                    </w:rPr>
                    <w:t>危废间</w:t>
                  </w:r>
                </w:p>
              </w:tc>
              <w:tc>
                <w:tcPr>
                  <w:tcW w:w="1832" w:type="dxa"/>
                  <w:tcBorders>
                    <w:bottom w:val="single" w:color="auto" w:sz="12" w:space="0"/>
                  </w:tcBorders>
                  <w:vAlign w:val="center"/>
                </w:tcPr>
                <w:p w14:paraId="6FCF094B">
                  <w:pPr>
                    <w:jc w:val="center"/>
                    <w:rPr>
                      <w:rFonts w:hint="default"/>
                      <w:highlight w:val="none"/>
                      <w:lang w:val="en-US" w:eastAsia="zh-CN"/>
                    </w:rPr>
                  </w:pPr>
                  <w:r>
                    <w:rPr>
                      <w:rFonts w:hint="eastAsia"/>
                      <w:highlight w:val="none"/>
                      <w:lang w:val="en-US" w:eastAsia="zh-CN"/>
                    </w:rPr>
                    <w:t>废润滑油</w:t>
                  </w:r>
                  <w:r>
                    <w:rPr>
                      <w:rFonts w:hint="eastAsia" w:ascii="Times New Roman" w:hAnsi="Times New Roman" w:eastAsia="宋体" w:cs="Times New Roman"/>
                      <w:sz w:val="21"/>
                      <w:szCs w:val="21"/>
                      <w:highlight w:val="none"/>
                      <w:lang w:val="en-US" w:eastAsia="zh-CN"/>
                    </w:rPr>
                    <w:t>0.0</w:t>
                  </w:r>
                  <w:r>
                    <w:rPr>
                      <w:rFonts w:hint="eastAsia" w:cs="Times New Roman"/>
                      <w:sz w:val="21"/>
                      <w:szCs w:val="21"/>
                      <w:highlight w:val="none"/>
                      <w:lang w:val="en-US" w:eastAsia="zh-CN"/>
                    </w:rPr>
                    <w:t>08</w:t>
                  </w:r>
                  <w:r>
                    <w:rPr>
                      <w:rFonts w:hint="eastAsia"/>
                      <w:highlight w:val="none"/>
                      <w:lang w:val="en-US" w:eastAsia="zh-CN"/>
                    </w:rPr>
                    <w:t>t/a</w:t>
                  </w:r>
                </w:p>
              </w:tc>
              <w:tc>
                <w:tcPr>
                  <w:tcW w:w="958" w:type="dxa"/>
                  <w:tcBorders>
                    <w:bottom w:val="single" w:color="auto" w:sz="12" w:space="0"/>
                  </w:tcBorders>
                  <w:vAlign w:val="center"/>
                </w:tcPr>
                <w:p w14:paraId="1408BB18">
                  <w:pPr>
                    <w:jc w:val="center"/>
                    <w:rPr>
                      <w:rFonts w:hint="default"/>
                      <w:highlight w:val="none"/>
                      <w:lang w:val="en-US" w:eastAsia="zh-CN"/>
                    </w:rPr>
                  </w:pPr>
                  <w:r>
                    <w:rPr>
                      <w:rFonts w:hint="eastAsia"/>
                      <w:highlight w:val="none"/>
                      <w:lang w:val="en-US" w:eastAsia="zh-CN"/>
                    </w:rPr>
                    <w:t>易燃</w:t>
                  </w:r>
                </w:p>
              </w:tc>
              <w:tc>
                <w:tcPr>
                  <w:tcW w:w="1530" w:type="dxa"/>
                  <w:tcBorders>
                    <w:bottom w:val="single" w:color="auto" w:sz="12" w:space="0"/>
                  </w:tcBorders>
                  <w:vAlign w:val="center"/>
                </w:tcPr>
                <w:p w14:paraId="0000D27C">
                  <w:pPr>
                    <w:jc w:val="center"/>
                    <w:rPr>
                      <w:rFonts w:hint="default"/>
                      <w:highlight w:val="none"/>
                      <w:lang w:val="en-US" w:eastAsia="zh-CN"/>
                    </w:rPr>
                  </w:pPr>
                  <w:r>
                    <w:rPr>
                      <w:rFonts w:hint="eastAsia"/>
                      <w:highlight w:val="none"/>
                      <w:lang w:val="en-US" w:eastAsia="zh-CN"/>
                    </w:rPr>
                    <w:t>废润滑油遇明火燃烧</w:t>
                  </w:r>
                </w:p>
              </w:tc>
              <w:tc>
                <w:tcPr>
                  <w:tcW w:w="1485" w:type="dxa"/>
                  <w:tcBorders>
                    <w:bottom w:val="single" w:color="auto" w:sz="12" w:space="0"/>
                    <w:right w:val="single" w:color="auto" w:sz="12" w:space="0"/>
                  </w:tcBorders>
                  <w:vAlign w:val="center"/>
                </w:tcPr>
                <w:p w14:paraId="1F306AE1">
                  <w:pPr>
                    <w:jc w:val="center"/>
                    <w:rPr>
                      <w:rFonts w:hint="default"/>
                      <w:highlight w:val="none"/>
                      <w:lang w:val="en-US" w:eastAsia="zh-CN"/>
                    </w:rPr>
                  </w:pPr>
                  <w:r>
                    <w:rPr>
                      <w:rFonts w:hint="eastAsia"/>
                      <w:highlight w:val="none"/>
                      <w:lang w:val="en-US" w:eastAsia="zh-CN"/>
                    </w:rPr>
                    <w:t>废润滑油渗漏、燃烧产物无组织扩散</w:t>
                  </w:r>
                </w:p>
              </w:tc>
            </w:tr>
          </w:tbl>
          <w:p w14:paraId="18B6A82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eastAsia="zh-CN"/>
              </w:rPr>
            </w:pPr>
            <w:r>
              <w:rPr>
                <w:rFonts w:hint="eastAsia"/>
                <w:highlight w:val="none"/>
                <w:lang w:val="en-US" w:eastAsia="zh-CN"/>
              </w:rPr>
              <w:t>2</w:t>
            </w:r>
            <w:r>
              <w:rPr>
                <w:rFonts w:hint="default"/>
                <w:highlight w:val="none"/>
                <w:lang w:val="en-US" w:eastAsia="zh-CN"/>
              </w:rPr>
              <w:t>、风险防范措施及应急要求</w:t>
            </w:r>
          </w:p>
          <w:p w14:paraId="630175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eastAsia="zh-CN"/>
              </w:rPr>
            </w:pPr>
            <w:r>
              <w:rPr>
                <w:rFonts w:hint="default"/>
                <w:highlight w:val="none"/>
                <w:lang w:val="en-US" w:eastAsia="zh-CN"/>
              </w:rPr>
              <w:t>（1</w:t>
            </w:r>
            <w:r>
              <w:rPr>
                <w:rFonts w:hint="eastAsia"/>
                <w:highlight w:val="none"/>
                <w:lang w:val="en-US" w:eastAsia="zh-CN"/>
              </w:rPr>
              <w:t>）</w:t>
            </w:r>
            <w:r>
              <w:rPr>
                <w:rFonts w:hint="default"/>
                <w:highlight w:val="none"/>
                <w:lang w:val="en-US" w:eastAsia="zh-CN"/>
              </w:rPr>
              <w:t>环境风险分析</w:t>
            </w:r>
          </w:p>
          <w:p w14:paraId="670AD8F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eastAsia="zh-CN"/>
              </w:rPr>
            </w:pPr>
            <w:r>
              <w:rPr>
                <w:rFonts w:hint="default"/>
                <w:highlight w:val="none"/>
                <w:lang w:val="en-US" w:eastAsia="zh-CN"/>
              </w:rPr>
              <w:t>根据本项目涉及的原料特性，矿物油（润滑油）、废矿物油（废润滑油）为易燃物质，可能导致泄漏、火灾事故，主要对大气环境产生影响。</w:t>
            </w:r>
          </w:p>
          <w:p w14:paraId="13BC33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（2）风险防范措施</w:t>
            </w:r>
          </w:p>
          <w:p w14:paraId="4788DC1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①根据贮存物质特性和生产车间条件，必须配置相应的消防设备、设施和灭火药剂，并配备经过培训的兼职和专职的消防人员；</w:t>
            </w:r>
          </w:p>
          <w:p w14:paraId="3EA1B80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②按规范划分危险区，保证防火防爆距离；</w:t>
            </w:r>
          </w:p>
          <w:p w14:paraId="49093C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③避免电气和静电火花。设备等都采用工业静电接地措施；建、构筑物均设防雷设施；所有的电缆及电缆桥架选用阻燃型。</w:t>
            </w:r>
          </w:p>
          <w:p w14:paraId="5176C5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（3）应急处置要求</w:t>
            </w:r>
          </w:p>
          <w:p w14:paraId="6B05866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由于环境风险具有突发性和破坏性的特点，所以必须采取切实有效的措施加以防范，加强控制和管理是杜绝、减轻和避免环境风险的最有效办法。</w:t>
            </w:r>
          </w:p>
          <w:p w14:paraId="6CC5763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①泄漏应急处置：</w:t>
            </w:r>
          </w:p>
          <w:p w14:paraId="67DDEDF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厂区制定风险应急措施，当发生润滑油、废润滑油泄漏时，及时采取措施：泄露时，根据液体流动区域设定警戒区，消除所有点火源。构筑围堤收容泄漏物。防止流出车间，用泡沫覆盖泄露物，减少挥发。收容的泄露物转移至专用收集器内。残液用沙土吸收，专用容器收集后送有资质的单位处理。</w:t>
            </w:r>
          </w:p>
          <w:p w14:paraId="1B47FF6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②设置必要消防设备，着火可用手提式灭火器。针对厂内危险物质的使用、储存、处置设置专门的规程，确保所有危险物质的使用、储存、处置的全过程处于安全可控状态。对安全专用设施和设备以及劳防用品，有专人维修和管理，确保设施、设备正常运行和有效使用；专人监督检查各防护装置的运行操作及备品备件的情况，发现问题及时解决。</w:t>
            </w:r>
          </w:p>
          <w:p w14:paraId="04F2795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3、环境风险分析结论</w:t>
            </w:r>
          </w:p>
          <w:p w14:paraId="4D5EE6D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highlight w:val="none"/>
                <w:lang w:val="en-US" w:eastAsia="zh-CN"/>
              </w:rPr>
            </w:pPr>
            <w:r>
              <w:rPr>
                <w:rFonts w:hint="eastAsia"/>
                <w:highlight w:val="none"/>
                <w:lang w:val="en-US" w:eastAsia="zh-CN"/>
              </w:rPr>
              <w:t>采取相应风险防范措施后，可将该项目泄露、火灾、爆炸的概率降至最小，对外环境的影响降至最低，使该项目的建设从环境风险的角度可以达到可接受的程度。</w:t>
            </w:r>
          </w:p>
          <w:p w14:paraId="1BA1580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lang w:val="en-US" w:eastAsia="zh-CN"/>
              </w:rPr>
            </w:pPr>
            <w:r>
              <w:rPr>
                <w:rFonts w:hint="eastAsia"/>
                <w:highlight w:val="none"/>
                <w:lang w:val="en-US" w:eastAsia="zh-CN"/>
              </w:rPr>
              <w:t>八、电磁辐射</w:t>
            </w:r>
          </w:p>
          <w:p w14:paraId="353A2E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highlight w:val="none"/>
              </w:rPr>
            </w:pPr>
            <w:r>
              <w:rPr>
                <w:rFonts w:hint="eastAsia"/>
                <w:highlight w:val="none"/>
                <w:lang w:val="en-US" w:eastAsia="zh-CN"/>
              </w:rPr>
              <w:t>本项目不涉及电磁辐射。</w:t>
            </w:r>
          </w:p>
        </w:tc>
      </w:tr>
    </w:tbl>
    <w:p w14:paraId="3F59CD70">
      <w:pPr>
        <w:adjustRightInd w:val="0"/>
        <w:snapToGrid w:val="0"/>
        <w:spacing w:line="360" w:lineRule="auto"/>
        <w:rPr>
          <w:rFonts w:hint="eastAsia" w:ascii="宋体" w:cs="宋体"/>
          <w:b/>
          <w:kern w:val="0"/>
          <w:sz w:val="28"/>
          <w:szCs w:val="28"/>
          <w:highlight w:val="none"/>
        </w:rPr>
        <w:sectPr>
          <w:pgSz w:w="11907" w:h="16840"/>
          <w:pgMar w:top="1701" w:right="1417" w:bottom="2126" w:left="1417" w:header="851" w:footer="850" w:gutter="0"/>
          <w:pgBorders>
            <w:top w:val="none" w:sz="0" w:space="0"/>
            <w:left w:val="none" w:sz="0" w:space="0"/>
            <w:bottom w:val="none" w:sz="0" w:space="0"/>
            <w:right w:val="none" w:sz="0" w:space="0"/>
          </w:pgBorders>
          <w:pgNumType w:fmt="decimal"/>
          <w:cols w:space="0" w:num="1"/>
          <w:rtlGutter w:val="0"/>
          <w:docGrid w:linePitch="312" w:charSpace="0"/>
        </w:sectPr>
      </w:pPr>
    </w:p>
    <w:p w14:paraId="16783E39">
      <w:pPr>
        <w:pStyle w:val="16"/>
        <w:jc w:val="center"/>
        <w:outlineLvl w:val="0"/>
        <w:rPr>
          <w:rFonts w:ascii="黑体" w:hAnsi="黑体" w:eastAsia="黑体"/>
          <w:snapToGrid w:val="0"/>
          <w:sz w:val="30"/>
          <w:szCs w:val="30"/>
          <w:highlight w:val="none"/>
        </w:rPr>
      </w:pPr>
      <w:r>
        <w:rPr>
          <w:rFonts w:hint="eastAsia" w:ascii="黑体" w:hAnsi="黑体" w:eastAsia="黑体"/>
          <w:snapToGrid w:val="0"/>
          <w:sz w:val="30"/>
          <w:szCs w:val="30"/>
          <w:highlight w:val="none"/>
        </w:rPr>
        <w:t>五、</w:t>
      </w:r>
      <w:bookmarkStart w:id="2" w:name="_Hlk54167917"/>
      <w:r>
        <w:rPr>
          <w:rFonts w:hint="eastAsia" w:ascii="黑体" w:hAnsi="黑体" w:eastAsia="黑体"/>
          <w:snapToGrid w:val="0"/>
          <w:sz w:val="30"/>
          <w:szCs w:val="30"/>
          <w:highlight w:val="none"/>
        </w:rPr>
        <w:t>环境保护措施监督检查清单</w:t>
      </w:r>
      <w:bookmarkEnd w:id="2"/>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323"/>
        <w:gridCol w:w="780"/>
        <w:gridCol w:w="733"/>
        <w:gridCol w:w="1883"/>
        <w:gridCol w:w="2369"/>
      </w:tblGrid>
      <w:tr w14:paraId="76890D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tcBorders>
              <w:tl2br w:val="single" w:color="auto" w:sz="4" w:space="0"/>
            </w:tcBorders>
            <w:noWrap w:val="0"/>
            <w:vAlign w:val="top"/>
          </w:tcPr>
          <w:p w14:paraId="7A593083">
            <w:pPr>
              <w:keepNext w:val="0"/>
              <w:keepLines w:val="0"/>
              <w:pageBreakBefore w:val="0"/>
              <w:widowControl w:val="0"/>
              <w:kinsoku/>
              <w:wordWrap/>
              <w:overflowPunct/>
              <w:topLinePunct w:val="0"/>
              <w:autoSpaceDE/>
              <w:autoSpaceDN/>
              <w:bidi w:val="0"/>
              <w:adjustRightInd w:val="0"/>
              <w:snapToGrid w:val="0"/>
              <w:spacing w:line="320" w:lineRule="exact"/>
              <w:ind w:firstLine="840"/>
              <w:textAlignment w:val="auto"/>
              <w:rPr>
                <w:rFonts w:hint="eastAsia" w:ascii="宋体" w:hAnsi="宋体" w:cs="宋体"/>
                <w:szCs w:val="21"/>
                <w:highlight w:val="none"/>
              </w:rPr>
            </w:pPr>
            <w:r>
              <w:rPr>
                <w:rFonts w:hint="eastAsia" w:ascii="宋体" w:hAnsi="宋体" w:cs="宋体"/>
                <w:szCs w:val="21"/>
                <w:highlight w:val="none"/>
              </w:rPr>
              <w:t>内容</w:t>
            </w:r>
          </w:p>
          <w:p w14:paraId="738C81AA">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宋体" w:hAnsi="宋体" w:cs="宋体"/>
                <w:szCs w:val="21"/>
                <w:highlight w:val="none"/>
              </w:rPr>
            </w:pPr>
            <w:r>
              <w:rPr>
                <w:rFonts w:hint="eastAsia" w:ascii="宋体" w:hAnsi="宋体" w:cs="宋体"/>
                <w:szCs w:val="21"/>
                <w:highlight w:val="none"/>
              </w:rPr>
              <w:t>要素</w:t>
            </w:r>
          </w:p>
        </w:tc>
        <w:tc>
          <w:tcPr>
            <w:tcW w:w="1323" w:type="dxa"/>
            <w:noWrap w:val="0"/>
            <w:vAlign w:val="center"/>
          </w:tcPr>
          <w:p w14:paraId="7D84FBB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r>
              <w:rPr>
                <w:rFonts w:hint="eastAsia" w:ascii="宋体" w:hAnsi="宋体" w:cs="宋体"/>
                <w:szCs w:val="21"/>
                <w:highlight w:val="none"/>
              </w:rPr>
              <w:t>排放口(编号、名称)/污染源</w:t>
            </w:r>
          </w:p>
        </w:tc>
        <w:tc>
          <w:tcPr>
            <w:tcW w:w="780" w:type="dxa"/>
            <w:noWrap w:val="0"/>
            <w:vAlign w:val="center"/>
          </w:tcPr>
          <w:p w14:paraId="2BD072F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排污环节</w:t>
            </w:r>
          </w:p>
        </w:tc>
        <w:tc>
          <w:tcPr>
            <w:tcW w:w="733" w:type="dxa"/>
            <w:noWrap w:val="0"/>
            <w:vAlign w:val="center"/>
          </w:tcPr>
          <w:p w14:paraId="5EB4D2E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r>
              <w:rPr>
                <w:rFonts w:hint="eastAsia" w:ascii="宋体" w:hAnsi="宋体" w:cs="宋体"/>
                <w:szCs w:val="21"/>
                <w:highlight w:val="none"/>
              </w:rPr>
              <w:t>污染物项目</w:t>
            </w:r>
          </w:p>
        </w:tc>
        <w:tc>
          <w:tcPr>
            <w:tcW w:w="1883" w:type="dxa"/>
            <w:noWrap w:val="0"/>
            <w:vAlign w:val="center"/>
          </w:tcPr>
          <w:p w14:paraId="5DA7B1B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r>
              <w:rPr>
                <w:rFonts w:hint="eastAsia" w:ascii="宋体" w:hAnsi="宋体" w:cs="宋体"/>
                <w:szCs w:val="21"/>
                <w:highlight w:val="none"/>
              </w:rPr>
              <w:t>环境保护措施</w:t>
            </w:r>
          </w:p>
        </w:tc>
        <w:tc>
          <w:tcPr>
            <w:tcW w:w="2369" w:type="dxa"/>
            <w:noWrap w:val="0"/>
            <w:vAlign w:val="center"/>
          </w:tcPr>
          <w:p w14:paraId="74875D3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r>
              <w:rPr>
                <w:rFonts w:hint="eastAsia" w:ascii="宋体" w:hAnsi="宋体" w:cs="宋体"/>
                <w:szCs w:val="21"/>
                <w:highlight w:val="none"/>
              </w:rPr>
              <w:t>执行标准</w:t>
            </w:r>
          </w:p>
        </w:tc>
      </w:tr>
      <w:tr w14:paraId="48E8F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restart"/>
            <w:noWrap w:val="0"/>
            <w:vAlign w:val="center"/>
          </w:tcPr>
          <w:p w14:paraId="0788B6F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r>
              <w:rPr>
                <w:rFonts w:hint="eastAsia" w:ascii="宋体" w:hAnsi="宋体" w:cs="宋体"/>
                <w:szCs w:val="21"/>
                <w:highlight w:val="none"/>
              </w:rPr>
              <w:t>大气环境</w:t>
            </w:r>
          </w:p>
        </w:tc>
        <w:tc>
          <w:tcPr>
            <w:tcW w:w="1323" w:type="dxa"/>
            <w:vMerge w:val="restart"/>
            <w:noWrap w:val="0"/>
            <w:vAlign w:val="center"/>
          </w:tcPr>
          <w:p w14:paraId="61D77B0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DA008</w:t>
            </w:r>
          </w:p>
        </w:tc>
        <w:tc>
          <w:tcPr>
            <w:tcW w:w="780" w:type="dxa"/>
            <w:noWrap w:val="0"/>
            <w:vAlign w:val="center"/>
          </w:tcPr>
          <w:p w14:paraId="0001EBD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上料</w:t>
            </w:r>
          </w:p>
        </w:tc>
        <w:tc>
          <w:tcPr>
            <w:tcW w:w="733" w:type="dxa"/>
            <w:vMerge w:val="restart"/>
            <w:noWrap w:val="0"/>
            <w:vAlign w:val="center"/>
          </w:tcPr>
          <w:p w14:paraId="3ADA6F4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颗粒物</w:t>
            </w:r>
          </w:p>
        </w:tc>
        <w:tc>
          <w:tcPr>
            <w:tcW w:w="1883" w:type="dxa"/>
            <w:vMerge w:val="restart"/>
            <w:noWrap w:val="0"/>
            <w:vAlign w:val="center"/>
          </w:tcPr>
          <w:p w14:paraId="27BE2A1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脉冲布袋除尘器+</w:t>
            </w:r>
            <w:r>
              <w:rPr>
                <w:rFonts w:hint="eastAsia" w:ascii="Times New Roman" w:hAnsi="Times New Roman" w:cs="Times New Roman"/>
                <w:szCs w:val="21"/>
                <w:highlight w:val="none"/>
                <w:lang w:val="en-US" w:eastAsia="zh-CN"/>
              </w:rPr>
              <w:t>15m</w:t>
            </w:r>
            <w:r>
              <w:rPr>
                <w:rFonts w:hint="eastAsia" w:ascii="宋体" w:hAnsi="宋体" w:cs="宋体"/>
                <w:szCs w:val="21"/>
                <w:highlight w:val="none"/>
                <w:lang w:val="en-US" w:eastAsia="zh-CN"/>
              </w:rPr>
              <w:t>高排气筒（</w:t>
            </w:r>
            <w:r>
              <w:rPr>
                <w:rFonts w:hint="eastAsia" w:cs="Times New Roman"/>
                <w:szCs w:val="21"/>
                <w:highlight w:val="none"/>
                <w:lang w:val="en-US" w:eastAsia="zh-CN"/>
              </w:rPr>
              <w:t>17000</w:t>
            </w:r>
            <w:r>
              <w:rPr>
                <w:rFonts w:hint="default" w:ascii="Times New Roman" w:hAnsi="Times New Roman" w:cs="Times New Roman"/>
                <w:szCs w:val="21"/>
                <w:highlight w:val="none"/>
                <w:lang w:val="en-US" w:eastAsia="zh-CN"/>
              </w:rPr>
              <w:t>m³</w:t>
            </w:r>
            <w:r>
              <w:rPr>
                <w:rFonts w:hint="eastAsia" w:ascii="宋体" w:hAnsi="宋体" w:cs="宋体"/>
                <w:szCs w:val="21"/>
                <w:highlight w:val="none"/>
                <w:lang w:val="en-US" w:eastAsia="zh-CN"/>
              </w:rPr>
              <w:t>/h）</w:t>
            </w:r>
          </w:p>
        </w:tc>
        <w:tc>
          <w:tcPr>
            <w:tcW w:w="2369" w:type="dxa"/>
            <w:vMerge w:val="restart"/>
            <w:noWrap w:val="0"/>
            <w:vAlign w:val="center"/>
          </w:tcPr>
          <w:p w14:paraId="5A9290E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cs="宋体"/>
                <w:szCs w:val="21"/>
                <w:highlight w:val="none"/>
                <w:lang w:val="en-US"/>
              </w:rPr>
            </w:pPr>
            <w:r>
              <w:rPr>
                <w:rFonts w:hint="eastAsia" w:ascii="Times New Roman" w:hAnsi="Times New Roman" w:cs="Times New Roman"/>
                <w:snapToGrid w:val="0"/>
                <w:kern w:val="0"/>
                <w:sz w:val="21"/>
                <w:szCs w:val="21"/>
                <w:highlight w:val="none"/>
                <w:lang w:val="en-US" w:eastAsia="zh-CN"/>
              </w:rPr>
              <w:t>《水泥工业大气污染物排放标准》（DB 13/ 2167—2015）中表</w:t>
            </w:r>
            <w:r>
              <w:rPr>
                <w:rFonts w:hint="eastAsia" w:cs="Times New Roman"/>
                <w:snapToGrid w:val="0"/>
                <w:kern w:val="0"/>
                <w:sz w:val="21"/>
                <w:szCs w:val="21"/>
                <w:highlight w:val="none"/>
                <w:lang w:val="en-US" w:eastAsia="zh-CN"/>
              </w:rPr>
              <w:t>1</w:t>
            </w:r>
            <w:r>
              <w:rPr>
                <w:rFonts w:hint="eastAsia" w:ascii="Times New Roman" w:hAnsi="Times New Roman" w:cs="Times New Roman"/>
                <w:snapToGrid w:val="0"/>
                <w:kern w:val="0"/>
                <w:sz w:val="21"/>
                <w:szCs w:val="21"/>
                <w:highlight w:val="none"/>
                <w:lang w:val="en-US" w:eastAsia="zh-CN"/>
              </w:rPr>
              <w:t>排放限值</w:t>
            </w:r>
          </w:p>
        </w:tc>
      </w:tr>
      <w:tr w14:paraId="5CB66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continue"/>
            <w:noWrap w:val="0"/>
            <w:vAlign w:val="center"/>
          </w:tcPr>
          <w:p w14:paraId="7516764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p>
        </w:tc>
        <w:tc>
          <w:tcPr>
            <w:tcW w:w="1323" w:type="dxa"/>
            <w:vMerge w:val="continue"/>
            <w:noWrap w:val="0"/>
            <w:vAlign w:val="center"/>
          </w:tcPr>
          <w:p w14:paraId="0425FAF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780" w:type="dxa"/>
            <w:noWrap w:val="0"/>
            <w:vAlign w:val="center"/>
          </w:tcPr>
          <w:p w14:paraId="20A6411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搅拌</w:t>
            </w:r>
          </w:p>
        </w:tc>
        <w:tc>
          <w:tcPr>
            <w:tcW w:w="733" w:type="dxa"/>
            <w:vMerge w:val="continue"/>
            <w:noWrap w:val="0"/>
            <w:vAlign w:val="center"/>
          </w:tcPr>
          <w:p w14:paraId="1B0E3DA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1883" w:type="dxa"/>
            <w:vMerge w:val="continue"/>
            <w:noWrap w:val="0"/>
            <w:vAlign w:val="center"/>
          </w:tcPr>
          <w:p w14:paraId="7D9B168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2369" w:type="dxa"/>
            <w:vMerge w:val="continue"/>
            <w:noWrap w:val="0"/>
            <w:vAlign w:val="center"/>
          </w:tcPr>
          <w:p w14:paraId="615A30B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highlight w:val="none"/>
                <w:lang w:val="en-US" w:eastAsia="zh-CN"/>
              </w:rPr>
            </w:pPr>
          </w:p>
        </w:tc>
      </w:tr>
      <w:tr w14:paraId="230C95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continue"/>
            <w:noWrap w:val="0"/>
            <w:vAlign w:val="center"/>
          </w:tcPr>
          <w:p w14:paraId="6EB537A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highlight w:val="none"/>
              </w:rPr>
            </w:pPr>
          </w:p>
        </w:tc>
        <w:tc>
          <w:tcPr>
            <w:tcW w:w="1323" w:type="dxa"/>
            <w:vMerge w:val="continue"/>
            <w:noWrap w:val="0"/>
            <w:vAlign w:val="center"/>
          </w:tcPr>
          <w:p w14:paraId="5539CE5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highlight w:val="none"/>
              </w:rPr>
            </w:pPr>
          </w:p>
        </w:tc>
        <w:tc>
          <w:tcPr>
            <w:tcW w:w="780" w:type="dxa"/>
            <w:noWrap w:val="0"/>
            <w:vAlign w:val="center"/>
          </w:tcPr>
          <w:p w14:paraId="303A3AB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打孔切割</w:t>
            </w:r>
          </w:p>
        </w:tc>
        <w:tc>
          <w:tcPr>
            <w:tcW w:w="733" w:type="dxa"/>
            <w:vMerge w:val="continue"/>
            <w:noWrap w:val="0"/>
            <w:vAlign w:val="center"/>
          </w:tcPr>
          <w:p w14:paraId="77C6FB0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1883" w:type="dxa"/>
            <w:vMerge w:val="continue"/>
            <w:noWrap w:val="0"/>
            <w:vAlign w:val="center"/>
          </w:tcPr>
          <w:p w14:paraId="19EB8F5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2369" w:type="dxa"/>
            <w:vMerge w:val="continue"/>
            <w:noWrap w:val="0"/>
            <w:vAlign w:val="center"/>
          </w:tcPr>
          <w:p w14:paraId="5F6313E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r>
      <w:tr w14:paraId="338D73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continue"/>
            <w:noWrap w:val="0"/>
            <w:vAlign w:val="center"/>
          </w:tcPr>
          <w:p w14:paraId="34198F56">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p>
        </w:tc>
        <w:tc>
          <w:tcPr>
            <w:tcW w:w="1323" w:type="dxa"/>
            <w:noWrap w:val="0"/>
            <w:vAlign w:val="center"/>
          </w:tcPr>
          <w:p w14:paraId="43AB5B9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厂界</w:t>
            </w:r>
          </w:p>
        </w:tc>
        <w:tc>
          <w:tcPr>
            <w:tcW w:w="1513" w:type="dxa"/>
            <w:gridSpan w:val="2"/>
            <w:noWrap w:val="0"/>
            <w:vAlign w:val="center"/>
          </w:tcPr>
          <w:p w14:paraId="1617447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颗粒物</w:t>
            </w:r>
          </w:p>
        </w:tc>
        <w:tc>
          <w:tcPr>
            <w:tcW w:w="1883" w:type="dxa"/>
            <w:noWrap w:val="0"/>
            <w:vAlign w:val="center"/>
          </w:tcPr>
          <w:p w14:paraId="30C1153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车间封闭、设备全封闭生产、厂区地面硬化</w:t>
            </w:r>
          </w:p>
        </w:tc>
        <w:tc>
          <w:tcPr>
            <w:tcW w:w="2369" w:type="dxa"/>
            <w:noWrap w:val="0"/>
            <w:vAlign w:val="center"/>
          </w:tcPr>
          <w:p w14:paraId="633837DA">
            <w:pPr>
              <w:pStyle w:val="2"/>
              <w:keepNext w:val="0"/>
              <w:keepLines w:val="0"/>
              <w:pageBreakBefore w:val="0"/>
              <w:widowControl w:val="0"/>
              <w:kinsoku/>
              <w:wordWrap/>
              <w:overflowPunct/>
              <w:topLinePunct w:val="0"/>
              <w:autoSpaceDE/>
              <w:autoSpaceDN/>
              <w:bidi w:val="0"/>
              <w:spacing w:line="320" w:lineRule="exact"/>
              <w:textAlignment w:val="auto"/>
              <w:rPr>
                <w:rFonts w:hint="eastAsia"/>
                <w:highlight w:val="none"/>
              </w:rPr>
            </w:pPr>
            <w:r>
              <w:rPr>
                <w:rFonts w:hint="eastAsia" w:ascii="Times New Roman" w:hAnsi="Times New Roman" w:cs="Times New Roman"/>
                <w:snapToGrid w:val="0"/>
                <w:kern w:val="0"/>
                <w:sz w:val="21"/>
                <w:szCs w:val="21"/>
                <w:highlight w:val="none"/>
                <w:lang w:val="en-US" w:eastAsia="zh-CN"/>
              </w:rPr>
              <w:t>《水泥工业大气污染物排放标准》（DB 13/ 2167—2015）中表2排放限值</w:t>
            </w:r>
          </w:p>
        </w:tc>
      </w:tr>
      <w:tr w14:paraId="1DD5E6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restart"/>
            <w:noWrap w:val="0"/>
            <w:vAlign w:val="center"/>
          </w:tcPr>
          <w:p w14:paraId="15D649D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r>
              <w:rPr>
                <w:rFonts w:hint="eastAsia" w:ascii="宋体" w:hAnsi="宋体" w:cs="宋体"/>
                <w:szCs w:val="21"/>
                <w:highlight w:val="none"/>
              </w:rPr>
              <w:t>地表水环境</w:t>
            </w:r>
          </w:p>
        </w:tc>
        <w:tc>
          <w:tcPr>
            <w:tcW w:w="1323" w:type="dxa"/>
            <w:noWrap w:val="0"/>
            <w:vAlign w:val="center"/>
          </w:tcPr>
          <w:p w14:paraId="6FB8122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生产废水</w:t>
            </w:r>
          </w:p>
        </w:tc>
        <w:tc>
          <w:tcPr>
            <w:tcW w:w="1513" w:type="dxa"/>
            <w:gridSpan w:val="2"/>
            <w:noWrap w:val="0"/>
            <w:vAlign w:val="center"/>
          </w:tcPr>
          <w:p w14:paraId="7F31085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tc>
        <w:tc>
          <w:tcPr>
            <w:tcW w:w="1883" w:type="dxa"/>
            <w:noWrap w:val="0"/>
            <w:vAlign w:val="center"/>
          </w:tcPr>
          <w:p w14:paraId="66E3F73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highlight w:val="none"/>
                <w:lang w:val="en-US" w:eastAsia="zh-CN"/>
              </w:rPr>
            </w:pPr>
            <w:r>
              <w:rPr>
                <w:rFonts w:hint="eastAsia"/>
                <w:highlight w:val="none"/>
                <w:lang w:val="en-US" w:eastAsia="zh-CN"/>
              </w:rPr>
              <w:t>生产废水主要包括裁切、打孔、切割产生的废水，排入沉淀池，循环使用，不外排</w:t>
            </w:r>
          </w:p>
        </w:tc>
        <w:tc>
          <w:tcPr>
            <w:tcW w:w="2369" w:type="dxa"/>
            <w:noWrap w:val="0"/>
            <w:vAlign w:val="center"/>
          </w:tcPr>
          <w:p w14:paraId="3324FFE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cs="宋体"/>
                <w:szCs w:val="21"/>
                <w:highlight w:val="none"/>
                <w:lang w:val="en-US" w:eastAsia="zh-CN"/>
              </w:rPr>
            </w:pPr>
            <w:r>
              <w:rPr>
                <w:rFonts w:hint="eastAsia" w:ascii="宋体" w:hAnsi="宋体" w:cs="宋体"/>
                <w:szCs w:val="21"/>
                <w:highlight w:val="none"/>
                <w:lang w:val="en-US" w:eastAsia="zh-CN"/>
              </w:rPr>
              <w:t>/</w:t>
            </w:r>
          </w:p>
        </w:tc>
      </w:tr>
      <w:tr w14:paraId="4F2E45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continue"/>
            <w:noWrap w:val="0"/>
            <w:vAlign w:val="center"/>
          </w:tcPr>
          <w:p w14:paraId="1050C10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p>
        </w:tc>
        <w:tc>
          <w:tcPr>
            <w:tcW w:w="1323" w:type="dxa"/>
            <w:noWrap w:val="0"/>
            <w:vAlign w:val="center"/>
          </w:tcPr>
          <w:p w14:paraId="66DE5B2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生活污水</w:t>
            </w:r>
          </w:p>
        </w:tc>
        <w:tc>
          <w:tcPr>
            <w:tcW w:w="1513" w:type="dxa"/>
            <w:gridSpan w:val="2"/>
            <w:noWrap w:val="0"/>
            <w:vAlign w:val="center"/>
          </w:tcPr>
          <w:p w14:paraId="5F95BB4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w:t>
            </w:r>
          </w:p>
        </w:tc>
        <w:tc>
          <w:tcPr>
            <w:tcW w:w="1883" w:type="dxa"/>
            <w:noWrap w:val="0"/>
            <w:vAlign w:val="center"/>
          </w:tcPr>
          <w:p w14:paraId="34C5A58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Cs w:val="21"/>
                <w:highlight w:val="none"/>
                <w:lang w:val="en-US" w:eastAsia="zh-CN"/>
              </w:rPr>
            </w:pPr>
            <w:r>
              <w:rPr>
                <w:rFonts w:hint="eastAsia"/>
                <w:highlight w:val="none"/>
                <w:lang w:val="en-US" w:eastAsia="zh-CN"/>
              </w:rPr>
              <w:t>员工由厂内调剂，不新增劳动定员，不新增生活废水</w:t>
            </w:r>
          </w:p>
        </w:tc>
        <w:tc>
          <w:tcPr>
            <w:tcW w:w="2369" w:type="dxa"/>
            <w:noWrap w:val="0"/>
            <w:vAlign w:val="center"/>
          </w:tcPr>
          <w:p w14:paraId="3463114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w:t>
            </w:r>
          </w:p>
        </w:tc>
      </w:tr>
      <w:tr w14:paraId="66CA6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restart"/>
            <w:noWrap w:val="0"/>
            <w:vAlign w:val="center"/>
          </w:tcPr>
          <w:p w14:paraId="783D085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r>
              <w:rPr>
                <w:rFonts w:hint="eastAsia" w:ascii="宋体" w:hAnsi="宋体" w:cs="宋体"/>
                <w:szCs w:val="21"/>
                <w:highlight w:val="none"/>
                <w:lang w:val="en-US" w:eastAsia="zh-CN"/>
              </w:rPr>
              <w:t xml:space="preserve"> </w:t>
            </w:r>
            <w:r>
              <w:rPr>
                <w:rFonts w:hint="eastAsia" w:ascii="宋体" w:hAnsi="宋体" w:cs="宋体"/>
                <w:szCs w:val="21"/>
                <w:highlight w:val="none"/>
              </w:rPr>
              <w:t>声环境</w:t>
            </w:r>
          </w:p>
        </w:tc>
        <w:tc>
          <w:tcPr>
            <w:tcW w:w="1323" w:type="dxa"/>
            <w:noWrap w:val="0"/>
            <w:vAlign w:val="center"/>
          </w:tcPr>
          <w:p w14:paraId="7C9B2827">
            <w:pPr>
              <w:widowControl/>
              <w:spacing w:line="0" w:lineRule="atLeast"/>
              <w:jc w:val="center"/>
              <w:textAlignment w:val="cente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上料风机</w:t>
            </w:r>
          </w:p>
        </w:tc>
        <w:tc>
          <w:tcPr>
            <w:tcW w:w="1513" w:type="dxa"/>
            <w:gridSpan w:val="2"/>
            <w:vMerge w:val="restart"/>
            <w:noWrap w:val="0"/>
            <w:vAlign w:val="center"/>
          </w:tcPr>
          <w:p w14:paraId="18CBF55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噪声</w:t>
            </w:r>
          </w:p>
        </w:tc>
        <w:tc>
          <w:tcPr>
            <w:tcW w:w="1883" w:type="dxa"/>
            <w:vMerge w:val="restart"/>
            <w:noWrap w:val="0"/>
            <w:vAlign w:val="center"/>
          </w:tcPr>
          <w:p w14:paraId="68B1915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厂房隔音</w:t>
            </w:r>
          </w:p>
          <w:p w14:paraId="77BCE89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kern w:val="2"/>
                <w:sz w:val="21"/>
                <w:szCs w:val="21"/>
                <w:highlight w:val="none"/>
                <w:lang w:val="en-US" w:eastAsia="zh-CN" w:bidi="ar-SA"/>
              </w:rPr>
            </w:pPr>
            <w:r>
              <w:rPr>
                <w:rFonts w:hint="eastAsia" w:ascii="宋体" w:hAnsi="宋体" w:cs="宋体"/>
                <w:szCs w:val="21"/>
                <w:highlight w:val="none"/>
                <w:lang w:val="en-US" w:eastAsia="zh-CN"/>
              </w:rPr>
              <w:t>+基础减震</w:t>
            </w:r>
          </w:p>
        </w:tc>
        <w:tc>
          <w:tcPr>
            <w:tcW w:w="2369" w:type="dxa"/>
            <w:vMerge w:val="restart"/>
            <w:noWrap w:val="0"/>
            <w:vAlign w:val="center"/>
          </w:tcPr>
          <w:p w14:paraId="773DA15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kern w:val="2"/>
                <w:sz w:val="21"/>
                <w:szCs w:val="21"/>
                <w:highlight w:val="none"/>
                <w:lang w:val="en-US" w:eastAsia="zh-CN" w:bidi="ar-SA"/>
              </w:rPr>
            </w:pPr>
            <w:r>
              <w:rPr>
                <w:rFonts w:hint="default" w:ascii="Times New Roman" w:hAnsi="Times New Roman" w:eastAsia="宋体" w:cs="Times New Roman"/>
                <w:sz w:val="21"/>
                <w:szCs w:val="21"/>
                <w:highlight w:val="none"/>
              </w:rPr>
              <w:t>《工业企业厂界环境噪声排放标准》（GB12348-2008）</w:t>
            </w:r>
            <w:r>
              <w:rPr>
                <w:rFonts w:hint="eastAsia" w:cs="Times New Roman"/>
                <w:sz w:val="21"/>
                <w:szCs w:val="21"/>
                <w:highlight w:val="none"/>
                <w:lang w:val="en-US" w:eastAsia="zh-CN"/>
              </w:rPr>
              <w:t>2</w:t>
            </w:r>
            <w:r>
              <w:rPr>
                <w:rFonts w:hint="default" w:ascii="Times New Roman" w:hAnsi="Times New Roman" w:eastAsia="宋体" w:cs="Times New Roman"/>
                <w:sz w:val="21"/>
                <w:szCs w:val="21"/>
                <w:highlight w:val="none"/>
              </w:rPr>
              <w:t>类</w:t>
            </w:r>
            <w:r>
              <w:rPr>
                <w:rFonts w:hint="eastAsia" w:cs="Times New Roman"/>
                <w:sz w:val="21"/>
                <w:szCs w:val="21"/>
                <w:highlight w:val="none"/>
                <w:lang w:val="en-US" w:eastAsia="zh-CN"/>
              </w:rPr>
              <w:t>标准</w:t>
            </w:r>
          </w:p>
        </w:tc>
      </w:tr>
      <w:tr w14:paraId="5EF62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continue"/>
            <w:noWrap w:val="0"/>
            <w:vAlign w:val="center"/>
          </w:tcPr>
          <w:p w14:paraId="7676CA5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p>
        </w:tc>
        <w:tc>
          <w:tcPr>
            <w:tcW w:w="1323" w:type="dxa"/>
            <w:noWrap w:val="0"/>
            <w:vAlign w:val="center"/>
          </w:tcPr>
          <w:p w14:paraId="2D55FA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搅拌机</w:t>
            </w:r>
          </w:p>
        </w:tc>
        <w:tc>
          <w:tcPr>
            <w:tcW w:w="1513" w:type="dxa"/>
            <w:gridSpan w:val="2"/>
            <w:vMerge w:val="continue"/>
            <w:noWrap w:val="0"/>
            <w:vAlign w:val="center"/>
          </w:tcPr>
          <w:p w14:paraId="1E677D2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1883" w:type="dxa"/>
            <w:vMerge w:val="continue"/>
            <w:noWrap w:val="0"/>
            <w:vAlign w:val="center"/>
          </w:tcPr>
          <w:p w14:paraId="6EFBAC4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2369" w:type="dxa"/>
            <w:vMerge w:val="continue"/>
            <w:noWrap w:val="0"/>
            <w:vAlign w:val="center"/>
          </w:tcPr>
          <w:p w14:paraId="2888007A">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宋体" w:cs="Times New Roman"/>
                <w:sz w:val="21"/>
                <w:szCs w:val="21"/>
                <w:highlight w:val="none"/>
              </w:rPr>
            </w:pPr>
          </w:p>
        </w:tc>
      </w:tr>
      <w:tr w14:paraId="55B7FA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continue"/>
            <w:noWrap w:val="0"/>
            <w:vAlign w:val="center"/>
          </w:tcPr>
          <w:p w14:paraId="052005C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p>
        </w:tc>
        <w:tc>
          <w:tcPr>
            <w:tcW w:w="1323" w:type="dxa"/>
            <w:noWrap w:val="0"/>
            <w:vAlign w:val="center"/>
          </w:tcPr>
          <w:p w14:paraId="2EB009B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裁切机</w:t>
            </w:r>
          </w:p>
        </w:tc>
        <w:tc>
          <w:tcPr>
            <w:tcW w:w="1513" w:type="dxa"/>
            <w:gridSpan w:val="2"/>
            <w:vMerge w:val="continue"/>
            <w:noWrap w:val="0"/>
            <w:vAlign w:val="center"/>
          </w:tcPr>
          <w:p w14:paraId="20E8804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1883" w:type="dxa"/>
            <w:vMerge w:val="continue"/>
            <w:noWrap w:val="0"/>
            <w:vAlign w:val="center"/>
          </w:tcPr>
          <w:p w14:paraId="6B775D2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2369" w:type="dxa"/>
            <w:vMerge w:val="continue"/>
            <w:noWrap w:val="0"/>
            <w:vAlign w:val="center"/>
          </w:tcPr>
          <w:p w14:paraId="1AD31C40">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宋体" w:cs="Times New Roman"/>
                <w:sz w:val="21"/>
                <w:szCs w:val="21"/>
                <w:highlight w:val="none"/>
              </w:rPr>
            </w:pPr>
          </w:p>
        </w:tc>
      </w:tr>
      <w:tr w14:paraId="782D90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continue"/>
            <w:noWrap w:val="0"/>
            <w:vAlign w:val="center"/>
          </w:tcPr>
          <w:p w14:paraId="07BB9A62">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p>
        </w:tc>
        <w:tc>
          <w:tcPr>
            <w:tcW w:w="1323" w:type="dxa"/>
            <w:noWrap w:val="0"/>
            <w:vAlign w:val="center"/>
          </w:tcPr>
          <w:p w14:paraId="59986D2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空压机</w:t>
            </w:r>
          </w:p>
        </w:tc>
        <w:tc>
          <w:tcPr>
            <w:tcW w:w="1513" w:type="dxa"/>
            <w:gridSpan w:val="2"/>
            <w:vMerge w:val="continue"/>
            <w:noWrap w:val="0"/>
            <w:vAlign w:val="center"/>
          </w:tcPr>
          <w:p w14:paraId="6763DBC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1883" w:type="dxa"/>
            <w:vMerge w:val="continue"/>
            <w:noWrap w:val="0"/>
            <w:vAlign w:val="center"/>
          </w:tcPr>
          <w:p w14:paraId="113FEA5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2369" w:type="dxa"/>
            <w:vMerge w:val="continue"/>
            <w:noWrap w:val="0"/>
            <w:vAlign w:val="center"/>
          </w:tcPr>
          <w:p w14:paraId="65B54CF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宋体" w:cs="Times New Roman"/>
                <w:sz w:val="21"/>
                <w:szCs w:val="21"/>
                <w:highlight w:val="none"/>
              </w:rPr>
            </w:pPr>
          </w:p>
        </w:tc>
      </w:tr>
      <w:tr w14:paraId="5E8287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continue"/>
            <w:noWrap w:val="0"/>
            <w:vAlign w:val="center"/>
          </w:tcPr>
          <w:p w14:paraId="433CA15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p>
        </w:tc>
        <w:tc>
          <w:tcPr>
            <w:tcW w:w="1323" w:type="dxa"/>
            <w:noWrap w:val="0"/>
            <w:vAlign w:val="center"/>
          </w:tcPr>
          <w:p w14:paraId="3604371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自动打孔机</w:t>
            </w:r>
          </w:p>
        </w:tc>
        <w:tc>
          <w:tcPr>
            <w:tcW w:w="1513" w:type="dxa"/>
            <w:gridSpan w:val="2"/>
            <w:vMerge w:val="continue"/>
            <w:noWrap w:val="0"/>
            <w:vAlign w:val="center"/>
          </w:tcPr>
          <w:p w14:paraId="5A6F8D2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1883" w:type="dxa"/>
            <w:vMerge w:val="continue"/>
            <w:noWrap w:val="0"/>
            <w:vAlign w:val="center"/>
          </w:tcPr>
          <w:p w14:paraId="097F6F9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2369" w:type="dxa"/>
            <w:vMerge w:val="continue"/>
            <w:noWrap w:val="0"/>
            <w:vAlign w:val="center"/>
          </w:tcPr>
          <w:p w14:paraId="2EA9C5F3">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宋体" w:cs="Times New Roman"/>
                <w:sz w:val="21"/>
                <w:szCs w:val="21"/>
                <w:highlight w:val="none"/>
              </w:rPr>
            </w:pPr>
          </w:p>
        </w:tc>
      </w:tr>
      <w:tr w14:paraId="233E01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continue"/>
            <w:noWrap w:val="0"/>
            <w:vAlign w:val="center"/>
          </w:tcPr>
          <w:p w14:paraId="24EFDED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p>
        </w:tc>
        <w:tc>
          <w:tcPr>
            <w:tcW w:w="1323" w:type="dxa"/>
            <w:noWrap w:val="0"/>
            <w:vAlign w:val="center"/>
          </w:tcPr>
          <w:p w14:paraId="4EB30C0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切割机</w:t>
            </w:r>
          </w:p>
        </w:tc>
        <w:tc>
          <w:tcPr>
            <w:tcW w:w="1513" w:type="dxa"/>
            <w:gridSpan w:val="2"/>
            <w:vMerge w:val="continue"/>
            <w:noWrap w:val="0"/>
            <w:vAlign w:val="center"/>
          </w:tcPr>
          <w:p w14:paraId="2CB0299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1883" w:type="dxa"/>
            <w:vMerge w:val="continue"/>
            <w:noWrap w:val="0"/>
            <w:vAlign w:val="center"/>
          </w:tcPr>
          <w:p w14:paraId="53FE46F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2369" w:type="dxa"/>
            <w:vMerge w:val="continue"/>
            <w:noWrap w:val="0"/>
            <w:vAlign w:val="center"/>
          </w:tcPr>
          <w:p w14:paraId="5CCA532F">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宋体" w:cs="Times New Roman"/>
                <w:sz w:val="21"/>
                <w:szCs w:val="21"/>
                <w:highlight w:val="none"/>
              </w:rPr>
            </w:pPr>
          </w:p>
        </w:tc>
      </w:tr>
      <w:tr w14:paraId="783D97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vMerge w:val="continue"/>
            <w:noWrap w:val="0"/>
            <w:vAlign w:val="center"/>
          </w:tcPr>
          <w:p w14:paraId="1A2B87E1">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p>
        </w:tc>
        <w:tc>
          <w:tcPr>
            <w:tcW w:w="1323" w:type="dxa"/>
            <w:noWrap w:val="0"/>
            <w:vAlign w:val="center"/>
          </w:tcPr>
          <w:p w14:paraId="71C209D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除尘器风机</w:t>
            </w:r>
          </w:p>
        </w:tc>
        <w:tc>
          <w:tcPr>
            <w:tcW w:w="1513" w:type="dxa"/>
            <w:gridSpan w:val="2"/>
            <w:vMerge w:val="continue"/>
            <w:noWrap w:val="0"/>
            <w:vAlign w:val="center"/>
          </w:tcPr>
          <w:p w14:paraId="727C516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1883" w:type="dxa"/>
            <w:vMerge w:val="continue"/>
            <w:noWrap w:val="0"/>
            <w:vAlign w:val="center"/>
          </w:tcPr>
          <w:p w14:paraId="6A6755C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lang w:val="en-US" w:eastAsia="zh-CN"/>
              </w:rPr>
            </w:pPr>
          </w:p>
        </w:tc>
        <w:tc>
          <w:tcPr>
            <w:tcW w:w="2369" w:type="dxa"/>
            <w:vMerge w:val="continue"/>
            <w:noWrap w:val="0"/>
            <w:vAlign w:val="center"/>
          </w:tcPr>
          <w:p w14:paraId="55C02574">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宋体" w:cs="Times New Roman"/>
                <w:sz w:val="21"/>
                <w:szCs w:val="21"/>
                <w:highlight w:val="none"/>
              </w:rPr>
            </w:pPr>
          </w:p>
        </w:tc>
      </w:tr>
      <w:tr w14:paraId="1539B3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noWrap w:val="0"/>
            <w:vAlign w:val="center"/>
          </w:tcPr>
          <w:p w14:paraId="513DB585">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r>
              <w:rPr>
                <w:rFonts w:hint="eastAsia" w:ascii="宋体" w:hAnsi="宋体" w:cs="宋体"/>
                <w:szCs w:val="21"/>
                <w:highlight w:val="none"/>
              </w:rPr>
              <w:t>固体废物</w:t>
            </w:r>
          </w:p>
        </w:tc>
        <w:tc>
          <w:tcPr>
            <w:tcW w:w="7088" w:type="dxa"/>
            <w:gridSpan w:val="5"/>
            <w:noWrap w:val="0"/>
            <w:vAlign w:val="center"/>
          </w:tcPr>
          <w:p w14:paraId="3BB27CB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cs="宋体"/>
                <w:szCs w:val="21"/>
                <w:highlight w:val="none"/>
              </w:rPr>
            </w:pPr>
            <w:r>
              <w:rPr>
                <w:rFonts w:hint="eastAsia"/>
                <w:highlight w:val="none"/>
                <w:lang w:val="en-US" w:eastAsia="zh-CN"/>
              </w:rPr>
              <w:t>上料工序产生的包装袋循环使用，废包装袋集中收集，外卖废品回收站；复合板材工序产生的废砂浆，用铁铲及时收集再利用于复合板材加工中；复合板材产生的凝固砂浆废料和打孔、切割过程产生的废下脚料收集于吨包袋内，外卖于保温板生产厂；除尘器产生的除尘灰用于回用砂浆生产中；沉淀池产生的凝固砂浆废料定期清掏，收集于吨包袋内，外卖于保温板生产厂；沉淀池产生的悬浮挤塑板下脚料，收集于吨包袋内，由环卫部门统一处理；</w:t>
            </w:r>
            <w:r>
              <w:rPr>
                <w:rFonts w:hint="default"/>
                <w:highlight w:val="none"/>
              </w:rPr>
              <w:t>废润滑油</w:t>
            </w:r>
            <w:r>
              <w:rPr>
                <w:rFonts w:hint="eastAsia"/>
                <w:highlight w:val="none"/>
                <w:lang w:eastAsia="zh-CN"/>
              </w:rPr>
              <w:t>、废油桶，暂存于危废间，定期交有资质的单位处理</w:t>
            </w:r>
            <w:r>
              <w:rPr>
                <w:rFonts w:hint="eastAsia"/>
                <w:highlight w:val="none"/>
                <w:lang w:val="en-US" w:eastAsia="zh-CN"/>
              </w:rPr>
              <w:t>。</w:t>
            </w:r>
          </w:p>
        </w:tc>
      </w:tr>
      <w:tr w14:paraId="1D6272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noWrap w:val="0"/>
            <w:vAlign w:val="center"/>
          </w:tcPr>
          <w:p w14:paraId="0C682649">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r>
              <w:rPr>
                <w:rFonts w:hint="eastAsia" w:ascii="宋体" w:hAnsi="宋体" w:cs="宋体"/>
                <w:szCs w:val="21"/>
                <w:highlight w:val="none"/>
              </w:rPr>
              <w:t>土壤及地下水</w:t>
            </w:r>
          </w:p>
          <w:p w14:paraId="15A0591C">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r>
              <w:rPr>
                <w:rFonts w:hint="eastAsia" w:ascii="宋体" w:hAnsi="宋体" w:cs="宋体"/>
                <w:szCs w:val="21"/>
                <w:highlight w:val="none"/>
              </w:rPr>
              <w:t>污染防治措施</w:t>
            </w:r>
          </w:p>
        </w:tc>
        <w:tc>
          <w:tcPr>
            <w:tcW w:w="7088" w:type="dxa"/>
            <w:gridSpan w:val="5"/>
            <w:noWrap w:val="0"/>
            <w:vAlign w:val="center"/>
          </w:tcPr>
          <w:p w14:paraId="314AE568">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车间地面硬化，做好防渗处理。</w:t>
            </w:r>
          </w:p>
        </w:tc>
      </w:tr>
      <w:tr w14:paraId="5222B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noWrap w:val="0"/>
            <w:vAlign w:val="center"/>
          </w:tcPr>
          <w:p w14:paraId="3C432D0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zCs w:val="21"/>
                <w:highlight w:val="none"/>
              </w:rPr>
            </w:pPr>
            <w:r>
              <w:rPr>
                <w:rFonts w:hint="eastAsia" w:ascii="宋体" w:hAnsi="宋体" w:cs="宋体"/>
                <w:szCs w:val="21"/>
                <w:highlight w:val="none"/>
              </w:rPr>
              <w:t>生态保护措施</w:t>
            </w:r>
          </w:p>
        </w:tc>
        <w:tc>
          <w:tcPr>
            <w:tcW w:w="7088" w:type="dxa"/>
            <w:gridSpan w:val="5"/>
            <w:noWrap w:val="0"/>
            <w:vAlign w:val="center"/>
          </w:tcPr>
          <w:p w14:paraId="6D73FE3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w:t>
            </w:r>
          </w:p>
        </w:tc>
      </w:tr>
      <w:tr w14:paraId="65C791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noWrap w:val="0"/>
            <w:vAlign w:val="center"/>
          </w:tcPr>
          <w:p w14:paraId="794FA57B">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宋体" w:hAnsi="宋体" w:cs="宋体"/>
                <w:spacing w:val="-8"/>
                <w:szCs w:val="21"/>
                <w:highlight w:val="none"/>
              </w:rPr>
            </w:pPr>
            <w:r>
              <w:rPr>
                <w:rFonts w:hint="eastAsia" w:ascii="宋体" w:hAnsi="宋体" w:cs="宋体"/>
                <w:spacing w:val="-8"/>
                <w:szCs w:val="21"/>
                <w:highlight w:val="none"/>
              </w:rPr>
              <w:t>环境风险</w:t>
            </w:r>
          </w:p>
          <w:p w14:paraId="4D75C8DD">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pacing w:val="-8"/>
                <w:szCs w:val="21"/>
                <w:highlight w:val="none"/>
              </w:rPr>
            </w:pPr>
            <w:r>
              <w:rPr>
                <w:rFonts w:hint="eastAsia" w:ascii="宋体" w:hAnsi="宋体" w:cs="宋体"/>
                <w:spacing w:val="-8"/>
                <w:szCs w:val="21"/>
                <w:highlight w:val="none"/>
              </w:rPr>
              <w:t>防范措施</w:t>
            </w:r>
          </w:p>
        </w:tc>
        <w:tc>
          <w:tcPr>
            <w:tcW w:w="7088" w:type="dxa"/>
            <w:gridSpan w:val="5"/>
            <w:noWrap w:val="0"/>
            <w:vAlign w:val="center"/>
          </w:tcPr>
          <w:p w14:paraId="14259ED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w:t>
            </w:r>
            <w:r>
              <w:rPr>
                <w:rFonts w:hint="eastAsia" w:ascii="宋体" w:hAnsi="宋体" w:cs="宋体"/>
                <w:szCs w:val="21"/>
                <w:highlight w:val="none"/>
              </w:rPr>
              <w:t>根据贮存物质特性和生产车间条件，必须配置相应的消防设备、设施和灭火药剂，并配备经过培训的兼职和专职的消防人员；</w:t>
            </w:r>
          </w:p>
          <w:p w14:paraId="53498A0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按规范划分危险区，保证防火防爆距离；</w:t>
            </w:r>
          </w:p>
          <w:p w14:paraId="67A6B7E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避免电气和静电火花。设备等都采用工业静电接地措施；建、构筑物均设防雷设施：所有的电缆及电缆桥架选用阻燃型。</w:t>
            </w:r>
          </w:p>
        </w:tc>
      </w:tr>
      <w:tr w14:paraId="396C1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712" w:type="dxa"/>
            <w:noWrap w:val="0"/>
            <w:vAlign w:val="center"/>
          </w:tcPr>
          <w:p w14:paraId="6C194E2E">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ascii="宋体" w:hAnsi="宋体" w:cs="宋体"/>
                <w:spacing w:val="-8"/>
                <w:szCs w:val="21"/>
                <w:highlight w:val="none"/>
              </w:rPr>
            </w:pPr>
            <w:r>
              <w:rPr>
                <w:rFonts w:hint="eastAsia" w:ascii="宋体" w:hAnsi="宋体" w:cs="宋体"/>
                <w:spacing w:val="-8"/>
                <w:szCs w:val="21"/>
                <w:highlight w:val="none"/>
              </w:rPr>
              <w:t>其他环境</w:t>
            </w:r>
          </w:p>
          <w:p w14:paraId="7F7EBC87">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宋体" w:hAnsi="宋体" w:cs="宋体"/>
                <w:spacing w:val="-8"/>
                <w:szCs w:val="21"/>
                <w:highlight w:val="none"/>
              </w:rPr>
            </w:pPr>
            <w:r>
              <w:rPr>
                <w:rFonts w:hint="eastAsia" w:ascii="宋体" w:hAnsi="宋体" w:cs="宋体"/>
                <w:spacing w:val="-8"/>
                <w:szCs w:val="21"/>
                <w:highlight w:val="none"/>
              </w:rPr>
              <w:t>管理要求</w:t>
            </w:r>
          </w:p>
        </w:tc>
        <w:tc>
          <w:tcPr>
            <w:tcW w:w="7088" w:type="dxa"/>
            <w:gridSpan w:val="5"/>
            <w:noWrap w:val="0"/>
            <w:vAlign w:val="top"/>
          </w:tcPr>
          <w:p w14:paraId="1FAA27C6">
            <w:pPr>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firstLine="420" w:firstLineChars="200"/>
              <w:jc w:val="both"/>
              <w:textAlignment w:val="auto"/>
              <w:rPr>
                <w:rFonts w:hint="eastAsia"/>
                <w:highlight w:val="none"/>
              </w:rPr>
            </w:pPr>
            <w:r>
              <w:rPr>
                <w:rFonts w:hint="eastAsia"/>
                <w:highlight w:val="none"/>
              </w:rPr>
              <w:t>环境管理</w:t>
            </w:r>
          </w:p>
          <w:p w14:paraId="3A2B5DB0">
            <w:pPr>
              <w:keepNext w:val="0"/>
              <w:keepLines w:val="0"/>
              <w:pageBreakBefore w:val="0"/>
              <w:widowControl w:val="0"/>
              <w:kinsoku/>
              <w:wordWrap/>
              <w:overflowPunct/>
              <w:topLinePunct w:val="0"/>
              <w:autoSpaceDE/>
              <w:autoSpaceDN/>
              <w:bidi w:val="0"/>
              <w:adjustRightInd/>
              <w:snapToGrid/>
              <w:spacing w:line="420" w:lineRule="exact"/>
              <w:ind w:left="0" w:right="0" w:firstLine="420" w:firstLineChars="200"/>
              <w:textAlignment w:val="auto"/>
              <w:rPr>
                <w:rFonts w:hint="default"/>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default"/>
                <w:highlight w:val="none"/>
              </w:rPr>
              <w:t>设立环保管理机构</w:t>
            </w:r>
            <w:r>
              <w:rPr>
                <w:rFonts w:hint="eastAsia"/>
                <w:highlight w:val="none"/>
                <w:lang w:eastAsia="zh-CN"/>
              </w:rPr>
              <w:t>，</w:t>
            </w:r>
            <w:r>
              <w:rPr>
                <w:rFonts w:hint="default"/>
                <w:highlight w:val="none"/>
              </w:rPr>
              <w:t>定期检查企业环保设施的运行，及时进行维修，确保环保设施的正常运行。</w:t>
            </w:r>
          </w:p>
          <w:p w14:paraId="4ABF75AA">
            <w:pPr>
              <w:keepNext w:val="0"/>
              <w:keepLines w:val="0"/>
              <w:pageBreakBefore w:val="0"/>
              <w:widowControl w:val="0"/>
              <w:kinsoku/>
              <w:wordWrap/>
              <w:overflowPunct/>
              <w:topLinePunct w:val="0"/>
              <w:autoSpaceDE/>
              <w:autoSpaceDN/>
              <w:bidi w:val="0"/>
              <w:adjustRightInd/>
              <w:snapToGrid/>
              <w:spacing w:line="420" w:lineRule="exact"/>
              <w:ind w:left="0" w:right="0" w:firstLine="420" w:firstLineChars="200"/>
              <w:textAlignment w:val="auto"/>
              <w:outlineLvl w:val="2"/>
              <w:rPr>
                <w:rFonts w:hint="default"/>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default"/>
                <w:highlight w:val="none"/>
              </w:rPr>
              <w:t>建立污染控制管理档案</w:t>
            </w:r>
            <w:r>
              <w:rPr>
                <w:rFonts w:hint="eastAsia"/>
                <w:highlight w:val="none"/>
                <w:lang w:eastAsia="zh-CN"/>
              </w:rPr>
              <w:t>，做好日常生产台账记录</w:t>
            </w:r>
            <w:r>
              <w:rPr>
                <w:rFonts w:hint="default"/>
                <w:highlight w:val="none"/>
              </w:rPr>
              <w:t>。</w:t>
            </w:r>
          </w:p>
          <w:p w14:paraId="053E726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default"/>
                <w:highlight w:val="none"/>
              </w:rPr>
              <w:t>排污口</w:t>
            </w:r>
            <w:r>
              <w:rPr>
                <w:rFonts w:hint="eastAsia"/>
                <w:highlight w:val="none"/>
                <w:lang w:eastAsia="zh-CN"/>
              </w:rPr>
              <w:t>规范化管理并</w:t>
            </w:r>
            <w:r>
              <w:rPr>
                <w:rFonts w:hint="default"/>
                <w:highlight w:val="none"/>
              </w:rPr>
              <w:t>立标建档</w:t>
            </w:r>
            <w:r>
              <w:rPr>
                <w:rFonts w:hint="eastAsia"/>
                <w:highlight w:val="none"/>
                <w:lang w:eastAsia="zh-CN"/>
              </w:rPr>
              <w:t>。</w:t>
            </w:r>
          </w:p>
          <w:p w14:paraId="7839FE9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）及时进行企业信息公开，按照监测计划定期开展自行监测</w:t>
            </w:r>
            <w:r>
              <w:rPr>
                <w:rFonts w:hint="default"/>
                <w:highlight w:val="none"/>
              </w:rPr>
              <w:t>。</w:t>
            </w:r>
          </w:p>
          <w:p w14:paraId="4BCD7505">
            <w:pPr>
              <w:keepNext w:val="0"/>
              <w:keepLines w:val="0"/>
              <w:pageBreakBefore w:val="0"/>
              <w:widowControl w:val="0"/>
              <w:numPr>
                <w:ilvl w:val="0"/>
                <w:numId w:val="10"/>
              </w:numPr>
              <w:kinsoku/>
              <w:wordWrap/>
              <w:overflowPunct/>
              <w:topLinePunct w:val="0"/>
              <w:autoSpaceDE/>
              <w:autoSpaceDN/>
              <w:bidi w:val="0"/>
              <w:adjustRightInd w:val="0"/>
              <w:snapToGrid w:val="0"/>
              <w:spacing w:line="400" w:lineRule="exact"/>
              <w:ind w:firstLine="420" w:firstLineChars="200"/>
              <w:jc w:val="both"/>
              <w:textAlignment w:val="auto"/>
              <w:rPr>
                <w:rFonts w:hint="default"/>
                <w:highlight w:val="none"/>
                <w:lang w:eastAsia="zh-CN"/>
              </w:rPr>
            </w:pPr>
            <w:r>
              <w:rPr>
                <w:rFonts w:hint="default"/>
                <w:highlight w:val="none"/>
                <w:lang w:eastAsia="zh-CN"/>
              </w:rPr>
              <w:t>排污口规范化</w:t>
            </w:r>
          </w:p>
          <w:p w14:paraId="42C2E87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highlight w:val="none"/>
              </w:rPr>
            </w:pPr>
            <w:r>
              <w:rPr>
                <w:rFonts w:hint="default"/>
                <w:highlight w:val="none"/>
              </w:rPr>
              <w:t>⑴排污口的设置</w:t>
            </w:r>
          </w:p>
          <w:p w14:paraId="462FC42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highlight w:val="none"/>
                <w:lang w:val="zh-CN"/>
              </w:rPr>
            </w:pPr>
            <w:r>
              <w:rPr>
                <w:rFonts w:hint="default"/>
                <w:highlight w:val="none"/>
                <w:lang w:val="zh-CN"/>
              </w:rPr>
              <w:t>废气：本项目</w:t>
            </w:r>
            <w:r>
              <w:rPr>
                <w:rFonts w:hint="eastAsia"/>
                <w:highlight w:val="none"/>
                <w:lang w:val="zh-CN"/>
              </w:rPr>
              <w:t>共设置</w:t>
            </w:r>
            <w:r>
              <w:rPr>
                <w:rFonts w:hint="eastAsia"/>
                <w:highlight w:val="none"/>
                <w:lang w:val="en-US" w:eastAsia="zh-CN"/>
              </w:rPr>
              <w:t>1个</w:t>
            </w:r>
            <w:r>
              <w:rPr>
                <w:rFonts w:hint="default"/>
                <w:highlight w:val="none"/>
                <w:lang w:val="zh-CN"/>
              </w:rPr>
              <w:t>废气排放口。</w:t>
            </w:r>
          </w:p>
          <w:p w14:paraId="201D98F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highlight w:val="none"/>
                <w:lang w:val="zh-CN"/>
              </w:rPr>
            </w:pPr>
            <w:r>
              <w:rPr>
                <w:rFonts w:hint="default"/>
                <w:highlight w:val="none"/>
                <w:lang w:val="zh-CN"/>
              </w:rPr>
              <w:t>噪声：须按《工业企业厂界环境噪声排放标准》（GB12348-2008）的规定，设置环境噪声监测点，并在该处附近醒目处设置环境保护图形标志牌。</w:t>
            </w:r>
          </w:p>
          <w:p w14:paraId="6500665E">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highlight w:val="none"/>
                <w:lang w:val="zh-CN"/>
              </w:rPr>
            </w:pPr>
            <w:r>
              <w:rPr>
                <w:rFonts w:hint="default"/>
                <w:highlight w:val="none"/>
                <w:lang w:val="zh-CN"/>
              </w:rPr>
              <w:t>废水：本项目无</w:t>
            </w:r>
            <w:r>
              <w:rPr>
                <w:rFonts w:hint="eastAsia"/>
                <w:highlight w:val="none"/>
                <w:lang w:val="zh-CN"/>
              </w:rPr>
              <w:t>生产</w:t>
            </w:r>
            <w:r>
              <w:rPr>
                <w:rFonts w:hint="default"/>
                <w:highlight w:val="none"/>
                <w:lang w:val="zh-CN"/>
              </w:rPr>
              <w:t>废水排放口。</w:t>
            </w:r>
          </w:p>
          <w:p w14:paraId="57CE10F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highlight w:val="none"/>
                <w:lang w:val="zh-CN"/>
              </w:rPr>
            </w:pPr>
            <w:r>
              <w:rPr>
                <w:rFonts w:hint="default"/>
                <w:highlight w:val="none"/>
                <w:lang w:val="zh-CN"/>
              </w:rPr>
              <w:t>固废：固体废物贮存场所应按《环境保护图形标志－排污口(源)》（GBl5562.1－1995）规定，设置统一制作的环境保护图形标志牌。</w:t>
            </w:r>
          </w:p>
          <w:p w14:paraId="1543454F">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highlight w:val="none"/>
              </w:rPr>
            </w:pPr>
            <w:r>
              <w:rPr>
                <w:rFonts w:hint="default"/>
                <w:highlight w:val="none"/>
              </w:rPr>
              <w:t>⑵排污口管理的原则</w:t>
            </w:r>
          </w:p>
          <w:p w14:paraId="2B32A020">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highlight w:val="none"/>
              </w:rPr>
            </w:pPr>
            <w:r>
              <w:rPr>
                <w:rFonts w:hint="default"/>
                <w:highlight w:val="none"/>
              </w:rPr>
              <w:t>①向环境排放污染物的排污口必须规范化。</w:t>
            </w:r>
          </w:p>
          <w:p w14:paraId="51A916E1">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highlight w:val="none"/>
              </w:rPr>
            </w:pPr>
            <w:r>
              <w:rPr>
                <w:rFonts w:hint="default"/>
                <w:highlight w:val="none"/>
              </w:rPr>
              <w:t>②排污口应便于采样与计量监测，便于日常监督检查。</w:t>
            </w:r>
          </w:p>
          <w:p w14:paraId="11B5B8A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highlight w:val="none"/>
              </w:rPr>
            </w:pPr>
            <w:r>
              <w:rPr>
                <w:rFonts w:hint="default"/>
                <w:highlight w:val="none"/>
              </w:rPr>
              <w:t>⑶排污口立标和建档</w:t>
            </w:r>
          </w:p>
          <w:p w14:paraId="6A48001A">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hint="default"/>
                <w:highlight w:val="none"/>
              </w:rPr>
            </w:pPr>
            <w:r>
              <w:rPr>
                <w:rFonts w:hint="default"/>
                <w:highlight w:val="none"/>
              </w:rPr>
              <w:t>①排污口立标管理</w:t>
            </w:r>
          </w:p>
          <w:p w14:paraId="34652DD8">
            <w:pPr>
              <w:keepNext w:val="0"/>
              <w:keepLines w:val="0"/>
              <w:pageBreakBefore w:val="0"/>
              <w:widowControl w:val="0"/>
              <w:kinsoku/>
              <w:wordWrap/>
              <w:overflowPunct/>
              <w:topLinePunct w:val="0"/>
              <w:autoSpaceDE/>
              <w:autoSpaceDN/>
              <w:bidi w:val="0"/>
              <w:adjustRightInd/>
              <w:snapToGrid/>
              <w:spacing w:line="420" w:lineRule="exact"/>
              <w:ind w:firstLine="482"/>
              <w:textAlignment w:val="auto"/>
              <w:rPr>
                <w:rFonts w:hint="default"/>
                <w:highlight w:val="none"/>
              </w:rPr>
            </w:pPr>
            <w:r>
              <w:rPr>
                <w:rFonts w:hint="default"/>
                <w:highlight w:val="none"/>
              </w:rPr>
              <w:t>废气</w:t>
            </w:r>
            <w:r>
              <w:rPr>
                <w:rFonts w:hint="eastAsia"/>
                <w:highlight w:val="none"/>
              </w:rPr>
              <w:t>排气筒应设置便于采样、</w:t>
            </w:r>
            <w:r>
              <w:rPr>
                <w:rFonts w:hint="eastAsia"/>
                <w:highlight w:val="none"/>
                <w:lang w:val="en-US" w:eastAsia="zh-CN"/>
              </w:rPr>
              <w:t>检测</w:t>
            </w:r>
            <w:r>
              <w:rPr>
                <w:rFonts w:hint="eastAsia"/>
                <w:highlight w:val="none"/>
              </w:rPr>
              <w:t>的采样口和采样平台。当采样平台设置在离地面高度</w:t>
            </w:r>
            <w:r>
              <w:rPr>
                <w:rFonts w:hint="eastAsia"/>
                <w:highlight w:val="none"/>
                <w:lang w:val="en-US" w:eastAsia="zh-CN"/>
              </w:rPr>
              <w:t>≥</w:t>
            </w:r>
            <w:r>
              <w:rPr>
                <w:rFonts w:hint="eastAsia"/>
                <w:highlight w:val="none"/>
              </w:rPr>
              <w:t>5m的位置时，应有通往平台的Z字梯</w:t>
            </w:r>
            <w:r>
              <w:rPr>
                <w:rFonts w:hint="eastAsia"/>
                <w:highlight w:val="none"/>
                <w:lang w:val="en-US" w:eastAsia="zh-CN"/>
              </w:rPr>
              <w:t>/</w:t>
            </w:r>
            <w:r>
              <w:rPr>
                <w:rFonts w:hint="eastAsia"/>
                <w:highlight w:val="none"/>
              </w:rPr>
              <w:t>旋梯</w:t>
            </w:r>
            <w:r>
              <w:rPr>
                <w:rFonts w:hint="eastAsia"/>
                <w:highlight w:val="none"/>
                <w:lang w:val="en-US" w:eastAsia="zh-CN"/>
              </w:rPr>
              <w:t>/</w:t>
            </w:r>
            <w:r>
              <w:rPr>
                <w:rFonts w:hint="eastAsia"/>
                <w:highlight w:val="none"/>
              </w:rPr>
              <w:t>升降梯。在各排气筒近地面处，</w:t>
            </w:r>
            <w:r>
              <w:rPr>
                <w:rFonts w:hint="default"/>
                <w:highlight w:val="none"/>
              </w:rPr>
              <w:t>应按《环境保护图形标志－排污口(源)》（GBl5562.1－1995）规定，设置统一制作的环境保护图形标志牌，污染物排放口设置提示性环境保护图形标志牌。</w:t>
            </w:r>
          </w:p>
          <w:p w14:paraId="6FD32D8A">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highlight w:val="none"/>
              </w:rPr>
            </w:pPr>
            <w:r>
              <w:rPr>
                <w:rFonts w:hint="default"/>
                <w:highlight w:val="none"/>
              </w:rPr>
              <w:t>②排污口建档管理</w:t>
            </w:r>
          </w:p>
          <w:p w14:paraId="2D2F8EB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highlight w:val="none"/>
              </w:rPr>
            </w:pPr>
            <w:r>
              <w:rPr>
                <w:rFonts w:hint="default"/>
                <w:highlight w:val="none"/>
              </w:rPr>
              <w:t>使用国家环保局统一印制的《中华人民共和国规范化排污口标志登记证》，并按要求填写有关内容，项目建成后，应将主要污染物种类、数量、浓度、排放去向、立标情况及设施运行情况记录于档案。</w:t>
            </w:r>
          </w:p>
          <w:p w14:paraId="75984A9B">
            <w:pPr>
              <w:pStyle w:val="17"/>
              <w:keepNext w:val="0"/>
              <w:keepLines w:val="0"/>
              <w:pageBreakBefore w:val="0"/>
              <w:widowControl w:val="0"/>
              <w:numPr>
                <w:ilvl w:val="0"/>
                <w:numId w:val="10"/>
              </w:numPr>
              <w:kinsoku/>
              <w:wordWrap/>
              <w:overflowPunct/>
              <w:topLinePunct w:val="0"/>
              <w:autoSpaceDE/>
              <w:autoSpaceDN/>
              <w:bidi w:val="0"/>
              <w:snapToGrid/>
              <w:spacing w:line="400" w:lineRule="exact"/>
              <w:ind w:left="0" w:leftChars="0" w:firstLine="420" w:firstLineChars="200"/>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分区防渗管理</w:t>
            </w:r>
          </w:p>
          <w:p w14:paraId="680B242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①重点防渗区：危废间地面和裙角做好防渗处理，防渗层为至少1m厚粘土层（渗透系数≤1.0×10</w:t>
            </w:r>
            <w:r>
              <w:rPr>
                <w:rFonts w:hint="default" w:ascii="Times New Roman" w:hAnsi="Times New Roman" w:eastAsia="宋体" w:cs="Times New Roman"/>
                <w:kern w:val="2"/>
                <w:sz w:val="21"/>
                <w:szCs w:val="24"/>
                <w:highlight w:val="none"/>
                <w:vertAlign w:val="superscript"/>
                <w:lang w:val="en-US" w:eastAsia="zh-CN" w:bidi="ar-SA"/>
              </w:rPr>
              <w:t>-7</w:t>
            </w:r>
            <w:r>
              <w:rPr>
                <w:rFonts w:hint="default" w:ascii="Times New Roman" w:hAnsi="Times New Roman" w:eastAsia="宋体" w:cs="Times New Roman"/>
                <w:kern w:val="2"/>
                <w:sz w:val="21"/>
                <w:szCs w:val="24"/>
                <w:highlight w:val="none"/>
                <w:lang w:val="en-US" w:eastAsia="zh-CN" w:bidi="ar-SA"/>
              </w:rPr>
              <w:t>cm/s），或2mm厚高密度聚乙烯，或至少2mm厚的其它人工材料，渗透系数≤1.0×10</w:t>
            </w:r>
            <w:r>
              <w:rPr>
                <w:rFonts w:hint="default" w:ascii="Times New Roman" w:hAnsi="Times New Roman" w:eastAsia="宋体" w:cs="Times New Roman"/>
                <w:kern w:val="2"/>
                <w:sz w:val="21"/>
                <w:szCs w:val="24"/>
                <w:highlight w:val="none"/>
                <w:vertAlign w:val="superscript"/>
                <w:lang w:val="en-US" w:eastAsia="zh-CN" w:bidi="ar-SA"/>
              </w:rPr>
              <w:t>-10</w:t>
            </w:r>
            <w:r>
              <w:rPr>
                <w:rFonts w:hint="default" w:ascii="Times New Roman" w:hAnsi="Times New Roman" w:eastAsia="宋体" w:cs="Times New Roman"/>
                <w:kern w:val="2"/>
                <w:sz w:val="21"/>
                <w:szCs w:val="24"/>
                <w:highlight w:val="none"/>
                <w:lang w:val="en-US" w:eastAsia="zh-CN" w:bidi="ar-SA"/>
              </w:rPr>
              <w:t>cm/s。</w:t>
            </w:r>
          </w:p>
          <w:p w14:paraId="340E703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②一般防渗区：</w:t>
            </w:r>
            <w:r>
              <w:rPr>
                <w:rFonts w:hint="eastAsia" w:ascii="Times New Roman" w:hAnsi="Times New Roman" w:eastAsia="宋体" w:cs="Times New Roman"/>
                <w:kern w:val="2"/>
                <w:sz w:val="21"/>
                <w:szCs w:val="24"/>
                <w:highlight w:val="none"/>
                <w:lang w:val="en-US" w:eastAsia="zh-CN" w:bidi="ar-SA"/>
              </w:rPr>
              <w:t>沉淀池</w:t>
            </w:r>
            <w:r>
              <w:rPr>
                <w:rFonts w:hint="default" w:ascii="Times New Roman" w:hAnsi="Times New Roman" w:eastAsia="宋体" w:cs="Times New Roman"/>
                <w:kern w:val="2"/>
                <w:sz w:val="21"/>
                <w:szCs w:val="24"/>
                <w:highlight w:val="none"/>
                <w:lang w:val="en-US" w:eastAsia="zh-CN" w:bidi="ar-SA"/>
              </w:rPr>
              <w:t>等其他生产区域建设进行基础防渗处理，需满足等效黏土防渗层Mb≥6.0m，K≤1.0×10</w:t>
            </w:r>
            <w:r>
              <w:rPr>
                <w:rFonts w:hint="default" w:ascii="Times New Roman" w:hAnsi="Times New Roman" w:eastAsia="宋体" w:cs="Times New Roman"/>
                <w:kern w:val="2"/>
                <w:sz w:val="21"/>
                <w:szCs w:val="24"/>
                <w:highlight w:val="none"/>
                <w:vertAlign w:val="superscript"/>
                <w:lang w:val="en-US" w:eastAsia="zh-CN" w:bidi="ar-SA"/>
              </w:rPr>
              <w:t>-7</w:t>
            </w:r>
            <w:r>
              <w:rPr>
                <w:rFonts w:hint="default" w:ascii="Times New Roman" w:hAnsi="Times New Roman" w:eastAsia="宋体" w:cs="Times New Roman"/>
                <w:kern w:val="2"/>
                <w:sz w:val="21"/>
                <w:szCs w:val="24"/>
                <w:highlight w:val="none"/>
                <w:lang w:val="en-US" w:eastAsia="zh-CN" w:bidi="ar-SA"/>
              </w:rPr>
              <w:t>cm/s。</w:t>
            </w:r>
          </w:p>
          <w:p w14:paraId="42FD59B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default" w:ascii="Times New Roman" w:hAnsi="Times New Roman" w:eastAsia="宋体" w:cs="Times New Roman"/>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③简单防渗区：厂区地面（除绿化用地）全部进行硬化处理。</w:t>
            </w:r>
          </w:p>
          <w:p w14:paraId="0AA8D9E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4、环境影响评价制度与排污许可证衔接</w:t>
            </w:r>
          </w:p>
          <w:p w14:paraId="5405CA4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highlight w:val="none"/>
              </w:rPr>
            </w:pPr>
            <w:r>
              <w:rPr>
                <w:rFonts w:hint="eastAsia" w:ascii="Times New Roman" w:hAnsi="Times New Roman" w:eastAsia="宋体" w:cs="Times New Roman"/>
                <w:kern w:val="2"/>
                <w:sz w:val="21"/>
                <w:szCs w:val="24"/>
                <w:highlight w:val="none"/>
                <w:lang w:val="en-US" w:eastAsia="zh-CN" w:bidi="ar-SA"/>
              </w:rPr>
              <w:t>根据《排污许可管理办法（试行）》（部</w:t>
            </w:r>
            <w:r>
              <w:rPr>
                <w:rFonts w:hint="eastAsia"/>
                <w:highlight w:val="none"/>
              </w:rPr>
              <w:t>令第48号）、原环境保护部办公厅</w:t>
            </w:r>
            <w:r>
              <w:rPr>
                <w:rFonts w:hint="eastAsia"/>
                <w:highlight w:val="none"/>
                <w:lang w:eastAsia="zh-CN"/>
              </w:rPr>
              <w:t>《</w:t>
            </w:r>
            <w:r>
              <w:rPr>
                <w:rFonts w:hint="eastAsia"/>
                <w:highlight w:val="none"/>
              </w:rPr>
              <w:t>关于做好环境影响评价制度与排污许可制衔接相关工作的通知》（环办环评［2017]84号），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根据《</w:t>
            </w:r>
            <w:r>
              <w:rPr>
                <w:rFonts w:hint="eastAsia"/>
                <w:highlight w:val="none"/>
                <w:lang w:val="en-US" w:eastAsia="zh-CN"/>
              </w:rPr>
              <w:t>固定污染源排污许可分类管理名录（2019年版）</w:t>
            </w:r>
            <w:r>
              <w:rPr>
                <w:rFonts w:hint="eastAsia"/>
                <w:highlight w:val="none"/>
              </w:rPr>
              <w:t>》（部令第11号），企业属于“</w:t>
            </w:r>
            <w:r>
              <w:rPr>
                <w:rFonts w:hint="eastAsia"/>
                <w:highlight w:val="none"/>
                <w:lang w:val="en-US" w:eastAsia="zh-CN"/>
              </w:rPr>
              <w:t>二十五、非金属矿物制品业30</w:t>
            </w:r>
            <w:r>
              <w:rPr>
                <w:rFonts w:hint="eastAsia"/>
                <w:highlight w:val="none"/>
              </w:rPr>
              <w:t>-</w:t>
            </w:r>
            <w:r>
              <w:rPr>
                <w:rFonts w:hint="eastAsia"/>
                <w:highlight w:val="none"/>
                <w:lang w:val="en-US" w:eastAsia="zh-CN"/>
              </w:rPr>
              <w:t>63石膏、水泥制品及类似制品制造302</w:t>
            </w:r>
            <w:r>
              <w:rPr>
                <w:rFonts w:hint="eastAsia"/>
                <w:highlight w:val="none"/>
              </w:rPr>
              <w:t>-</w:t>
            </w:r>
            <w:r>
              <w:rPr>
                <w:rFonts w:hint="eastAsia"/>
                <w:highlight w:val="none"/>
                <w:lang w:val="en-US" w:eastAsia="zh-CN"/>
              </w:rPr>
              <w:t>其他水泥类似制品制造3024</w:t>
            </w:r>
            <w:r>
              <w:rPr>
                <w:rFonts w:hint="eastAsia"/>
                <w:highlight w:val="none"/>
              </w:rPr>
              <w:t>”，属于登记管理，企业应当在启动生产设施或者发生实际排污之前填报排污登记表，登记基本信息、污染物排放去向、执行</w:t>
            </w:r>
            <w:r>
              <w:rPr>
                <w:rFonts w:hint="eastAsia"/>
                <w:highlight w:val="none"/>
                <w:lang w:val="en-US" w:eastAsia="zh-CN"/>
              </w:rPr>
              <w:t>信息公开</w:t>
            </w:r>
            <w:r>
              <w:rPr>
                <w:rFonts w:hint="eastAsia"/>
                <w:highlight w:val="none"/>
              </w:rPr>
              <w:t>的污染物排放标准以及采取的污染防治措施等信息。</w:t>
            </w:r>
          </w:p>
          <w:p w14:paraId="777074FB">
            <w:pPr>
              <w:pStyle w:val="17"/>
              <w:rPr>
                <w:rFonts w:hint="eastAsia"/>
                <w:highlight w:val="none"/>
              </w:rPr>
            </w:pPr>
          </w:p>
          <w:p w14:paraId="1561F3B9">
            <w:pPr>
              <w:pStyle w:val="18"/>
              <w:rPr>
                <w:rFonts w:hint="eastAsia"/>
                <w:highlight w:val="none"/>
              </w:rPr>
            </w:pPr>
          </w:p>
          <w:p w14:paraId="2C44E8C0">
            <w:pPr>
              <w:pStyle w:val="6"/>
              <w:rPr>
                <w:rFonts w:hint="eastAsia"/>
                <w:highlight w:val="none"/>
              </w:rPr>
            </w:pPr>
          </w:p>
          <w:p w14:paraId="588DB57B">
            <w:pPr>
              <w:rPr>
                <w:rFonts w:hint="eastAsia"/>
                <w:highlight w:val="none"/>
              </w:rPr>
            </w:pPr>
          </w:p>
          <w:p w14:paraId="4DF85926">
            <w:pPr>
              <w:pStyle w:val="17"/>
              <w:rPr>
                <w:rFonts w:hint="eastAsia"/>
                <w:highlight w:val="none"/>
              </w:rPr>
            </w:pPr>
          </w:p>
          <w:p w14:paraId="01B79A92">
            <w:pPr>
              <w:pStyle w:val="18"/>
              <w:rPr>
                <w:rFonts w:hint="eastAsia"/>
                <w:highlight w:val="none"/>
              </w:rPr>
            </w:pPr>
          </w:p>
          <w:p w14:paraId="5CE144C9">
            <w:pPr>
              <w:pStyle w:val="6"/>
              <w:rPr>
                <w:rFonts w:hint="eastAsia"/>
                <w:highlight w:val="none"/>
              </w:rPr>
            </w:pPr>
          </w:p>
          <w:p w14:paraId="6175D483">
            <w:pPr>
              <w:rPr>
                <w:rFonts w:hint="eastAsia"/>
                <w:highlight w:val="none"/>
              </w:rPr>
            </w:pPr>
          </w:p>
          <w:p w14:paraId="04BDE32A">
            <w:pPr>
              <w:pStyle w:val="17"/>
              <w:rPr>
                <w:rFonts w:hint="eastAsia"/>
                <w:highlight w:val="none"/>
              </w:rPr>
            </w:pPr>
          </w:p>
          <w:p w14:paraId="460BC95E">
            <w:pPr>
              <w:pStyle w:val="18"/>
              <w:rPr>
                <w:rFonts w:hint="eastAsia"/>
                <w:highlight w:val="none"/>
              </w:rPr>
            </w:pPr>
          </w:p>
          <w:p w14:paraId="5A829E13">
            <w:pPr>
              <w:pStyle w:val="6"/>
              <w:rPr>
                <w:rFonts w:hint="eastAsia"/>
                <w:highlight w:val="none"/>
              </w:rPr>
            </w:pPr>
          </w:p>
          <w:p w14:paraId="15CE3899">
            <w:pPr>
              <w:rPr>
                <w:rFonts w:hint="eastAsia"/>
                <w:highlight w:val="none"/>
              </w:rPr>
            </w:pPr>
          </w:p>
          <w:p w14:paraId="7C0AE610">
            <w:pPr>
              <w:pStyle w:val="17"/>
              <w:rPr>
                <w:rFonts w:hint="eastAsia"/>
                <w:highlight w:val="none"/>
              </w:rPr>
            </w:pPr>
          </w:p>
          <w:p w14:paraId="623B54E6">
            <w:pPr>
              <w:pStyle w:val="18"/>
              <w:rPr>
                <w:rFonts w:hint="eastAsia"/>
                <w:highlight w:val="none"/>
                <w:lang w:eastAsia="zh-CN"/>
              </w:rPr>
            </w:pPr>
          </w:p>
        </w:tc>
      </w:tr>
    </w:tbl>
    <w:p w14:paraId="267B9890">
      <w:pPr>
        <w:pStyle w:val="16"/>
        <w:ind w:left="-420" w:leftChars="-200" w:firstLine="420" w:firstLineChars="175"/>
        <w:jc w:val="center"/>
        <w:outlineLvl w:val="0"/>
        <w:rPr>
          <w:rFonts w:ascii="黑体" w:hAnsi="黑体" w:eastAsia="黑体"/>
          <w:snapToGrid w:val="0"/>
          <w:sz w:val="30"/>
          <w:szCs w:val="30"/>
          <w:highlight w:val="none"/>
        </w:rPr>
      </w:pPr>
      <w:r>
        <w:rPr>
          <w:snapToGrid w:val="0"/>
          <w:highlight w:val="none"/>
        </w:rPr>
        <w:br w:type="page"/>
      </w:r>
      <w:r>
        <w:rPr>
          <w:rFonts w:hint="eastAsia" w:ascii="黑体" w:hAnsi="黑体" w:eastAsia="黑体"/>
          <w:snapToGrid w:val="0"/>
          <w:sz w:val="30"/>
          <w:szCs w:val="30"/>
          <w:highlight w:val="none"/>
        </w:rPr>
        <w:t>六、结论</w:t>
      </w:r>
    </w:p>
    <w:tbl>
      <w:tblPr>
        <w:tblStyle w:val="2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D1A77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4EE00EA1">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jc w:val="both"/>
              <w:textAlignment w:val="auto"/>
              <w:rPr>
                <w:rFonts w:hint="default" w:ascii="宋体" w:hAnsi="Times New Roman" w:eastAsia="宋体" w:cs="宋体"/>
                <w:sz w:val="21"/>
                <w:szCs w:val="21"/>
                <w:highlight w:val="none"/>
                <w:lang w:val="en-US" w:eastAsia="zh-CN"/>
              </w:rPr>
            </w:pPr>
            <w:r>
              <w:rPr>
                <w:rFonts w:hint="eastAsia" w:ascii="宋体" w:hAnsi="Times New Roman" w:eastAsia="宋体" w:cs="宋体"/>
                <w:sz w:val="21"/>
                <w:szCs w:val="21"/>
                <w:highlight w:val="none"/>
              </w:rPr>
              <w:t>综合以上分析，</w:t>
            </w:r>
            <w:r>
              <w:rPr>
                <w:rFonts w:hint="eastAsia"/>
                <w:highlight w:val="none"/>
                <w:lang w:eastAsia="zh-CN"/>
              </w:rPr>
              <w:t>唐山市宝鼎建材有限公司</w:t>
            </w:r>
            <w:r>
              <w:rPr>
                <w:rFonts w:hint="eastAsia" w:ascii="宋体" w:hAnsi="宋体" w:eastAsia="宋体" w:cs="宋体"/>
                <w:szCs w:val="21"/>
                <w:highlight w:val="none"/>
                <w:lang w:val="en-US" w:eastAsia="zh-CN"/>
              </w:rPr>
              <w:t>投资</w:t>
            </w:r>
            <w:r>
              <w:rPr>
                <w:rFonts w:hint="eastAsia" w:ascii="宋体" w:hAnsi="宋体" w:cs="宋体"/>
                <w:szCs w:val="21"/>
                <w:highlight w:val="none"/>
                <w:lang w:val="en-US" w:eastAsia="zh-CN"/>
              </w:rPr>
              <w:t>96</w:t>
            </w:r>
            <w:r>
              <w:rPr>
                <w:rFonts w:hint="eastAsia" w:ascii="宋体" w:hAnsi="宋体" w:eastAsia="宋体" w:cs="宋体"/>
                <w:szCs w:val="21"/>
                <w:highlight w:val="none"/>
                <w:lang w:val="en-US" w:eastAsia="zh-CN"/>
              </w:rPr>
              <w:t>万建设</w:t>
            </w:r>
            <w:r>
              <w:rPr>
                <w:rFonts w:hint="eastAsia" w:ascii="宋体" w:hAnsi="宋体" w:cs="宋体"/>
                <w:szCs w:val="21"/>
                <w:highlight w:val="none"/>
                <w:lang w:val="en-US" w:eastAsia="zh-CN"/>
              </w:rPr>
              <w:t>年产20万平方米一体板扩建项目，符合国家产业政策，项目选址符合规划，选址合理；</w:t>
            </w:r>
            <w:r>
              <w:rPr>
                <w:rFonts w:hint="eastAsia" w:ascii="宋体" w:hAnsi="Times New Roman" w:eastAsia="宋体" w:cs="宋体"/>
                <w:sz w:val="21"/>
                <w:szCs w:val="21"/>
                <w:highlight w:val="none"/>
              </w:rPr>
              <w:t>采取了完善的环保治理措施，可确保各类污染源的稳定达标排放；项目实施后不会对周围环境产生明显影响。因此，本评价从环保角度分析认为项目的建设是可行的。</w:t>
            </w:r>
          </w:p>
          <w:p w14:paraId="01954D46">
            <w:pPr>
              <w:spacing w:line="360" w:lineRule="auto"/>
              <w:jc w:val="both"/>
              <w:rPr>
                <w:rFonts w:ascii="宋体" w:cs="宋体"/>
                <w:sz w:val="24"/>
                <w:highlight w:val="none"/>
              </w:rPr>
            </w:pPr>
          </w:p>
        </w:tc>
      </w:tr>
    </w:tbl>
    <w:p w14:paraId="71D4400E">
      <w:pPr>
        <w:rPr>
          <w:highlight w:val="none"/>
        </w:rPr>
        <w:sectPr>
          <w:pgSz w:w="11906" w:h="16838"/>
          <w:pgMar w:top="1440" w:right="1417" w:bottom="1440" w:left="1417"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8E88CBC">
      <w:pPr>
        <w:pStyle w:val="16"/>
        <w:adjustRightInd w:val="0"/>
        <w:snapToGrid w:val="0"/>
        <w:spacing w:before="0" w:beforeAutospacing="0" w:after="0" w:afterAutospacing="0" w:line="480" w:lineRule="auto"/>
        <w:outlineLvl w:val="0"/>
        <w:rPr>
          <w:rFonts w:ascii="黑体" w:hAnsi="黑体" w:eastAsia="黑体"/>
          <w:snapToGrid w:val="0"/>
          <w:sz w:val="32"/>
          <w:szCs w:val="32"/>
          <w:highlight w:val="none"/>
        </w:rPr>
      </w:pPr>
      <w:r>
        <w:rPr>
          <w:rFonts w:hint="eastAsia" w:ascii="黑体" w:hAnsi="黑体" w:eastAsia="黑体"/>
          <w:snapToGrid w:val="0"/>
          <w:sz w:val="32"/>
          <w:szCs w:val="32"/>
          <w:highlight w:val="none"/>
        </w:rPr>
        <w:t>附表</w:t>
      </w:r>
    </w:p>
    <w:p w14:paraId="03E4D3CC">
      <w:pPr>
        <w:pStyle w:val="16"/>
        <w:adjustRightInd w:val="0"/>
        <w:snapToGrid w:val="0"/>
        <w:spacing w:before="0" w:beforeAutospacing="0" w:after="0" w:afterAutospacing="0" w:line="360" w:lineRule="auto"/>
        <w:jc w:val="center"/>
        <w:outlineLvl w:val="0"/>
        <w:rPr>
          <w:rFonts w:hint="eastAsia" w:ascii="方正小标宋_GBK" w:hAnsi="黑体" w:eastAsia="方正小标宋_GBK"/>
          <w:snapToGrid w:val="0"/>
          <w:sz w:val="38"/>
          <w:szCs w:val="38"/>
          <w:highlight w:val="none"/>
        </w:rPr>
      </w:pPr>
      <w:r>
        <w:rPr>
          <w:rFonts w:hint="eastAsia" w:ascii="方正小标宋_GBK" w:hAnsi="黑体" w:eastAsia="方正小标宋_GBK"/>
          <w:snapToGrid w:val="0"/>
          <w:sz w:val="38"/>
          <w:szCs w:val="38"/>
          <w:highlight w:val="none"/>
        </w:rPr>
        <w:t>建设项目污染物排放量汇总表</w:t>
      </w:r>
    </w:p>
    <w:tbl>
      <w:tblPr>
        <w:tblStyle w:val="20"/>
        <w:tblW w:w="13365" w:type="dxa"/>
        <w:tblInd w:w="24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425"/>
        <w:gridCol w:w="1650"/>
        <w:gridCol w:w="1380"/>
        <w:gridCol w:w="1560"/>
        <w:gridCol w:w="1545"/>
        <w:gridCol w:w="1620"/>
        <w:gridCol w:w="1875"/>
        <w:gridCol w:w="1081"/>
      </w:tblGrid>
      <w:tr w14:paraId="660BA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1229" w:type="dxa"/>
            <w:tcBorders>
              <w:tl2br w:val="single" w:color="auto" w:sz="4" w:space="0"/>
            </w:tcBorders>
            <w:noWrap w:val="0"/>
            <w:tcMar>
              <w:left w:w="28" w:type="dxa"/>
              <w:right w:w="28" w:type="dxa"/>
            </w:tcMar>
            <w:vAlign w:val="center"/>
          </w:tcPr>
          <w:p w14:paraId="1DB5A0CE">
            <w:pPr>
              <w:pStyle w:val="26"/>
              <w:spacing w:beforeLines="0" w:afterLines="0" w:line="240" w:lineRule="auto"/>
              <w:jc w:val="right"/>
              <w:rPr>
                <w:rFonts w:hint="eastAsia" w:ascii="黑体" w:hAnsi="黑体" w:eastAsia="黑体" w:cs="宋体"/>
                <w:snapToGrid w:val="0"/>
                <w:color w:val="000000"/>
                <w:spacing w:val="-6"/>
                <w:kern w:val="21"/>
                <w:szCs w:val="21"/>
                <w:highlight w:val="none"/>
              </w:rPr>
            </w:pPr>
            <w:r>
              <w:rPr>
                <w:rFonts w:hint="eastAsia" w:ascii="黑体" w:hAnsi="黑体" w:eastAsia="黑体" w:cs="宋体"/>
                <w:snapToGrid w:val="0"/>
                <w:color w:val="000000"/>
                <w:spacing w:val="-6"/>
                <w:kern w:val="21"/>
                <w:szCs w:val="21"/>
                <w:highlight w:val="none"/>
              </w:rPr>
              <w:t>项目</w:t>
            </w:r>
          </w:p>
          <w:p w14:paraId="3AF37606">
            <w:pPr>
              <w:pStyle w:val="26"/>
              <w:spacing w:beforeLines="0" w:afterLines="0" w:line="240" w:lineRule="auto"/>
              <w:jc w:val="left"/>
              <w:rPr>
                <w:rFonts w:hint="eastAsia" w:ascii="黑体" w:hAnsi="黑体" w:eastAsia="黑体" w:cs="宋体"/>
                <w:snapToGrid w:val="0"/>
                <w:color w:val="000000"/>
                <w:spacing w:val="-6"/>
                <w:kern w:val="21"/>
                <w:szCs w:val="21"/>
                <w:highlight w:val="none"/>
              </w:rPr>
            </w:pPr>
            <w:r>
              <w:rPr>
                <w:rFonts w:hint="eastAsia" w:ascii="黑体" w:hAnsi="黑体" w:eastAsia="黑体" w:cs="宋体"/>
                <w:snapToGrid w:val="0"/>
                <w:color w:val="000000"/>
                <w:spacing w:val="-6"/>
                <w:kern w:val="21"/>
                <w:szCs w:val="21"/>
                <w:highlight w:val="none"/>
              </w:rPr>
              <w:t>分类</w:t>
            </w:r>
          </w:p>
        </w:tc>
        <w:tc>
          <w:tcPr>
            <w:tcW w:w="1425" w:type="dxa"/>
            <w:noWrap w:val="0"/>
            <w:tcMar>
              <w:left w:w="28" w:type="dxa"/>
              <w:right w:w="28" w:type="dxa"/>
            </w:tcMar>
            <w:vAlign w:val="center"/>
          </w:tcPr>
          <w:p w14:paraId="4067ECF4">
            <w:pPr>
              <w:pStyle w:val="26"/>
              <w:spacing w:beforeLines="0" w:afterLines="0" w:line="240" w:lineRule="auto"/>
              <w:rPr>
                <w:rFonts w:hint="eastAsia" w:ascii="黑体" w:hAnsi="黑体" w:eastAsia="黑体" w:cs="宋体"/>
                <w:snapToGrid w:val="0"/>
                <w:color w:val="000000"/>
                <w:spacing w:val="-6"/>
                <w:kern w:val="21"/>
                <w:szCs w:val="21"/>
                <w:highlight w:val="none"/>
              </w:rPr>
            </w:pPr>
            <w:r>
              <w:rPr>
                <w:rFonts w:hint="eastAsia" w:ascii="黑体" w:hAnsi="黑体" w:eastAsia="黑体" w:cs="宋体"/>
                <w:snapToGrid w:val="0"/>
                <w:color w:val="000000"/>
                <w:spacing w:val="-6"/>
                <w:kern w:val="21"/>
                <w:szCs w:val="21"/>
                <w:highlight w:val="none"/>
              </w:rPr>
              <w:t>污染物名称</w:t>
            </w:r>
          </w:p>
        </w:tc>
        <w:tc>
          <w:tcPr>
            <w:tcW w:w="1650" w:type="dxa"/>
            <w:noWrap w:val="0"/>
            <w:tcMar>
              <w:left w:w="28" w:type="dxa"/>
              <w:right w:w="28" w:type="dxa"/>
            </w:tcMar>
            <w:vAlign w:val="center"/>
          </w:tcPr>
          <w:p w14:paraId="228BDB82">
            <w:pPr>
              <w:pStyle w:val="26"/>
              <w:spacing w:beforeLines="0" w:afterLines="0" w:line="240" w:lineRule="auto"/>
              <w:rPr>
                <w:rFonts w:hint="eastAsia"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现有工程</w:t>
            </w:r>
          </w:p>
          <w:p w14:paraId="378B1E23">
            <w:pPr>
              <w:pStyle w:val="26"/>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排放量（固</w:t>
            </w:r>
            <w:r>
              <w:rPr>
                <w:rFonts w:hint="eastAsia" w:ascii="黑体" w:hAnsi="黑体" w:eastAsia="黑体"/>
                <w:snapToGrid w:val="0"/>
                <w:color w:val="000000"/>
                <w:spacing w:val="-6"/>
                <w:kern w:val="21"/>
                <w:szCs w:val="21"/>
                <w:highlight w:val="none"/>
              </w:rPr>
              <w:t>体</w:t>
            </w:r>
            <w:r>
              <w:rPr>
                <w:rFonts w:ascii="黑体" w:hAnsi="黑体" w:eastAsia="黑体"/>
                <w:snapToGrid w:val="0"/>
                <w:color w:val="000000"/>
                <w:spacing w:val="-6"/>
                <w:kern w:val="21"/>
                <w:szCs w:val="21"/>
                <w:highlight w:val="none"/>
              </w:rPr>
              <w:t>废</w:t>
            </w:r>
            <w:r>
              <w:rPr>
                <w:rFonts w:hint="eastAsia" w:ascii="黑体" w:hAnsi="黑体" w:eastAsia="黑体"/>
                <w:snapToGrid w:val="0"/>
                <w:color w:val="000000"/>
                <w:spacing w:val="-6"/>
                <w:kern w:val="21"/>
                <w:szCs w:val="21"/>
                <w:highlight w:val="none"/>
              </w:rPr>
              <w:t>物</w:t>
            </w:r>
            <w:r>
              <w:rPr>
                <w:rFonts w:ascii="黑体" w:hAnsi="黑体" w:eastAsia="黑体"/>
                <w:snapToGrid w:val="0"/>
                <w:color w:val="000000"/>
                <w:spacing w:val="-6"/>
                <w:kern w:val="21"/>
                <w:szCs w:val="21"/>
                <w:highlight w:val="none"/>
              </w:rPr>
              <w:t>产生量）</w:t>
            </w:r>
            <w:r>
              <w:rPr>
                <w:rFonts w:ascii="黑体" w:hAnsi="黑体" w:eastAsia="黑体"/>
                <w:snapToGrid w:val="0"/>
                <w:color w:val="000000"/>
                <w:spacing w:val="-6"/>
                <w:kern w:val="21"/>
                <w:szCs w:val="21"/>
                <w:highlight w:val="none"/>
              </w:rPr>
              <w:fldChar w:fldCharType="begin"/>
            </w:r>
            <w:r>
              <w:rPr>
                <w:rFonts w:ascii="黑体" w:hAnsi="黑体" w:eastAsia="黑体"/>
                <w:snapToGrid w:val="0"/>
                <w:color w:val="000000"/>
                <w:spacing w:val="-6"/>
                <w:kern w:val="21"/>
                <w:szCs w:val="21"/>
                <w:highlight w:val="none"/>
              </w:rPr>
              <w:instrText xml:space="preserve"> = 1 \* GB3 \* MERGEFORMAT </w:instrText>
            </w:r>
            <w:r>
              <w:rPr>
                <w:rFonts w:ascii="黑体" w:hAnsi="黑体" w:eastAsia="黑体"/>
                <w:snapToGrid w:val="0"/>
                <w:color w:val="000000"/>
                <w:spacing w:val="-6"/>
                <w:kern w:val="21"/>
                <w:szCs w:val="21"/>
                <w:highlight w:val="none"/>
              </w:rPr>
              <w:fldChar w:fldCharType="separate"/>
            </w:r>
            <w:r>
              <w:rPr>
                <w:rFonts w:hint="eastAsia" w:ascii="黑体" w:hAnsi="黑体" w:eastAsia="黑体" w:cs="宋体"/>
                <w:kern w:val="2"/>
                <w:szCs w:val="21"/>
                <w:highlight w:val="none"/>
              </w:rPr>
              <w:t>①</w:t>
            </w:r>
            <w:r>
              <w:rPr>
                <w:rFonts w:ascii="黑体" w:hAnsi="黑体" w:eastAsia="黑体"/>
                <w:snapToGrid w:val="0"/>
                <w:color w:val="000000"/>
                <w:spacing w:val="-6"/>
                <w:kern w:val="21"/>
                <w:szCs w:val="21"/>
                <w:highlight w:val="none"/>
              </w:rPr>
              <w:fldChar w:fldCharType="end"/>
            </w:r>
          </w:p>
        </w:tc>
        <w:tc>
          <w:tcPr>
            <w:tcW w:w="1380" w:type="dxa"/>
            <w:noWrap w:val="0"/>
            <w:tcMar>
              <w:left w:w="28" w:type="dxa"/>
              <w:right w:w="28" w:type="dxa"/>
            </w:tcMar>
            <w:vAlign w:val="center"/>
          </w:tcPr>
          <w:p w14:paraId="4F55C7E2">
            <w:pPr>
              <w:pStyle w:val="26"/>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现有工程</w:t>
            </w:r>
          </w:p>
          <w:p w14:paraId="3D83308B">
            <w:pPr>
              <w:pStyle w:val="26"/>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许可排放量</w:t>
            </w:r>
          </w:p>
          <w:p w14:paraId="5182C601">
            <w:pPr>
              <w:pStyle w:val="26"/>
              <w:spacing w:beforeLines="0" w:afterLines="0"/>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fldChar w:fldCharType="begin"/>
            </w:r>
            <w:r>
              <w:rPr>
                <w:rFonts w:ascii="黑体" w:hAnsi="黑体" w:eastAsia="黑体"/>
                <w:snapToGrid w:val="0"/>
                <w:color w:val="000000"/>
                <w:spacing w:val="-6"/>
                <w:kern w:val="21"/>
                <w:szCs w:val="21"/>
                <w:highlight w:val="none"/>
              </w:rPr>
              <w:instrText xml:space="preserve"> = 2 \* GB3 \* MERGEFORMAT </w:instrText>
            </w:r>
            <w:r>
              <w:rPr>
                <w:rFonts w:ascii="黑体" w:hAnsi="黑体" w:eastAsia="黑体"/>
                <w:snapToGrid w:val="0"/>
                <w:color w:val="000000"/>
                <w:spacing w:val="-6"/>
                <w:kern w:val="21"/>
                <w:szCs w:val="21"/>
                <w:highlight w:val="none"/>
              </w:rPr>
              <w:fldChar w:fldCharType="separate"/>
            </w:r>
            <w:r>
              <w:rPr>
                <w:rFonts w:hint="eastAsia" w:ascii="黑体" w:hAnsi="黑体" w:eastAsia="黑体" w:cs="宋体"/>
                <w:snapToGrid w:val="0"/>
                <w:color w:val="000000"/>
                <w:spacing w:val="-6"/>
                <w:kern w:val="21"/>
                <w:szCs w:val="21"/>
                <w:highlight w:val="none"/>
              </w:rPr>
              <w:t>②</w:t>
            </w:r>
            <w:r>
              <w:rPr>
                <w:rFonts w:ascii="黑体" w:hAnsi="黑体" w:eastAsia="黑体"/>
                <w:snapToGrid w:val="0"/>
                <w:color w:val="000000"/>
                <w:spacing w:val="-6"/>
                <w:kern w:val="21"/>
                <w:szCs w:val="21"/>
                <w:highlight w:val="none"/>
              </w:rPr>
              <w:fldChar w:fldCharType="end"/>
            </w:r>
          </w:p>
        </w:tc>
        <w:tc>
          <w:tcPr>
            <w:tcW w:w="1560" w:type="dxa"/>
            <w:noWrap w:val="0"/>
            <w:tcMar>
              <w:left w:w="28" w:type="dxa"/>
              <w:right w:w="28" w:type="dxa"/>
            </w:tcMar>
            <w:vAlign w:val="center"/>
          </w:tcPr>
          <w:p w14:paraId="1D0F0473">
            <w:pPr>
              <w:pStyle w:val="26"/>
              <w:spacing w:beforeLines="0" w:afterLines="0" w:line="240" w:lineRule="auto"/>
              <w:rPr>
                <w:rFonts w:hint="eastAsia"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在建工程</w:t>
            </w:r>
          </w:p>
          <w:p w14:paraId="6C262615">
            <w:pPr>
              <w:pStyle w:val="26"/>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排放量（固</w:t>
            </w:r>
            <w:r>
              <w:rPr>
                <w:rFonts w:hint="eastAsia" w:ascii="黑体" w:hAnsi="黑体" w:eastAsia="黑体"/>
                <w:snapToGrid w:val="0"/>
                <w:color w:val="000000"/>
                <w:spacing w:val="-6"/>
                <w:kern w:val="21"/>
                <w:szCs w:val="21"/>
                <w:highlight w:val="none"/>
              </w:rPr>
              <w:t>体</w:t>
            </w:r>
            <w:r>
              <w:rPr>
                <w:rFonts w:ascii="黑体" w:hAnsi="黑体" w:eastAsia="黑体"/>
                <w:snapToGrid w:val="0"/>
                <w:color w:val="000000"/>
                <w:spacing w:val="-6"/>
                <w:kern w:val="21"/>
                <w:szCs w:val="21"/>
                <w:highlight w:val="none"/>
              </w:rPr>
              <w:t>废</w:t>
            </w:r>
            <w:r>
              <w:rPr>
                <w:rFonts w:hint="eastAsia" w:ascii="黑体" w:hAnsi="黑体" w:eastAsia="黑体"/>
                <w:snapToGrid w:val="0"/>
                <w:color w:val="000000"/>
                <w:spacing w:val="-6"/>
                <w:kern w:val="21"/>
                <w:szCs w:val="21"/>
                <w:highlight w:val="none"/>
              </w:rPr>
              <w:t>物</w:t>
            </w:r>
            <w:r>
              <w:rPr>
                <w:rFonts w:ascii="黑体" w:hAnsi="黑体" w:eastAsia="黑体"/>
                <w:snapToGrid w:val="0"/>
                <w:color w:val="000000"/>
                <w:spacing w:val="-6"/>
                <w:kern w:val="21"/>
                <w:szCs w:val="21"/>
                <w:highlight w:val="none"/>
              </w:rPr>
              <w:t>产生量）</w:t>
            </w:r>
            <w:r>
              <w:rPr>
                <w:rFonts w:ascii="黑体" w:hAnsi="黑体" w:eastAsia="黑体"/>
                <w:snapToGrid w:val="0"/>
                <w:color w:val="000000"/>
                <w:spacing w:val="-6"/>
                <w:kern w:val="21"/>
                <w:szCs w:val="21"/>
                <w:highlight w:val="none"/>
              </w:rPr>
              <w:fldChar w:fldCharType="begin"/>
            </w:r>
            <w:r>
              <w:rPr>
                <w:rFonts w:ascii="黑体" w:hAnsi="黑体" w:eastAsia="黑体"/>
                <w:snapToGrid w:val="0"/>
                <w:color w:val="000000"/>
                <w:spacing w:val="-6"/>
                <w:kern w:val="21"/>
                <w:szCs w:val="21"/>
                <w:highlight w:val="none"/>
              </w:rPr>
              <w:instrText xml:space="preserve"> = 3 \* GB3 \* MERGEFORMAT </w:instrText>
            </w:r>
            <w:r>
              <w:rPr>
                <w:rFonts w:ascii="黑体" w:hAnsi="黑体" w:eastAsia="黑体"/>
                <w:snapToGrid w:val="0"/>
                <w:color w:val="000000"/>
                <w:spacing w:val="-6"/>
                <w:kern w:val="21"/>
                <w:szCs w:val="21"/>
                <w:highlight w:val="none"/>
              </w:rPr>
              <w:fldChar w:fldCharType="separate"/>
            </w:r>
            <w:r>
              <w:rPr>
                <w:rFonts w:hint="eastAsia" w:ascii="黑体" w:hAnsi="黑体" w:eastAsia="黑体" w:cs="宋体"/>
                <w:kern w:val="2"/>
                <w:szCs w:val="21"/>
                <w:highlight w:val="none"/>
              </w:rPr>
              <w:t>③</w:t>
            </w:r>
            <w:r>
              <w:rPr>
                <w:rFonts w:ascii="黑体" w:hAnsi="黑体" w:eastAsia="黑体"/>
                <w:snapToGrid w:val="0"/>
                <w:color w:val="000000"/>
                <w:spacing w:val="-6"/>
                <w:kern w:val="21"/>
                <w:szCs w:val="21"/>
                <w:highlight w:val="none"/>
              </w:rPr>
              <w:fldChar w:fldCharType="end"/>
            </w:r>
          </w:p>
        </w:tc>
        <w:tc>
          <w:tcPr>
            <w:tcW w:w="1545" w:type="dxa"/>
            <w:noWrap w:val="0"/>
            <w:tcMar>
              <w:left w:w="28" w:type="dxa"/>
              <w:right w:w="28" w:type="dxa"/>
            </w:tcMar>
            <w:vAlign w:val="center"/>
          </w:tcPr>
          <w:p w14:paraId="24E075BC">
            <w:pPr>
              <w:pStyle w:val="26"/>
              <w:spacing w:beforeLines="0" w:afterLines="0" w:line="240" w:lineRule="auto"/>
              <w:rPr>
                <w:rFonts w:hint="eastAsia"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本项目</w:t>
            </w:r>
          </w:p>
          <w:p w14:paraId="42EDEF3D">
            <w:pPr>
              <w:pStyle w:val="26"/>
              <w:spacing w:beforeLines="0" w:afterLines="0" w:line="240" w:lineRule="auto"/>
              <w:rPr>
                <w:rFonts w:ascii="黑体" w:hAnsi="黑体" w:eastAsia="黑体"/>
                <w:snapToGrid w:val="0"/>
                <w:color w:val="000000"/>
                <w:spacing w:val="-6"/>
                <w:kern w:val="21"/>
                <w:szCs w:val="21"/>
                <w:highlight w:val="none"/>
              </w:rPr>
            </w:pPr>
            <w:r>
              <w:rPr>
                <w:rFonts w:ascii="黑体" w:hAnsi="黑体" w:eastAsia="黑体"/>
                <w:snapToGrid w:val="0"/>
                <w:color w:val="000000"/>
                <w:spacing w:val="-6"/>
                <w:kern w:val="21"/>
                <w:szCs w:val="21"/>
                <w:highlight w:val="none"/>
              </w:rPr>
              <w:t>排放量（固</w:t>
            </w:r>
            <w:r>
              <w:rPr>
                <w:rFonts w:hint="eastAsia" w:ascii="黑体" w:hAnsi="黑体" w:eastAsia="黑体"/>
                <w:snapToGrid w:val="0"/>
                <w:color w:val="000000"/>
                <w:spacing w:val="-6"/>
                <w:kern w:val="21"/>
                <w:szCs w:val="21"/>
                <w:highlight w:val="none"/>
              </w:rPr>
              <w:t>体</w:t>
            </w:r>
            <w:r>
              <w:rPr>
                <w:rFonts w:ascii="黑体" w:hAnsi="黑体" w:eastAsia="黑体"/>
                <w:snapToGrid w:val="0"/>
                <w:color w:val="000000"/>
                <w:spacing w:val="-6"/>
                <w:kern w:val="21"/>
                <w:szCs w:val="21"/>
                <w:highlight w:val="none"/>
              </w:rPr>
              <w:t>废</w:t>
            </w:r>
            <w:r>
              <w:rPr>
                <w:rFonts w:hint="eastAsia" w:ascii="黑体" w:hAnsi="黑体" w:eastAsia="黑体"/>
                <w:snapToGrid w:val="0"/>
                <w:color w:val="000000"/>
                <w:spacing w:val="-6"/>
                <w:kern w:val="21"/>
                <w:szCs w:val="21"/>
                <w:highlight w:val="none"/>
              </w:rPr>
              <w:t>物</w:t>
            </w:r>
            <w:r>
              <w:rPr>
                <w:rFonts w:ascii="黑体" w:hAnsi="黑体" w:eastAsia="黑体"/>
                <w:snapToGrid w:val="0"/>
                <w:color w:val="000000"/>
                <w:spacing w:val="-6"/>
                <w:kern w:val="21"/>
                <w:szCs w:val="21"/>
                <w:highlight w:val="none"/>
              </w:rPr>
              <w:t>产生量）</w:t>
            </w:r>
            <w:r>
              <w:rPr>
                <w:rFonts w:ascii="黑体" w:hAnsi="黑体" w:eastAsia="黑体"/>
                <w:snapToGrid w:val="0"/>
                <w:color w:val="000000"/>
                <w:spacing w:val="-6"/>
                <w:kern w:val="21"/>
                <w:szCs w:val="21"/>
                <w:highlight w:val="none"/>
              </w:rPr>
              <w:fldChar w:fldCharType="begin"/>
            </w:r>
            <w:r>
              <w:rPr>
                <w:rFonts w:ascii="黑体" w:hAnsi="黑体" w:eastAsia="黑体"/>
                <w:snapToGrid w:val="0"/>
                <w:color w:val="000000"/>
                <w:spacing w:val="-6"/>
                <w:kern w:val="21"/>
                <w:szCs w:val="21"/>
                <w:highlight w:val="none"/>
              </w:rPr>
              <w:instrText xml:space="preserve"> = 4 \* GB3 \* MERGEFORMAT </w:instrText>
            </w:r>
            <w:r>
              <w:rPr>
                <w:rFonts w:ascii="黑体" w:hAnsi="黑体" w:eastAsia="黑体"/>
                <w:snapToGrid w:val="0"/>
                <w:color w:val="000000"/>
                <w:spacing w:val="-6"/>
                <w:kern w:val="21"/>
                <w:szCs w:val="21"/>
                <w:highlight w:val="none"/>
              </w:rPr>
              <w:fldChar w:fldCharType="separate"/>
            </w:r>
            <w:r>
              <w:rPr>
                <w:rFonts w:hint="eastAsia" w:ascii="黑体" w:hAnsi="黑体" w:eastAsia="黑体" w:cs="宋体"/>
                <w:kern w:val="2"/>
                <w:szCs w:val="21"/>
                <w:highlight w:val="none"/>
              </w:rPr>
              <w:t>④</w:t>
            </w:r>
            <w:r>
              <w:rPr>
                <w:rFonts w:ascii="黑体" w:hAnsi="黑体" w:eastAsia="黑体"/>
                <w:snapToGrid w:val="0"/>
                <w:color w:val="000000"/>
                <w:spacing w:val="-6"/>
                <w:kern w:val="21"/>
                <w:szCs w:val="21"/>
                <w:highlight w:val="none"/>
              </w:rPr>
              <w:fldChar w:fldCharType="end"/>
            </w:r>
          </w:p>
        </w:tc>
        <w:tc>
          <w:tcPr>
            <w:tcW w:w="1620" w:type="dxa"/>
            <w:noWrap w:val="0"/>
            <w:tcMar>
              <w:left w:w="28" w:type="dxa"/>
              <w:right w:w="28" w:type="dxa"/>
            </w:tcMar>
            <w:vAlign w:val="center"/>
          </w:tcPr>
          <w:p w14:paraId="05A6E6CC">
            <w:pPr>
              <w:pStyle w:val="26"/>
              <w:spacing w:beforeLines="0" w:afterLines="0" w:line="240" w:lineRule="auto"/>
              <w:rPr>
                <w:rFonts w:hint="eastAsia" w:ascii="黑体" w:hAnsi="黑体" w:eastAsia="黑体"/>
                <w:snapToGrid w:val="0"/>
                <w:color w:val="000000"/>
                <w:spacing w:val="-16"/>
                <w:kern w:val="21"/>
                <w:szCs w:val="21"/>
                <w:highlight w:val="none"/>
              </w:rPr>
            </w:pPr>
            <w:r>
              <w:rPr>
                <w:rFonts w:ascii="黑体" w:hAnsi="黑体" w:eastAsia="黑体"/>
                <w:snapToGrid w:val="0"/>
                <w:color w:val="000000"/>
                <w:spacing w:val="-16"/>
                <w:kern w:val="21"/>
                <w:szCs w:val="21"/>
                <w:highlight w:val="none"/>
              </w:rPr>
              <w:t>以新带老削减量</w:t>
            </w:r>
          </w:p>
          <w:p w14:paraId="050F13A0">
            <w:pPr>
              <w:pStyle w:val="26"/>
              <w:spacing w:beforeLines="0" w:afterLines="0" w:line="240" w:lineRule="auto"/>
              <w:rPr>
                <w:rFonts w:ascii="黑体" w:hAnsi="黑体" w:eastAsia="黑体"/>
                <w:snapToGrid w:val="0"/>
                <w:color w:val="000000"/>
                <w:spacing w:val="-16"/>
                <w:kern w:val="21"/>
                <w:szCs w:val="21"/>
                <w:highlight w:val="none"/>
              </w:rPr>
            </w:pPr>
            <w:r>
              <w:rPr>
                <w:rFonts w:ascii="黑体" w:hAnsi="黑体" w:eastAsia="黑体"/>
                <w:snapToGrid w:val="0"/>
                <w:color w:val="000000"/>
                <w:spacing w:val="-16"/>
                <w:kern w:val="21"/>
                <w:szCs w:val="21"/>
                <w:highlight w:val="none"/>
              </w:rPr>
              <w:t>（新建项目不填）</w:t>
            </w:r>
            <w:r>
              <w:rPr>
                <w:rFonts w:ascii="黑体" w:hAnsi="黑体" w:eastAsia="黑体"/>
                <w:snapToGrid w:val="0"/>
                <w:color w:val="000000"/>
                <w:spacing w:val="-16"/>
                <w:kern w:val="21"/>
                <w:szCs w:val="21"/>
                <w:highlight w:val="none"/>
              </w:rPr>
              <w:fldChar w:fldCharType="begin"/>
            </w:r>
            <w:r>
              <w:rPr>
                <w:rFonts w:ascii="黑体" w:hAnsi="黑体" w:eastAsia="黑体"/>
                <w:snapToGrid w:val="0"/>
                <w:color w:val="000000"/>
                <w:spacing w:val="-16"/>
                <w:kern w:val="21"/>
                <w:szCs w:val="21"/>
                <w:highlight w:val="none"/>
              </w:rPr>
              <w:instrText xml:space="preserve"> = 5 \* GB3 \* MERGEFORMAT </w:instrText>
            </w:r>
            <w:r>
              <w:rPr>
                <w:rFonts w:ascii="黑体" w:hAnsi="黑体" w:eastAsia="黑体"/>
                <w:snapToGrid w:val="0"/>
                <w:color w:val="000000"/>
                <w:spacing w:val="-16"/>
                <w:kern w:val="21"/>
                <w:szCs w:val="21"/>
                <w:highlight w:val="none"/>
              </w:rPr>
              <w:fldChar w:fldCharType="separate"/>
            </w:r>
            <w:r>
              <w:rPr>
                <w:rFonts w:hint="eastAsia" w:ascii="黑体" w:hAnsi="黑体" w:eastAsia="黑体" w:cs="宋体"/>
                <w:kern w:val="2"/>
                <w:szCs w:val="21"/>
                <w:highlight w:val="none"/>
              </w:rPr>
              <w:t>⑤</w:t>
            </w:r>
            <w:r>
              <w:rPr>
                <w:rFonts w:ascii="黑体" w:hAnsi="黑体" w:eastAsia="黑体"/>
                <w:snapToGrid w:val="0"/>
                <w:color w:val="000000"/>
                <w:spacing w:val="-16"/>
                <w:kern w:val="21"/>
                <w:szCs w:val="21"/>
                <w:highlight w:val="none"/>
              </w:rPr>
              <w:fldChar w:fldCharType="end"/>
            </w:r>
          </w:p>
        </w:tc>
        <w:tc>
          <w:tcPr>
            <w:tcW w:w="1875" w:type="dxa"/>
            <w:noWrap w:val="0"/>
            <w:tcMar>
              <w:left w:w="28" w:type="dxa"/>
              <w:right w:w="28" w:type="dxa"/>
            </w:tcMar>
            <w:vAlign w:val="center"/>
          </w:tcPr>
          <w:p w14:paraId="7DB285EC">
            <w:pPr>
              <w:pStyle w:val="26"/>
              <w:spacing w:beforeLines="0" w:afterLines="0" w:line="240" w:lineRule="auto"/>
              <w:rPr>
                <w:rFonts w:hint="eastAsia" w:ascii="黑体" w:hAnsi="黑体" w:eastAsia="黑体"/>
                <w:snapToGrid w:val="0"/>
                <w:color w:val="000000"/>
                <w:spacing w:val="-16"/>
                <w:kern w:val="21"/>
                <w:szCs w:val="21"/>
                <w:highlight w:val="none"/>
              </w:rPr>
            </w:pPr>
            <w:r>
              <w:rPr>
                <w:rFonts w:ascii="黑体" w:hAnsi="黑体" w:eastAsia="黑体"/>
                <w:snapToGrid w:val="0"/>
                <w:color w:val="000000"/>
                <w:spacing w:val="-16"/>
                <w:kern w:val="21"/>
                <w:szCs w:val="21"/>
                <w:highlight w:val="none"/>
              </w:rPr>
              <w:t>本项目建成后</w:t>
            </w:r>
          </w:p>
          <w:p w14:paraId="3047A3DA">
            <w:pPr>
              <w:pStyle w:val="26"/>
              <w:spacing w:beforeLines="0" w:afterLines="0" w:line="240" w:lineRule="auto"/>
              <w:rPr>
                <w:rFonts w:ascii="黑体" w:hAnsi="黑体" w:eastAsia="黑体"/>
                <w:snapToGrid w:val="0"/>
                <w:color w:val="000000"/>
                <w:spacing w:val="-16"/>
                <w:kern w:val="21"/>
                <w:szCs w:val="21"/>
                <w:highlight w:val="none"/>
              </w:rPr>
            </w:pPr>
            <w:r>
              <w:rPr>
                <w:rFonts w:hint="eastAsia" w:ascii="黑体" w:hAnsi="黑体" w:eastAsia="黑体"/>
                <w:snapToGrid w:val="0"/>
                <w:color w:val="000000"/>
                <w:spacing w:val="-16"/>
                <w:kern w:val="21"/>
                <w:szCs w:val="21"/>
                <w:highlight w:val="none"/>
              </w:rPr>
              <w:t>全厂</w:t>
            </w:r>
            <w:r>
              <w:rPr>
                <w:rFonts w:ascii="黑体" w:hAnsi="黑体" w:eastAsia="黑体"/>
                <w:snapToGrid w:val="0"/>
                <w:color w:val="000000"/>
                <w:spacing w:val="-16"/>
                <w:kern w:val="21"/>
                <w:szCs w:val="21"/>
                <w:highlight w:val="none"/>
              </w:rPr>
              <w:t>排放量（固</w:t>
            </w:r>
            <w:r>
              <w:rPr>
                <w:rFonts w:hint="eastAsia" w:ascii="黑体" w:hAnsi="黑体" w:eastAsia="黑体"/>
                <w:snapToGrid w:val="0"/>
                <w:color w:val="000000"/>
                <w:spacing w:val="-16"/>
                <w:kern w:val="21"/>
                <w:szCs w:val="21"/>
                <w:highlight w:val="none"/>
              </w:rPr>
              <w:t>体</w:t>
            </w:r>
            <w:r>
              <w:rPr>
                <w:rFonts w:ascii="黑体" w:hAnsi="黑体" w:eastAsia="黑体"/>
                <w:snapToGrid w:val="0"/>
                <w:color w:val="000000"/>
                <w:spacing w:val="-16"/>
                <w:kern w:val="21"/>
                <w:szCs w:val="21"/>
                <w:highlight w:val="none"/>
              </w:rPr>
              <w:t>废</w:t>
            </w:r>
            <w:r>
              <w:rPr>
                <w:rFonts w:hint="eastAsia" w:ascii="黑体" w:hAnsi="黑体" w:eastAsia="黑体"/>
                <w:snapToGrid w:val="0"/>
                <w:color w:val="000000"/>
                <w:spacing w:val="-16"/>
                <w:kern w:val="21"/>
                <w:szCs w:val="21"/>
                <w:highlight w:val="none"/>
              </w:rPr>
              <w:t>物</w:t>
            </w:r>
            <w:r>
              <w:rPr>
                <w:rFonts w:ascii="黑体" w:hAnsi="黑体" w:eastAsia="黑体"/>
                <w:snapToGrid w:val="0"/>
                <w:color w:val="000000"/>
                <w:spacing w:val="-16"/>
                <w:kern w:val="21"/>
                <w:szCs w:val="21"/>
                <w:highlight w:val="none"/>
              </w:rPr>
              <w:t>产生量）</w:t>
            </w:r>
            <w:r>
              <w:rPr>
                <w:rFonts w:ascii="黑体" w:hAnsi="黑体" w:eastAsia="黑体"/>
                <w:snapToGrid w:val="0"/>
                <w:color w:val="000000"/>
                <w:spacing w:val="-16"/>
                <w:kern w:val="21"/>
                <w:szCs w:val="21"/>
                <w:highlight w:val="none"/>
              </w:rPr>
              <w:fldChar w:fldCharType="begin"/>
            </w:r>
            <w:r>
              <w:rPr>
                <w:rFonts w:ascii="黑体" w:hAnsi="黑体" w:eastAsia="黑体"/>
                <w:snapToGrid w:val="0"/>
                <w:color w:val="000000"/>
                <w:spacing w:val="-16"/>
                <w:kern w:val="21"/>
                <w:szCs w:val="21"/>
                <w:highlight w:val="none"/>
              </w:rPr>
              <w:instrText xml:space="preserve"> = 6 \* GB3 \* MERGEFORMAT </w:instrText>
            </w:r>
            <w:r>
              <w:rPr>
                <w:rFonts w:ascii="黑体" w:hAnsi="黑体" w:eastAsia="黑体"/>
                <w:snapToGrid w:val="0"/>
                <w:color w:val="000000"/>
                <w:spacing w:val="-16"/>
                <w:kern w:val="21"/>
                <w:szCs w:val="21"/>
                <w:highlight w:val="none"/>
              </w:rPr>
              <w:fldChar w:fldCharType="separate"/>
            </w:r>
            <w:r>
              <w:rPr>
                <w:rFonts w:hint="eastAsia" w:ascii="黑体" w:hAnsi="黑体" w:eastAsia="黑体" w:cs="宋体"/>
                <w:kern w:val="2"/>
                <w:szCs w:val="21"/>
                <w:highlight w:val="none"/>
              </w:rPr>
              <w:t>⑥</w:t>
            </w:r>
            <w:r>
              <w:rPr>
                <w:rFonts w:ascii="黑体" w:hAnsi="黑体" w:eastAsia="黑体"/>
                <w:snapToGrid w:val="0"/>
                <w:color w:val="000000"/>
                <w:spacing w:val="-16"/>
                <w:kern w:val="21"/>
                <w:szCs w:val="21"/>
                <w:highlight w:val="none"/>
              </w:rPr>
              <w:fldChar w:fldCharType="end"/>
            </w:r>
          </w:p>
        </w:tc>
        <w:tc>
          <w:tcPr>
            <w:tcW w:w="1081" w:type="dxa"/>
            <w:noWrap w:val="0"/>
            <w:tcMar>
              <w:left w:w="28" w:type="dxa"/>
              <w:right w:w="28" w:type="dxa"/>
            </w:tcMar>
            <w:vAlign w:val="center"/>
          </w:tcPr>
          <w:p w14:paraId="6703A3FD">
            <w:pPr>
              <w:pStyle w:val="26"/>
              <w:spacing w:beforeLines="0" w:afterLines="0" w:line="240" w:lineRule="auto"/>
              <w:rPr>
                <w:rFonts w:ascii="黑体" w:hAnsi="黑体" w:eastAsia="黑体"/>
                <w:snapToGrid w:val="0"/>
                <w:color w:val="000000"/>
                <w:spacing w:val="-6"/>
                <w:kern w:val="21"/>
                <w:sz w:val="18"/>
                <w:szCs w:val="18"/>
                <w:highlight w:val="none"/>
              </w:rPr>
            </w:pPr>
            <w:r>
              <w:rPr>
                <w:rFonts w:ascii="黑体" w:hAnsi="黑体" w:eastAsia="黑体"/>
                <w:snapToGrid w:val="0"/>
                <w:color w:val="000000"/>
                <w:spacing w:val="-6"/>
                <w:kern w:val="21"/>
                <w:sz w:val="18"/>
                <w:szCs w:val="18"/>
                <w:highlight w:val="none"/>
              </w:rPr>
              <w:t>变化量</w:t>
            </w:r>
          </w:p>
          <w:p w14:paraId="766AF517">
            <w:pPr>
              <w:pStyle w:val="26"/>
              <w:spacing w:beforeLines="0" w:afterLines="0" w:line="240" w:lineRule="auto"/>
              <w:rPr>
                <w:rFonts w:ascii="黑体" w:hAnsi="黑体" w:eastAsia="黑体"/>
                <w:snapToGrid w:val="0"/>
                <w:color w:val="000000"/>
                <w:spacing w:val="-6"/>
                <w:kern w:val="21"/>
                <w:sz w:val="18"/>
                <w:szCs w:val="18"/>
                <w:highlight w:val="none"/>
              </w:rPr>
            </w:pPr>
            <w:r>
              <w:rPr>
                <w:rFonts w:ascii="黑体" w:hAnsi="黑体" w:eastAsia="黑体"/>
                <w:snapToGrid w:val="0"/>
                <w:color w:val="000000"/>
                <w:spacing w:val="-6"/>
                <w:kern w:val="21"/>
                <w:sz w:val="18"/>
                <w:szCs w:val="18"/>
                <w:highlight w:val="none"/>
              </w:rPr>
              <w:fldChar w:fldCharType="begin"/>
            </w:r>
            <w:r>
              <w:rPr>
                <w:rFonts w:ascii="黑体" w:hAnsi="黑体" w:eastAsia="黑体"/>
                <w:snapToGrid w:val="0"/>
                <w:color w:val="000000"/>
                <w:spacing w:val="-6"/>
                <w:kern w:val="21"/>
                <w:sz w:val="18"/>
                <w:szCs w:val="18"/>
                <w:highlight w:val="none"/>
              </w:rPr>
              <w:instrText xml:space="preserve"> = 7 \* GB3 \* MERGEFORMAT </w:instrText>
            </w:r>
            <w:r>
              <w:rPr>
                <w:rFonts w:ascii="黑体" w:hAnsi="黑体" w:eastAsia="黑体"/>
                <w:snapToGrid w:val="0"/>
                <w:color w:val="000000"/>
                <w:spacing w:val="-6"/>
                <w:kern w:val="21"/>
                <w:sz w:val="18"/>
                <w:szCs w:val="18"/>
                <w:highlight w:val="none"/>
              </w:rPr>
              <w:fldChar w:fldCharType="separate"/>
            </w:r>
            <w:r>
              <w:rPr>
                <w:rFonts w:hint="eastAsia" w:ascii="黑体" w:hAnsi="黑体" w:eastAsia="黑体" w:cs="宋体"/>
                <w:kern w:val="2"/>
                <w:sz w:val="18"/>
                <w:szCs w:val="18"/>
                <w:highlight w:val="none"/>
              </w:rPr>
              <w:t>⑦</w:t>
            </w:r>
            <w:r>
              <w:rPr>
                <w:rFonts w:ascii="黑体" w:hAnsi="黑体" w:eastAsia="黑体"/>
                <w:snapToGrid w:val="0"/>
                <w:color w:val="000000"/>
                <w:spacing w:val="-6"/>
                <w:kern w:val="21"/>
                <w:sz w:val="18"/>
                <w:szCs w:val="18"/>
                <w:highlight w:val="none"/>
              </w:rPr>
              <w:fldChar w:fldCharType="end"/>
            </w:r>
          </w:p>
        </w:tc>
      </w:tr>
      <w:tr w14:paraId="5C6042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restart"/>
            <w:noWrap w:val="0"/>
            <w:vAlign w:val="center"/>
          </w:tcPr>
          <w:p w14:paraId="1E4C177C">
            <w:pPr>
              <w:pStyle w:val="26"/>
              <w:spacing w:beforeLines="0" w:afterLines="0" w:line="240" w:lineRule="auto"/>
              <w:rPr>
                <w:rFonts w:hint="eastAsia"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rPr>
              <w:t>废气</w:t>
            </w:r>
          </w:p>
        </w:tc>
        <w:tc>
          <w:tcPr>
            <w:tcW w:w="1425" w:type="dxa"/>
            <w:noWrap w:val="0"/>
            <w:vAlign w:val="center"/>
          </w:tcPr>
          <w:p w14:paraId="602AFF0D">
            <w:pPr>
              <w:pStyle w:val="26"/>
              <w:spacing w:beforeLines="0" w:afterLines="0" w:line="240" w:lineRule="auto"/>
              <w:rPr>
                <w:rFonts w:hint="eastAsia" w:ascii="宋体" w:hAnsi="宋体" w:eastAsia="宋体" w:cs="宋体"/>
                <w:snapToGrid w:val="0"/>
                <w:color w:val="000000"/>
                <w:kern w:val="21"/>
                <w:sz w:val="21"/>
                <w:szCs w:val="21"/>
                <w:highlight w:val="none"/>
                <w:lang w:val="en-US" w:eastAsia="zh-CN" w:bidi="ar-SA"/>
              </w:rPr>
            </w:pPr>
            <w:r>
              <w:rPr>
                <w:rFonts w:hint="eastAsia" w:ascii="Times New Roman" w:hAnsi="Times New Roman" w:eastAsia="宋体" w:cs="宋体"/>
                <w:snapToGrid w:val="0"/>
                <w:color w:val="000000"/>
                <w:kern w:val="21"/>
                <w:sz w:val="21"/>
                <w:szCs w:val="21"/>
                <w:highlight w:val="none"/>
                <w:lang w:eastAsia="zh-CN"/>
              </w:rPr>
              <w:t>颗粒物</w:t>
            </w:r>
            <w:r>
              <w:rPr>
                <w:rFonts w:hint="eastAsia" w:ascii="Times New Roman" w:hAnsi="Times New Roman" w:eastAsia="宋体" w:cs="Times New Roman"/>
                <w:snapToGrid w:val="0"/>
                <w:color w:val="000000"/>
                <w:kern w:val="21"/>
                <w:szCs w:val="21"/>
                <w:highlight w:val="none"/>
                <w:lang w:val="en-US" w:eastAsia="zh-CN"/>
              </w:rPr>
              <w:t>（t/a</w:t>
            </w:r>
            <w:r>
              <w:rPr>
                <w:rFonts w:hint="eastAsia" w:ascii="Times New Roman" w:eastAsia="宋体" w:cs="Times New Roman"/>
                <w:snapToGrid w:val="0"/>
                <w:color w:val="000000"/>
                <w:kern w:val="21"/>
                <w:szCs w:val="21"/>
                <w:highlight w:val="none"/>
                <w:lang w:val="en-US" w:eastAsia="zh-CN"/>
              </w:rPr>
              <w:t>）</w:t>
            </w:r>
          </w:p>
        </w:tc>
        <w:tc>
          <w:tcPr>
            <w:tcW w:w="1650" w:type="dxa"/>
            <w:noWrap w:val="0"/>
            <w:vAlign w:val="center"/>
          </w:tcPr>
          <w:p w14:paraId="25DFBF3E">
            <w:pPr>
              <w:pStyle w:val="26"/>
              <w:spacing w:beforeLines="0" w:afterLines="0" w:line="240" w:lineRule="auto"/>
              <w:rPr>
                <w:rFonts w:hint="default" w:ascii="Times New Roman" w:hAnsi="Times New Roman" w:eastAsia="宋体" w:cs="Times New Roman"/>
                <w:b w:val="0"/>
                <w:bCs w:val="0"/>
                <w:snapToGrid w:val="0"/>
                <w:color w:val="000000"/>
                <w:kern w:val="21"/>
                <w:sz w:val="21"/>
                <w:szCs w:val="21"/>
                <w:highlight w:val="none"/>
                <w:lang w:val="en-US" w:eastAsia="zh-CN" w:bidi="ar-SA"/>
              </w:rPr>
            </w:pPr>
            <w:r>
              <w:rPr>
                <w:rFonts w:hint="eastAsia" w:ascii="宋体" w:hAnsi="宋体" w:cs="宋体"/>
                <w:b w:val="0"/>
                <w:bCs w:val="0"/>
                <w:color w:val="auto"/>
                <w:sz w:val="21"/>
                <w:szCs w:val="21"/>
                <w:highlight w:val="none"/>
                <w:lang w:val="en-US" w:eastAsia="zh-CN"/>
              </w:rPr>
              <w:t>0.</w:t>
            </w:r>
            <w:r>
              <w:rPr>
                <w:rFonts w:hint="eastAsia" w:hAnsi="宋体" w:cs="宋体"/>
                <w:b w:val="0"/>
                <w:bCs w:val="0"/>
                <w:color w:val="auto"/>
                <w:sz w:val="21"/>
                <w:szCs w:val="21"/>
                <w:highlight w:val="none"/>
                <w:lang w:val="en-US" w:eastAsia="zh-CN"/>
              </w:rPr>
              <w:t>64016</w:t>
            </w:r>
          </w:p>
        </w:tc>
        <w:tc>
          <w:tcPr>
            <w:tcW w:w="1380" w:type="dxa"/>
            <w:noWrap w:val="0"/>
            <w:vAlign w:val="center"/>
          </w:tcPr>
          <w:p w14:paraId="474105D1">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60" w:type="dxa"/>
            <w:noWrap w:val="0"/>
            <w:vAlign w:val="center"/>
          </w:tcPr>
          <w:p w14:paraId="0A942674">
            <w:pPr>
              <w:pStyle w:val="26"/>
              <w:spacing w:beforeLines="0" w:afterLines="0" w:line="240" w:lineRule="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ighlight w:val="none"/>
                <w:lang w:val="en-US" w:eastAsia="zh-CN"/>
              </w:rPr>
              <w:t>9.6</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545" w:type="dxa"/>
            <w:noWrap w:val="0"/>
            <w:vAlign w:val="center"/>
          </w:tcPr>
          <w:p w14:paraId="0A7018A9">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0.243</w:t>
            </w:r>
          </w:p>
        </w:tc>
        <w:tc>
          <w:tcPr>
            <w:tcW w:w="1620" w:type="dxa"/>
            <w:noWrap w:val="0"/>
            <w:vAlign w:val="center"/>
          </w:tcPr>
          <w:p w14:paraId="37B267A5">
            <w:pPr>
              <w:pStyle w:val="26"/>
              <w:spacing w:beforeLines="0" w:afterLines="0" w:line="240" w:lineRule="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ascii="Times New Roman" w:cs="Times New Roman"/>
                <w:snapToGrid w:val="0"/>
                <w:color w:val="000000"/>
                <w:kern w:val="21"/>
                <w:sz w:val="21"/>
                <w:szCs w:val="21"/>
                <w:highlight w:val="none"/>
                <w:lang w:val="en-US" w:eastAsia="zh-CN"/>
              </w:rPr>
              <w:t>0.1152</w:t>
            </w:r>
          </w:p>
        </w:tc>
        <w:tc>
          <w:tcPr>
            <w:tcW w:w="1875" w:type="dxa"/>
            <w:noWrap w:val="0"/>
            <w:vAlign w:val="center"/>
          </w:tcPr>
          <w:p w14:paraId="01CE314B">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0.77756</w:t>
            </w:r>
          </w:p>
        </w:tc>
        <w:tc>
          <w:tcPr>
            <w:tcW w:w="1081" w:type="dxa"/>
            <w:noWrap w:val="0"/>
            <w:vAlign w:val="center"/>
          </w:tcPr>
          <w:p w14:paraId="55B37161">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0.1374</w:t>
            </w:r>
          </w:p>
        </w:tc>
      </w:tr>
      <w:tr w14:paraId="462C0D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2C3D5A87">
            <w:pPr>
              <w:pStyle w:val="26"/>
              <w:spacing w:beforeLines="0" w:afterLines="0" w:line="240" w:lineRule="auto"/>
              <w:rPr>
                <w:rFonts w:hint="eastAsia" w:hAnsi="宋体" w:cs="宋体"/>
                <w:snapToGrid w:val="0"/>
                <w:color w:val="000000"/>
                <w:kern w:val="21"/>
                <w:szCs w:val="21"/>
                <w:highlight w:val="none"/>
              </w:rPr>
            </w:pPr>
          </w:p>
        </w:tc>
        <w:tc>
          <w:tcPr>
            <w:tcW w:w="1425" w:type="dxa"/>
            <w:noWrap w:val="0"/>
            <w:vAlign w:val="center"/>
          </w:tcPr>
          <w:p w14:paraId="19787538">
            <w:pPr>
              <w:pStyle w:val="26"/>
              <w:spacing w:beforeLines="0" w:afterLines="0" w:line="240" w:lineRule="auto"/>
              <w:rPr>
                <w:rFonts w:hint="eastAsia" w:hAnsi="宋体" w:cs="宋体"/>
                <w:snapToGrid w:val="0"/>
                <w:color w:val="000000"/>
                <w:kern w:val="21"/>
                <w:szCs w:val="21"/>
                <w:highlight w:val="none"/>
                <w:lang w:val="en-US" w:eastAsia="zh-CN"/>
              </w:rPr>
            </w:pPr>
            <w:r>
              <w:rPr>
                <w:rFonts w:hint="eastAsia" w:ascii="Times New Roman" w:cs="宋体"/>
                <w:snapToGrid w:val="0"/>
                <w:color w:val="000000"/>
                <w:kern w:val="21"/>
                <w:sz w:val="21"/>
                <w:szCs w:val="21"/>
                <w:highlight w:val="none"/>
                <w:lang w:val="en-US" w:eastAsia="zh-CN"/>
              </w:rPr>
              <w:t>二氧化硫</w:t>
            </w:r>
            <w:r>
              <w:rPr>
                <w:rFonts w:hint="eastAsia" w:ascii="Times New Roman" w:hAnsi="Times New Roman" w:eastAsia="宋体" w:cs="Times New Roman"/>
                <w:snapToGrid w:val="0"/>
                <w:color w:val="000000"/>
                <w:kern w:val="21"/>
                <w:szCs w:val="21"/>
                <w:highlight w:val="none"/>
                <w:lang w:val="en-US" w:eastAsia="zh-CN"/>
              </w:rPr>
              <w:t>（t/a</w:t>
            </w:r>
            <w:r>
              <w:rPr>
                <w:rFonts w:hint="eastAsia" w:ascii="Times New Roman" w:eastAsia="宋体" w:cs="Times New Roman"/>
                <w:snapToGrid w:val="0"/>
                <w:color w:val="000000"/>
                <w:kern w:val="21"/>
                <w:szCs w:val="21"/>
                <w:highlight w:val="none"/>
                <w:lang w:val="en-US" w:eastAsia="zh-CN"/>
              </w:rPr>
              <w:t>）</w:t>
            </w:r>
          </w:p>
        </w:tc>
        <w:tc>
          <w:tcPr>
            <w:tcW w:w="1650" w:type="dxa"/>
            <w:noWrap w:val="0"/>
            <w:vAlign w:val="center"/>
          </w:tcPr>
          <w:p w14:paraId="3CAAED36">
            <w:pPr>
              <w:pStyle w:val="26"/>
              <w:spacing w:beforeLines="0" w:afterLines="0" w:line="240" w:lineRule="auto"/>
              <w:rPr>
                <w:rFonts w:hint="default" w:ascii="Times New Roman" w:hAnsi="Times New Roman" w:eastAsia="宋体" w:cs="Times New Roman"/>
                <w:b w:val="0"/>
                <w:bCs w:val="0"/>
                <w:snapToGrid w:val="0"/>
                <w:color w:val="000000"/>
                <w:kern w:val="21"/>
                <w:sz w:val="21"/>
                <w:szCs w:val="21"/>
                <w:highlight w:val="none"/>
                <w:lang w:val="en-US" w:eastAsia="zh-CN" w:bidi="ar-SA"/>
              </w:rPr>
            </w:pPr>
            <w:r>
              <w:rPr>
                <w:rFonts w:hint="eastAsia" w:hAnsi="宋体" w:cs="宋体"/>
                <w:b w:val="0"/>
                <w:bCs w:val="0"/>
                <w:color w:val="auto"/>
                <w:sz w:val="21"/>
                <w:szCs w:val="21"/>
                <w:highlight w:val="none"/>
                <w:lang w:val="en-US" w:eastAsia="zh-CN"/>
              </w:rPr>
              <w:t>1.92</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-2</w:t>
            </w:r>
          </w:p>
        </w:tc>
        <w:tc>
          <w:tcPr>
            <w:tcW w:w="1380" w:type="dxa"/>
            <w:noWrap w:val="0"/>
            <w:vAlign w:val="center"/>
          </w:tcPr>
          <w:p w14:paraId="10BCDF92">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60" w:type="dxa"/>
            <w:noWrap w:val="0"/>
            <w:vAlign w:val="center"/>
          </w:tcPr>
          <w:p w14:paraId="308974E6">
            <w:pPr>
              <w:spacing w:line="0" w:lineRule="atLeast"/>
              <w:jc w:val="cente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9.6</w:t>
            </w:r>
            <w:r>
              <w:rPr>
                <w:rFonts w:hint="default"/>
                <w:highlight w:val="none"/>
                <w:lang w:val="en-US" w:eastAsia="zh-CN"/>
              </w:rPr>
              <w:t>×</w:t>
            </w:r>
            <w:r>
              <w:rPr>
                <w:rFonts w:hint="eastAsia"/>
                <w:highlight w:val="none"/>
                <w:lang w:val="en-US" w:eastAsia="zh-CN"/>
              </w:rPr>
              <w:t>10</w:t>
            </w:r>
            <w:r>
              <w:rPr>
                <w:rFonts w:hint="eastAsia"/>
                <w:highlight w:val="none"/>
                <w:vertAlign w:val="superscript"/>
                <w:lang w:val="en-US" w:eastAsia="zh-CN"/>
              </w:rPr>
              <w:t>-3</w:t>
            </w:r>
          </w:p>
        </w:tc>
        <w:tc>
          <w:tcPr>
            <w:tcW w:w="1545" w:type="dxa"/>
            <w:noWrap w:val="0"/>
            <w:vAlign w:val="center"/>
          </w:tcPr>
          <w:p w14:paraId="21792E3B">
            <w:pPr>
              <w:pStyle w:val="26"/>
              <w:spacing w:beforeLines="0" w:afterLines="0" w:line="240" w:lineRule="auto"/>
              <w:rPr>
                <w:rFonts w:hint="default"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620" w:type="dxa"/>
            <w:noWrap w:val="0"/>
            <w:vAlign w:val="center"/>
          </w:tcPr>
          <w:p w14:paraId="6F2EB015">
            <w:pPr>
              <w:pStyle w:val="26"/>
              <w:spacing w:beforeLines="0" w:afterLines="0" w:line="240" w:lineRule="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ascii="Times New Roman" w:cs="Times New Roman"/>
                <w:snapToGrid w:val="0"/>
                <w:color w:val="000000"/>
                <w:kern w:val="21"/>
                <w:sz w:val="21"/>
                <w:szCs w:val="21"/>
                <w:highlight w:val="none"/>
                <w:lang w:val="en-US" w:eastAsia="zh-CN" w:bidi="ar-SA"/>
              </w:rPr>
              <w:t>0.0192</w:t>
            </w:r>
          </w:p>
        </w:tc>
        <w:tc>
          <w:tcPr>
            <w:tcW w:w="1875" w:type="dxa"/>
            <w:noWrap w:val="0"/>
            <w:vAlign w:val="center"/>
          </w:tcPr>
          <w:p w14:paraId="1CDB5296">
            <w:pPr>
              <w:pStyle w:val="26"/>
              <w:spacing w:beforeLines="0" w:afterLines="0" w:line="240" w:lineRule="auto"/>
              <w:rPr>
                <w:rFonts w:hint="default" w:ascii="Times New Roman" w:hAnsi="Times New Roman" w:eastAsia="宋体" w:cs="Times New Roman"/>
                <w:snapToGrid w:val="0"/>
                <w:color w:val="000000"/>
                <w:kern w:val="21"/>
                <w:sz w:val="21"/>
                <w:szCs w:val="21"/>
                <w:highlight w:val="none"/>
                <w:lang w:val="en-US" w:eastAsia="zh-CN" w:bidi="ar-SA"/>
              </w:rPr>
            </w:pPr>
            <w:r>
              <w:rPr>
                <w:rFonts w:hint="eastAsia" w:ascii="宋体" w:hAnsi="宋体" w:cs="宋体"/>
                <w:color w:val="auto"/>
                <w:sz w:val="21"/>
                <w:szCs w:val="21"/>
                <w:highlight w:val="none"/>
                <w:lang w:val="en-US" w:eastAsia="zh-CN"/>
              </w:rPr>
              <w:t>9.6</w:t>
            </w:r>
            <w:r>
              <w:rPr>
                <w:rFonts w:hint="default" w:ascii="Arial" w:hAnsi="Arial" w:cs="Arial"/>
                <w:color w:val="auto"/>
                <w:sz w:val="20"/>
                <w:szCs w:val="20"/>
                <w:highlight w:val="none"/>
                <w:lang w:val="en-US" w:eastAsia="zh-CN"/>
              </w:rPr>
              <w:t>×</w:t>
            </w:r>
            <w:r>
              <w:rPr>
                <w:rFonts w:hint="eastAsia" w:ascii="宋体" w:hAnsi="宋体" w:cs="宋体"/>
                <w:color w:val="auto"/>
                <w:sz w:val="20"/>
                <w:szCs w:val="20"/>
                <w:highlight w:val="none"/>
                <w:lang w:val="en-US" w:eastAsia="zh-CN"/>
              </w:rPr>
              <w:t>10</w:t>
            </w:r>
            <w:r>
              <w:rPr>
                <w:rFonts w:hint="eastAsia" w:ascii="宋体" w:hAnsi="宋体" w:cs="宋体"/>
                <w:color w:val="auto"/>
                <w:sz w:val="20"/>
                <w:szCs w:val="20"/>
                <w:highlight w:val="none"/>
                <w:vertAlign w:val="superscript"/>
                <w:lang w:val="en-US" w:eastAsia="zh-CN"/>
              </w:rPr>
              <w:t>-3</w:t>
            </w:r>
          </w:p>
        </w:tc>
        <w:tc>
          <w:tcPr>
            <w:tcW w:w="1081" w:type="dxa"/>
            <w:noWrap w:val="0"/>
            <w:vAlign w:val="center"/>
          </w:tcPr>
          <w:p w14:paraId="74B0B021">
            <w:pPr>
              <w:pStyle w:val="26"/>
              <w:spacing w:beforeLines="0" w:afterLines="0" w:line="240" w:lineRule="auto"/>
              <w:rPr>
                <w:rFonts w:hint="eastAsia" w:hAnsi="宋体" w:eastAsia="宋体" w:cs="宋体"/>
                <w:snapToGrid w:val="0"/>
                <w:color w:val="000000"/>
                <w:kern w:val="21"/>
                <w:szCs w:val="21"/>
                <w:highlight w:val="none"/>
                <w:lang w:val="en-US" w:eastAsia="zh-CN"/>
              </w:rPr>
            </w:pPr>
            <w:r>
              <w:rPr>
                <w:rFonts w:hint="eastAsia" w:hAnsi="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9.6</w:t>
            </w:r>
            <w:r>
              <w:rPr>
                <w:rFonts w:hint="default" w:ascii="Arial" w:hAnsi="Arial" w:cs="Arial"/>
                <w:color w:val="auto"/>
                <w:sz w:val="20"/>
                <w:szCs w:val="20"/>
                <w:highlight w:val="none"/>
                <w:lang w:val="en-US" w:eastAsia="zh-CN"/>
              </w:rPr>
              <w:t>×</w:t>
            </w:r>
            <w:r>
              <w:rPr>
                <w:rFonts w:hint="eastAsia" w:ascii="宋体" w:hAnsi="宋体" w:cs="宋体"/>
                <w:color w:val="auto"/>
                <w:sz w:val="20"/>
                <w:szCs w:val="20"/>
                <w:highlight w:val="none"/>
                <w:lang w:val="en-US" w:eastAsia="zh-CN"/>
              </w:rPr>
              <w:t>10</w:t>
            </w:r>
            <w:r>
              <w:rPr>
                <w:rFonts w:hint="eastAsia" w:ascii="宋体" w:hAnsi="宋体" w:cs="宋体"/>
                <w:color w:val="auto"/>
                <w:sz w:val="20"/>
                <w:szCs w:val="20"/>
                <w:highlight w:val="none"/>
                <w:vertAlign w:val="superscript"/>
                <w:lang w:val="en-US" w:eastAsia="zh-CN"/>
              </w:rPr>
              <w:t>-3</w:t>
            </w:r>
          </w:p>
        </w:tc>
      </w:tr>
      <w:tr w14:paraId="265AE9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17790F61">
            <w:pPr>
              <w:pStyle w:val="26"/>
              <w:spacing w:beforeLines="0" w:afterLines="0" w:line="240" w:lineRule="auto"/>
              <w:rPr>
                <w:rFonts w:hint="eastAsia" w:hAnsi="宋体" w:cs="宋体"/>
                <w:snapToGrid w:val="0"/>
                <w:color w:val="000000"/>
                <w:kern w:val="21"/>
                <w:szCs w:val="21"/>
                <w:highlight w:val="none"/>
              </w:rPr>
            </w:pPr>
          </w:p>
        </w:tc>
        <w:tc>
          <w:tcPr>
            <w:tcW w:w="1425" w:type="dxa"/>
            <w:noWrap w:val="0"/>
            <w:vAlign w:val="center"/>
          </w:tcPr>
          <w:p w14:paraId="04E7A0C7">
            <w:pPr>
              <w:pStyle w:val="26"/>
              <w:spacing w:beforeLines="0" w:afterLines="0" w:line="240" w:lineRule="auto"/>
              <w:rPr>
                <w:rFonts w:hint="eastAsia" w:hAnsi="宋体" w:cs="宋体"/>
                <w:snapToGrid w:val="0"/>
                <w:color w:val="000000"/>
                <w:kern w:val="21"/>
                <w:szCs w:val="21"/>
                <w:highlight w:val="none"/>
                <w:lang w:val="en-US" w:eastAsia="zh-CN"/>
              </w:rPr>
            </w:pPr>
            <w:r>
              <w:rPr>
                <w:rFonts w:hint="eastAsia" w:ascii="Times New Roman" w:cs="宋体"/>
                <w:snapToGrid w:val="0"/>
                <w:color w:val="000000"/>
                <w:kern w:val="21"/>
                <w:sz w:val="21"/>
                <w:szCs w:val="21"/>
                <w:highlight w:val="none"/>
                <w:lang w:val="en-US" w:eastAsia="zh-CN"/>
              </w:rPr>
              <w:t>氮氧化物</w:t>
            </w:r>
            <w:r>
              <w:rPr>
                <w:rFonts w:hint="eastAsia" w:ascii="Times New Roman" w:hAnsi="Times New Roman" w:eastAsia="宋体" w:cs="Times New Roman"/>
                <w:snapToGrid w:val="0"/>
                <w:color w:val="000000"/>
                <w:kern w:val="21"/>
                <w:szCs w:val="21"/>
                <w:highlight w:val="none"/>
                <w:lang w:val="en-US" w:eastAsia="zh-CN"/>
              </w:rPr>
              <w:t>（t/a</w:t>
            </w:r>
            <w:r>
              <w:rPr>
                <w:rFonts w:hint="eastAsia" w:ascii="Times New Roman" w:eastAsia="宋体" w:cs="Times New Roman"/>
                <w:snapToGrid w:val="0"/>
                <w:color w:val="000000"/>
                <w:kern w:val="21"/>
                <w:szCs w:val="21"/>
                <w:highlight w:val="none"/>
                <w:lang w:val="en-US" w:eastAsia="zh-CN"/>
              </w:rPr>
              <w:t>）</w:t>
            </w:r>
          </w:p>
        </w:tc>
        <w:tc>
          <w:tcPr>
            <w:tcW w:w="1650" w:type="dxa"/>
            <w:noWrap w:val="0"/>
            <w:vAlign w:val="center"/>
          </w:tcPr>
          <w:p w14:paraId="758DBBF2">
            <w:pPr>
              <w:pStyle w:val="26"/>
              <w:spacing w:beforeLines="0" w:afterLines="0" w:line="240" w:lineRule="auto"/>
              <w:rPr>
                <w:rFonts w:hint="default" w:ascii="Times New Roman" w:cs="Times New Roman"/>
                <w:b w:val="0"/>
                <w:bCs w:val="0"/>
                <w:snapToGrid w:val="0"/>
                <w:color w:val="000000"/>
                <w:kern w:val="21"/>
                <w:sz w:val="21"/>
                <w:szCs w:val="21"/>
                <w:highlight w:val="none"/>
                <w:lang w:val="en-US" w:eastAsia="zh-CN"/>
              </w:rPr>
            </w:pPr>
            <w:r>
              <w:rPr>
                <w:rFonts w:hint="eastAsia" w:hAnsi="宋体" w:cs="宋体"/>
                <w:b w:val="0"/>
                <w:bCs w:val="0"/>
                <w:color w:val="auto"/>
                <w:sz w:val="21"/>
                <w:szCs w:val="21"/>
                <w:highlight w:val="none"/>
                <w:lang w:val="en-US" w:eastAsia="zh-CN"/>
              </w:rPr>
              <w:t>0.8416</w:t>
            </w:r>
          </w:p>
        </w:tc>
        <w:tc>
          <w:tcPr>
            <w:tcW w:w="1380" w:type="dxa"/>
            <w:noWrap w:val="0"/>
            <w:vAlign w:val="center"/>
          </w:tcPr>
          <w:p w14:paraId="7AA2F039">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60" w:type="dxa"/>
            <w:noWrap w:val="0"/>
            <w:vAlign w:val="center"/>
          </w:tcPr>
          <w:p w14:paraId="41311B4A">
            <w:pPr>
              <w:spacing w:line="0" w:lineRule="atLeast"/>
              <w:jc w:val="cente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0.048</w:t>
            </w:r>
          </w:p>
        </w:tc>
        <w:tc>
          <w:tcPr>
            <w:tcW w:w="1545" w:type="dxa"/>
            <w:noWrap w:val="0"/>
            <w:vAlign w:val="center"/>
          </w:tcPr>
          <w:p w14:paraId="31096546">
            <w:pPr>
              <w:pStyle w:val="26"/>
              <w:spacing w:beforeLines="0" w:afterLines="0" w:line="240" w:lineRule="auto"/>
              <w:rPr>
                <w:rFonts w:hint="default"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620" w:type="dxa"/>
            <w:noWrap w:val="0"/>
            <w:vAlign w:val="center"/>
          </w:tcPr>
          <w:p w14:paraId="06DFDED1">
            <w:pPr>
              <w:pStyle w:val="26"/>
              <w:spacing w:beforeLines="0" w:afterLines="0" w:line="240" w:lineRule="auto"/>
              <w:rPr>
                <w:rFonts w:hint="default" w:ascii="Times New Roman" w:hAnsi="Times New Roman" w:eastAsia="宋体" w:cs="Times New Roman"/>
                <w:snapToGrid w:val="0"/>
                <w:color w:val="000000"/>
                <w:kern w:val="21"/>
                <w:sz w:val="21"/>
                <w:szCs w:val="21"/>
                <w:highlight w:val="none"/>
                <w:lang w:val="en-US" w:eastAsia="zh-CN"/>
              </w:rPr>
            </w:pPr>
            <w:r>
              <w:rPr>
                <w:rFonts w:hint="eastAsia" w:ascii="Times New Roman" w:cs="Times New Roman"/>
                <w:snapToGrid w:val="0"/>
                <w:color w:val="000000"/>
                <w:kern w:val="21"/>
                <w:sz w:val="21"/>
                <w:szCs w:val="21"/>
                <w:highlight w:val="none"/>
                <w:lang w:val="en-US" w:eastAsia="zh-CN"/>
              </w:rPr>
              <w:t>0.8416</w:t>
            </w:r>
          </w:p>
        </w:tc>
        <w:tc>
          <w:tcPr>
            <w:tcW w:w="1875" w:type="dxa"/>
            <w:noWrap w:val="0"/>
            <w:vAlign w:val="center"/>
          </w:tcPr>
          <w:p w14:paraId="04941AC5">
            <w:pPr>
              <w:pStyle w:val="26"/>
              <w:spacing w:beforeLines="0" w:afterLines="0" w:line="240" w:lineRule="auto"/>
              <w:rPr>
                <w:rFonts w:hint="eastAsia" w:ascii="Times New Roman" w:hAnsi="Times New Roman" w:eastAsia="宋体" w:cs="Times New Roman"/>
                <w:snapToGrid w:val="0"/>
                <w:color w:val="000000"/>
                <w:kern w:val="21"/>
                <w:sz w:val="21"/>
                <w:szCs w:val="21"/>
                <w:highlight w:val="none"/>
                <w:lang w:val="en-US" w:eastAsia="zh-CN" w:bidi="ar-SA"/>
              </w:rPr>
            </w:pPr>
            <w:r>
              <w:rPr>
                <w:rFonts w:hint="eastAsia" w:ascii="宋体" w:hAnsi="宋体" w:cs="宋体"/>
                <w:color w:val="auto"/>
                <w:sz w:val="21"/>
                <w:szCs w:val="21"/>
                <w:highlight w:val="none"/>
                <w:lang w:val="en-US" w:eastAsia="zh-CN"/>
              </w:rPr>
              <w:t>0.048</w:t>
            </w:r>
          </w:p>
        </w:tc>
        <w:tc>
          <w:tcPr>
            <w:tcW w:w="1081" w:type="dxa"/>
            <w:noWrap w:val="0"/>
            <w:vAlign w:val="center"/>
          </w:tcPr>
          <w:p w14:paraId="40161CE6">
            <w:pPr>
              <w:pStyle w:val="26"/>
              <w:spacing w:beforeLines="0" w:afterLines="0" w:line="240" w:lineRule="auto"/>
              <w:rPr>
                <w:rFonts w:hint="default"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-0.7936</w:t>
            </w:r>
          </w:p>
        </w:tc>
      </w:tr>
      <w:tr w14:paraId="71254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58C05FF8">
            <w:pPr>
              <w:pStyle w:val="26"/>
              <w:spacing w:beforeLines="0" w:afterLines="0" w:line="240" w:lineRule="auto"/>
              <w:rPr>
                <w:rFonts w:hint="eastAsia" w:hAnsi="宋体" w:cs="宋体"/>
                <w:snapToGrid w:val="0"/>
                <w:color w:val="000000"/>
                <w:kern w:val="21"/>
                <w:szCs w:val="21"/>
                <w:highlight w:val="none"/>
              </w:rPr>
            </w:pPr>
          </w:p>
        </w:tc>
        <w:tc>
          <w:tcPr>
            <w:tcW w:w="1425" w:type="dxa"/>
            <w:noWrap w:val="0"/>
            <w:vAlign w:val="center"/>
          </w:tcPr>
          <w:p w14:paraId="34D947D1">
            <w:pPr>
              <w:pStyle w:val="26"/>
              <w:spacing w:beforeLines="0" w:afterLines="0" w:line="240" w:lineRule="auto"/>
              <w:rPr>
                <w:rFonts w:hint="eastAsia" w:hAnsi="宋体" w:cs="宋体"/>
                <w:snapToGrid w:val="0"/>
                <w:color w:val="000000"/>
                <w:kern w:val="21"/>
                <w:szCs w:val="21"/>
                <w:highlight w:val="none"/>
                <w:lang w:val="en-US" w:eastAsia="zh-CN"/>
              </w:rPr>
            </w:pPr>
            <w:r>
              <w:rPr>
                <w:rFonts w:hint="eastAsia" w:ascii="Times New Roman" w:cs="宋体"/>
                <w:snapToGrid w:val="0"/>
                <w:color w:val="000000"/>
                <w:kern w:val="21"/>
                <w:sz w:val="21"/>
                <w:szCs w:val="21"/>
                <w:highlight w:val="none"/>
                <w:lang w:val="en-US" w:eastAsia="zh-CN"/>
              </w:rPr>
              <w:t>非甲烷总烃</w:t>
            </w:r>
            <w:r>
              <w:rPr>
                <w:rFonts w:hint="eastAsia" w:ascii="Times New Roman" w:hAnsi="Times New Roman" w:eastAsia="宋体" w:cs="Times New Roman"/>
                <w:snapToGrid w:val="0"/>
                <w:color w:val="000000"/>
                <w:kern w:val="21"/>
                <w:szCs w:val="21"/>
                <w:highlight w:val="none"/>
                <w:lang w:val="en-US" w:eastAsia="zh-CN"/>
              </w:rPr>
              <w:t>（t/a</w:t>
            </w:r>
            <w:r>
              <w:rPr>
                <w:rFonts w:hint="eastAsia" w:ascii="Times New Roman" w:eastAsia="宋体" w:cs="Times New Roman"/>
                <w:snapToGrid w:val="0"/>
                <w:color w:val="000000"/>
                <w:kern w:val="21"/>
                <w:szCs w:val="21"/>
                <w:highlight w:val="none"/>
                <w:lang w:val="en-US" w:eastAsia="zh-CN"/>
              </w:rPr>
              <w:t>）</w:t>
            </w:r>
          </w:p>
        </w:tc>
        <w:tc>
          <w:tcPr>
            <w:tcW w:w="1650" w:type="dxa"/>
            <w:noWrap w:val="0"/>
            <w:vAlign w:val="center"/>
          </w:tcPr>
          <w:p w14:paraId="15D6C04F">
            <w:pPr>
              <w:pStyle w:val="26"/>
              <w:spacing w:beforeLines="0" w:afterLines="0" w:line="240" w:lineRule="auto"/>
              <w:rPr>
                <w:rFonts w:hint="eastAsia" w:ascii="Times New Roman" w:cs="Times New Roman"/>
                <w:snapToGrid w:val="0"/>
                <w:color w:val="000000"/>
                <w:kern w:val="21"/>
                <w:sz w:val="21"/>
                <w:szCs w:val="21"/>
                <w:highlight w:val="none"/>
                <w:lang w:val="en-US" w:eastAsia="zh-CN"/>
              </w:rPr>
            </w:pPr>
            <w:r>
              <w:rPr>
                <w:rFonts w:hint="eastAsia" w:ascii="宋体" w:hAnsi="宋体" w:cs="宋体"/>
                <w:color w:val="auto"/>
                <w:sz w:val="21"/>
                <w:szCs w:val="21"/>
                <w:highlight w:val="none"/>
                <w:lang w:val="en-US" w:eastAsia="zh-CN"/>
              </w:rPr>
              <w:t>0.35568</w:t>
            </w:r>
          </w:p>
        </w:tc>
        <w:tc>
          <w:tcPr>
            <w:tcW w:w="1380" w:type="dxa"/>
            <w:noWrap w:val="0"/>
            <w:vAlign w:val="center"/>
          </w:tcPr>
          <w:p w14:paraId="4D1D9ACB">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60" w:type="dxa"/>
            <w:noWrap w:val="0"/>
            <w:vAlign w:val="center"/>
          </w:tcPr>
          <w:p w14:paraId="50807DBC">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45" w:type="dxa"/>
            <w:noWrap w:val="0"/>
            <w:vAlign w:val="center"/>
          </w:tcPr>
          <w:p w14:paraId="74BC7B69">
            <w:pPr>
              <w:pStyle w:val="26"/>
              <w:spacing w:beforeLines="0" w:afterLines="0" w:line="240" w:lineRule="auto"/>
              <w:rPr>
                <w:rFonts w:hint="default"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620" w:type="dxa"/>
            <w:noWrap w:val="0"/>
            <w:vAlign w:val="center"/>
          </w:tcPr>
          <w:p w14:paraId="3A6902D7">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875" w:type="dxa"/>
            <w:noWrap w:val="0"/>
            <w:vAlign w:val="center"/>
          </w:tcPr>
          <w:p w14:paraId="2434E950">
            <w:pPr>
              <w:pStyle w:val="26"/>
              <w:spacing w:beforeLines="0" w:afterLines="0" w:line="240" w:lineRule="auto"/>
              <w:rPr>
                <w:rFonts w:hint="eastAsia" w:ascii="Times New Roman" w:hAnsi="Times New Roman" w:eastAsia="宋体" w:cs="Times New Roman"/>
                <w:snapToGrid w:val="0"/>
                <w:color w:val="000000"/>
                <w:kern w:val="21"/>
                <w:sz w:val="21"/>
                <w:szCs w:val="21"/>
                <w:highlight w:val="none"/>
                <w:lang w:val="en-US" w:eastAsia="zh-CN" w:bidi="ar-SA"/>
              </w:rPr>
            </w:pPr>
            <w:r>
              <w:rPr>
                <w:rFonts w:hint="eastAsia" w:ascii="宋体" w:hAnsi="宋体" w:cs="宋体"/>
                <w:color w:val="auto"/>
                <w:sz w:val="21"/>
                <w:szCs w:val="21"/>
                <w:highlight w:val="none"/>
                <w:lang w:val="en-US" w:eastAsia="zh-CN"/>
              </w:rPr>
              <w:t>0.35568</w:t>
            </w:r>
          </w:p>
        </w:tc>
        <w:tc>
          <w:tcPr>
            <w:tcW w:w="1081" w:type="dxa"/>
            <w:noWrap w:val="0"/>
            <w:vAlign w:val="center"/>
          </w:tcPr>
          <w:p w14:paraId="097C29C9">
            <w:pPr>
              <w:pStyle w:val="26"/>
              <w:spacing w:beforeLines="0" w:afterLines="0" w:line="240" w:lineRule="auto"/>
              <w:rPr>
                <w:rFonts w:hint="default"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0</w:t>
            </w:r>
          </w:p>
        </w:tc>
      </w:tr>
      <w:tr w14:paraId="4E15E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6A514367">
            <w:pPr>
              <w:pStyle w:val="26"/>
              <w:spacing w:beforeLines="0" w:afterLines="0" w:line="240" w:lineRule="auto"/>
              <w:rPr>
                <w:rFonts w:hint="eastAsia" w:hAnsi="宋体" w:cs="宋体"/>
                <w:snapToGrid w:val="0"/>
                <w:color w:val="000000"/>
                <w:kern w:val="21"/>
                <w:szCs w:val="21"/>
                <w:highlight w:val="none"/>
              </w:rPr>
            </w:pPr>
          </w:p>
        </w:tc>
        <w:tc>
          <w:tcPr>
            <w:tcW w:w="1425" w:type="dxa"/>
            <w:noWrap w:val="0"/>
            <w:vAlign w:val="center"/>
          </w:tcPr>
          <w:p w14:paraId="483FB99B">
            <w:pPr>
              <w:pStyle w:val="26"/>
              <w:spacing w:beforeLines="0" w:afterLines="0" w:line="240" w:lineRule="auto"/>
              <w:rPr>
                <w:rFonts w:hint="default" w:ascii="Times New Roman" w:cs="宋体"/>
                <w:snapToGrid w:val="0"/>
                <w:color w:val="000000"/>
                <w:kern w:val="21"/>
                <w:sz w:val="21"/>
                <w:szCs w:val="21"/>
                <w:highlight w:val="none"/>
                <w:lang w:val="en-US" w:eastAsia="zh-CN"/>
              </w:rPr>
            </w:pPr>
            <w:r>
              <w:rPr>
                <w:rFonts w:hint="eastAsia" w:ascii="Times New Roman" w:cs="宋体"/>
                <w:snapToGrid w:val="0"/>
                <w:color w:val="000000"/>
                <w:kern w:val="21"/>
                <w:sz w:val="21"/>
                <w:szCs w:val="21"/>
                <w:highlight w:val="none"/>
                <w:lang w:val="en-US" w:eastAsia="zh-CN"/>
              </w:rPr>
              <w:t>苯</w:t>
            </w:r>
            <w:r>
              <w:rPr>
                <w:rFonts w:hint="eastAsia" w:ascii="Times New Roman" w:hAnsi="Times New Roman" w:eastAsia="宋体" w:cs="Times New Roman"/>
                <w:snapToGrid w:val="0"/>
                <w:color w:val="000000"/>
                <w:kern w:val="21"/>
                <w:szCs w:val="21"/>
                <w:highlight w:val="none"/>
                <w:lang w:val="en-US" w:eastAsia="zh-CN"/>
              </w:rPr>
              <w:t>（t/a</w:t>
            </w:r>
            <w:r>
              <w:rPr>
                <w:rFonts w:hint="eastAsia" w:ascii="Times New Roman" w:eastAsia="宋体" w:cs="Times New Roman"/>
                <w:snapToGrid w:val="0"/>
                <w:color w:val="000000"/>
                <w:kern w:val="21"/>
                <w:szCs w:val="21"/>
                <w:highlight w:val="none"/>
                <w:lang w:val="en-US" w:eastAsia="zh-CN"/>
              </w:rPr>
              <w:t>）</w:t>
            </w:r>
          </w:p>
        </w:tc>
        <w:tc>
          <w:tcPr>
            <w:tcW w:w="1650" w:type="dxa"/>
            <w:noWrap w:val="0"/>
            <w:vAlign w:val="center"/>
          </w:tcPr>
          <w:p w14:paraId="6E071A7B">
            <w:pPr>
              <w:pStyle w:val="26"/>
              <w:spacing w:beforeLines="0" w:afterLines="0" w:line="24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0.565344</w:t>
            </w:r>
          </w:p>
        </w:tc>
        <w:tc>
          <w:tcPr>
            <w:tcW w:w="1380" w:type="dxa"/>
            <w:noWrap w:val="0"/>
            <w:vAlign w:val="center"/>
          </w:tcPr>
          <w:p w14:paraId="6F684AE9">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60" w:type="dxa"/>
            <w:noWrap w:val="0"/>
            <w:vAlign w:val="center"/>
          </w:tcPr>
          <w:p w14:paraId="3EE6291C">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45" w:type="dxa"/>
            <w:noWrap w:val="0"/>
            <w:vAlign w:val="center"/>
          </w:tcPr>
          <w:p w14:paraId="256E00F8">
            <w:pPr>
              <w:pStyle w:val="26"/>
              <w:spacing w:beforeLines="0" w:afterLines="0" w:line="240" w:lineRule="auto"/>
              <w:rPr>
                <w:rFonts w:hint="eastAsia"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620" w:type="dxa"/>
            <w:noWrap w:val="0"/>
            <w:vAlign w:val="center"/>
          </w:tcPr>
          <w:p w14:paraId="4C4A1759">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875" w:type="dxa"/>
            <w:noWrap w:val="0"/>
            <w:vAlign w:val="center"/>
          </w:tcPr>
          <w:p w14:paraId="2F16365A">
            <w:pPr>
              <w:pStyle w:val="26"/>
              <w:spacing w:beforeLines="0" w:afterLines="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 w:val="21"/>
                <w:szCs w:val="21"/>
                <w:highlight w:val="none"/>
                <w:lang w:val="en-US" w:eastAsia="zh-CN"/>
              </w:rPr>
              <w:t>0.565344</w:t>
            </w:r>
          </w:p>
        </w:tc>
        <w:tc>
          <w:tcPr>
            <w:tcW w:w="1081" w:type="dxa"/>
            <w:noWrap w:val="0"/>
            <w:vAlign w:val="center"/>
          </w:tcPr>
          <w:p w14:paraId="7AE7D7DD">
            <w:pPr>
              <w:pStyle w:val="26"/>
              <w:spacing w:beforeLines="0" w:afterLines="0" w:line="240" w:lineRule="auto"/>
              <w:rPr>
                <w:rFonts w:hint="default"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0</w:t>
            </w:r>
          </w:p>
        </w:tc>
      </w:tr>
      <w:tr w14:paraId="5AF22E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62C53F71">
            <w:pPr>
              <w:pStyle w:val="26"/>
              <w:spacing w:beforeLines="0" w:afterLines="0" w:line="240" w:lineRule="auto"/>
              <w:rPr>
                <w:rFonts w:hint="eastAsia" w:hAnsi="宋体" w:cs="宋体"/>
                <w:snapToGrid w:val="0"/>
                <w:color w:val="000000"/>
                <w:kern w:val="21"/>
                <w:szCs w:val="21"/>
                <w:highlight w:val="none"/>
              </w:rPr>
            </w:pPr>
          </w:p>
        </w:tc>
        <w:tc>
          <w:tcPr>
            <w:tcW w:w="1425" w:type="dxa"/>
            <w:noWrap w:val="0"/>
            <w:vAlign w:val="center"/>
          </w:tcPr>
          <w:p w14:paraId="50B31A2E">
            <w:pPr>
              <w:pStyle w:val="26"/>
              <w:spacing w:beforeLines="0" w:afterLines="0" w:line="240" w:lineRule="auto"/>
              <w:rPr>
                <w:rFonts w:hint="default" w:ascii="Times New Roman" w:cs="宋体"/>
                <w:snapToGrid w:val="0"/>
                <w:color w:val="000000"/>
                <w:kern w:val="21"/>
                <w:sz w:val="21"/>
                <w:szCs w:val="21"/>
                <w:highlight w:val="none"/>
                <w:lang w:val="en-US" w:eastAsia="zh-CN"/>
              </w:rPr>
            </w:pPr>
            <w:r>
              <w:rPr>
                <w:rFonts w:hint="eastAsia" w:ascii="Times New Roman" w:cs="宋体"/>
                <w:snapToGrid w:val="0"/>
                <w:color w:val="000000"/>
                <w:kern w:val="21"/>
                <w:sz w:val="21"/>
                <w:szCs w:val="21"/>
                <w:highlight w:val="none"/>
                <w:lang w:val="en-US" w:eastAsia="zh-CN"/>
              </w:rPr>
              <w:t>甲苯</w:t>
            </w:r>
            <w:r>
              <w:rPr>
                <w:rFonts w:hint="eastAsia" w:ascii="Times New Roman" w:hAnsi="Times New Roman" w:eastAsia="宋体" w:cs="Times New Roman"/>
                <w:snapToGrid w:val="0"/>
                <w:color w:val="000000"/>
                <w:kern w:val="21"/>
                <w:szCs w:val="21"/>
                <w:highlight w:val="none"/>
                <w:lang w:val="en-US" w:eastAsia="zh-CN"/>
              </w:rPr>
              <w:t>（t/a</w:t>
            </w:r>
            <w:r>
              <w:rPr>
                <w:rFonts w:hint="eastAsia" w:ascii="Times New Roman" w:eastAsia="宋体" w:cs="Times New Roman"/>
                <w:snapToGrid w:val="0"/>
                <w:color w:val="000000"/>
                <w:kern w:val="21"/>
                <w:szCs w:val="21"/>
                <w:highlight w:val="none"/>
                <w:lang w:val="en-US" w:eastAsia="zh-CN"/>
              </w:rPr>
              <w:t>）</w:t>
            </w:r>
          </w:p>
        </w:tc>
        <w:tc>
          <w:tcPr>
            <w:tcW w:w="1650" w:type="dxa"/>
            <w:noWrap w:val="0"/>
            <w:vAlign w:val="center"/>
          </w:tcPr>
          <w:p w14:paraId="16AA35D0">
            <w:pPr>
              <w:pStyle w:val="26"/>
              <w:spacing w:beforeLines="0" w:afterLines="0" w:line="24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1.14816</w:t>
            </w:r>
            <w:r>
              <w:rPr>
                <w:rFonts w:hint="default" w:ascii="Arial" w:hAnsi="Arial" w:cs="Arial"/>
                <w:color w:val="auto"/>
                <w:sz w:val="20"/>
                <w:szCs w:val="20"/>
                <w:highlight w:val="none"/>
                <w:lang w:val="en-US" w:eastAsia="zh-CN"/>
              </w:rPr>
              <w:t>×</w:t>
            </w:r>
            <w:r>
              <w:rPr>
                <w:rFonts w:hint="eastAsia" w:ascii="宋体" w:hAnsi="宋体" w:cs="宋体"/>
                <w:color w:val="auto"/>
                <w:sz w:val="20"/>
                <w:szCs w:val="20"/>
                <w:highlight w:val="none"/>
                <w:lang w:val="en-US" w:eastAsia="zh-CN"/>
              </w:rPr>
              <w:t>10</w:t>
            </w:r>
            <w:r>
              <w:rPr>
                <w:rFonts w:hint="eastAsia" w:ascii="宋体" w:hAnsi="宋体" w:cs="宋体"/>
                <w:color w:val="auto"/>
                <w:sz w:val="20"/>
                <w:szCs w:val="20"/>
                <w:highlight w:val="none"/>
                <w:vertAlign w:val="superscript"/>
                <w:lang w:val="en-US" w:eastAsia="zh-CN"/>
              </w:rPr>
              <w:t>-3</w:t>
            </w:r>
          </w:p>
        </w:tc>
        <w:tc>
          <w:tcPr>
            <w:tcW w:w="1380" w:type="dxa"/>
            <w:noWrap w:val="0"/>
            <w:vAlign w:val="center"/>
          </w:tcPr>
          <w:p w14:paraId="4B5C7EA2">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60" w:type="dxa"/>
            <w:noWrap w:val="0"/>
            <w:vAlign w:val="center"/>
          </w:tcPr>
          <w:p w14:paraId="34339332">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45" w:type="dxa"/>
            <w:noWrap w:val="0"/>
            <w:vAlign w:val="center"/>
          </w:tcPr>
          <w:p w14:paraId="53EF1785">
            <w:pPr>
              <w:pStyle w:val="26"/>
              <w:spacing w:beforeLines="0" w:afterLines="0" w:line="240" w:lineRule="auto"/>
              <w:rPr>
                <w:rFonts w:hint="eastAsia"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620" w:type="dxa"/>
            <w:noWrap w:val="0"/>
            <w:vAlign w:val="center"/>
          </w:tcPr>
          <w:p w14:paraId="33DA30A1">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875" w:type="dxa"/>
            <w:noWrap w:val="0"/>
            <w:vAlign w:val="center"/>
          </w:tcPr>
          <w:p w14:paraId="33FB0166">
            <w:pPr>
              <w:pStyle w:val="26"/>
              <w:spacing w:beforeLines="0" w:afterLines="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 w:val="21"/>
                <w:szCs w:val="21"/>
                <w:highlight w:val="none"/>
                <w:lang w:val="en-US" w:eastAsia="zh-CN"/>
              </w:rPr>
              <w:t>1.14816</w:t>
            </w:r>
            <w:r>
              <w:rPr>
                <w:rFonts w:hint="default" w:ascii="Arial" w:hAnsi="Arial" w:cs="Arial"/>
                <w:color w:val="auto"/>
                <w:sz w:val="20"/>
                <w:szCs w:val="20"/>
                <w:highlight w:val="none"/>
                <w:lang w:val="en-US" w:eastAsia="zh-CN"/>
              </w:rPr>
              <w:t>×</w:t>
            </w:r>
            <w:r>
              <w:rPr>
                <w:rFonts w:hint="eastAsia" w:ascii="宋体" w:hAnsi="宋体" w:cs="宋体"/>
                <w:color w:val="auto"/>
                <w:sz w:val="20"/>
                <w:szCs w:val="20"/>
                <w:highlight w:val="none"/>
                <w:lang w:val="en-US" w:eastAsia="zh-CN"/>
              </w:rPr>
              <w:t>10</w:t>
            </w:r>
            <w:r>
              <w:rPr>
                <w:rFonts w:hint="eastAsia" w:ascii="宋体" w:hAnsi="宋体" w:cs="宋体"/>
                <w:color w:val="auto"/>
                <w:sz w:val="20"/>
                <w:szCs w:val="20"/>
                <w:highlight w:val="none"/>
                <w:vertAlign w:val="superscript"/>
                <w:lang w:val="en-US" w:eastAsia="zh-CN"/>
              </w:rPr>
              <w:t>-3</w:t>
            </w:r>
          </w:p>
        </w:tc>
        <w:tc>
          <w:tcPr>
            <w:tcW w:w="1081" w:type="dxa"/>
            <w:noWrap w:val="0"/>
            <w:vAlign w:val="center"/>
          </w:tcPr>
          <w:p w14:paraId="3C3D89BB">
            <w:pPr>
              <w:pStyle w:val="26"/>
              <w:spacing w:beforeLines="0" w:afterLines="0" w:line="240" w:lineRule="auto"/>
              <w:rPr>
                <w:rFonts w:hint="default"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0</w:t>
            </w:r>
          </w:p>
        </w:tc>
      </w:tr>
      <w:tr w14:paraId="7D4395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2960C2C0">
            <w:pPr>
              <w:pStyle w:val="26"/>
              <w:spacing w:beforeLines="0" w:afterLines="0" w:line="240" w:lineRule="auto"/>
              <w:rPr>
                <w:rFonts w:hint="eastAsia" w:hAnsi="宋体" w:cs="宋体"/>
                <w:snapToGrid w:val="0"/>
                <w:color w:val="000000"/>
                <w:kern w:val="21"/>
                <w:szCs w:val="21"/>
                <w:highlight w:val="none"/>
              </w:rPr>
            </w:pPr>
          </w:p>
        </w:tc>
        <w:tc>
          <w:tcPr>
            <w:tcW w:w="1425" w:type="dxa"/>
            <w:noWrap w:val="0"/>
            <w:vAlign w:val="center"/>
          </w:tcPr>
          <w:p w14:paraId="3DEC22C5">
            <w:pPr>
              <w:pStyle w:val="26"/>
              <w:spacing w:beforeLines="0" w:afterLines="0" w:line="240" w:lineRule="auto"/>
              <w:rPr>
                <w:rFonts w:hint="default" w:ascii="Times New Roman" w:cs="宋体"/>
                <w:snapToGrid w:val="0"/>
                <w:color w:val="000000"/>
                <w:kern w:val="21"/>
                <w:sz w:val="21"/>
                <w:szCs w:val="21"/>
                <w:highlight w:val="none"/>
                <w:lang w:val="en-US" w:eastAsia="zh-CN"/>
              </w:rPr>
            </w:pPr>
            <w:r>
              <w:rPr>
                <w:rFonts w:hint="eastAsia" w:ascii="Times New Roman" w:cs="宋体"/>
                <w:snapToGrid w:val="0"/>
                <w:color w:val="000000"/>
                <w:kern w:val="21"/>
                <w:sz w:val="21"/>
                <w:szCs w:val="21"/>
                <w:highlight w:val="none"/>
                <w:lang w:val="en-US" w:eastAsia="zh-CN"/>
              </w:rPr>
              <w:t>二甲苯</w:t>
            </w:r>
            <w:r>
              <w:rPr>
                <w:rFonts w:hint="eastAsia" w:ascii="Times New Roman" w:hAnsi="Times New Roman" w:eastAsia="宋体" w:cs="Times New Roman"/>
                <w:snapToGrid w:val="0"/>
                <w:color w:val="000000"/>
                <w:kern w:val="21"/>
                <w:szCs w:val="21"/>
                <w:highlight w:val="none"/>
                <w:lang w:val="en-US" w:eastAsia="zh-CN"/>
              </w:rPr>
              <w:t>（t/a</w:t>
            </w:r>
            <w:r>
              <w:rPr>
                <w:rFonts w:hint="eastAsia" w:ascii="Times New Roman" w:eastAsia="宋体" w:cs="Times New Roman"/>
                <w:snapToGrid w:val="0"/>
                <w:color w:val="000000"/>
                <w:kern w:val="21"/>
                <w:szCs w:val="21"/>
                <w:highlight w:val="none"/>
                <w:lang w:val="en-US" w:eastAsia="zh-CN"/>
              </w:rPr>
              <w:t>）</w:t>
            </w:r>
          </w:p>
        </w:tc>
        <w:tc>
          <w:tcPr>
            <w:tcW w:w="1650" w:type="dxa"/>
            <w:noWrap w:val="0"/>
            <w:vAlign w:val="center"/>
          </w:tcPr>
          <w:p w14:paraId="0D9981BB">
            <w:pPr>
              <w:pStyle w:val="26"/>
              <w:spacing w:beforeLines="0" w:afterLines="0" w:line="240" w:lineRule="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6.24</w:t>
            </w:r>
            <w:r>
              <w:rPr>
                <w:rFonts w:hint="default" w:ascii="Arial" w:hAnsi="Arial" w:cs="Arial"/>
                <w:color w:val="auto"/>
                <w:sz w:val="20"/>
                <w:szCs w:val="20"/>
                <w:highlight w:val="none"/>
                <w:lang w:val="en-US" w:eastAsia="zh-CN"/>
              </w:rPr>
              <w:t>×</w:t>
            </w:r>
            <w:r>
              <w:rPr>
                <w:rFonts w:hint="eastAsia" w:ascii="宋体" w:hAnsi="宋体" w:cs="宋体"/>
                <w:color w:val="auto"/>
                <w:sz w:val="20"/>
                <w:szCs w:val="20"/>
                <w:highlight w:val="none"/>
                <w:lang w:val="en-US" w:eastAsia="zh-CN"/>
              </w:rPr>
              <w:t>10</w:t>
            </w:r>
            <w:r>
              <w:rPr>
                <w:rFonts w:hint="eastAsia" w:ascii="宋体" w:hAnsi="宋体" w:cs="宋体"/>
                <w:color w:val="auto"/>
                <w:sz w:val="20"/>
                <w:szCs w:val="20"/>
                <w:highlight w:val="none"/>
                <w:vertAlign w:val="superscript"/>
                <w:lang w:val="en-US" w:eastAsia="zh-CN"/>
              </w:rPr>
              <w:t>-3</w:t>
            </w:r>
          </w:p>
        </w:tc>
        <w:tc>
          <w:tcPr>
            <w:tcW w:w="1380" w:type="dxa"/>
            <w:noWrap w:val="0"/>
            <w:vAlign w:val="center"/>
          </w:tcPr>
          <w:p w14:paraId="5C3C1F8F">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60" w:type="dxa"/>
            <w:noWrap w:val="0"/>
            <w:vAlign w:val="center"/>
          </w:tcPr>
          <w:p w14:paraId="4F7ED2CB">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45" w:type="dxa"/>
            <w:noWrap w:val="0"/>
            <w:vAlign w:val="center"/>
          </w:tcPr>
          <w:p w14:paraId="643792DF">
            <w:pPr>
              <w:pStyle w:val="26"/>
              <w:spacing w:beforeLines="0" w:afterLines="0" w:line="240" w:lineRule="auto"/>
              <w:rPr>
                <w:rFonts w:hint="eastAsia"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620" w:type="dxa"/>
            <w:noWrap w:val="0"/>
            <w:vAlign w:val="center"/>
          </w:tcPr>
          <w:p w14:paraId="1C3CCBFD">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875" w:type="dxa"/>
            <w:noWrap w:val="0"/>
            <w:vAlign w:val="center"/>
          </w:tcPr>
          <w:p w14:paraId="1BD849C8">
            <w:pPr>
              <w:pStyle w:val="26"/>
              <w:spacing w:beforeLines="0" w:afterLines="0" w:line="240" w:lineRule="auto"/>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sz w:val="21"/>
                <w:szCs w:val="21"/>
                <w:highlight w:val="none"/>
                <w:lang w:val="en-US" w:eastAsia="zh-CN"/>
              </w:rPr>
              <w:t>6.24</w:t>
            </w:r>
            <w:r>
              <w:rPr>
                <w:rFonts w:hint="default" w:ascii="Arial" w:hAnsi="Arial" w:cs="Arial"/>
                <w:color w:val="auto"/>
                <w:sz w:val="20"/>
                <w:szCs w:val="20"/>
                <w:highlight w:val="none"/>
                <w:lang w:val="en-US" w:eastAsia="zh-CN"/>
              </w:rPr>
              <w:t>×</w:t>
            </w:r>
            <w:r>
              <w:rPr>
                <w:rFonts w:hint="eastAsia" w:ascii="宋体" w:hAnsi="宋体" w:cs="宋体"/>
                <w:color w:val="auto"/>
                <w:sz w:val="20"/>
                <w:szCs w:val="20"/>
                <w:highlight w:val="none"/>
                <w:lang w:val="en-US" w:eastAsia="zh-CN"/>
              </w:rPr>
              <w:t>10</w:t>
            </w:r>
            <w:r>
              <w:rPr>
                <w:rFonts w:hint="eastAsia" w:ascii="宋体" w:hAnsi="宋体" w:cs="宋体"/>
                <w:color w:val="auto"/>
                <w:sz w:val="20"/>
                <w:szCs w:val="20"/>
                <w:highlight w:val="none"/>
                <w:vertAlign w:val="superscript"/>
                <w:lang w:val="en-US" w:eastAsia="zh-CN"/>
              </w:rPr>
              <w:t>-3</w:t>
            </w:r>
          </w:p>
        </w:tc>
        <w:tc>
          <w:tcPr>
            <w:tcW w:w="1081" w:type="dxa"/>
            <w:noWrap w:val="0"/>
            <w:vAlign w:val="center"/>
          </w:tcPr>
          <w:p w14:paraId="7C318DAE">
            <w:pPr>
              <w:pStyle w:val="26"/>
              <w:spacing w:beforeLines="0" w:afterLines="0" w:line="240" w:lineRule="auto"/>
              <w:rPr>
                <w:rFonts w:hint="default"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0</w:t>
            </w:r>
          </w:p>
        </w:tc>
      </w:tr>
      <w:tr w14:paraId="7185A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noWrap w:val="0"/>
            <w:vAlign w:val="center"/>
          </w:tcPr>
          <w:p w14:paraId="5BBDB5B3">
            <w:pPr>
              <w:pStyle w:val="26"/>
              <w:spacing w:beforeLines="0" w:afterLines="0" w:line="240" w:lineRule="auto"/>
              <w:rPr>
                <w:rFonts w:hint="eastAsia" w:hAnsi="宋体" w:cs="宋体"/>
                <w:snapToGrid w:val="0"/>
                <w:color w:val="000000"/>
                <w:kern w:val="21"/>
                <w:szCs w:val="21"/>
                <w:highlight w:val="none"/>
              </w:rPr>
            </w:pPr>
            <w:r>
              <w:rPr>
                <w:rFonts w:hint="eastAsia" w:hAnsi="宋体" w:cs="宋体"/>
                <w:snapToGrid w:val="0"/>
                <w:color w:val="000000"/>
                <w:kern w:val="21"/>
                <w:szCs w:val="21"/>
                <w:highlight w:val="none"/>
              </w:rPr>
              <w:t>废水</w:t>
            </w:r>
          </w:p>
        </w:tc>
        <w:tc>
          <w:tcPr>
            <w:tcW w:w="1425" w:type="dxa"/>
            <w:noWrap w:val="0"/>
            <w:vAlign w:val="center"/>
          </w:tcPr>
          <w:p w14:paraId="41E4316E">
            <w:pPr>
              <w:spacing w:beforeLines="0" w:afterLines="0" w:line="240" w:lineRule="auto"/>
              <w:jc w:val="center"/>
              <w:rPr>
                <w:rFonts w:hint="default"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650" w:type="dxa"/>
            <w:noWrap w:val="0"/>
            <w:vAlign w:val="center"/>
          </w:tcPr>
          <w:p w14:paraId="1BFB05C0">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380" w:type="dxa"/>
            <w:noWrap w:val="0"/>
            <w:vAlign w:val="center"/>
          </w:tcPr>
          <w:p w14:paraId="4A985FFB">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60" w:type="dxa"/>
            <w:noWrap w:val="0"/>
            <w:vAlign w:val="center"/>
          </w:tcPr>
          <w:p w14:paraId="1535F8BD">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45" w:type="dxa"/>
            <w:noWrap w:val="0"/>
            <w:vAlign w:val="center"/>
          </w:tcPr>
          <w:p w14:paraId="3EA952A8">
            <w:pPr>
              <w:spacing w:beforeLines="0" w:afterLines="0" w:line="240" w:lineRule="auto"/>
              <w:jc w:val="center"/>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620" w:type="dxa"/>
            <w:noWrap w:val="0"/>
            <w:vAlign w:val="center"/>
          </w:tcPr>
          <w:p w14:paraId="7F73D128">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875" w:type="dxa"/>
            <w:noWrap w:val="0"/>
            <w:vAlign w:val="center"/>
          </w:tcPr>
          <w:p w14:paraId="57F4CDC7">
            <w:pPr>
              <w:spacing w:beforeLines="0" w:afterLines="0" w:line="240" w:lineRule="auto"/>
              <w:jc w:val="center"/>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c>
          <w:tcPr>
            <w:tcW w:w="1081" w:type="dxa"/>
            <w:noWrap w:val="0"/>
            <w:vAlign w:val="center"/>
          </w:tcPr>
          <w:p w14:paraId="5D33F0DD">
            <w:pPr>
              <w:spacing w:beforeLines="0" w:afterLines="0" w:line="240" w:lineRule="auto"/>
              <w:jc w:val="center"/>
              <w:rPr>
                <w:rFonts w:hAnsi="宋体" w:cs="宋体"/>
                <w:snapToGrid w:val="0"/>
                <w:color w:val="000000"/>
                <w:kern w:val="21"/>
                <w:szCs w:val="21"/>
                <w:highlight w:val="none"/>
              </w:rPr>
            </w:pPr>
            <w:r>
              <w:rPr>
                <w:rFonts w:hint="eastAsia" w:hAnsi="宋体" w:cs="宋体"/>
                <w:snapToGrid w:val="0"/>
                <w:color w:val="000000"/>
                <w:kern w:val="21"/>
                <w:szCs w:val="21"/>
                <w:highlight w:val="none"/>
                <w:lang w:val="en-US" w:eastAsia="zh-CN"/>
              </w:rPr>
              <w:t>-</w:t>
            </w:r>
          </w:p>
        </w:tc>
      </w:tr>
      <w:tr w14:paraId="1BE06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restart"/>
            <w:noWrap w:val="0"/>
            <w:vAlign w:val="center"/>
          </w:tcPr>
          <w:p w14:paraId="00CF1A9A">
            <w:pPr>
              <w:pStyle w:val="26"/>
              <w:spacing w:beforeLines="0" w:afterLines="0" w:line="240" w:lineRule="auto"/>
              <w:rPr>
                <w:rFonts w:hAnsi="宋体" w:cs="宋体"/>
                <w:snapToGrid w:val="0"/>
                <w:color w:val="000000"/>
                <w:kern w:val="21"/>
                <w:szCs w:val="21"/>
                <w:highlight w:val="none"/>
              </w:rPr>
            </w:pPr>
            <w:r>
              <w:rPr>
                <w:rFonts w:hint="eastAsia" w:hAnsi="宋体" w:cs="宋体"/>
                <w:snapToGrid w:val="0"/>
                <w:color w:val="000000"/>
                <w:kern w:val="21"/>
                <w:szCs w:val="21"/>
                <w:highlight w:val="none"/>
              </w:rPr>
              <w:t>一般工业</w:t>
            </w:r>
          </w:p>
          <w:p w14:paraId="503C0624">
            <w:pPr>
              <w:pStyle w:val="26"/>
              <w:spacing w:beforeLines="0" w:afterLines="0" w:line="240" w:lineRule="auto"/>
              <w:rPr>
                <w:rFonts w:hint="eastAsia" w:hAnsi="宋体" w:cs="宋体"/>
                <w:snapToGrid w:val="0"/>
                <w:color w:val="000000"/>
                <w:kern w:val="21"/>
                <w:szCs w:val="21"/>
                <w:highlight w:val="none"/>
              </w:rPr>
            </w:pPr>
            <w:r>
              <w:rPr>
                <w:rFonts w:hint="eastAsia" w:hAnsi="宋体" w:cs="宋体"/>
                <w:snapToGrid w:val="0"/>
                <w:color w:val="000000"/>
                <w:kern w:val="21"/>
                <w:szCs w:val="21"/>
                <w:highlight w:val="none"/>
              </w:rPr>
              <w:t>固体废物</w:t>
            </w:r>
          </w:p>
        </w:tc>
        <w:tc>
          <w:tcPr>
            <w:tcW w:w="1425" w:type="dxa"/>
            <w:noWrap w:val="0"/>
            <w:vAlign w:val="center"/>
          </w:tcPr>
          <w:p w14:paraId="08B859DF">
            <w:pPr>
              <w:pStyle w:val="26"/>
              <w:spacing w:beforeLines="0" w:afterLines="0" w:line="240" w:lineRule="auto"/>
              <w:rPr>
                <w:rFonts w:hint="eastAsia" w:hAnsi="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废包装袋</w:t>
            </w:r>
          </w:p>
          <w:p w14:paraId="3DC372F9">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（万个/a）</w:t>
            </w:r>
          </w:p>
        </w:tc>
        <w:tc>
          <w:tcPr>
            <w:tcW w:w="1650" w:type="dxa"/>
            <w:noWrap w:val="0"/>
            <w:vAlign w:val="center"/>
          </w:tcPr>
          <w:p w14:paraId="45E145AD">
            <w:pPr>
              <w:topLinePunct/>
              <w:spacing w:line="0" w:lineRule="atLeast"/>
              <w:ind w:firstLine="0" w:firstLineChars="0"/>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bidi="ar-SA"/>
              </w:rPr>
              <w:t>10</w:t>
            </w:r>
          </w:p>
        </w:tc>
        <w:tc>
          <w:tcPr>
            <w:tcW w:w="1380" w:type="dxa"/>
            <w:noWrap w:val="0"/>
            <w:vAlign w:val="center"/>
          </w:tcPr>
          <w:p w14:paraId="7DDDF89C">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60" w:type="dxa"/>
            <w:noWrap w:val="0"/>
            <w:vAlign w:val="center"/>
          </w:tcPr>
          <w:p w14:paraId="43C76319">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45" w:type="dxa"/>
            <w:noWrap w:val="0"/>
            <w:vAlign w:val="center"/>
          </w:tcPr>
          <w:p w14:paraId="4EE3790C">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1</w:t>
            </w:r>
          </w:p>
        </w:tc>
        <w:tc>
          <w:tcPr>
            <w:tcW w:w="1620" w:type="dxa"/>
            <w:noWrap w:val="0"/>
            <w:vAlign w:val="center"/>
          </w:tcPr>
          <w:p w14:paraId="0DD7645B">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875" w:type="dxa"/>
            <w:noWrap w:val="0"/>
            <w:vAlign w:val="center"/>
          </w:tcPr>
          <w:p w14:paraId="0EB0B77C">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11</w:t>
            </w:r>
          </w:p>
        </w:tc>
        <w:tc>
          <w:tcPr>
            <w:tcW w:w="1081" w:type="dxa"/>
            <w:noWrap w:val="0"/>
            <w:vAlign w:val="center"/>
          </w:tcPr>
          <w:p w14:paraId="6F81F1E3">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1</w:t>
            </w:r>
          </w:p>
        </w:tc>
      </w:tr>
      <w:tr w14:paraId="75696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27CFCB11">
            <w:pPr>
              <w:pStyle w:val="26"/>
              <w:spacing w:beforeLines="0" w:afterLines="0" w:line="240" w:lineRule="auto"/>
              <w:rPr>
                <w:rFonts w:hint="eastAsia" w:hAnsi="宋体" w:cs="宋体"/>
                <w:snapToGrid w:val="0"/>
                <w:color w:val="000000"/>
                <w:kern w:val="21"/>
                <w:szCs w:val="21"/>
                <w:highlight w:val="none"/>
              </w:rPr>
            </w:pPr>
          </w:p>
        </w:tc>
        <w:tc>
          <w:tcPr>
            <w:tcW w:w="1425" w:type="dxa"/>
            <w:noWrap w:val="0"/>
            <w:vAlign w:val="center"/>
          </w:tcPr>
          <w:p w14:paraId="4AC4DBBB">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废砂浆</w:t>
            </w:r>
            <w:r>
              <w:rPr>
                <w:rFonts w:hint="eastAsia" w:ascii="Times New Roman" w:hAnsi="Times New Roman" w:eastAsia="宋体" w:cs="Times New Roman"/>
                <w:snapToGrid w:val="0"/>
                <w:color w:val="000000"/>
                <w:kern w:val="21"/>
                <w:szCs w:val="21"/>
                <w:highlight w:val="none"/>
                <w:lang w:val="en-US" w:eastAsia="zh-CN"/>
              </w:rPr>
              <w:t>（t/a）</w:t>
            </w:r>
          </w:p>
        </w:tc>
        <w:tc>
          <w:tcPr>
            <w:tcW w:w="1650" w:type="dxa"/>
            <w:noWrap w:val="0"/>
            <w:vAlign w:val="center"/>
          </w:tcPr>
          <w:p w14:paraId="71C3F4B6">
            <w:pPr>
              <w:topLinePunct/>
              <w:spacing w:line="0" w:lineRule="atLeast"/>
              <w:ind w:firstLine="0" w:firstLineChars="0"/>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rPr>
              <w:t>0</w:t>
            </w:r>
          </w:p>
        </w:tc>
        <w:tc>
          <w:tcPr>
            <w:tcW w:w="1380" w:type="dxa"/>
            <w:noWrap w:val="0"/>
            <w:vAlign w:val="center"/>
          </w:tcPr>
          <w:p w14:paraId="1C3B297D">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60" w:type="dxa"/>
            <w:noWrap w:val="0"/>
            <w:vAlign w:val="center"/>
          </w:tcPr>
          <w:p w14:paraId="41AF4F42">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45" w:type="dxa"/>
            <w:noWrap w:val="0"/>
            <w:vAlign w:val="center"/>
          </w:tcPr>
          <w:p w14:paraId="087D0A37">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5</w:t>
            </w:r>
          </w:p>
        </w:tc>
        <w:tc>
          <w:tcPr>
            <w:tcW w:w="1620" w:type="dxa"/>
            <w:noWrap w:val="0"/>
            <w:vAlign w:val="center"/>
          </w:tcPr>
          <w:p w14:paraId="7C2054DD">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875" w:type="dxa"/>
            <w:noWrap w:val="0"/>
            <w:vAlign w:val="center"/>
          </w:tcPr>
          <w:p w14:paraId="4BFEC0BA">
            <w:pPr>
              <w:pStyle w:val="26"/>
              <w:spacing w:beforeLines="0" w:afterLines="0" w:line="240" w:lineRule="auto"/>
              <w:rPr>
                <w:rFonts w:hint="eastAsia"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5</w:t>
            </w:r>
          </w:p>
        </w:tc>
        <w:tc>
          <w:tcPr>
            <w:tcW w:w="1081" w:type="dxa"/>
            <w:noWrap w:val="0"/>
            <w:vAlign w:val="center"/>
          </w:tcPr>
          <w:p w14:paraId="4BE8C195">
            <w:pPr>
              <w:pStyle w:val="26"/>
              <w:spacing w:beforeLines="0" w:afterLines="0" w:line="240" w:lineRule="auto"/>
              <w:rPr>
                <w:rFonts w:hint="eastAsia"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5</w:t>
            </w:r>
          </w:p>
        </w:tc>
      </w:tr>
      <w:tr w14:paraId="567C7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473A421D">
            <w:pPr>
              <w:pStyle w:val="26"/>
              <w:spacing w:beforeLines="0" w:afterLines="0" w:line="240" w:lineRule="auto"/>
              <w:rPr>
                <w:rFonts w:hint="eastAsia" w:hAnsi="宋体" w:cs="宋体"/>
                <w:snapToGrid w:val="0"/>
                <w:color w:val="000000"/>
                <w:kern w:val="21"/>
                <w:szCs w:val="21"/>
                <w:highlight w:val="none"/>
              </w:rPr>
            </w:pPr>
          </w:p>
        </w:tc>
        <w:tc>
          <w:tcPr>
            <w:tcW w:w="1425" w:type="dxa"/>
            <w:noWrap w:val="0"/>
            <w:vAlign w:val="center"/>
          </w:tcPr>
          <w:p w14:paraId="18857F0B">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凝固砂浆废料</w:t>
            </w:r>
            <w:r>
              <w:rPr>
                <w:rFonts w:hint="eastAsia" w:ascii="Times New Roman" w:hAnsi="Times New Roman" w:eastAsia="宋体" w:cs="Times New Roman"/>
                <w:snapToGrid w:val="0"/>
                <w:color w:val="000000"/>
                <w:kern w:val="21"/>
                <w:szCs w:val="21"/>
                <w:highlight w:val="none"/>
                <w:lang w:val="en-US" w:eastAsia="zh-CN"/>
              </w:rPr>
              <w:t>（t/a）</w:t>
            </w:r>
          </w:p>
        </w:tc>
        <w:tc>
          <w:tcPr>
            <w:tcW w:w="1650" w:type="dxa"/>
            <w:noWrap w:val="0"/>
            <w:vAlign w:val="center"/>
          </w:tcPr>
          <w:p w14:paraId="2F73AF3D">
            <w:pPr>
              <w:topLinePunct/>
              <w:spacing w:line="0" w:lineRule="atLeast"/>
              <w:ind w:firstLine="0" w:firstLineChars="0"/>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rPr>
              <w:t>0</w:t>
            </w:r>
          </w:p>
        </w:tc>
        <w:tc>
          <w:tcPr>
            <w:tcW w:w="1380" w:type="dxa"/>
            <w:noWrap w:val="0"/>
            <w:vAlign w:val="center"/>
          </w:tcPr>
          <w:p w14:paraId="35DF0D3A">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60" w:type="dxa"/>
            <w:noWrap w:val="0"/>
            <w:vAlign w:val="center"/>
          </w:tcPr>
          <w:p w14:paraId="137DCD48">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45" w:type="dxa"/>
            <w:noWrap w:val="0"/>
            <w:vAlign w:val="center"/>
          </w:tcPr>
          <w:p w14:paraId="4491E906">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22</w:t>
            </w:r>
          </w:p>
        </w:tc>
        <w:tc>
          <w:tcPr>
            <w:tcW w:w="1620" w:type="dxa"/>
            <w:noWrap w:val="0"/>
            <w:vAlign w:val="center"/>
          </w:tcPr>
          <w:p w14:paraId="43FEA18E">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875" w:type="dxa"/>
            <w:noWrap w:val="0"/>
            <w:vAlign w:val="center"/>
          </w:tcPr>
          <w:p w14:paraId="711B833F">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22</w:t>
            </w:r>
          </w:p>
        </w:tc>
        <w:tc>
          <w:tcPr>
            <w:tcW w:w="1081" w:type="dxa"/>
            <w:noWrap w:val="0"/>
            <w:vAlign w:val="center"/>
          </w:tcPr>
          <w:p w14:paraId="1A8451D5">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22</w:t>
            </w:r>
          </w:p>
        </w:tc>
      </w:tr>
      <w:tr w14:paraId="3033A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41C886C2">
            <w:pPr>
              <w:pStyle w:val="26"/>
              <w:spacing w:beforeLines="0" w:afterLines="0" w:line="240" w:lineRule="auto"/>
              <w:rPr>
                <w:rFonts w:hint="eastAsia" w:hAnsi="宋体" w:cs="宋体"/>
                <w:snapToGrid w:val="0"/>
                <w:color w:val="000000"/>
                <w:kern w:val="21"/>
                <w:szCs w:val="21"/>
                <w:highlight w:val="none"/>
              </w:rPr>
            </w:pPr>
          </w:p>
        </w:tc>
        <w:tc>
          <w:tcPr>
            <w:tcW w:w="1425" w:type="dxa"/>
            <w:noWrap w:val="0"/>
            <w:vAlign w:val="center"/>
          </w:tcPr>
          <w:p w14:paraId="0C309D1C">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废下脚料（一体板）</w:t>
            </w:r>
            <w:r>
              <w:rPr>
                <w:rFonts w:hint="eastAsia" w:ascii="Times New Roman" w:hAnsi="Times New Roman" w:eastAsia="宋体" w:cs="Times New Roman"/>
                <w:snapToGrid w:val="0"/>
                <w:color w:val="000000"/>
                <w:kern w:val="21"/>
                <w:szCs w:val="21"/>
                <w:highlight w:val="none"/>
                <w:lang w:val="en-US" w:eastAsia="zh-CN"/>
              </w:rPr>
              <w:t>（t/a）</w:t>
            </w:r>
          </w:p>
        </w:tc>
        <w:tc>
          <w:tcPr>
            <w:tcW w:w="1650" w:type="dxa"/>
            <w:noWrap w:val="0"/>
            <w:vAlign w:val="center"/>
          </w:tcPr>
          <w:p w14:paraId="49B0A105">
            <w:pPr>
              <w:topLinePunct/>
              <w:spacing w:line="0" w:lineRule="atLeast"/>
              <w:ind w:firstLine="0" w:firstLineChars="0"/>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cs="Times New Roman"/>
                <w:snapToGrid w:val="0"/>
                <w:color w:val="000000"/>
                <w:kern w:val="21"/>
                <w:sz w:val="21"/>
                <w:szCs w:val="21"/>
                <w:highlight w:val="none"/>
                <w:lang w:val="en-US" w:eastAsia="zh-CN"/>
              </w:rPr>
              <w:t>0</w:t>
            </w:r>
          </w:p>
        </w:tc>
        <w:tc>
          <w:tcPr>
            <w:tcW w:w="1380" w:type="dxa"/>
            <w:noWrap w:val="0"/>
            <w:vAlign w:val="center"/>
          </w:tcPr>
          <w:p w14:paraId="351E9148">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60" w:type="dxa"/>
            <w:noWrap w:val="0"/>
            <w:vAlign w:val="center"/>
          </w:tcPr>
          <w:p w14:paraId="736536C2">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45" w:type="dxa"/>
            <w:noWrap w:val="0"/>
            <w:vAlign w:val="center"/>
          </w:tcPr>
          <w:p w14:paraId="3EAC887B">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80</w:t>
            </w:r>
          </w:p>
        </w:tc>
        <w:tc>
          <w:tcPr>
            <w:tcW w:w="1620" w:type="dxa"/>
            <w:noWrap w:val="0"/>
            <w:vAlign w:val="center"/>
          </w:tcPr>
          <w:p w14:paraId="527BDFAD">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875" w:type="dxa"/>
            <w:noWrap w:val="0"/>
            <w:vAlign w:val="center"/>
          </w:tcPr>
          <w:p w14:paraId="6F0D9831">
            <w:pPr>
              <w:pStyle w:val="26"/>
              <w:spacing w:beforeLines="0" w:afterLines="0" w:line="240" w:lineRule="auto"/>
              <w:rPr>
                <w:rFonts w:hint="eastAsia"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80</w:t>
            </w:r>
          </w:p>
        </w:tc>
        <w:tc>
          <w:tcPr>
            <w:tcW w:w="1081" w:type="dxa"/>
            <w:noWrap w:val="0"/>
            <w:vAlign w:val="center"/>
          </w:tcPr>
          <w:p w14:paraId="366C31C2">
            <w:pPr>
              <w:pStyle w:val="26"/>
              <w:spacing w:beforeLines="0" w:afterLines="0" w:line="240" w:lineRule="auto"/>
              <w:rPr>
                <w:rFonts w:hint="eastAsia"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80</w:t>
            </w:r>
          </w:p>
        </w:tc>
      </w:tr>
      <w:tr w14:paraId="7A7945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0992931D">
            <w:pPr>
              <w:pStyle w:val="26"/>
              <w:spacing w:beforeLines="0" w:afterLines="0" w:line="240" w:lineRule="auto"/>
              <w:rPr>
                <w:rFonts w:hint="eastAsia" w:hAnsi="宋体" w:cs="宋体"/>
                <w:snapToGrid w:val="0"/>
                <w:color w:val="000000"/>
                <w:kern w:val="21"/>
                <w:szCs w:val="21"/>
                <w:highlight w:val="none"/>
              </w:rPr>
            </w:pPr>
          </w:p>
        </w:tc>
        <w:tc>
          <w:tcPr>
            <w:tcW w:w="1425" w:type="dxa"/>
            <w:noWrap w:val="0"/>
            <w:vAlign w:val="center"/>
          </w:tcPr>
          <w:p w14:paraId="392C7364">
            <w:pPr>
              <w:pStyle w:val="26"/>
              <w:spacing w:beforeLines="0" w:afterLines="0" w:line="240" w:lineRule="auto"/>
              <w:rPr>
                <w:rFonts w:hint="eastAsia" w:ascii="宋体" w:hAnsi="宋体" w:eastAsia="宋体" w:cs="宋体"/>
                <w:snapToGrid w:val="0"/>
                <w:color w:val="000000"/>
                <w:kern w:val="21"/>
                <w:sz w:val="21"/>
                <w:szCs w:val="21"/>
                <w:highlight w:val="none"/>
                <w:lang w:val="en-US" w:eastAsia="zh-CN" w:bidi="ar-SA"/>
              </w:rPr>
            </w:pPr>
            <w:r>
              <w:rPr>
                <w:rFonts w:hint="eastAsia"/>
                <w:highlight w:val="none"/>
                <w:lang w:val="en-US" w:eastAsia="zh-CN"/>
              </w:rPr>
              <w:t>悬浮挤塑板下脚料</w:t>
            </w:r>
            <w:r>
              <w:rPr>
                <w:rFonts w:hint="eastAsia" w:ascii="Times New Roman" w:hAnsi="Times New Roman" w:eastAsia="宋体" w:cs="Times New Roman"/>
                <w:snapToGrid w:val="0"/>
                <w:color w:val="000000"/>
                <w:kern w:val="21"/>
                <w:szCs w:val="21"/>
                <w:highlight w:val="none"/>
                <w:lang w:val="en-US" w:eastAsia="zh-CN"/>
              </w:rPr>
              <w:t>（t/a）</w:t>
            </w:r>
          </w:p>
        </w:tc>
        <w:tc>
          <w:tcPr>
            <w:tcW w:w="1650" w:type="dxa"/>
            <w:noWrap w:val="0"/>
            <w:vAlign w:val="center"/>
          </w:tcPr>
          <w:p w14:paraId="7FA68D3C">
            <w:pPr>
              <w:topLinePunct/>
              <w:spacing w:line="0" w:lineRule="atLeast"/>
              <w:ind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0</w:t>
            </w:r>
          </w:p>
        </w:tc>
        <w:tc>
          <w:tcPr>
            <w:tcW w:w="1380" w:type="dxa"/>
            <w:noWrap w:val="0"/>
            <w:vAlign w:val="center"/>
          </w:tcPr>
          <w:p w14:paraId="2BD8FC18">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60" w:type="dxa"/>
            <w:noWrap w:val="0"/>
            <w:vAlign w:val="center"/>
          </w:tcPr>
          <w:p w14:paraId="7ED1C7B2">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45" w:type="dxa"/>
            <w:noWrap w:val="0"/>
            <w:vAlign w:val="center"/>
          </w:tcPr>
          <w:p w14:paraId="2AC60B7A">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0.1</w:t>
            </w:r>
          </w:p>
        </w:tc>
        <w:tc>
          <w:tcPr>
            <w:tcW w:w="1620" w:type="dxa"/>
            <w:noWrap w:val="0"/>
            <w:vAlign w:val="center"/>
          </w:tcPr>
          <w:p w14:paraId="78A08D6C">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875" w:type="dxa"/>
            <w:noWrap w:val="0"/>
            <w:vAlign w:val="center"/>
          </w:tcPr>
          <w:p w14:paraId="2C439AC8">
            <w:pPr>
              <w:pStyle w:val="26"/>
              <w:spacing w:beforeLines="0" w:afterLines="0" w:line="240" w:lineRule="auto"/>
              <w:rPr>
                <w:rFonts w:hint="eastAsia"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0.1</w:t>
            </w:r>
          </w:p>
        </w:tc>
        <w:tc>
          <w:tcPr>
            <w:tcW w:w="1081" w:type="dxa"/>
            <w:noWrap w:val="0"/>
            <w:vAlign w:val="center"/>
          </w:tcPr>
          <w:p w14:paraId="1C826266">
            <w:pPr>
              <w:pStyle w:val="26"/>
              <w:spacing w:beforeLines="0" w:afterLines="0" w:line="240" w:lineRule="auto"/>
              <w:rPr>
                <w:rFonts w:hint="eastAsia"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0.1</w:t>
            </w:r>
          </w:p>
        </w:tc>
      </w:tr>
      <w:tr w14:paraId="39B97A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41D33709">
            <w:pPr>
              <w:pStyle w:val="26"/>
              <w:spacing w:beforeLines="0" w:afterLines="0" w:line="240" w:lineRule="auto"/>
              <w:rPr>
                <w:rFonts w:hint="eastAsia" w:hAnsi="宋体" w:cs="宋体"/>
                <w:snapToGrid w:val="0"/>
                <w:color w:val="000000"/>
                <w:kern w:val="21"/>
                <w:szCs w:val="21"/>
                <w:highlight w:val="none"/>
              </w:rPr>
            </w:pPr>
          </w:p>
        </w:tc>
        <w:tc>
          <w:tcPr>
            <w:tcW w:w="1425" w:type="dxa"/>
            <w:noWrap w:val="0"/>
            <w:vAlign w:val="center"/>
          </w:tcPr>
          <w:p w14:paraId="456D0085">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除尘灰</w:t>
            </w:r>
            <w:r>
              <w:rPr>
                <w:rFonts w:hint="eastAsia" w:ascii="Times New Roman" w:hAnsi="Times New Roman" w:eastAsia="宋体" w:cs="Times New Roman"/>
                <w:snapToGrid w:val="0"/>
                <w:color w:val="000000"/>
                <w:kern w:val="21"/>
                <w:szCs w:val="21"/>
                <w:highlight w:val="none"/>
                <w:lang w:val="en-US" w:eastAsia="zh-CN"/>
              </w:rPr>
              <w:t>（t/a）</w:t>
            </w:r>
          </w:p>
        </w:tc>
        <w:tc>
          <w:tcPr>
            <w:tcW w:w="1650" w:type="dxa"/>
            <w:noWrap w:val="0"/>
            <w:vAlign w:val="center"/>
          </w:tcPr>
          <w:p w14:paraId="0935D1EE">
            <w:pPr>
              <w:topLinePunct/>
              <w:spacing w:line="0" w:lineRule="atLeast"/>
              <w:ind w:firstLine="0" w:firstLineChars="0"/>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ascii="宋体" w:hAnsi="宋体" w:cs="宋体"/>
                <w:color w:val="auto"/>
                <w:sz w:val="21"/>
                <w:szCs w:val="21"/>
                <w:highlight w:val="none"/>
                <w:lang w:val="en-US" w:eastAsia="zh-CN"/>
              </w:rPr>
              <w:t>4.3</w:t>
            </w:r>
          </w:p>
        </w:tc>
        <w:tc>
          <w:tcPr>
            <w:tcW w:w="1380" w:type="dxa"/>
            <w:noWrap w:val="0"/>
            <w:vAlign w:val="center"/>
          </w:tcPr>
          <w:p w14:paraId="1701ECA3">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60" w:type="dxa"/>
            <w:noWrap w:val="0"/>
            <w:vAlign w:val="center"/>
          </w:tcPr>
          <w:p w14:paraId="1B21DD08">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45" w:type="dxa"/>
            <w:noWrap w:val="0"/>
            <w:vAlign w:val="center"/>
          </w:tcPr>
          <w:p w14:paraId="7D6CB956">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3</w:t>
            </w:r>
          </w:p>
        </w:tc>
        <w:tc>
          <w:tcPr>
            <w:tcW w:w="1620" w:type="dxa"/>
            <w:noWrap w:val="0"/>
            <w:vAlign w:val="center"/>
          </w:tcPr>
          <w:p w14:paraId="201EBADB">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875" w:type="dxa"/>
            <w:noWrap w:val="0"/>
            <w:vAlign w:val="center"/>
          </w:tcPr>
          <w:p w14:paraId="734A04CB">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7.3</w:t>
            </w:r>
          </w:p>
        </w:tc>
        <w:tc>
          <w:tcPr>
            <w:tcW w:w="1081" w:type="dxa"/>
            <w:noWrap w:val="0"/>
            <w:vAlign w:val="center"/>
          </w:tcPr>
          <w:p w14:paraId="63C3718D">
            <w:pPr>
              <w:pStyle w:val="26"/>
              <w:spacing w:beforeLines="0" w:afterLines="0" w:line="240" w:lineRule="auto"/>
              <w:rPr>
                <w:rFonts w:hint="eastAsia"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3</w:t>
            </w:r>
          </w:p>
        </w:tc>
      </w:tr>
      <w:tr w14:paraId="0FF7A8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586D6AB8">
            <w:pPr>
              <w:pStyle w:val="26"/>
              <w:spacing w:beforeLines="0" w:afterLines="0" w:line="240" w:lineRule="auto"/>
              <w:rPr>
                <w:rFonts w:hint="eastAsia" w:hAnsi="宋体" w:cs="宋体"/>
                <w:snapToGrid w:val="0"/>
                <w:color w:val="000000"/>
                <w:kern w:val="21"/>
                <w:szCs w:val="21"/>
                <w:highlight w:val="none"/>
              </w:rPr>
            </w:pPr>
          </w:p>
        </w:tc>
        <w:tc>
          <w:tcPr>
            <w:tcW w:w="1425" w:type="dxa"/>
            <w:noWrap w:val="0"/>
            <w:vAlign w:val="center"/>
          </w:tcPr>
          <w:p w14:paraId="5424313B">
            <w:pPr>
              <w:spacing w:line="0" w:lineRule="atLeas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边角料（</w:t>
            </w:r>
            <w:r>
              <w:rPr>
                <w:rFonts w:hint="eastAsia"/>
                <w:color w:val="auto"/>
                <w:highlight w:val="none"/>
                <w:lang w:val="en-US" w:eastAsia="zh-CN"/>
              </w:rPr>
              <w:t>XPS</w:t>
            </w:r>
            <w:r>
              <w:rPr>
                <w:rFonts w:hint="eastAsia"/>
                <w:highlight w:val="none"/>
                <w:lang w:val="en-US" w:eastAsia="zh-CN"/>
              </w:rPr>
              <w:t>挤塑板</w:t>
            </w:r>
            <w:r>
              <w:rPr>
                <w:rFonts w:hint="eastAsia" w:cs="Times New Roman"/>
                <w:color w:val="auto"/>
                <w:sz w:val="21"/>
                <w:szCs w:val="21"/>
                <w:highlight w:val="none"/>
                <w:lang w:val="en-US" w:eastAsia="zh-CN"/>
              </w:rPr>
              <w:t>、聚苯板）</w:t>
            </w:r>
            <w:r>
              <w:rPr>
                <w:rFonts w:hint="eastAsia" w:ascii="Times New Roman" w:hAnsi="Times New Roman" w:eastAsia="宋体" w:cs="Times New Roman"/>
                <w:snapToGrid w:val="0"/>
                <w:color w:val="000000"/>
                <w:kern w:val="21"/>
                <w:szCs w:val="21"/>
                <w:highlight w:val="none"/>
                <w:lang w:val="en-US" w:eastAsia="zh-CN"/>
              </w:rPr>
              <w:t>（t/a）</w:t>
            </w:r>
          </w:p>
        </w:tc>
        <w:tc>
          <w:tcPr>
            <w:tcW w:w="1650" w:type="dxa"/>
            <w:noWrap w:val="0"/>
            <w:vAlign w:val="center"/>
          </w:tcPr>
          <w:p w14:paraId="6259B25C">
            <w:pPr>
              <w:spacing w:line="0" w:lineRule="atLeas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16</w:t>
            </w:r>
          </w:p>
        </w:tc>
        <w:tc>
          <w:tcPr>
            <w:tcW w:w="1380" w:type="dxa"/>
            <w:noWrap w:val="0"/>
            <w:vAlign w:val="center"/>
          </w:tcPr>
          <w:p w14:paraId="7DD61757">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60" w:type="dxa"/>
            <w:noWrap w:val="0"/>
            <w:vAlign w:val="center"/>
          </w:tcPr>
          <w:p w14:paraId="6A10B5C7">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45" w:type="dxa"/>
            <w:noWrap w:val="0"/>
            <w:vAlign w:val="center"/>
          </w:tcPr>
          <w:p w14:paraId="265CDB4B">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0</w:t>
            </w:r>
          </w:p>
        </w:tc>
        <w:tc>
          <w:tcPr>
            <w:tcW w:w="1620" w:type="dxa"/>
            <w:noWrap w:val="0"/>
            <w:vAlign w:val="center"/>
          </w:tcPr>
          <w:p w14:paraId="08D1AFA1">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875" w:type="dxa"/>
            <w:noWrap w:val="0"/>
            <w:vAlign w:val="center"/>
          </w:tcPr>
          <w:p w14:paraId="592CFE80">
            <w:pPr>
              <w:spacing w:line="0" w:lineRule="atLeas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16</w:t>
            </w:r>
          </w:p>
        </w:tc>
        <w:tc>
          <w:tcPr>
            <w:tcW w:w="1081" w:type="dxa"/>
            <w:noWrap w:val="0"/>
            <w:vAlign w:val="center"/>
          </w:tcPr>
          <w:p w14:paraId="0FC1A3E7">
            <w:pPr>
              <w:pStyle w:val="26"/>
              <w:spacing w:beforeLines="0" w:afterLines="0" w:line="240" w:lineRule="auto"/>
              <w:rPr>
                <w:rFonts w:hint="eastAsia"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0</w:t>
            </w:r>
          </w:p>
        </w:tc>
      </w:tr>
      <w:tr w14:paraId="5E90FF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285F3BEA">
            <w:pPr>
              <w:pStyle w:val="26"/>
              <w:spacing w:beforeLines="0" w:afterLines="0" w:line="240" w:lineRule="auto"/>
              <w:rPr>
                <w:rFonts w:hint="eastAsia" w:hAnsi="宋体" w:cs="宋体"/>
                <w:snapToGrid w:val="0"/>
                <w:color w:val="000000"/>
                <w:kern w:val="21"/>
                <w:szCs w:val="21"/>
                <w:highlight w:val="none"/>
              </w:rPr>
            </w:pPr>
          </w:p>
        </w:tc>
        <w:tc>
          <w:tcPr>
            <w:tcW w:w="1425" w:type="dxa"/>
            <w:noWrap w:val="0"/>
            <w:vAlign w:val="center"/>
          </w:tcPr>
          <w:p w14:paraId="5D2FE59D">
            <w:pPr>
              <w:spacing w:line="0" w:lineRule="atLeast"/>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离子交换树脂</w:t>
            </w:r>
            <w:r>
              <w:rPr>
                <w:rFonts w:hint="eastAsia" w:ascii="Times New Roman" w:hAnsi="Times New Roman" w:eastAsia="宋体" w:cs="Times New Roman"/>
                <w:snapToGrid w:val="0"/>
                <w:color w:val="000000"/>
                <w:kern w:val="21"/>
                <w:szCs w:val="21"/>
                <w:highlight w:val="none"/>
                <w:lang w:val="en-US" w:eastAsia="zh-CN"/>
              </w:rPr>
              <w:t>（t/a）</w:t>
            </w:r>
          </w:p>
        </w:tc>
        <w:tc>
          <w:tcPr>
            <w:tcW w:w="1650" w:type="dxa"/>
            <w:noWrap w:val="0"/>
            <w:vAlign w:val="center"/>
          </w:tcPr>
          <w:p w14:paraId="2A65AE37">
            <w:pPr>
              <w:spacing w:line="0" w:lineRule="atLeas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0.01</w:t>
            </w:r>
          </w:p>
        </w:tc>
        <w:tc>
          <w:tcPr>
            <w:tcW w:w="1380" w:type="dxa"/>
            <w:noWrap w:val="0"/>
            <w:vAlign w:val="center"/>
          </w:tcPr>
          <w:p w14:paraId="162F84AB">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60" w:type="dxa"/>
            <w:noWrap w:val="0"/>
            <w:vAlign w:val="center"/>
          </w:tcPr>
          <w:p w14:paraId="5D8DFF38">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ascii="宋体" w:hAnsi="宋体" w:cs="宋体"/>
                <w:color w:val="auto"/>
                <w:kern w:val="2"/>
                <w:sz w:val="21"/>
                <w:szCs w:val="21"/>
                <w:highlight w:val="none"/>
                <w:lang w:val="en-US" w:eastAsia="zh-CN" w:bidi="ar-SA"/>
              </w:rPr>
              <w:t>0.01</w:t>
            </w:r>
          </w:p>
        </w:tc>
        <w:tc>
          <w:tcPr>
            <w:tcW w:w="1545" w:type="dxa"/>
            <w:noWrap w:val="0"/>
            <w:vAlign w:val="center"/>
          </w:tcPr>
          <w:p w14:paraId="55C4BEEE">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w:t>
            </w:r>
          </w:p>
        </w:tc>
        <w:tc>
          <w:tcPr>
            <w:tcW w:w="1620" w:type="dxa"/>
            <w:noWrap w:val="0"/>
            <w:vAlign w:val="center"/>
          </w:tcPr>
          <w:p w14:paraId="37D2ABFB">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ascii="宋体" w:hAnsi="宋体" w:cs="宋体"/>
                <w:color w:val="auto"/>
                <w:kern w:val="2"/>
                <w:sz w:val="21"/>
                <w:szCs w:val="21"/>
                <w:highlight w:val="none"/>
                <w:lang w:val="en-US" w:eastAsia="zh-CN" w:bidi="ar-SA"/>
              </w:rPr>
              <w:t>0.01</w:t>
            </w:r>
          </w:p>
        </w:tc>
        <w:tc>
          <w:tcPr>
            <w:tcW w:w="1875" w:type="dxa"/>
            <w:noWrap w:val="0"/>
            <w:vAlign w:val="center"/>
          </w:tcPr>
          <w:p w14:paraId="5E638A61">
            <w:pPr>
              <w:spacing w:line="0" w:lineRule="atLeast"/>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0.01</w:t>
            </w:r>
          </w:p>
        </w:tc>
        <w:tc>
          <w:tcPr>
            <w:tcW w:w="1081" w:type="dxa"/>
            <w:noWrap w:val="0"/>
            <w:vAlign w:val="center"/>
          </w:tcPr>
          <w:p w14:paraId="7199BF46">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 w:val="21"/>
                <w:szCs w:val="21"/>
                <w:highlight w:val="none"/>
                <w:lang w:val="en-US" w:eastAsia="zh-CN" w:bidi="ar-SA"/>
              </w:rPr>
              <w:t>0</w:t>
            </w:r>
          </w:p>
        </w:tc>
      </w:tr>
      <w:tr w14:paraId="1E4D2C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77E27338">
            <w:pPr>
              <w:pStyle w:val="26"/>
              <w:spacing w:beforeLines="0" w:afterLines="0" w:line="240" w:lineRule="auto"/>
              <w:rPr>
                <w:rFonts w:hint="eastAsia" w:hAnsi="宋体" w:cs="宋体"/>
                <w:snapToGrid w:val="0"/>
                <w:color w:val="000000"/>
                <w:kern w:val="21"/>
                <w:szCs w:val="21"/>
                <w:highlight w:val="none"/>
              </w:rPr>
            </w:pPr>
          </w:p>
        </w:tc>
        <w:tc>
          <w:tcPr>
            <w:tcW w:w="1425" w:type="dxa"/>
            <w:noWrap w:val="0"/>
            <w:vAlign w:val="center"/>
          </w:tcPr>
          <w:p w14:paraId="2AFCBA42">
            <w:pPr>
              <w:spacing w:line="0" w:lineRule="atLeas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职工生活垃圾</w:t>
            </w:r>
          </w:p>
        </w:tc>
        <w:tc>
          <w:tcPr>
            <w:tcW w:w="1650" w:type="dxa"/>
            <w:noWrap w:val="0"/>
            <w:vAlign w:val="center"/>
          </w:tcPr>
          <w:p w14:paraId="5B66E638">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少量</w:t>
            </w:r>
          </w:p>
        </w:tc>
        <w:tc>
          <w:tcPr>
            <w:tcW w:w="1380" w:type="dxa"/>
            <w:noWrap w:val="0"/>
            <w:vAlign w:val="center"/>
          </w:tcPr>
          <w:p w14:paraId="242008A0">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60" w:type="dxa"/>
            <w:noWrap w:val="0"/>
            <w:vAlign w:val="center"/>
          </w:tcPr>
          <w:p w14:paraId="3A947CD1">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45" w:type="dxa"/>
            <w:noWrap w:val="0"/>
            <w:vAlign w:val="center"/>
          </w:tcPr>
          <w:p w14:paraId="68F6875B">
            <w:pPr>
              <w:pStyle w:val="26"/>
              <w:spacing w:beforeLines="0" w:afterLines="0" w:line="240" w:lineRule="auto"/>
              <w:rPr>
                <w:rFonts w:hint="default" w:ascii="宋体" w:hAnsi="宋体" w:eastAsia="宋体" w:cs="宋体"/>
                <w:snapToGrid w:val="0"/>
                <w:color w:val="000000"/>
                <w:kern w:val="21"/>
                <w:sz w:val="21"/>
                <w:szCs w:val="21"/>
                <w:highlight w:val="none"/>
                <w:lang w:val="en-US" w:eastAsia="zh-CN" w:bidi="ar-SA"/>
              </w:rPr>
            </w:pPr>
            <w:r>
              <w:rPr>
                <w:rFonts w:hint="eastAsia" w:hAnsi="宋体" w:cs="宋体"/>
                <w:color w:val="auto"/>
                <w:sz w:val="21"/>
                <w:szCs w:val="21"/>
                <w:highlight w:val="none"/>
                <w:lang w:val="en-US" w:eastAsia="zh-CN"/>
              </w:rPr>
              <w:t>0</w:t>
            </w:r>
          </w:p>
        </w:tc>
        <w:tc>
          <w:tcPr>
            <w:tcW w:w="1620" w:type="dxa"/>
            <w:noWrap w:val="0"/>
            <w:vAlign w:val="center"/>
          </w:tcPr>
          <w:p w14:paraId="0793A2A8">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875" w:type="dxa"/>
            <w:noWrap w:val="0"/>
            <w:vAlign w:val="center"/>
          </w:tcPr>
          <w:p w14:paraId="554EFAA2">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少量</w:t>
            </w:r>
          </w:p>
        </w:tc>
        <w:tc>
          <w:tcPr>
            <w:tcW w:w="1081" w:type="dxa"/>
            <w:noWrap w:val="0"/>
            <w:vAlign w:val="center"/>
          </w:tcPr>
          <w:p w14:paraId="137165F7">
            <w:pPr>
              <w:pStyle w:val="26"/>
              <w:spacing w:beforeLines="0" w:afterLines="0" w:line="240" w:lineRule="auto"/>
              <w:rPr>
                <w:rFonts w:hint="eastAsia" w:ascii="宋体" w:hAnsi="宋体" w:eastAsia="宋体" w:cs="宋体"/>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0</w:t>
            </w:r>
          </w:p>
        </w:tc>
      </w:tr>
      <w:tr w14:paraId="571F45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restart"/>
            <w:noWrap w:val="0"/>
            <w:vAlign w:val="center"/>
          </w:tcPr>
          <w:p w14:paraId="00569932">
            <w:pPr>
              <w:pStyle w:val="26"/>
              <w:spacing w:beforeLines="0" w:afterLines="0" w:line="240" w:lineRule="auto"/>
              <w:rPr>
                <w:rFonts w:hint="eastAsia" w:hAnsi="宋体" w:cs="宋体"/>
                <w:snapToGrid w:val="0"/>
                <w:color w:val="000000"/>
                <w:kern w:val="21"/>
                <w:szCs w:val="21"/>
                <w:highlight w:val="none"/>
              </w:rPr>
            </w:pPr>
            <w:r>
              <w:rPr>
                <w:rFonts w:hint="eastAsia" w:hAnsi="宋体" w:cs="宋体"/>
                <w:snapToGrid w:val="0"/>
                <w:color w:val="000000"/>
                <w:kern w:val="21"/>
                <w:szCs w:val="21"/>
                <w:highlight w:val="none"/>
              </w:rPr>
              <w:t>危险废物</w:t>
            </w:r>
          </w:p>
        </w:tc>
        <w:tc>
          <w:tcPr>
            <w:tcW w:w="1425" w:type="dxa"/>
            <w:noWrap w:val="0"/>
            <w:vAlign w:val="center"/>
          </w:tcPr>
          <w:p w14:paraId="7511F3D7">
            <w:pPr>
              <w:pStyle w:val="26"/>
              <w:spacing w:beforeLines="0" w:afterLines="0" w:line="240" w:lineRule="auto"/>
              <w:rPr>
                <w:rFonts w:hint="eastAsia"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废润滑油</w:t>
            </w:r>
            <w:r>
              <w:rPr>
                <w:rFonts w:hint="eastAsia" w:ascii="Times New Roman" w:hAnsi="Times New Roman" w:eastAsia="宋体" w:cs="Times New Roman"/>
                <w:snapToGrid w:val="0"/>
                <w:color w:val="000000"/>
                <w:kern w:val="21"/>
                <w:szCs w:val="21"/>
                <w:highlight w:val="none"/>
                <w:lang w:val="en-US" w:eastAsia="zh-CN"/>
              </w:rPr>
              <w:t>（t/a）</w:t>
            </w:r>
          </w:p>
        </w:tc>
        <w:tc>
          <w:tcPr>
            <w:tcW w:w="1650" w:type="dxa"/>
            <w:noWrap w:val="0"/>
            <w:vAlign w:val="center"/>
          </w:tcPr>
          <w:p w14:paraId="5405696C">
            <w:pPr>
              <w:topLinePunct/>
              <w:spacing w:line="0" w:lineRule="atLeast"/>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eastAsia" w:ascii="宋体" w:hAnsi="宋体" w:cs="宋体"/>
                <w:color w:val="auto"/>
                <w:sz w:val="21"/>
                <w:szCs w:val="21"/>
                <w:highlight w:val="none"/>
                <w:lang w:val="en-US" w:eastAsia="zh-CN"/>
              </w:rPr>
              <w:t>0.024</w:t>
            </w:r>
          </w:p>
        </w:tc>
        <w:tc>
          <w:tcPr>
            <w:tcW w:w="1380" w:type="dxa"/>
            <w:noWrap w:val="0"/>
            <w:vAlign w:val="center"/>
          </w:tcPr>
          <w:p w14:paraId="445CD34C">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60" w:type="dxa"/>
            <w:noWrap w:val="0"/>
            <w:vAlign w:val="center"/>
          </w:tcPr>
          <w:p w14:paraId="2DAAC1C0">
            <w:pPr>
              <w:spacing w:beforeLines="0" w:afterLines="0" w:line="240" w:lineRule="auto"/>
              <w:ind w:firstLine="0" w:firstLineChars="0"/>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45" w:type="dxa"/>
            <w:noWrap w:val="0"/>
            <w:vAlign w:val="center"/>
          </w:tcPr>
          <w:p w14:paraId="7F53DB33">
            <w:pPr>
              <w:pStyle w:val="26"/>
              <w:spacing w:beforeLines="0" w:afterLines="0" w:line="240" w:lineRule="auto"/>
              <w:rPr>
                <w:rFonts w:hint="default"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0.008</w:t>
            </w:r>
          </w:p>
        </w:tc>
        <w:tc>
          <w:tcPr>
            <w:tcW w:w="1620" w:type="dxa"/>
            <w:noWrap w:val="0"/>
            <w:vAlign w:val="center"/>
          </w:tcPr>
          <w:p w14:paraId="110393D9">
            <w:pPr>
              <w:spacing w:beforeLines="0" w:afterLines="0" w:line="240" w:lineRule="auto"/>
              <w:ind w:firstLine="0" w:firstLineChars="0"/>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875" w:type="dxa"/>
            <w:noWrap w:val="0"/>
            <w:vAlign w:val="center"/>
          </w:tcPr>
          <w:p w14:paraId="502D68DA">
            <w:pPr>
              <w:pStyle w:val="26"/>
              <w:spacing w:beforeLines="0" w:afterLines="0" w:line="240" w:lineRule="auto"/>
              <w:rPr>
                <w:rFonts w:hint="default"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0.032</w:t>
            </w:r>
          </w:p>
        </w:tc>
        <w:tc>
          <w:tcPr>
            <w:tcW w:w="1081" w:type="dxa"/>
            <w:noWrap w:val="0"/>
            <w:vAlign w:val="center"/>
          </w:tcPr>
          <w:p w14:paraId="0737754B">
            <w:pPr>
              <w:pStyle w:val="26"/>
              <w:spacing w:beforeLines="0" w:afterLines="0" w:line="240" w:lineRule="auto"/>
              <w:rPr>
                <w:rFonts w:hint="default" w:hAnsi="宋体" w:cs="宋体"/>
                <w:snapToGrid w:val="0"/>
                <w:color w:val="000000"/>
                <w:kern w:val="21"/>
                <w:szCs w:val="21"/>
                <w:highlight w:val="none"/>
                <w:lang w:val="en-US"/>
              </w:rPr>
            </w:pPr>
            <w:r>
              <w:rPr>
                <w:rFonts w:hint="eastAsia" w:hAnsi="宋体" w:cs="宋体"/>
                <w:snapToGrid w:val="0"/>
                <w:color w:val="000000"/>
                <w:kern w:val="21"/>
                <w:szCs w:val="21"/>
                <w:highlight w:val="none"/>
                <w:lang w:val="en-US" w:eastAsia="zh-CN"/>
              </w:rPr>
              <w:t>0.008</w:t>
            </w:r>
          </w:p>
        </w:tc>
      </w:tr>
      <w:tr w14:paraId="1B07B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15F68AFF">
            <w:pPr>
              <w:pStyle w:val="26"/>
              <w:spacing w:beforeLines="0" w:afterLines="0" w:line="240" w:lineRule="auto"/>
              <w:rPr>
                <w:rFonts w:hAnsi="宋体" w:cs="宋体"/>
                <w:snapToGrid w:val="0"/>
                <w:color w:val="000000"/>
                <w:kern w:val="21"/>
                <w:szCs w:val="21"/>
                <w:highlight w:val="none"/>
              </w:rPr>
            </w:pPr>
          </w:p>
        </w:tc>
        <w:tc>
          <w:tcPr>
            <w:tcW w:w="1425" w:type="dxa"/>
            <w:noWrap w:val="0"/>
            <w:vAlign w:val="center"/>
          </w:tcPr>
          <w:p w14:paraId="65DA8E44">
            <w:pPr>
              <w:pStyle w:val="26"/>
              <w:spacing w:beforeLines="0" w:afterLines="0" w:line="240" w:lineRule="auto"/>
              <w:rPr>
                <w:rFonts w:hint="eastAsia" w:hAnsi="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废油桶</w:t>
            </w:r>
          </w:p>
          <w:p w14:paraId="607E3171">
            <w:pPr>
              <w:pStyle w:val="26"/>
              <w:spacing w:beforeLines="0" w:afterLines="0" w:line="240" w:lineRule="auto"/>
              <w:rPr>
                <w:rFonts w:hint="eastAsia" w:hAnsi="宋体" w:eastAsia="宋体" w:cs="宋体"/>
                <w:snapToGrid w:val="0"/>
                <w:color w:val="000000"/>
                <w:kern w:val="21"/>
                <w:szCs w:val="21"/>
                <w:highlight w:val="none"/>
                <w:lang w:val="en-US" w:eastAsia="zh-CN"/>
              </w:rPr>
            </w:pPr>
            <w:r>
              <w:rPr>
                <w:rFonts w:hint="eastAsia" w:ascii="Times New Roman" w:hAnsi="Times New Roman" w:eastAsia="宋体" w:cs="Times New Roman"/>
                <w:snapToGrid w:val="0"/>
                <w:color w:val="000000"/>
                <w:kern w:val="21"/>
                <w:szCs w:val="21"/>
                <w:highlight w:val="none"/>
                <w:lang w:val="en-US" w:eastAsia="zh-CN"/>
              </w:rPr>
              <w:t>（</w:t>
            </w:r>
            <w:r>
              <w:rPr>
                <w:rFonts w:hint="eastAsia" w:ascii="宋体" w:hAnsi="宋体" w:cs="宋体"/>
                <w:color w:val="auto"/>
                <w:sz w:val="21"/>
                <w:szCs w:val="21"/>
                <w:highlight w:val="none"/>
                <w:lang w:val="en-US" w:eastAsia="zh-CN"/>
              </w:rPr>
              <w:t>个/a</w:t>
            </w:r>
            <w:r>
              <w:rPr>
                <w:rFonts w:hint="eastAsia" w:ascii="Times New Roman" w:hAnsi="Times New Roman" w:eastAsia="宋体" w:cs="Times New Roman"/>
                <w:snapToGrid w:val="0"/>
                <w:color w:val="000000"/>
                <w:kern w:val="21"/>
                <w:szCs w:val="21"/>
                <w:highlight w:val="none"/>
                <w:lang w:val="en-US" w:eastAsia="zh-CN"/>
              </w:rPr>
              <w:t>）</w:t>
            </w:r>
          </w:p>
        </w:tc>
        <w:tc>
          <w:tcPr>
            <w:tcW w:w="1650" w:type="dxa"/>
            <w:noWrap w:val="0"/>
            <w:vAlign w:val="center"/>
          </w:tcPr>
          <w:p w14:paraId="3990266D">
            <w:pPr>
              <w:topLinePunct/>
              <w:spacing w:line="0" w:lineRule="atLeast"/>
              <w:ind w:firstLine="0" w:firstLineChars="0"/>
              <w:jc w:val="center"/>
              <w:rPr>
                <w:rFonts w:hint="default" w:ascii="Times New Roman" w:hAnsi="Times New Roman" w:eastAsia="宋体" w:cs="Times New Roman"/>
                <w:kern w:val="2"/>
                <w:sz w:val="21"/>
                <w:szCs w:val="21"/>
                <w:highlight w:val="none"/>
                <w:lang w:val="en-US" w:eastAsia="zh-CN" w:bidi="ar-SA"/>
              </w:rPr>
            </w:pPr>
            <w:r>
              <w:rPr>
                <w:rFonts w:hint="eastAsia" w:ascii="宋体" w:hAnsi="宋体" w:cs="宋体"/>
                <w:color w:val="auto"/>
                <w:sz w:val="21"/>
                <w:szCs w:val="21"/>
                <w:highlight w:val="none"/>
                <w:lang w:val="en-US" w:eastAsia="zh-CN"/>
              </w:rPr>
              <w:t>6</w:t>
            </w:r>
          </w:p>
        </w:tc>
        <w:tc>
          <w:tcPr>
            <w:tcW w:w="1380" w:type="dxa"/>
            <w:noWrap w:val="0"/>
            <w:vAlign w:val="center"/>
          </w:tcPr>
          <w:p w14:paraId="74A9A866">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60" w:type="dxa"/>
            <w:noWrap w:val="0"/>
            <w:vAlign w:val="center"/>
          </w:tcPr>
          <w:p w14:paraId="6A2E8E65">
            <w:pPr>
              <w:spacing w:beforeLines="0" w:afterLines="0" w:line="240" w:lineRule="auto"/>
              <w:ind w:firstLine="0" w:firstLineChars="0"/>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545" w:type="dxa"/>
            <w:noWrap w:val="0"/>
            <w:vAlign w:val="center"/>
          </w:tcPr>
          <w:p w14:paraId="381700BA">
            <w:pPr>
              <w:pStyle w:val="26"/>
              <w:spacing w:beforeLines="0" w:afterLines="0" w:line="240" w:lineRule="auto"/>
              <w:rPr>
                <w:rFonts w:hint="default"/>
                <w:highlight w:val="none"/>
                <w:lang w:val="en-US" w:eastAsia="zh-CN"/>
              </w:rPr>
            </w:pPr>
            <w:r>
              <w:rPr>
                <w:rFonts w:hint="eastAsia"/>
                <w:highlight w:val="none"/>
                <w:lang w:val="en-US" w:eastAsia="zh-CN"/>
              </w:rPr>
              <w:t>2</w:t>
            </w:r>
          </w:p>
        </w:tc>
        <w:tc>
          <w:tcPr>
            <w:tcW w:w="1620" w:type="dxa"/>
            <w:noWrap w:val="0"/>
            <w:vAlign w:val="center"/>
          </w:tcPr>
          <w:p w14:paraId="2A1AA194">
            <w:pPr>
              <w:spacing w:beforeLines="0" w:afterLines="0" w:line="240" w:lineRule="auto"/>
              <w:ind w:firstLine="0" w:firstLineChars="0"/>
              <w:jc w:val="center"/>
              <w:rPr>
                <w:rFonts w:hint="default" w:ascii="Times New Roman" w:hAnsi="Times New Roman" w:eastAsia="宋体" w:cs="Times New Roman"/>
                <w:snapToGrid w:val="0"/>
                <w:color w:val="000000"/>
                <w:kern w:val="21"/>
                <w:sz w:val="21"/>
                <w:szCs w:val="21"/>
                <w:highlight w:val="none"/>
                <w:lang w:val="en-US" w:eastAsia="zh-CN" w:bidi="ar-SA"/>
              </w:rPr>
            </w:pPr>
            <w:r>
              <w:rPr>
                <w:rFonts w:hint="eastAsia" w:hAnsi="宋体" w:cs="宋体"/>
                <w:snapToGrid w:val="0"/>
                <w:color w:val="000000"/>
                <w:kern w:val="21"/>
                <w:szCs w:val="21"/>
                <w:highlight w:val="none"/>
                <w:lang w:val="en-US" w:eastAsia="zh-CN"/>
              </w:rPr>
              <w:t>-</w:t>
            </w:r>
          </w:p>
        </w:tc>
        <w:tc>
          <w:tcPr>
            <w:tcW w:w="1875" w:type="dxa"/>
            <w:noWrap w:val="0"/>
            <w:vAlign w:val="center"/>
          </w:tcPr>
          <w:p w14:paraId="7DBEB920">
            <w:pPr>
              <w:pStyle w:val="26"/>
              <w:spacing w:beforeLines="0" w:afterLines="0" w:line="240" w:lineRule="auto"/>
              <w:rPr>
                <w:rFonts w:hint="default" w:hAnsi="宋体" w:eastAsia="宋体" w:cs="宋体"/>
                <w:snapToGrid w:val="0"/>
                <w:color w:val="000000"/>
                <w:kern w:val="21"/>
                <w:szCs w:val="21"/>
                <w:highlight w:val="none"/>
                <w:lang w:val="en-US" w:eastAsia="zh-CN"/>
              </w:rPr>
            </w:pPr>
            <w:r>
              <w:rPr>
                <w:rFonts w:hint="eastAsia" w:hAnsi="宋体" w:cs="宋体"/>
                <w:snapToGrid w:val="0"/>
                <w:color w:val="000000"/>
                <w:kern w:val="21"/>
                <w:szCs w:val="21"/>
                <w:highlight w:val="none"/>
                <w:lang w:val="en-US" w:eastAsia="zh-CN"/>
              </w:rPr>
              <w:t>8</w:t>
            </w:r>
          </w:p>
        </w:tc>
        <w:tc>
          <w:tcPr>
            <w:tcW w:w="1081" w:type="dxa"/>
            <w:noWrap w:val="0"/>
            <w:vAlign w:val="center"/>
          </w:tcPr>
          <w:p w14:paraId="19C0F87E">
            <w:pPr>
              <w:pStyle w:val="26"/>
              <w:spacing w:beforeLines="0" w:afterLines="0" w:line="240" w:lineRule="auto"/>
              <w:rPr>
                <w:rFonts w:hint="default" w:hAnsi="宋体" w:cs="宋体"/>
                <w:snapToGrid w:val="0"/>
                <w:color w:val="000000"/>
                <w:kern w:val="21"/>
                <w:szCs w:val="21"/>
                <w:highlight w:val="none"/>
                <w:lang w:val="en-US"/>
              </w:rPr>
            </w:pPr>
            <w:r>
              <w:rPr>
                <w:rFonts w:hint="eastAsia"/>
                <w:highlight w:val="none"/>
                <w:lang w:val="en-US" w:eastAsia="zh-CN"/>
              </w:rPr>
              <w:t>2</w:t>
            </w:r>
          </w:p>
        </w:tc>
      </w:tr>
      <w:tr w14:paraId="11C17F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3D179BBB">
            <w:pPr>
              <w:pStyle w:val="26"/>
              <w:spacing w:beforeLines="0" w:afterLines="0" w:line="240" w:lineRule="auto"/>
              <w:rPr>
                <w:rFonts w:hAnsi="宋体" w:cs="宋体"/>
                <w:snapToGrid w:val="0"/>
                <w:color w:val="000000"/>
                <w:kern w:val="21"/>
                <w:szCs w:val="21"/>
                <w:highlight w:val="none"/>
              </w:rPr>
            </w:pPr>
          </w:p>
        </w:tc>
        <w:tc>
          <w:tcPr>
            <w:tcW w:w="1425" w:type="dxa"/>
            <w:noWrap w:val="0"/>
            <w:vAlign w:val="center"/>
          </w:tcPr>
          <w:p w14:paraId="4CD4EB12">
            <w:pPr>
              <w:spacing w:line="0" w:lineRule="atLeast"/>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废过滤棉</w:t>
            </w:r>
          </w:p>
          <w:p w14:paraId="527A11DD">
            <w:pPr>
              <w:spacing w:line="0" w:lineRule="atLeas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r>
              <w:rPr>
                <w:rFonts w:hint="eastAsia" w:ascii="宋体" w:hAnsi="宋体" w:cs="宋体"/>
                <w:color w:val="auto"/>
                <w:sz w:val="21"/>
                <w:szCs w:val="21"/>
                <w:highlight w:val="none"/>
                <w:lang w:val="en-US" w:eastAsia="zh-CN"/>
              </w:rPr>
              <w:t>㎡/a</w:t>
            </w:r>
            <w:r>
              <w:rPr>
                <w:rFonts w:hint="eastAsia" w:cs="Times New Roman"/>
                <w:color w:val="auto"/>
                <w:sz w:val="21"/>
                <w:szCs w:val="21"/>
                <w:highlight w:val="none"/>
                <w:lang w:val="en-US" w:eastAsia="zh-CN"/>
              </w:rPr>
              <w:t>）</w:t>
            </w:r>
          </w:p>
        </w:tc>
        <w:tc>
          <w:tcPr>
            <w:tcW w:w="1650" w:type="dxa"/>
            <w:noWrap w:val="0"/>
            <w:vAlign w:val="center"/>
          </w:tcPr>
          <w:p w14:paraId="26E86B50">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15</w:t>
            </w:r>
          </w:p>
        </w:tc>
        <w:tc>
          <w:tcPr>
            <w:tcW w:w="1380" w:type="dxa"/>
            <w:noWrap w:val="0"/>
            <w:vAlign w:val="center"/>
          </w:tcPr>
          <w:p w14:paraId="28AB7456">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60" w:type="dxa"/>
            <w:noWrap w:val="0"/>
            <w:vAlign w:val="center"/>
          </w:tcPr>
          <w:p w14:paraId="556EEEE7">
            <w:pPr>
              <w:spacing w:beforeLines="0" w:afterLines="0" w:line="240" w:lineRule="auto"/>
              <w:ind w:firstLine="0" w:firstLineChars="0"/>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45" w:type="dxa"/>
            <w:noWrap w:val="0"/>
            <w:vAlign w:val="center"/>
          </w:tcPr>
          <w:p w14:paraId="67F1BC19">
            <w:pPr>
              <w:pStyle w:val="26"/>
              <w:spacing w:beforeLines="0" w:afterLines="0" w:line="240" w:lineRule="auto"/>
              <w:rPr>
                <w:rFonts w:hint="default"/>
                <w:highlight w:val="none"/>
                <w:lang w:val="en-US" w:eastAsia="zh-CN"/>
              </w:rPr>
            </w:pPr>
            <w:r>
              <w:rPr>
                <w:rFonts w:hint="eastAsia"/>
                <w:highlight w:val="none"/>
                <w:lang w:val="en-US" w:eastAsia="zh-CN"/>
              </w:rPr>
              <w:t>0</w:t>
            </w:r>
          </w:p>
        </w:tc>
        <w:tc>
          <w:tcPr>
            <w:tcW w:w="1620" w:type="dxa"/>
            <w:noWrap w:val="0"/>
            <w:vAlign w:val="center"/>
          </w:tcPr>
          <w:p w14:paraId="068935F3">
            <w:pPr>
              <w:spacing w:beforeLines="0" w:afterLines="0" w:line="240" w:lineRule="auto"/>
              <w:ind w:firstLine="0" w:firstLineChars="0"/>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875" w:type="dxa"/>
            <w:noWrap w:val="0"/>
            <w:vAlign w:val="center"/>
          </w:tcPr>
          <w:p w14:paraId="5D21C9CB">
            <w:pPr>
              <w:spacing w:line="0" w:lineRule="atLeast"/>
              <w:jc w:val="center"/>
              <w:rPr>
                <w:rFonts w:hAnsi="宋体" w:cs="宋体"/>
                <w:snapToGrid w:val="0"/>
                <w:color w:val="000000"/>
                <w:kern w:val="21"/>
                <w:szCs w:val="21"/>
                <w:highlight w:val="none"/>
              </w:rPr>
            </w:pPr>
            <w:r>
              <w:rPr>
                <w:rFonts w:hint="eastAsia" w:ascii="宋体" w:hAnsi="宋体" w:cs="宋体"/>
                <w:color w:val="auto"/>
                <w:sz w:val="21"/>
                <w:szCs w:val="21"/>
                <w:highlight w:val="none"/>
                <w:lang w:val="en-US" w:eastAsia="zh-CN"/>
              </w:rPr>
              <w:t>15</w:t>
            </w:r>
          </w:p>
        </w:tc>
        <w:tc>
          <w:tcPr>
            <w:tcW w:w="1081" w:type="dxa"/>
            <w:noWrap w:val="0"/>
            <w:vAlign w:val="center"/>
          </w:tcPr>
          <w:p w14:paraId="44186CFE">
            <w:pPr>
              <w:pStyle w:val="26"/>
              <w:spacing w:beforeLines="0" w:afterLines="0" w:line="240" w:lineRule="auto"/>
              <w:rPr>
                <w:rFonts w:hint="eastAsia" w:ascii="宋体" w:hAnsi="宋体" w:eastAsia="宋体" w:cs="宋体"/>
                <w:color w:val="auto"/>
                <w:kern w:val="2"/>
                <w:sz w:val="21"/>
                <w:szCs w:val="21"/>
                <w:highlight w:val="none"/>
                <w:lang w:val="en-US" w:eastAsia="zh-CN" w:bidi="ar-SA"/>
              </w:rPr>
            </w:pPr>
            <w:r>
              <w:rPr>
                <w:rFonts w:hint="eastAsia"/>
                <w:highlight w:val="none"/>
                <w:lang w:val="en-US" w:eastAsia="zh-CN"/>
              </w:rPr>
              <w:t>0</w:t>
            </w:r>
          </w:p>
        </w:tc>
      </w:tr>
      <w:tr w14:paraId="08538A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2D28D8B4">
            <w:pPr>
              <w:pStyle w:val="26"/>
              <w:spacing w:beforeLines="0" w:afterLines="0" w:line="240" w:lineRule="auto"/>
              <w:rPr>
                <w:rFonts w:hAnsi="宋体" w:cs="宋体"/>
                <w:snapToGrid w:val="0"/>
                <w:color w:val="000000"/>
                <w:kern w:val="21"/>
                <w:szCs w:val="21"/>
                <w:highlight w:val="none"/>
              </w:rPr>
            </w:pPr>
          </w:p>
        </w:tc>
        <w:tc>
          <w:tcPr>
            <w:tcW w:w="1425" w:type="dxa"/>
            <w:noWrap w:val="0"/>
            <w:vAlign w:val="center"/>
          </w:tcPr>
          <w:p w14:paraId="153E2D17">
            <w:pPr>
              <w:spacing w:line="0" w:lineRule="atLeast"/>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废活性炭</w:t>
            </w:r>
          </w:p>
          <w:p w14:paraId="3673AB97">
            <w:pPr>
              <w:spacing w:line="0" w:lineRule="atLeast"/>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r>
              <w:rPr>
                <w:rFonts w:hint="eastAsia" w:ascii="宋体" w:hAnsi="宋体" w:cs="宋体"/>
                <w:color w:val="auto"/>
                <w:sz w:val="21"/>
                <w:szCs w:val="21"/>
                <w:highlight w:val="none"/>
                <w:lang w:val="en-US" w:eastAsia="zh-CN"/>
              </w:rPr>
              <w:t>m³/a</w:t>
            </w:r>
            <w:r>
              <w:rPr>
                <w:rFonts w:hint="eastAsia" w:cs="Times New Roman"/>
                <w:color w:val="auto"/>
                <w:sz w:val="21"/>
                <w:szCs w:val="21"/>
                <w:highlight w:val="none"/>
                <w:lang w:val="en-US" w:eastAsia="zh-CN"/>
              </w:rPr>
              <w:t>）</w:t>
            </w:r>
          </w:p>
        </w:tc>
        <w:tc>
          <w:tcPr>
            <w:tcW w:w="1650" w:type="dxa"/>
            <w:noWrap w:val="0"/>
            <w:vAlign w:val="center"/>
          </w:tcPr>
          <w:p w14:paraId="4D1C8CEE">
            <w:pPr>
              <w:spacing w:line="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5</w:t>
            </w:r>
          </w:p>
        </w:tc>
        <w:tc>
          <w:tcPr>
            <w:tcW w:w="1380" w:type="dxa"/>
            <w:noWrap w:val="0"/>
            <w:vAlign w:val="center"/>
          </w:tcPr>
          <w:p w14:paraId="46B51FBC">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60" w:type="dxa"/>
            <w:noWrap w:val="0"/>
            <w:vAlign w:val="center"/>
          </w:tcPr>
          <w:p w14:paraId="5A90A672">
            <w:pPr>
              <w:spacing w:beforeLines="0" w:afterLines="0" w:line="240" w:lineRule="auto"/>
              <w:ind w:firstLine="0" w:firstLineChars="0"/>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45" w:type="dxa"/>
            <w:noWrap w:val="0"/>
            <w:vAlign w:val="center"/>
          </w:tcPr>
          <w:p w14:paraId="0DEAB71D">
            <w:pPr>
              <w:pStyle w:val="26"/>
              <w:spacing w:beforeLines="0" w:afterLines="0" w:line="240" w:lineRule="auto"/>
              <w:rPr>
                <w:rFonts w:hint="default"/>
                <w:highlight w:val="none"/>
                <w:lang w:val="en-US" w:eastAsia="zh-CN"/>
              </w:rPr>
            </w:pPr>
            <w:r>
              <w:rPr>
                <w:rFonts w:hint="eastAsia"/>
                <w:highlight w:val="none"/>
                <w:lang w:val="en-US" w:eastAsia="zh-CN"/>
              </w:rPr>
              <w:t>0</w:t>
            </w:r>
          </w:p>
        </w:tc>
        <w:tc>
          <w:tcPr>
            <w:tcW w:w="1620" w:type="dxa"/>
            <w:noWrap w:val="0"/>
            <w:vAlign w:val="center"/>
          </w:tcPr>
          <w:p w14:paraId="67C7CA78">
            <w:pPr>
              <w:spacing w:beforeLines="0" w:afterLines="0" w:line="240" w:lineRule="auto"/>
              <w:ind w:firstLine="0" w:firstLineChars="0"/>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875" w:type="dxa"/>
            <w:noWrap w:val="0"/>
            <w:vAlign w:val="center"/>
          </w:tcPr>
          <w:p w14:paraId="074A724A">
            <w:pPr>
              <w:spacing w:line="0" w:lineRule="atLeast"/>
              <w:jc w:val="center"/>
              <w:rPr>
                <w:rFonts w:hAnsi="宋体" w:cs="宋体"/>
                <w:snapToGrid w:val="0"/>
                <w:color w:val="000000"/>
                <w:kern w:val="21"/>
                <w:szCs w:val="21"/>
                <w:highlight w:val="none"/>
              </w:rPr>
            </w:pPr>
            <w:r>
              <w:rPr>
                <w:rFonts w:hint="eastAsia" w:ascii="宋体" w:hAnsi="宋体" w:cs="宋体"/>
                <w:color w:val="auto"/>
                <w:sz w:val="21"/>
                <w:szCs w:val="21"/>
                <w:highlight w:val="none"/>
                <w:lang w:val="en-US" w:eastAsia="zh-CN"/>
              </w:rPr>
              <w:t>5</w:t>
            </w:r>
          </w:p>
        </w:tc>
        <w:tc>
          <w:tcPr>
            <w:tcW w:w="1081" w:type="dxa"/>
            <w:noWrap w:val="0"/>
            <w:vAlign w:val="center"/>
          </w:tcPr>
          <w:p w14:paraId="0B87E8E0">
            <w:pPr>
              <w:pStyle w:val="26"/>
              <w:spacing w:beforeLines="0" w:afterLines="0" w:line="240" w:lineRule="auto"/>
              <w:rPr>
                <w:rFonts w:hint="eastAsia" w:ascii="宋体" w:hAnsi="宋体" w:eastAsia="宋体" w:cs="宋体"/>
                <w:color w:val="auto"/>
                <w:kern w:val="2"/>
                <w:sz w:val="21"/>
                <w:szCs w:val="21"/>
                <w:highlight w:val="none"/>
                <w:lang w:val="en-US" w:eastAsia="zh-CN" w:bidi="ar-SA"/>
              </w:rPr>
            </w:pPr>
            <w:r>
              <w:rPr>
                <w:rFonts w:hint="eastAsia"/>
                <w:highlight w:val="none"/>
                <w:lang w:val="en-US" w:eastAsia="zh-CN"/>
              </w:rPr>
              <w:t>0</w:t>
            </w:r>
          </w:p>
        </w:tc>
      </w:tr>
      <w:tr w14:paraId="6ED0C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229" w:type="dxa"/>
            <w:vMerge w:val="continue"/>
            <w:noWrap w:val="0"/>
            <w:vAlign w:val="center"/>
          </w:tcPr>
          <w:p w14:paraId="5D5BD190">
            <w:pPr>
              <w:pStyle w:val="26"/>
              <w:spacing w:beforeLines="0" w:afterLines="0" w:line="240" w:lineRule="auto"/>
              <w:rPr>
                <w:rFonts w:hAnsi="宋体" w:cs="宋体"/>
                <w:snapToGrid w:val="0"/>
                <w:color w:val="000000"/>
                <w:kern w:val="21"/>
                <w:szCs w:val="21"/>
                <w:highlight w:val="none"/>
              </w:rPr>
            </w:pPr>
          </w:p>
        </w:tc>
        <w:tc>
          <w:tcPr>
            <w:tcW w:w="1425" w:type="dxa"/>
            <w:noWrap w:val="0"/>
            <w:vAlign w:val="center"/>
          </w:tcPr>
          <w:p w14:paraId="51D6FA7B">
            <w:pPr>
              <w:spacing w:line="0" w:lineRule="atLeast"/>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废棉丝</w:t>
            </w:r>
            <w:r>
              <w:rPr>
                <w:rFonts w:hint="eastAsia" w:ascii="Times New Roman" w:hAnsi="Times New Roman" w:eastAsia="宋体" w:cs="Times New Roman"/>
                <w:snapToGrid w:val="0"/>
                <w:color w:val="000000"/>
                <w:kern w:val="21"/>
                <w:szCs w:val="21"/>
                <w:highlight w:val="none"/>
                <w:lang w:val="en-US" w:eastAsia="zh-CN"/>
              </w:rPr>
              <w:t>（t/a）</w:t>
            </w:r>
          </w:p>
        </w:tc>
        <w:tc>
          <w:tcPr>
            <w:tcW w:w="1650" w:type="dxa"/>
            <w:noWrap w:val="0"/>
            <w:vAlign w:val="center"/>
          </w:tcPr>
          <w:p w14:paraId="4FA08117">
            <w:pPr>
              <w:spacing w:line="0" w:lineRule="atLeas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少量</w:t>
            </w:r>
          </w:p>
        </w:tc>
        <w:tc>
          <w:tcPr>
            <w:tcW w:w="1380" w:type="dxa"/>
            <w:noWrap w:val="0"/>
            <w:vAlign w:val="center"/>
          </w:tcPr>
          <w:p w14:paraId="5C9BD7F6">
            <w:pPr>
              <w:spacing w:beforeLines="0" w:afterLines="0" w:line="240" w:lineRule="auto"/>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60" w:type="dxa"/>
            <w:noWrap w:val="0"/>
            <w:vAlign w:val="center"/>
          </w:tcPr>
          <w:p w14:paraId="645B6F86">
            <w:pPr>
              <w:spacing w:beforeLines="0" w:afterLines="0" w:line="240" w:lineRule="auto"/>
              <w:ind w:firstLine="0" w:firstLineChars="0"/>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545" w:type="dxa"/>
            <w:noWrap w:val="0"/>
            <w:vAlign w:val="center"/>
          </w:tcPr>
          <w:p w14:paraId="6611031C">
            <w:pPr>
              <w:pStyle w:val="26"/>
              <w:spacing w:beforeLines="0" w:afterLines="0" w:line="240" w:lineRule="auto"/>
              <w:rPr>
                <w:rFonts w:hint="default"/>
                <w:highlight w:val="none"/>
                <w:lang w:val="en-US" w:eastAsia="zh-CN"/>
              </w:rPr>
            </w:pPr>
            <w:r>
              <w:rPr>
                <w:rFonts w:hint="eastAsia" w:hAnsi="宋体" w:cs="宋体"/>
                <w:color w:val="auto"/>
                <w:sz w:val="21"/>
                <w:szCs w:val="21"/>
                <w:highlight w:val="none"/>
                <w:lang w:val="en-US" w:eastAsia="zh-CN"/>
              </w:rPr>
              <w:t>0</w:t>
            </w:r>
          </w:p>
        </w:tc>
        <w:tc>
          <w:tcPr>
            <w:tcW w:w="1620" w:type="dxa"/>
            <w:noWrap w:val="0"/>
            <w:vAlign w:val="center"/>
          </w:tcPr>
          <w:p w14:paraId="7605D1E0">
            <w:pPr>
              <w:spacing w:beforeLines="0" w:afterLines="0" w:line="240" w:lineRule="auto"/>
              <w:ind w:firstLine="0" w:firstLineChars="0"/>
              <w:jc w:val="center"/>
              <w:rPr>
                <w:rFonts w:hint="default" w:ascii="Times New Roman" w:hAnsi="Times New Roman" w:eastAsia="宋体" w:cs="Times New Roman"/>
                <w:snapToGrid w:val="0"/>
                <w:color w:val="000000"/>
                <w:kern w:val="21"/>
                <w:sz w:val="21"/>
                <w:szCs w:val="21"/>
                <w:highlight w:val="none"/>
                <w:lang w:val="en-US" w:eastAsia="zh-CN"/>
              </w:rPr>
            </w:pPr>
            <w:r>
              <w:rPr>
                <w:rFonts w:hint="eastAsia" w:hAnsi="宋体" w:cs="宋体"/>
                <w:snapToGrid w:val="0"/>
                <w:color w:val="000000"/>
                <w:kern w:val="21"/>
                <w:szCs w:val="21"/>
                <w:highlight w:val="none"/>
                <w:lang w:val="en-US" w:eastAsia="zh-CN"/>
              </w:rPr>
              <w:t>-</w:t>
            </w:r>
          </w:p>
        </w:tc>
        <w:tc>
          <w:tcPr>
            <w:tcW w:w="1875" w:type="dxa"/>
            <w:noWrap w:val="0"/>
            <w:vAlign w:val="center"/>
          </w:tcPr>
          <w:p w14:paraId="5D950E11">
            <w:pPr>
              <w:spacing w:line="0" w:lineRule="atLeast"/>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少量</w:t>
            </w:r>
          </w:p>
        </w:tc>
        <w:tc>
          <w:tcPr>
            <w:tcW w:w="1081" w:type="dxa"/>
            <w:noWrap w:val="0"/>
            <w:vAlign w:val="center"/>
          </w:tcPr>
          <w:p w14:paraId="669EAD90">
            <w:pPr>
              <w:pStyle w:val="26"/>
              <w:spacing w:beforeLines="0" w:afterLines="0" w:line="240" w:lineRule="auto"/>
              <w:rPr>
                <w:rFonts w:hint="default"/>
                <w:highlight w:val="none"/>
                <w:lang w:val="en-US" w:eastAsia="zh-CN"/>
              </w:rPr>
            </w:pPr>
            <w:r>
              <w:rPr>
                <w:rFonts w:hint="eastAsia" w:hAnsi="宋体" w:cs="宋体"/>
                <w:color w:val="auto"/>
                <w:sz w:val="21"/>
                <w:szCs w:val="21"/>
                <w:highlight w:val="none"/>
                <w:lang w:val="en-US" w:eastAsia="zh-CN"/>
              </w:rPr>
              <w:t>0</w:t>
            </w:r>
          </w:p>
        </w:tc>
      </w:tr>
    </w:tbl>
    <w:p w14:paraId="31512E32">
      <w:pPr>
        <w:pStyle w:val="26"/>
        <w:spacing w:before="192" w:beforeLines="80" w:after="24"/>
        <w:jc w:val="left"/>
        <w:rPr>
          <w:rFonts w:hint="eastAsia" w:hAnsi="宋体"/>
          <w:snapToGrid w:val="0"/>
          <w:color w:val="000000"/>
          <w:spacing w:val="-6"/>
          <w:kern w:val="21"/>
          <w:szCs w:val="21"/>
          <w:highlight w:val="none"/>
        </w:rPr>
      </w:pPr>
      <w:r>
        <w:rPr>
          <w:rFonts w:hAnsi="宋体"/>
          <w:snapToGrid w:val="0"/>
          <w:color w:val="000000"/>
          <w:kern w:val="21"/>
          <w:szCs w:val="21"/>
          <w:highlight w:val="none"/>
        </w:rPr>
        <w:t>注：</w:t>
      </w:r>
      <w:r>
        <w:rPr>
          <w:rFonts w:hAnsi="宋体"/>
          <w:snapToGrid w:val="0"/>
          <w:color w:val="000000"/>
          <w:spacing w:val="-16"/>
          <w:kern w:val="21"/>
          <w:szCs w:val="21"/>
          <w:highlight w:val="none"/>
        </w:rPr>
        <w:fldChar w:fldCharType="begin"/>
      </w:r>
      <w:r>
        <w:rPr>
          <w:rFonts w:hAnsi="宋体"/>
          <w:snapToGrid w:val="0"/>
          <w:color w:val="000000"/>
          <w:spacing w:val="-16"/>
          <w:kern w:val="21"/>
          <w:szCs w:val="21"/>
          <w:highlight w:val="none"/>
        </w:rPr>
        <w:instrText xml:space="preserve"> = 6 \* GB3 \* MERGEFORMAT </w:instrText>
      </w:r>
      <w:r>
        <w:rPr>
          <w:rFonts w:hAnsi="宋体"/>
          <w:snapToGrid w:val="0"/>
          <w:color w:val="000000"/>
          <w:spacing w:val="-16"/>
          <w:kern w:val="21"/>
          <w:szCs w:val="21"/>
          <w:highlight w:val="none"/>
        </w:rPr>
        <w:fldChar w:fldCharType="separate"/>
      </w:r>
      <w:r>
        <w:rPr>
          <w:rFonts w:hint="eastAsia" w:hAnsi="宋体"/>
          <w:szCs w:val="21"/>
          <w:highlight w:val="none"/>
        </w:rPr>
        <w:t>⑥</w:t>
      </w:r>
      <w:r>
        <w:rPr>
          <w:rFonts w:hAnsi="宋体"/>
          <w:snapToGrid w:val="0"/>
          <w:color w:val="000000"/>
          <w:spacing w:val="-16"/>
          <w:kern w:val="21"/>
          <w:szCs w:val="21"/>
          <w:highlight w:val="none"/>
        </w:rPr>
        <w:fldChar w:fldCharType="end"/>
      </w:r>
      <w:r>
        <w:rPr>
          <w:rFonts w:hAnsi="宋体"/>
          <w:snapToGrid w:val="0"/>
          <w:color w:val="000000"/>
          <w:spacing w:val="-16"/>
          <w:kern w:val="21"/>
          <w:szCs w:val="21"/>
          <w:highlight w:val="none"/>
        </w:rPr>
        <w:t>=</w:t>
      </w:r>
      <w:r>
        <w:rPr>
          <w:rFonts w:hAnsi="宋体"/>
          <w:snapToGrid w:val="0"/>
          <w:color w:val="000000"/>
          <w:spacing w:val="-6"/>
          <w:kern w:val="21"/>
          <w:szCs w:val="21"/>
          <w:highlight w:val="none"/>
        </w:rPr>
        <w:fldChar w:fldCharType="begin"/>
      </w:r>
      <w:r>
        <w:rPr>
          <w:rFonts w:hAnsi="宋体"/>
          <w:snapToGrid w:val="0"/>
          <w:color w:val="000000"/>
          <w:spacing w:val="-6"/>
          <w:kern w:val="21"/>
          <w:szCs w:val="21"/>
          <w:highlight w:val="none"/>
        </w:rPr>
        <w:instrText xml:space="preserve"> = 1 \* GB3 \* MERGEFORMAT </w:instrText>
      </w:r>
      <w:r>
        <w:rPr>
          <w:rFonts w:hAnsi="宋体"/>
          <w:snapToGrid w:val="0"/>
          <w:color w:val="000000"/>
          <w:spacing w:val="-6"/>
          <w:kern w:val="21"/>
          <w:szCs w:val="21"/>
          <w:highlight w:val="none"/>
        </w:rPr>
        <w:fldChar w:fldCharType="separate"/>
      </w:r>
      <w:r>
        <w:rPr>
          <w:rFonts w:hint="eastAsia" w:hAnsi="宋体"/>
          <w:szCs w:val="21"/>
          <w:highlight w:val="none"/>
        </w:rPr>
        <w:t>①</w:t>
      </w:r>
      <w:r>
        <w:rPr>
          <w:rFonts w:hAnsi="宋体"/>
          <w:snapToGrid w:val="0"/>
          <w:color w:val="000000"/>
          <w:spacing w:val="-6"/>
          <w:kern w:val="21"/>
          <w:szCs w:val="21"/>
          <w:highlight w:val="none"/>
        </w:rPr>
        <w:fldChar w:fldCharType="end"/>
      </w:r>
      <w:r>
        <w:rPr>
          <w:rFonts w:hAnsi="宋体"/>
          <w:snapToGrid w:val="0"/>
          <w:color w:val="000000"/>
          <w:spacing w:val="-6"/>
          <w:kern w:val="21"/>
          <w:szCs w:val="21"/>
          <w:highlight w:val="none"/>
        </w:rPr>
        <w:t>+</w:t>
      </w:r>
      <w:r>
        <w:rPr>
          <w:rFonts w:hAnsi="宋体"/>
          <w:snapToGrid w:val="0"/>
          <w:color w:val="000000"/>
          <w:spacing w:val="-6"/>
          <w:kern w:val="21"/>
          <w:szCs w:val="21"/>
          <w:highlight w:val="none"/>
        </w:rPr>
        <w:fldChar w:fldCharType="begin"/>
      </w:r>
      <w:r>
        <w:rPr>
          <w:rFonts w:hAnsi="宋体"/>
          <w:snapToGrid w:val="0"/>
          <w:color w:val="000000"/>
          <w:spacing w:val="-6"/>
          <w:kern w:val="21"/>
          <w:szCs w:val="21"/>
          <w:highlight w:val="none"/>
        </w:rPr>
        <w:instrText xml:space="preserve"> = 3 \* GB3 \* MERGEFORMAT </w:instrText>
      </w:r>
      <w:r>
        <w:rPr>
          <w:rFonts w:hAnsi="宋体"/>
          <w:snapToGrid w:val="0"/>
          <w:color w:val="000000"/>
          <w:spacing w:val="-6"/>
          <w:kern w:val="21"/>
          <w:szCs w:val="21"/>
          <w:highlight w:val="none"/>
        </w:rPr>
        <w:fldChar w:fldCharType="separate"/>
      </w:r>
      <w:r>
        <w:rPr>
          <w:rFonts w:hint="eastAsia" w:hAnsi="宋体"/>
          <w:szCs w:val="21"/>
          <w:highlight w:val="none"/>
        </w:rPr>
        <w:t>③</w:t>
      </w:r>
      <w:r>
        <w:rPr>
          <w:rFonts w:hAnsi="宋体"/>
          <w:snapToGrid w:val="0"/>
          <w:color w:val="000000"/>
          <w:spacing w:val="-6"/>
          <w:kern w:val="21"/>
          <w:szCs w:val="21"/>
          <w:highlight w:val="none"/>
        </w:rPr>
        <w:fldChar w:fldCharType="end"/>
      </w:r>
      <w:r>
        <w:rPr>
          <w:rFonts w:hAnsi="宋体"/>
          <w:snapToGrid w:val="0"/>
          <w:color w:val="000000"/>
          <w:spacing w:val="-6"/>
          <w:kern w:val="21"/>
          <w:szCs w:val="21"/>
          <w:highlight w:val="none"/>
        </w:rPr>
        <w:t>+</w:t>
      </w:r>
      <w:r>
        <w:rPr>
          <w:rFonts w:hAnsi="宋体"/>
          <w:snapToGrid w:val="0"/>
          <w:color w:val="000000"/>
          <w:spacing w:val="-6"/>
          <w:kern w:val="21"/>
          <w:szCs w:val="21"/>
          <w:highlight w:val="none"/>
        </w:rPr>
        <w:fldChar w:fldCharType="begin"/>
      </w:r>
      <w:r>
        <w:rPr>
          <w:rFonts w:hAnsi="宋体"/>
          <w:snapToGrid w:val="0"/>
          <w:color w:val="000000"/>
          <w:spacing w:val="-6"/>
          <w:kern w:val="21"/>
          <w:szCs w:val="21"/>
          <w:highlight w:val="none"/>
        </w:rPr>
        <w:instrText xml:space="preserve"> = 4 \* GB3 \* MERGEFORMAT </w:instrText>
      </w:r>
      <w:r>
        <w:rPr>
          <w:rFonts w:hAnsi="宋体"/>
          <w:snapToGrid w:val="0"/>
          <w:color w:val="000000"/>
          <w:spacing w:val="-6"/>
          <w:kern w:val="21"/>
          <w:szCs w:val="21"/>
          <w:highlight w:val="none"/>
        </w:rPr>
        <w:fldChar w:fldCharType="separate"/>
      </w:r>
      <w:r>
        <w:rPr>
          <w:rFonts w:hint="eastAsia" w:hAnsi="宋体"/>
          <w:szCs w:val="21"/>
          <w:highlight w:val="none"/>
        </w:rPr>
        <w:t>④</w:t>
      </w:r>
      <w:r>
        <w:rPr>
          <w:rFonts w:hAnsi="宋体"/>
          <w:snapToGrid w:val="0"/>
          <w:color w:val="000000"/>
          <w:spacing w:val="-6"/>
          <w:kern w:val="21"/>
          <w:szCs w:val="21"/>
          <w:highlight w:val="none"/>
        </w:rPr>
        <w:fldChar w:fldCharType="end"/>
      </w:r>
      <w:r>
        <w:rPr>
          <w:rFonts w:hAnsi="宋体"/>
          <w:snapToGrid w:val="0"/>
          <w:color w:val="000000"/>
          <w:spacing w:val="-6"/>
          <w:kern w:val="21"/>
          <w:szCs w:val="21"/>
          <w:highlight w:val="none"/>
        </w:rPr>
        <w:t>-</w:t>
      </w:r>
      <w:r>
        <w:rPr>
          <w:rFonts w:hAnsi="宋体"/>
          <w:snapToGrid w:val="0"/>
          <w:color w:val="000000"/>
          <w:spacing w:val="-16"/>
          <w:kern w:val="21"/>
          <w:szCs w:val="21"/>
          <w:highlight w:val="none"/>
        </w:rPr>
        <w:fldChar w:fldCharType="begin"/>
      </w:r>
      <w:r>
        <w:rPr>
          <w:rFonts w:hAnsi="宋体"/>
          <w:snapToGrid w:val="0"/>
          <w:color w:val="000000"/>
          <w:spacing w:val="-16"/>
          <w:kern w:val="21"/>
          <w:szCs w:val="21"/>
          <w:highlight w:val="none"/>
        </w:rPr>
        <w:instrText xml:space="preserve"> = 5 \* GB3 \* MERGEFORMAT </w:instrText>
      </w:r>
      <w:r>
        <w:rPr>
          <w:rFonts w:hAnsi="宋体"/>
          <w:snapToGrid w:val="0"/>
          <w:color w:val="000000"/>
          <w:spacing w:val="-16"/>
          <w:kern w:val="21"/>
          <w:szCs w:val="21"/>
          <w:highlight w:val="none"/>
        </w:rPr>
        <w:fldChar w:fldCharType="separate"/>
      </w:r>
      <w:r>
        <w:rPr>
          <w:rFonts w:hint="eastAsia" w:hAnsi="宋体"/>
          <w:szCs w:val="21"/>
          <w:highlight w:val="none"/>
        </w:rPr>
        <w:t>⑤</w:t>
      </w:r>
      <w:r>
        <w:rPr>
          <w:rFonts w:hAnsi="宋体"/>
          <w:snapToGrid w:val="0"/>
          <w:color w:val="000000"/>
          <w:spacing w:val="-16"/>
          <w:kern w:val="21"/>
          <w:szCs w:val="21"/>
          <w:highlight w:val="none"/>
        </w:rPr>
        <w:fldChar w:fldCharType="end"/>
      </w:r>
      <w:r>
        <w:rPr>
          <w:rFonts w:hAnsi="宋体"/>
          <w:snapToGrid w:val="0"/>
          <w:color w:val="000000"/>
          <w:spacing w:val="-16"/>
          <w:kern w:val="21"/>
          <w:szCs w:val="21"/>
          <w:highlight w:val="none"/>
        </w:rPr>
        <w:t>；</w:t>
      </w:r>
      <w:r>
        <w:rPr>
          <w:rFonts w:hAnsi="宋体"/>
          <w:snapToGrid w:val="0"/>
          <w:color w:val="000000"/>
          <w:spacing w:val="-6"/>
          <w:kern w:val="21"/>
          <w:szCs w:val="21"/>
          <w:highlight w:val="none"/>
        </w:rPr>
        <w:fldChar w:fldCharType="begin"/>
      </w:r>
      <w:r>
        <w:rPr>
          <w:rFonts w:hAnsi="宋体"/>
          <w:snapToGrid w:val="0"/>
          <w:color w:val="000000"/>
          <w:spacing w:val="-6"/>
          <w:kern w:val="21"/>
          <w:szCs w:val="21"/>
          <w:highlight w:val="none"/>
        </w:rPr>
        <w:instrText xml:space="preserve"> = 7 \* GB3 \* MERGEFORMAT </w:instrText>
      </w:r>
      <w:r>
        <w:rPr>
          <w:rFonts w:hAnsi="宋体"/>
          <w:snapToGrid w:val="0"/>
          <w:color w:val="000000"/>
          <w:spacing w:val="-6"/>
          <w:kern w:val="21"/>
          <w:szCs w:val="21"/>
          <w:highlight w:val="none"/>
        </w:rPr>
        <w:fldChar w:fldCharType="separate"/>
      </w:r>
      <w:r>
        <w:rPr>
          <w:rFonts w:hint="eastAsia" w:hAnsi="宋体"/>
          <w:szCs w:val="21"/>
          <w:highlight w:val="none"/>
        </w:rPr>
        <w:t>⑦</w:t>
      </w:r>
      <w:r>
        <w:rPr>
          <w:rFonts w:hAnsi="宋体"/>
          <w:snapToGrid w:val="0"/>
          <w:color w:val="000000"/>
          <w:spacing w:val="-6"/>
          <w:kern w:val="21"/>
          <w:szCs w:val="21"/>
          <w:highlight w:val="none"/>
        </w:rPr>
        <w:fldChar w:fldCharType="end"/>
      </w:r>
      <w:r>
        <w:rPr>
          <w:rFonts w:hAnsi="宋体"/>
          <w:snapToGrid w:val="0"/>
          <w:color w:val="000000"/>
          <w:spacing w:val="-6"/>
          <w:kern w:val="21"/>
          <w:szCs w:val="21"/>
          <w:highlight w:val="none"/>
        </w:rPr>
        <w:t>=</w:t>
      </w:r>
      <w:r>
        <w:rPr>
          <w:rFonts w:hAnsi="宋体"/>
          <w:snapToGrid w:val="0"/>
          <w:color w:val="000000"/>
          <w:spacing w:val="-16"/>
          <w:kern w:val="21"/>
          <w:szCs w:val="21"/>
          <w:highlight w:val="none"/>
        </w:rPr>
        <w:fldChar w:fldCharType="begin"/>
      </w:r>
      <w:r>
        <w:rPr>
          <w:rFonts w:hAnsi="宋体"/>
          <w:snapToGrid w:val="0"/>
          <w:color w:val="000000"/>
          <w:spacing w:val="-16"/>
          <w:kern w:val="21"/>
          <w:szCs w:val="21"/>
          <w:highlight w:val="none"/>
        </w:rPr>
        <w:instrText xml:space="preserve"> = 6 \* GB3 \* MERGEFORMAT </w:instrText>
      </w:r>
      <w:r>
        <w:rPr>
          <w:rFonts w:hAnsi="宋体"/>
          <w:snapToGrid w:val="0"/>
          <w:color w:val="000000"/>
          <w:spacing w:val="-16"/>
          <w:kern w:val="21"/>
          <w:szCs w:val="21"/>
          <w:highlight w:val="none"/>
        </w:rPr>
        <w:fldChar w:fldCharType="separate"/>
      </w:r>
      <w:r>
        <w:rPr>
          <w:rFonts w:hint="eastAsia" w:hAnsi="宋体"/>
          <w:szCs w:val="21"/>
          <w:highlight w:val="none"/>
        </w:rPr>
        <w:t>⑥</w:t>
      </w:r>
      <w:r>
        <w:rPr>
          <w:rFonts w:hAnsi="宋体"/>
          <w:snapToGrid w:val="0"/>
          <w:color w:val="000000"/>
          <w:spacing w:val="-16"/>
          <w:kern w:val="21"/>
          <w:szCs w:val="21"/>
          <w:highlight w:val="none"/>
        </w:rPr>
        <w:fldChar w:fldCharType="end"/>
      </w:r>
      <w:r>
        <w:rPr>
          <w:rFonts w:hAnsi="宋体"/>
          <w:snapToGrid w:val="0"/>
          <w:color w:val="000000"/>
          <w:spacing w:val="-16"/>
          <w:kern w:val="21"/>
          <w:szCs w:val="21"/>
          <w:highlight w:val="none"/>
        </w:rPr>
        <w:t>-</w:t>
      </w:r>
      <w:r>
        <w:rPr>
          <w:rFonts w:hAnsi="宋体"/>
          <w:snapToGrid w:val="0"/>
          <w:color w:val="000000"/>
          <w:spacing w:val="-6"/>
          <w:kern w:val="21"/>
          <w:szCs w:val="21"/>
          <w:highlight w:val="none"/>
        </w:rPr>
        <w:fldChar w:fldCharType="begin"/>
      </w:r>
      <w:r>
        <w:rPr>
          <w:rFonts w:hAnsi="宋体"/>
          <w:snapToGrid w:val="0"/>
          <w:color w:val="000000"/>
          <w:spacing w:val="-6"/>
          <w:kern w:val="21"/>
          <w:szCs w:val="21"/>
          <w:highlight w:val="none"/>
        </w:rPr>
        <w:instrText xml:space="preserve"> = 1 \* GB3 \* MERGEFORMAT </w:instrText>
      </w:r>
      <w:r>
        <w:rPr>
          <w:rFonts w:hAnsi="宋体"/>
          <w:snapToGrid w:val="0"/>
          <w:color w:val="000000"/>
          <w:spacing w:val="-6"/>
          <w:kern w:val="21"/>
          <w:szCs w:val="21"/>
          <w:highlight w:val="none"/>
        </w:rPr>
        <w:fldChar w:fldCharType="separate"/>
      </w:r>
      <w:r>
        <w:rPr>
          <w:rFonts w:hint="eastAsia" w:hAnsi="宋体"/>
          <w:szCs w:val="21"/>
          <w:highlight w:val="none"/>
        </w:rPr>
        <w:t>①</w:t>
      </w:r>
      <w:r>
        <w:rPr>
          <w:rFonts w:hAnsi="宋体"/>
          <w:snapToGrid w:val="0"/>
          <w:color w:val="000000"/>
          <w:spacing w:val="-6"/>
          <w:kern w:val="21"/>
          <w:szCs w:val="21"/>
          <w:highlight w:val="none"/>
        </w:rPr>
        <w:fldChar w:fldCharType="end"/>
      </w:r>
    </w:p>
    <w:sectPr>
      <w:pgSz w:w="16838" w:h="11906" w:orient="landscape"/>
      <w:pgMar w:top="1417" w:right="1701" w:bottom="1083" w:left="1701"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A8384">
    <w:pPr>
      <w:pStyle w:val="15"/>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F7E04">
    <w:pPr>
      <w:pStyle w:val="15"/>
      <w:framePr w:wrap="around" w:vAnchor="text" w:hAnchor="margin" w:xAlign="center" w:y="1"/>
      <w:rPr>
        <w:rStyle w:val="23"/>
      </w:rPr>
    </w:pPr>
    <w:r>
      <w:fldChar w:fldCharType="begin"/>
    </w:r>
    <w:r>
      <w:rPr>
        <w:rStyle w:val="23"/>
      </w:rPr>
      <w:instrText xml:space="preserve">PAGE  </w:instrText>
    </w:r>
    <w:r>
      <w:fldChar w:fldCharType="end"/>
    </w:r>
  </w:p>
  <w:p w14:paraId="55EEF3FE">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6D5C3">
    <w:pPr>
      <w:pStyle w:val="15"/>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7A99E">
                          <w:pPr>
                            <w:pStyle w:val="1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FE7A99E">
                    <w:pPr>
                      <w:pStyle w:val="1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3BE831"/>
    <w:multiLevelType w:val="singleLevel"/>
    <w:tmpl w:val="863BE831"/>
    <w:lvl w:ilvl="0" w:tentative="0">
      <w:start w:val="1"/>
      <w:numFmt w:val="decimal"/>
      <w:suff w:val="nothing"/>
      <w:lvlText w:val="%1、"/>
      <w:lvlJc w:val="left"/>
    </w:lvl>
  </w:abstractNum>
  <w:abstractNum w:abstractNumId="1">
    <w:nsid w:val="878E0DAD"/>
    <w:multiLevelType w:val="singleLevel"/>
    <w:tmpl w:val="878E0DAD"/>
    <w:lvl w:ilvl="0" w:tentative="0">
      <w:start w:val="2"/>
      <w:numFmt w:val="chineseCounting"/>
      <w:suff w:val="nothing"/>
      <w:lvlText w:val="（%1）"/>
      <w:lvlJc w:val="left"/>
      <w:rPr>
        <w:rFonts w:hint="eastAsia"/>
      </w:rPr>
    </w:lvl>
  </w:abstractNum>
  <w:abstractNum w:abstractNumId="2">
    <w:nsid w:val="A9FFBB48"/>
    <w:multiLevelType w:val="singleLevel"/>
    <w:tmpl w:val="A9FFBB48"/>
    <w:lvl w:ilvl="0" w:tentative="0">
      <w:start w:val="1"/>
      <w:numFmt w:val="decimal"/>
      <w:suff w:val="nothing"/>
      <w:lvlText w:val="%1、"/>
      <w:lvlJc w:val="left"/>
    </w:lvl>
  </w:abstractNum>
  <w:abstractNum w:abstractNumId="3">
    <w:nsid w:val="CD06CDEF"/>
    <w:multiLevelType w:val="singleLevel"/>
    <w:tmpl w:val="CD06CDEF"/>
    <w:lvl w:ilvl="0" w:tentative="0">
      <w:start w:val="1"/>
      <w:numFmt w:val="chineseCounting"/>
      <w:suff w:val="nothing"/>
      <w:lvlText w:val="%1、"/>
      <w:lvlJc w:val="left"/>
      <w:rPr>
        <w:rFonts w:hint="eastAsia"/>
      </w:rPr>
    </w:lvl>
  </w:abstractNum>
  <w:abstractNum w:abstractNumId="4">
    <w:nsid w:val="04ECA9A7"/>
    <w:multiLevelType w:val="singleLevel"/>
    <w:tmpl w:val="04ECA9A7"/>
    <w:lvl w:ilvl="0" w:tentative="0">
      <w:start w:val="1"/>
      <w:numFmt w:val="chineseCounting"/>
      <w:suff w:val="nothing"/>
      <w:lvlText w:val="%1、"/>
      <w:lvlJc w:val="left"/>
      <w:rPr>
        <w:rFonts w:hint="eastAsia"/>
      </w:rPr>
    </w:lvl>
  </w:abstractNum>
  <w:abstractNum w:abstractNumId="5">
    <w:nsid w:val="3E75CA19"/>
    <w:multiLevelType w:val="singleLevel"/>
    <w:tmpl w:val="3E75CA19"/>
    <w:lvl w:ilvl="0" w:tentative="0">
      <w:start w:val="2"/>
      <w:numFmt w:val="decimal"/>
      <w:suff w:val="nothing"/>
      <w:lvlText w:val="（%1）"/>
      <w:lvlJc w:val="left"/>
    </w:lvl>
  </w:abstractNum>
  <w:abstractNum w:abstractNumId="6">
    <w:nsid w:val="3EB04D3A"/>
    <w:multiLevelType w:val="singleLevel"/>
    <w:tmpl w:val="3EB04D3A"/>
    <w:lvl w:ilvl="0" w:tentative="0">
      <w:start w:val="1"/>
      <w:numFmt w:val="decimal"/>
      <w:suff w:val="nothing"/>
      <w:lvlText w:val="（%1）"/>
      <w:lvlJc w:val="left"/>
    </w:lvl>
  </w:abstractNum>
  <w:abstractNum w:abstractNumId="7">
    <w:nsid w:val="44F31B7D"/>
    <w:multiLevelType w:val="singleLevel"/>
    <w:tmpl w:val="44F31B7D"/>
    <w:lvl w:ilvl="0" w:tentative="0">
      <w:start w:val="1"/>
      <w:numFmt w:val="decimal"/>
      <w:suff w:val="nothing"/>
      <w:lvlText w:val="%1、"/>
      <w:lvlJc w:val="left"/>
    </w:lvl>
  </w:abstractNum>
  <w:abstractNum w:abstractNumId="8">
    <w:nsid w:val="4E15816B"/>
    <w:multiLevelType w:val="singleLevel"/>
    <w:tmpl w:val="4E15816B"/>
    <w:lvl w:ilvl="0" w:tentative="0">
      <w:start w:val="1"/>
      <w:numFmt w:val="decimal"/>
      <w:suff w:val="nothing"/>
      <w:lvlText w:val="%1、"/>
      <w:lvlJc w:val="left"/>
    </w:lvl>
  </w:abstractNum>
  <w:abstractNum w:abstractNumId="9">
    <w:nsid w:val="7BD9F303"/>
    <w:multiLevelType w:val="singleLevel"/>
    <w:tmpl w:val="7BD9F303"/>
    <w:lvl w:ilvl="0" w:tentative="0">
      <w:start w:val="1"/>
      <w:numFmt w:val="decimal"/>
      <w:suff w:val="nothing"/>
      <w:lvlText w:val="%1、"/>
      <w:lvlJc w:val="left"/>
    </w:lvl>
  </w:abstractNum>
  <w:num w:numId="1">
    <w:abstractNumId w:val="8"/>
  </w:num>
  <w:num w:numId="2">
    <w:abstractNumId w:val="9"/>
  </w:num>
  <w:num w:numId="3">
    <w:abstractNumId w:val="7"/>
  </w:num>
  <w:num w:numId="4">
    <w:abstractNumId w:val="0"/>
  </w:num>
  <w:num w:numId="5">
    <w:abstractNumId w:val="3"/>
  </w:num>
  <w:num w:numId="6">
    <w:abstractNumId w:val="5"/>
  </w:num>
  <w:num w:numId="7">
    <w:abstractNumId w:val="4"/>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4DEF"/>
    <w:rsid w:val="00580571"/>
    <w:rsid w:val="006B3270"/>
    <w:rsid w:val="00A62369"/>
    <w:rsid w:val="00B62F7A"/>
    <w:rsid w:val="00C011CF"/>
    <w:rsid w:val="00CE61D3"/>
    <w:rsid w:val="00E15234"/>
    <w:rsid w:val="01033AB9"/>
    <w:rsid w:val="010C29B1"/>
    <w:rsid w:val="01201969"/>
    <w:rsid w:val="01352CEB"/>
    <w:rsid w:val="01717B66"/>
    <w:rsid w:val="01D42739"/>
    <w:rsid w:val="02020CA1"/>
    <w:rsid w:val="0216262E"/>
    <w:rsid w:val="02386CC9"/>
    <w:rsid w:val="027C5214"/>
    <w:rsid w:val="02BE583F"/>
    <w:rsid w:val="02CE3940"/>
    <w:rsid w:val="030E0588"/>
    <w:rsid w:val="03105C95"/>
    <w:rsid w:val="03110244"/>
    <w:rsid w:val="03240455"/>
    <w:rsid w:val="0334514F"/>
    <w:rsid w:val="035937A7"/>
    <w:rsid w:val="036D2DAF"/>
    <w:rsid w:val="03885E3A"/>
    <w:rsid w:val="03AE5E09"/>
    <w:rsid w:val="03B25AD1"/>
    <w:rsid w:val="03C5139B"/>
    <w:rsid w:val="03CE7CF1"/>
    <w:rsid w:val="03F70746"/>
    <w:rsid w:val="03FB590B"/>
    <w:rsid w:val="04022B72"/>
    <w:rsid w:val="041952A7"/>
    <w:rsid w:val="04B96E39"/>
    <w:rsid w:val="04C6276D"/>
    <w:rsid w:val="04E074E3"/>
    <w:rsid w:val="04E10ADA"/>
    <w:rsid w:val="055256B0"/>
    <w:rsid w:val="05DF5715"/>
    <w:rsid w:val="060C7F99"/>
    <w:rsid w:val="063539E9"/>
    <w:rsid w:val="063B60E8"/>
    <w:rsid w:val="06536947"/>
    <w:rsid w:val="06604E4C"/>
    <w:rsid w:val="06936DA2"/>
    <w:rsid w:val="06997791"/>
    <w:rsid w:val="06B93720"/>
    <w:rsid w:val="06BC22FB"/>
    <w:rsid w:val="06D27D08"/>
    <w:rsid w:val="06E65352"/>
    <w:rsid w:val="07F013FF"/>
    <w:rsid w:val="07F42B1A"/>
    <w:rsid w:val="0800698A"/>
    <w:rsid w:val="085B1D99"/>
    <w:rsid w:val="0895194A"/>
    <w:rsid w:val="08F9783F"/>
    <w:rsid w:val="08FB2E6C"/>
    <w:rsid w:val="0935611C"/>
    <w:rsid w:val="095A2BAD"/>
    <w:rsid w:val="09A85D0E"/>
    <w:rsid w:val="09C733FF"/>
    <w:rsid w:val="09CB082F"/>
    <w:rsid w:val="0A117427"/>
    <w:rsid w:val="0A880A2F"/>
    <w:rsid w:val="0A886720"/>
    <w:rsid w:val="0ABD461B"/>
    <w:rsid w:val="0ACA6D38"/>
    <w:rsid w:val="0B176EA1"/>
    <w:rsid w:val="0B4B40F9"/>
    <w:rsid w:val="0B62779A"/>
    <w:rsid w:val="0BBA5640"/>
    <w:rsid w:val="0BF1230D"/>
    <w:rsid w:val="0C0B168B"/>
    <w:rsid w:val="0C1A784C"/>
    <w:rsid w:val="0C3152C1"/>
    <w:rsid w:val="0C646CF2"/>
    <w:rsid w:val="0C783979"/>
    <w:rsid w:val="0C874EE1"/>
    <w:rsid w:val="0C8F023A"/>
    <w:rsid w:val="0C9C688C"/>
    <w:rsid w:val="0CE5517B"/>
    <w:rsid w:val="0CE920B7"/>
    <w:rsid w:val="0D1163A9"/>
    <w:rsid w:val="0D346292"/>
    <w:rsid w:val="0D3F3D09"/>
    <w:rsid w:val="0D407BC0"/>
    <w:rsid w:val="0D5067FA"/>
    <w:rsid w:val="0D55655B"/>
    <w:rsid w:val="0D562B05"/>
    <w:rsid w:val="0D7441BB"/>
    <w:rsid w:val="0DA52435"/>
    <w:rsid w:val="0DC654AB"/>
    <w:rsid w:val="0E354C48"/>
    <w:rsid w:val="0E3748C9"/>
    <w:rsid w:val="0E3D61D4"/>
    <w:rsid w:val="0E632589"/>
    <w:rsid w:val="0E6B7EA2"/>
    <w:rsid w:val="0E7332A4"/>
    <w:rsid w:val="0EA07AC5"/>
    <w:rsid w:val="0EEB1956"/>
    <w:rsid w:val="0EEB6C10"/>
    <w:rsid w:val="0EF32D02"/>
    <w:rsid w:val="0EFB7F18"/>
    <w:rsid w:val="0F0127E2"/>
    <w:rsid w:val="0F1379FD"/>
    <w:rsid w:val="0F1E7D88"/>
    <w:rsid w:val="0F307AB2"/>
    <w:rsid w:val="0F4D3AC7"/>
    <w:rsid w:val="0F5B0508"/>
    <w:rsid w:val="0F8C5827"/>
    <w:rsid w:val="0FA638D0"/>
    <w:rsid w:val="0FA92763"/>
    <w:rsid w:val="0FB64222"/>
    <w:rsid w:val="0FEF7473"/>
    <w:rsid w:val="1026567D"/>
    <w:rsid w:val="10290BE0"/>
    <w:rsid w:val="10321608"/>
    <w:rsid w:val="104839C3"/>
    <w:rsid w:val="10570E5C"/>
    <w:rsid w:val="108208DD"/>
    <w:rsid w:val="10B7451A"/>
    <w:rsid w:val="10CF50A9"/>
    <w:rsid w:val="116E32CE"/>
    <w:rsid w:val="11AC459F"/>
    <w:rsid w:val="11AF7E92"/>
    <w:rsid w:val="11B12A00"/>
    <w:rsid w:val="120854E2"/>
    <w:rsid w:val="121E62E8"/>
    <w:rsid w:val="1261578C"/>
    <w:rsid w:val="12863E8D"/>
    <w:rsid w:val="12910C6D"/>
    <w:rsid w:val="12BA0BC5"/>
    <w:rsid w:val="12C16C73"/>
    <w:rsid w:val="12C36D1B"/>
    <w:rsid w:val="130630B6"/>
    <w:rsid w:val="13076D7C"/>
    <w:rsid w:val="130F2ECF"/>
    <w:rsid w:val="13255454"/>
    <w:rsid w:val="13434EB3"/>
    <w:rsid w:val="136E4C17"/>
    <w:rsid w:val="137C1A29"/>
    <w:rsid w:val="138547B5"/>
    <w:rsid w:val="13AE369B"/>
    <w:rsid w:val="13B332F2"/>
    <w:rsid w:val="13BF7656"/>
    <w:rsid w:val="13CB5121"/>
    <w:rsid w:val="13D34EB0"/>
    <w:rsid w:val="13E72709"/>
    <w:rsid w:val="13F45B6A"/>
    <w:rsid w:val="13F510A0"/>
    <w:rsid w:val="13FA0948"/>
    <w:rsid w:val="13FA32AE"/>
    <w:rsid w:val="140C6167"/>
    <w:rsid w:val="141C553C"/>
    <w:rsid w:val="143860A5"/>
    <w:rsid w:val="14400420"/>
    <w:rsid w:val="146C0739"/>
    <w:rsid w:val="147F5B59"/>
    <w:rsid w:val="149454EF"/>
    <w:rsid w:val="14FE7AA1"/>
    <w:rsid w:val="15021059"/>
    <w:rsid w:val="150C540F"/>
    <w:rsid w:val="152A3177"/>
    <w:rsid w:val="154C258B"/>
    <w:rsid w:val="154F4090"/>
    <w:rsid w:val="156A58A7"/>
    <w:rsid w:val="15A10682"/>
    <w:rsid w:val="15BC3411"/>
    <w:rsid w:val="15BE5F76"/>
    <w:rsid w:val="16031A21"/>
    <w:rsid w:val="16344F2B"/>
    <w:rsid w:val="164D5AC2"/>
    <w:rsid w:val="16DA1F6C"/>
    <w:rsid w:val="17190CC4"/>
    <w:rsid w:val="1730236E"/>
    <w:rsid w:val="173E6E99"/>
    <w:rsid w:val="177B322F"/>
    <w:rsid w:val="17B111C8"/>
    <w:rsid w:val="17D3658C"/>
    <w:rsid w:val="1804388A"/>
    <w:rsid w:val="182A12D7"/>
    <w:rsid w:val="183D0147"/>
    <w:rsid w:val="188D30A6"/>
    <w:rsid w:val="18AC2992"/>
    <w:rsid w:val="18B55194"/>
    <w:rsid w:val="18F5558B"/>
    <w:rsid w:val="18FF3E6B"/>
    <w:rsid w:val="19393F0B"/>
    <w:rsid w:val="19436B37"/>
    <w:rsid w:val="194B256C"/>
    <w:rsid w:val="19616271"/>
    <w:rsid w:val="197F7673"/>
    <w:rsid w:val="19846551"/>
    <w:rsid w:val="19DE010A"/>
    <w:rsid w:val="19EC2827"/>
    <w:rsid w:val="19F70A3B"/>
    <w:rsid w:val="19F8741E"/>
    <w:rsid w:val="1A0607C7"/>
    <w:rsid w:val="1A265F44"/>
    <w:rsid w:val="1A2F0F04"/>
    <w:rsid w:val="1A657D8F"/>
    <w:rsid w:val="1A724A67"/>
    <w:rsid w:val="1A7647E7"/>
    <w:rsid w:val="1A7B2558"/>
    <w:rsid w:val="1A82766E"/>
    <w:rsid w:val="1A9B0880"/>
    <w:rsid w:val="1AF6558E"/>
    <w:rsid w:val="1AFF2A2E"/>
    <w:rsid w:val="1B610FF3"/>
    <w:rsid w:val="1B690B70"/>
    <w:rsid w:val="1B7F4F80"/>
    <w:rsid w:val="1BA809D0"/>
    <w:rsid w:val="1BCC00F7"/>
    <w:rsid w:val="1BCC36FE"/>
    <w:rsid w:val="1BDC38F3"/>
    <w:rsid w:val="1BEB0A33"/>
    <w:rsid w:val="1C0D0BCA"/>
    <w:rsid w:val="1C345D2A"/>
    <w:rsid w:val="1C355A80"/>
    <w:rsid w:val="1CA238F1"/>
    <w:rsid w:val="1CB0107B"/>
    <w:rsid w:val="1CB87339"/>
    <w:rsid w:val="1CFA4379"/>
    <w:rsid w:val="1D091A33"/>
    <w:rsid w:val="1D602921"/>
    <w:rsid w:val="1D7508E9"/>
    <w:rsid w:val="1D7768AC"/>
    <w:rsid w:val="1DC35387"/>
    <w:rsid w:val="1E275B00"/>
    <w:rsid w:val="1E29229C"/>
    <w:rsid w:val="1E38119D"/>
    <w:rsid w:val="1E51645C"/>
    <w:rsid w:val="1E8B2E30"/>
    <w:rsid w:val="1EAA2CB1"/>
    <w:rsid w:val="1EB165C6"/>
    <w:rsid w:val="1EC36F73"/>
    <w:rsid w:val="1ECC0E79"/>
    <w:rsid w:val="1EDE5090"/>
    <w:rsid w:val="1EE334CE"/>
    <w:rsid w:val="1EF4593A"/>
    <w:rsid w:val="1F4466F6"/>
    <w:rsid w:val="1F463160"/>
    <w:rsid w:val="1F533B64"/>
    <w:rsid w:val="1F845AC6"/>
    <w:rsid w:val="1F96758A"/>
    <w:rsid w:val="1F9C28B8"/>
    <w:rsid w:val="1FDA2848"/>
    <w:rsid w:val="1FDC1DAB"/>
    <w:rsid w:val="1FE67BDE"/>
    <w:rsid w:val="1FF561AE"/>
    <w:rsid w:val="20553C12"/>
    <w:rsid w:val="206655D8"/>
    <w:rsid w:val="209143BB"/>
    <w:rsid w:val="2096597B"/>
    <w:rsid w:val="209961A4"/>
    <w:rsid w:val="209B50B3"/>
    <w:rsid w:val="20C6324C"/>
    <w:rsid w:val="20D656C1"/>
    <w:rsid w:val="20DC526E"/>
    <w:rsid w:val="213C1917"/>
    <w:rsid w:val="214230AC"/>
    <w:rsid w:val="215356DC"/>
    <w:rsid w:val="216E430A"/>
    <w:rsid w:val="21835AB5"/>
    <w:rsid w:val="21AE4421"/>
    <w:rsid w:val="21CD1267"/>
    <w:rsid w:val="221A0FE3"/>
    <w:rsid w:val="22531007"/>
    <w:rsid w:val="22641982"/>
    <w:rsid w:val="2281620D"/>
    <w:rsid w:val="228F2214"/>
    <w:rsid w:val="229D5007"/>
    <w:rsid w:val="22C30D9A"/>
    <w:rsid w:val="22F400D9"/>
    <w:rsid w:val="22F94D29"/>
    <w:rsid w:val="22FD05AF"/>
    <w:rsid w:val="239B2295"/>
    <w:rsid w:val="239E48E9"/>
    <w:rsid w:val="23B234DB"/>
    <w:rsid w:val="23B855B4"/>
    <w:rsid w:val="23F0343E"/>
    <w:rsid w:val="23F409EA"/>
    <w:rsid w:val="24103AEE"/>
    <w:rsid w:val="242D3535"/>
    <w:rsid w:val="247631B7"/>
    <w:rsid w:val="24856DD8"/>
    <w:rsid w:val="24995D0B"/>
    <w:rsid w:val="24BA6F6E"/>
    <w:rsid w:val="24FD463A"/>
    <w:rsid w:val="255346FC"/>
    <w:rsid w:val="255A13BF"/>
    <w:rsid w:val="25645034"/>
    <w:rsid w:val="25702512"/>
    <w:rsid w:val="25AF5AD6"/>
    <w:rsid w:val="25DB6A1C"/>
    <w:rsid w:val="25EC7DF8"/>
    <w:rsid w:val="25F02D84"/>
    <w:rsid w:val="26155D5F"/>
    <w:rsid w:val="261C6242"/>
    <w:rsid w:val="264C7AC6"/>
    <w:rsid w:val="26536A8F"/>
    <w:rsid w:val="266544EE"/>
    <w:rsid w:val="26805571"/>
    <w:rsid w:val="26A60339"/>
    <w:rsid w:val="26CA0394"/>
    <w:rsid w:val="26F61189"/>
    <w:rsid w:val="272952B4"/>
    <w:rsid w:val="273D0B66"/>
    <w:rsid w:val="274220E8"/>
    <w:rsid w:val="274A0F1B"/>
    <w:rsid w:val="277A6077"/>
    <w:rsid w:val="278B1F81"/>
    <w:rsid w:val="27B36D82"/>
    <w:rsid w:val="280E3822"/>
    <w:rsid w:val="28274C89"/>
    <w:rsid w:val="282B3F32"/>
    <w:rsid w:val="28643F53"/>
    <w:rsid w:val="286A05F5"/>
    <w:rsid w:val="2870102B"/>
    <w:rsid w:val="28FB2A87"/>
    <w:rsid w:val="28FB6E4E"/>
    <w:rsid w:val="29202CCC"/>
    <w:rsid w:val="292D0CD0"/>
    <w:rsid w:val="294602E1"/>
    <w:rsid w:val="295A28B5"/>
    <w:rsid w:val="296829D0"/>
    <w:rsid w:val="296B6D7E"/>
    <w:rsid w:val="29751743"/>
    <w:rsid w:val="297D349C"/>
    <w:rsid w:val="29A076EC"/>
    <w:rsid w:val="29CC7F7F"/>
    <w:rsid w:val="29D14E4B"/>
    <w:rsid w:val="2A0D77D1"/>
    <w:rsid w:val="2A455FA3"/>
    <w:rsid w:val="2A731ED7"/>
    <w:rsid w:val="2A783262"/>
    <w:rsid w:val="2AF92FF6"/>
    <w:rsid w:val="2B186047"/>
    <w:rsid w:val="2B22254D"/>
    <w:rsid w:val="2B6A0CDA"/>
    <w:rsid w:val="2B7B0E55"/>
    <w:rsid w:val="2B7E2595"/>
    <w:rsid w:val="2B9A6089"/>
    <w:rsid w:val="2BC77F8F"/>
    <w:rsid w:val="2BCF3D57"/>
    <w:rsid w:val="2BE30EE0"/>
    <w:rsid w:val="2BFD45DD"/>
    <w:rsid w:val="2C002521"/>
    <w:rsid w:val="2C412EA7"/>
    <w:rsid w:val="2C7127EF"/>
    <w:rsid w:val="2CD107CB"/>
    <w:rsid w:val="2CF741FD"/>
    <w:rsid w:val="2D0665D1"/>
    <w:rsid w:val="2D5B77E0"/>
    <w:rsid w:val="2D9E1C33"/>
    <w:rsid w:val="2DD0534B"/>
    <w:rsid w:val="2E0917A2"/>
    <w:rsid w:val="2E3E53C9"/>
    <w:rsid w:val="2ECD6C74"/>
    <w:rsid w:val="2EEC5F63"/>
    <w:rsid w:val="2F1B5CFC"/>
    <w:rsid w:val="2F34532C"/>
    <w:rsid w:val="2F480C30"/>
    <w:rsid w:val="2F4B1213"/>
    <w:rsid w:val="2F8E6EC3"/>
    <w:rsid w:val="2FC131EF"/>
    <w:rsid w:val="301643D0"/>
    <w:rsid w:val="30653F09"/>
    <w:rsid w:val="30A606E0"/>
    <w:rsid w:val="30B26121"/>
    <w:rsid w:val="30B54F44"/>
    <w:rsid w:val="30C05707"/>
    <w:rsid w:val="30DA7426"/>
    <w:rsid w:val="30F04A31"/>
    <w:rsid w:val="310B6887"/>
    <w:rsid w:val="31230234"/>
    <w:rsid w:val="312912C8"/>
    <w:rsid w:val="313E79B5"/>
    <w:rsid w:val="314A12DE"/>
    <w:rsid w:val="3152003F"/>
    <w:rsid w:val="318A0D54"/>
    <w:rsid w:val="31A17D02"/>
    <w:rsid w:val="31A92325"/>
    <w:rsid w:val="32555113"/>
    <w:rsid w:val="32773846"/>
    <w:rsid w:val="32C95F75"/>
    <w:rsid w:val="330B55BF"/>
    <w:rsid w:val="33481750"/>
    <w:rsid w:val="3365164B"/>
    <w:rsid w:val="337011C0"/>
    <w:rsid w:val="337736C9"/>
    <w:rsid w:val="337C5266"/>
    <w:rsid w:val="338C085C"/>
    <w:rsid w:val="33C41B92"/>
    <w:rsid w:val="340427C6"/>
    <w:rsid w:val="3416085D"/>
    <w:rsid w:val="34256C0A"/>
    <w:rsid w:val="343D25E0"/>
    <w:rsid w:val="347C02DE"/>
    <w:rsid w:val="3491530E"/>
    <w:rsid w:val="34CF24DF"/>
    <w:rsid w:val="34E70B2E"/>
    <w:rsid w:val="34EC3BCC"/>
    <w:rsid w:val="34F87993"/>
    <w:rsid w:val="352F184A"/>
    <w:rsid w:val="353C245D"/>
    <w:rsid w:val="35433905"/>
    <w:rsid w:val="354A60AC"/>
    <w:rsid w:val="35615290"/>
    <w:rsid w:val="35632A14"/>
    <w:rsid w:val="35B13F23"/>
    <w:rsid w:val="35F1149A"/>
    <w:rsid w:val="364E5657"/>
    <w:rsid w:val="3650773F"/>
    <w:rsid w:val="365C1350"/>
    <w:rsid w:val="368D0A96"/>
    <w:rsid w:val="36A8784B"/>
    <w:rsid w:val="36B7657A"/>
    <w:rsid w:val="36BA30E6"/>
    <w:rsid w:val="36BB0C45"/>
    <w:rsid w:val="371F10BF"/>
    <w:rsid w:val="37285CB3"/>
    <w:rsid w:val="374D2669"/>
    <w:rsid w:val="37977E1F"/>
    <w:rsid w:val="379F75FF"/>
    <w:rsid w:val="37DE1317"/>
    <w:rsid w:val="381F0AD4"/>
    <w:rsid w:val="383D5236"/>
    <w:rsid w:val="38484CD4"/>
    <w:rsid w:val="387D7150"/>
    <w:rsid w:val="388C6A93"/>
    <w:rsid w:val="38B65239"/>
    <w:rsid w:val="38B8730C"/>
    <w:rsid w:val="38EB1A6D"/>
    <w:rsid w:val="390F08F6"/>
    <w:rsid w:val="394947EE"/>
    <w:rsid w:val="39713E9F"/>
    <w:rsid w:val="39822409"/>
    <w:rsid w:val="399A0A25"/>
    <w:rsid w:val="399B4C50"/>
    <w:rsid w:val="3A015A23"/>
    <w:rsid w:val="3A653D7D"/>
    <w:rsid w:val="3A994E3D"/>
    <w:rsid w:val="3AD772C9"/>
    <w:rsid w:val="3AD81BEF"/>
    <w:rsid w:val="3B1B3D43"/>
    <w:rsid w:val="3B2F3F73"/>
    <w:rsid w:val="3B424E50"/>
    <w:rsid w:val="3B8F2C3B"/>
    <w:rsid w:val="3B922EDF"/>
    <w:rsid w:val="3B980AE4"/>
    <w:rsid w:val="3BBA232E"/>
    <w:rsid w:val="3BC9431F"/>
    <w:rsid w:val="3C0D6901"/>
    <w:rsid w:val="3C141D5F"/>
    <w:rsid w:val="3C2809C3"/>
    <w:rsid w:val="3C4D3268"/>
    <w:rsid w:val="3C825DD9"/>
    <w:rsid w:val="3C8C0DEF"/>
    <w:rsid w:val="3CB82FDB"/>
    <w:rsid w:val="3CBD3C8E"/>
    <w:rsid w:val="3CC6726D"/>
    <w:rsid w:val="3CE726FF"/>
    <w:rsid w:val="3D356E4E"/>
    <w:rsid w:val="3D46339E"/>
    <w:rsid w:val="3D997A02"/>
    <w:rsid w:val="3D9A0FB3"/>
    <w:rsid w:val="3DD97ECE"/>
    <w:rsid w:val="3DE30D1E"/>
    <w:rsid w:val="3DED2F99"/>
    <w:rsid w:val="3E18333B"/>
    <w:rsid w:val="3E1F0B6E"/>
    <w:rsid w:val="3E255830"/>
    <w:rsid w:val="3E7B464C"/>
    <w:rsid w:val="3E8010B9"/>
    <w:rsid w:val="3EA079ED"/>
    <w:rsid w:val="3EBF1A09"/>
    <w:rsid w:val="3EC80374"/>
    <w:rsid w:val="3EF85FF3"/>
    <w:rsid w:val="3F1764D3"/>
    <w:rsid w:val="3F312907"/>
    <w:rsid w:val="3F3E7E33"/>
    <w:rsid w:val="3F4631CC"/>
    <w:rsid w:val="3F86240F"/>
    <w:rsid w:val="3F9907F8"/>
    <w:rsid w:val="3FA43C2B"/>
    <w:rsid w:val="3FCD6A4C"/>
    <w:rsid w:val="40273D0A"/>
    <w:rsid w:val="40CB69C3"/>
    <w:rsid w:val="40E666D6"/>
    <w:rsid w:val="41036525"/>
    <w:rsid w:val="411D5117"/>
    <w:rsid w:val="413172F7"/>
    <w:rsid w:val="413B4EA3"/>
    <w:rsid w:val="414F1D91"/>
    <w:rsid w:val="41657329"/>
    <w:rsid w:val="418D3D40"/>
    <w:rsid w:val="41BF2C57"/>
    <w:rsid w:val="41F67393"/>
    <w:rsid w:val="42366722"/>
    <w:rsid w:val="4237620D"/>
    <w:rsid w:val="424B3CDF"/>
    <w:rsid w:val="42661114"/>
    <w:rsid w:val="42777E12"/>
    <w:rsid w:val="42970EE3"/>
    <w:rsid w:val="42A93509"/>
    <w:rsid w:val="42AE3784"/>
    <w:rsid w:val="42C23CE5"/>
    <w:rsid w:val="42CB3072"/>
    <w:rsid w:val="432035B5"/>
    <w:rsid w:val="43340C18"/>
    <w:rsid w:val="43655275"/>
    <w:rsid w:val="436F7FB0"/>
    <w:rsid w:val="43851473"/>
    <w:rsid w:val="43875D69"/>
    <w:rsid w:val="43F64C13"/>
    <w:rsid w:val="44056F36"/>
    <w:rsid w:val="443E275C"/>
    <w:rsid w:val="444E7AE4"/>
    <w:rsid w:val="44541004"/>
    <w:rsid w:val="4465308F"/>
    <w:rsid w:val="44BC0EC5"/>
    <w:rsid w:val="44C71594"/>
    <w:rsid w:val="44D020B0"/>
    <w:rsid w:val="45854253"/>
    <w:rsid w:val="45B1245C"/>
    <w:rsid w:val="45B70EA8"/>
    <w:rsid w:val="45C1291F"/>
    <w:rsid w:val="46592743"/>
    <w:rsid w:val="46A461DD"/>
    <w:rsid w:val="470E352E"/>
    <w:rsid w:val="473831E5"/>
    <w:rsid w:val="47560D60"/>
    <w:rsid w:val="4759788D"/>
    <w:rsid w:val="47685E05"/>
    <w:rsid w:val="4775204F"/>
    <w:rsid w:val="478043A6"/>
    <w:rsid w:val="47896827"/>
    <w:rsid w:val="478F28C0"/>
    <w:rsid w:val="47AD366A"/>
    <w:rsid w:val="47D01B77"/>
    <w:rsid w:val="47E250E6"/>
    <w:rsid w:val="48097C08"/>
    <w:rsid w:val="483D6B6B"/>
    <w:rsid w:val="48476250"/>
    <w:rsid w:val="487E71DA"/>
    <w:rsid w:val="489C0441"/>
    <w:rsid w:val="48CE566A"/>
    <w:rsid w:val="48D3302F"/>
    <w:rsid w:val="48D41775"/>
    <w:rsid w:val="48E123C1"/>
    <w:rsid w:val="491F577D"/>
    <w:rsid w:val="495B3AA6"/>
    <w:rsid w:val="497C3173"/>
    <w:rsid w:val="498F508F"/>
    <w:rsid w:val="499C2B3D"/>
    <w:rsid w:val="49BF6D61"/>
    <w:rsid w:val="49E01DA9"/>
    <w:rsid w:val="49E21966"/>
    <w:rsid w:val="49E54A1A"/>
    <w:rsid w:val="4A30596F"/>
    <w:rsid w:val="4A61094E"/>
    <w:rsid w:val="4A8D5AC2"/>
    <w:rsid w:val="4AD94929"/>
    <w:rsid w:val="4AF00ACB"/>
    <w:rsid w:val="4AF37BA8"/>
    <w:rsid w:val="4B081AEE"/>
    <w:rsid w:val="4B4A700E"/>
    <w:rsid w:val="4B7A4F07"/>
    <w:rsid w:val="4B8B43D8"/>
    <w:rsid w:val="4B9D2324"/>
    <w:rsid w:val="4BA31A5C"/>
    <w:rsid w:val="4BC922F1"/>
    <w:rsid w:val="4BD65BCC"/>
    <w:rsid w:val="4BDD12D1"/>
    <w:rsid w:val="4BE77BC2"/>
    <w:rsid w:val="4BF04F41"/>
    <w:rsid w:val="4BFF7360"/>
    <w:rsid w:val="4C4C1669"/>
    <w:rsid w:val="4C547E6F"/>
    <w:rsid w:val="4C641F65"/>
    <w:rsid w:val="4C7107E7"/>
    <w:rsid w:val="4C8B1B78"/>
    <w:rsid w:val="4CA37CC7"/>
    <w:rsid w:val="4CB3150D"/>
    <w:rsid w:val="4D3B6F51"/>
    <w:rsid w:val="4D764A5E"/>
    <w:rsid w:val="4D782049"/>
    <w:rsid w:val="4D8C5616"/>
    <w:rsid w:val="4D986247"/>
    <w:rsid w:val="4D9C0FDC"/>
    <w:rsid w:val="4DA929B3"/>
    <w:rsid w:val="4DB86E9A"/>
    <w:rsid w:val="4DE17BEE"/>
    <w:rsid w:val="4E661EA1"/>
    <w:rsid w:val="4E6A06CF"/>
    <w:rsid w:val="4E920EE8"/>
    <w:rsid w:val="4E9B3ECA"/>
    <w:rsid w:val="4EAB57A5"/>
    <w:rsid w:val="4EAC0D49"/>
    <w:rsid w:val="4ECD58DC"/>
    <w:rsid w:val="4F376450"/>
    <w:rsid w:val="4F3860E4"/>
    <w:rsid w:val="4F7E3FE4"/>
    <w:rsid w:val="4FD8025A"/>
    <w:rsid w:val="4FDD38CD"/>
    <w:rsid w:val="501E3CA3"/>
    <w:rsid w:val="50224539"/>
    <w:rsid w:val="50480B17"/>
    <w:rsid w:val="50834F8C"/>
    <w:rsid w:val="513F1BDA"/>
    <w:rsid w:val="516F3CBC"/>
    <w:rsid w:val="51C85DFB"/>
    <w:rsid w:val="51CE30F4"/>
    <w:rsid w:val="51EB49E2"/>
    <w:rsid w:val="51F94AE5"/>
    <w:rsid w:val="52215C29"/>
    <w:rsid w:val="52281131"/>
    <w:rsid w:val="522B4FF7"/>
    <w:rsid w:val="522B7EBA"/>
    <w:rsid w:val="52487151"/>
    <w:rsid w:val="525D32A7"/>
    <w:rsid w:val="52A44218"/>
    <w:rsid w:val="52BD34BD"/>
    <w:rsid w:val="52DC231F"/>
    <w:rsid w:val="52DE46FC"/>
    <w:rsid w:val="52E55A8A"/>
    <w:rsid w:val="531C4BE8"/>
    <w:rsid w:val="53605D92"/>
    <w:rsid w:val="536746F1"/>
    <w:rsid w:val="539C43ED"/>
    <w:rsid w:val="53AA6A0B"/>
    <w:rsid w:val="53DA0EFC"/>
    <w:rsid w:val="54336CC9"/>
    <w:rsid w:val="543D36A4"/>
    <w:rsid w:val="5445366A"/>
    <w:rsid w:val="547979C3"/>
    <w:rsid w:val="54970A0A"/>
    <w:rsid w:val="54C83143"/>
    <w:rsid w:val="54D05BBE"/>
    <w:rsid w:val="54FA6D95"/>
    <w:rsid w:val="552F008C"/>
    <w:rsid w:val="5567032B"/>
    <w:rsid w:val="55900288"/>
    <w:rsid w:val="55D01C98"/>
    <w:rsid w:val="55FB4FCC"/>
    <w:rsid w:val="562B1B8C"/>
    <w:rsid w:val="565822D5"/>
    <w:rsid w:val="56653E7A"/>
    <w:rsid w:val="56B86403"/>
    <w:rsid w:val="56EB4A51"/>
    <w:rsid w:val="57831556"/>
    <w:rsid w:val="579448D1"/>
    <w:rsid w:val="57981B08"/>
    <w:rsid w:val="57B85E03"/>
    <w:rsid w:val="57C73230"/>
    <w:rsid w:val="57C77885"/>
    <w:rsid w:val="58402623"/>
    <w:rsid w:val="584C1AEA"/>
    <w:rsid w:val="58A23ABB"/>
    <w:rsid w:val="58B007B7"/>
    <w:rsid w:val="58CC4640"/>
    <w:rsid w:val="58E0584C"/>
    <w:rsid w:val="58E85070"/>
    <w:rsid w:val="59004039"/>
    <w:rsid w:val="590B105B"/>
    <w:rsid w:val="59292580"/>
    <w:rsid w:val="599827B6"/>
    <w:rsid w:val="59C93681"/>
    <w:rsid w:val="59CA59DA"/>
    <w:rsid w:val="59D661E0"/>
    <w:rsid w:val="59F77094"/>
    <w:rsid w:val="59F87790"/>
    <w:rsid w:val="59F93409"/>
    <w:rsid w:val="5A2F136C"/>
    <w:rsid w:val="5A326537"/>
    <w:rsid w:val="5A466052"/>
    <w:rsid w:val="5A5C6673"/>
    <w:rsid w:val="5A8C0EE1"/>
    <w:rsid w:val="5AC111E7"/>
    <w:rsid w:val="5AFD6C6A"/>
    <w:rsid w:val="5B373A6F"/>
    <w:rsid w:val="5B456B59"/>
    <w:rsid w:val="5B462174"/>
    <w:rsid w:val="5B9E2C7A"/>
    <w:rsid w:val="5BE33F13"/>
    <w:rsid w:val="5BFC11DB"/>
    <w:rsid w:val="5BFF0CA2"/>
    <w:rsid w:val="5C2A0EF0"/>
    <w:rsid w:val="5C3202F8"/>
    <w:rsid w:val="5CDF3B71"/>
    <w:rsid w:val="5CE368C3"/>
    <w:rsid w:val="5D073226"/>
    <w:rsid w:val="5D551A5E"/>
    <w:rsid w:val="5D852344"/>
    <w:rsid w:val="5DD4273A"/>
    <w:rsid w:val="5DDC124E"/>
    <w:rsid w:val="5DDE5E9E"/>
    <w:rsid w:val="5DE168E5"/>
    <w:rsid w:val="5DEE4387"/>
    <w:rsid w:val="5E0E058B"/>
    <w:rsid w:val="5E807653"/>
    <w:rsid w:val="5EB964FB"/>
    <w:rsid w:val="5EEE1F04"/>
    <w:rsid w:val="5F106D00"/>
    <w:rsid w:val="5F2D2B20"/>
    <w:rsid w:val="5FD84FC4"/>
    <w:rsid w:val="5FFA069B"/>
    <w:rsid w:val="60122565"/>
    <w:rsid w:val="603125FF"/>
    <w:rsid w:val="60543D2E"/>
    <w:rsid w:val="60713D3A"/>
    <w:rsid w:val="60B64242"/>
    <w:rsid w:val="60CD3900"/>
    <w:rsid w:val="60EB6E08"/>
    <w:rsid w:val="6138147B"/>
    <w:rsid w:val="6157102B"/>
    <w:rsid w:val="615838CB"/>
    <w:rsid w:val="61B12C13"/>
    <w:rsid w:val="61BC3E5D"/>
    <w:rsid w:val="61EB65BD"/>
    <w:rsid w:val="62141EE8"/>
    <w:rsid w:val="62295BAB"/>
    <w:rsid w:val="6245462F"/>
    <w:rsid w:val="62673124"/>
    <w:rsid w:val="62683FE2"/>
    <w:rsid w:val="626E55A0"/>
    <w:rsid w:val="62B04B3A"/>
    <w:rsid w:val="62C2612D"/>
    <w:rsid w:val="62CC590E"/>
    <w:rsid w:val="62DF6B85"/>
    <w:rsid w:val="631E5924"/>
    <w:rsid w:val="63372DE5"/>
    <w:rsid w:val="633A3BD0"/>
    <w:rsid w:val="63B5701B"/>
    <w:rsid w:val="63D97702"/>
    <w:rsid w:val="63F10DA1"/>
    <w:rsid w:val="64174719"/>
    <w:rsid w:val="642E5D70"/>
    <w:rsid w:val="64574547"/>
    <w:rsid w:val="646571CD"/>
    <w:rsid w:val="648E5197"/>
    <w:rsid w:val="64D27D26"/>
    <w:rsid w:val="64EE7E7D"/>
    <w:rsid w:val="64F24F08"/>
    <w:rsid w:val="65655667"/>
    <w:rsid w:val="65916586"/>
    <w:rsid w:val="65A01E48"/>
    <w:rsid w:val="65AA57AE"/>
    <w:rsid w:val="65FF4C5D"/>
    <w:rsid w:val="66073434"/>
    <w:rsid w:val="66202B8F"/>
    <w:rsid w:val="667F4473"/>
    <w:rsid w:val="66A13C7D"/>
    <w:rsid w:val="66A351B5"/>
    <w:rsid w:val="66A546B7"/>
    <w:rsid w:val="66AF2A3C"/>
    <w:rsid w:val="66D03F39"/>
    <w:rsid w:val="66E714D0"/>
    <w:rsid w:val="66F55238"/>
    <w:rsid w:val="671F2F0D"/>
    <w:rsid w:val="67382A9C"/>
    <w:rsid w:val="676B414E"/>
    <w:rsid w:val="678E598E"/>
    <w:rsid w:val="67960072"/>
    <w:rsid w:val="67B11F87"/>
    <w:rsid w:val="67C905CE"/>
    <w:rsid w:val="67F27B46"/>
    <w:rsid w:val="680C5410"/>
    <w:rsid w:val="6821363A"/>
    <w:rsid w:val="68321957"/>
    <w:rsid w:val="683C3E85"/>
    <w:rsid w:val="684101C1"/>
    <w:rsid w:val="686D157D"/>
    <w:rsid w:val="6874548F"/>
    <w:rsid w:val="688B5EE1"/>
    <w:rsid w:val="688F185E"/>
    <w:rsid w:val="6897117D"/>
    <w:rsid w:val="68AB5D60"/>
    <w:rsid w:val="68BE1AA2"/>
    <w:rsid w:val="68E31F3D"/>
    <w:rsid w:val="68EC771B"/>
    <w:rsid w:val="691C7D63"/>
    <w:rsid w:val="693B5FAC"/>
    <w:rsid w:val="694806C9"/>
    <w:rsid w:val="6969228F"/>
    <w:rsid w:val="696B3DF3"/>
    <w:rsid w:val="699B0616"/>
    <w:rsid w:val="69A24CDE"/>
    <w:rsid w:val="69E95A08"/>
    <w:rsid w:val="6A260A0B"/>
    <w:rsid w:val="6A5E2A05"/>
    <w:rsid w:val="6A6D3A5C"/>
    <w:rsid w:val="6A775788"/>
    <w:rsid w:val="6AB12B3E"/>
    <w:rsid w:val="6AB70D23"/>
    <w:rsid w:val="6AD64672"/>
    <w:rsid w:val="6B080110"/>
    <w:rsid w:val="6B446227"/>
    <w:rsid w:val="6B56169C"/>
    <w:rsid w:val="6B5D50A1"/>
    <w:rsid w:val="6B6423CB"/>
    <w:rsid w:val="6B7B7F8A"/>
    <w:rsid w:val="6B991B92"/>
    <w:rsid w:val="6BAE0E3E"/>
    <w:rsid w:val="6BC22A6A"/>
    <w:rsid w:val="6BC50EA9"/>
    <w:rsid w:val="6BE63281"/>
    <w:rsid w:val="6C180827"/>
    <w:rsid w:val="6C272818"/>
    <w:rsid w:val="6C651A2F"/>
    <w:rsid w:val="6C826EF9"/>
    <w:rsid w:val="6CCC139B"/>
    <w:rsid w:val="6CD51DA5"/>
    <w:rsid w:val="6CE31EA5"/>
    <w:rsid w:val="6CF41088"/>
    <w:rsid w:val="6D2D0302"/>
    <w:rsid w:val="6D2F5CB2"/>
    <w:rsid w:val="6D3B6A1D"/>
    <w:rsid w:val="6D7B6F4C"/>
    <w:rsid w:val="6D920165"/>
    <w:rsid w:val="6DF43159"/>
    <w:rsid w:val="6E103CBF"/>
    <w:rsid w:val="6E5A6ED5"/>
    <w:rsid w:val="6E954335"/>
    <w:rsid w:val="6E9C46B9"/>
    <w:rsid w:val="6EA32018"/>
    <w:rsid w:val="6EED0238"/>
    <w:rsid w:val="6EF14D03"/>
    <w:rsid w:val="6F0C68F3"/>
    <w:rsid w:val="6F1670A9"/>
    <w:rsid w:val="6F235519"/>
    <w:rsid w:val="6F5576F5"/>
    <w:rsid w:val="6F773AB6"/>
    <w:rsid w:val="6F775EA8"/>
    <w:rsid w:val="6F7760D3"/>
    <w:rsid w:val="6FB50061"/>
    <w:rsid w:val="6FC80B9B"/>
    <w:rsid w:val="6FDB3A32"/>
    <w:rsid w:val="7000585A"/>
    <w:rsid w:val="703B4AE4"/>
    <w:rsid w:val="707E35A8"/>
    <w:rsid w:val="707F35C9"/>
    <w:rsid w:val="70B852EB"/>
    <w:rsid w:val="70BC35FA"/>
    <w:rsid w:val="70FE417A"/>
    <w:rsid w:val="710710BA"/>
    <w:rsid w:val="713D153F"/>
    <w:rsid w:val="71460E01"/>
    <w:rsid w:val="71FC5152"/>
    <w:rsid w:val="72192C03"/>
    <w:rsid w:val="7252035B"/>
    <w:rsid w:val="725228A4"/>
    <w:rsid w:val="725A21C1"/>
    <w:rsid w:val="7264631C"/>
    <w:rsid w:val="72AB139A"/>
    <w:rsid w:val="72D30F6F"/>
    <w:rsid w:val="72D80D10"/>
    <w:rsid w:val="72E552BA"/>
    <w:rsid w:val="72E83664"/>
    <w:rsid w:val="72F378F8"/>
    <w:rsid w:val="72FC548B"/>
    <w:rsid w:val="731A1328"/>
    <w:rsid w:val="7339611F"/>
    <w:rsid w:val="736752EC"/>
    <w:rsid w:val="736C3CDC"/>
    <w:rsid w:val="73B22065"/>
    <w:rsid w:val="73B470A9"/>
    <w:rsid w:val="73CA60C1"/>
    <w:rsid w:val="73CD1461"/>
    <w:rsid w:val="74003CC3"/>
    <w:rsid w:val="747A27E3"/>
    <w:rsid w:val="748C5FC0"/>
    <w:rsid w:val="74940C67"/>
    <w:rsid w:val="74A10878"/>
    <w:rsid w:val="74A41F18"/>
    <w:rsid w:val="74BB7CB7"/>
    <w:rsid w:val="75187C82"/>
    <w:rsid w:val="75555DF6"/>
    <w:rsid w:val="756602B2"/>
    <w:rsid w:val="75745B54"/>
    <w:rsid w:val="75CD5063"/>
    <w:rsid w:val="761A4B5D"/>
    <w:rsid w:val="764C5228"/>
    <w:rsid w:val="767B3E8C"/>
    <w:rsid w:val="76803089"/>
    <w:rsid w:val="76A455FF"/>
    <w:rsid w:val="76CA6BC2"/>
    <w:rsid w:val="76EA2DC0"/>
    <w:rsid w:val="76EB6545"/>
    <w:rsid w:val="771A29B9"/>
    <w:rsid w:val="77235B04"/>
    <w:rsid w:val="772E7150"/>
    <w:rsid w:val="77564B1D"/>
    <w:rsid w:val="775908EA"/>
    <w:rsid w:val="77696459"/>
    <w:rsid w:val="7779799C"/>
    <w:rsid w:val="77813D88"/>
    <w:rsid w:val="77A17922"/>
    <w:rsid w:val="77BD2134"/>
    <w:rsid w:val="77CE1B2D"/>
    <w:rsid w:val="77DC6BAC"/>
    <w:rsid w:val="781A290B"/>
    <w:rsid w:val="78526E6F"/>
    <w:rsid w:val="7860333A"/>
    <w:rsid w:val="78611500"/>
    <w:rsid w:val="786A41B8"/>
    <w:rsid w:val="787628BE"/>
    <w:rsid w:val="78781E10"/>
    <w:rsid w:val="78A02BED"/>
    <w:rsid w:val="78EC1137"/>
    <w:rsid w:val="78EC53F2"/>
    <w:rsid w:val="78EE2599"/>
    <w:rsid w:val="79093BDF"/>
    <w:rsid w:val="793179FF"/>
    <w:rsid w:val="79403229"/>
    <w:rsid w:val="79486907"/>
    <w:rsid w:val="795A422D"/>
    <w:rsid w:val="799001B0"/>
    <w:rsid w:val="79B50E56"/>
    <w:rsid w:val="79C57453"/>
    <w:rsid w:val="7A765096"/>
    <w:rsid w:val="7A9A3F3D"/>
    <w:rsid w:val="7AB71B55"/>
    <w:rsid w:val="7AE76D3A"/>
    <w:rsid w:val="7AEC2CEC"/>
    <w:rsid w:val="7B1706C7"/>
    <w:rsid w:val="7B2403B0"/>
    <w:rsid w:val="7B2B1161"/>
    <w:rsid w:val="7B587BEB"/>
    <w:rsid w:val="7BC65BA9"/>
    <w:rsid w:val="7BD63614"/>
    <w:rsid w:val="7C2B5827"/>
    <w:rsid w:val="7C4F7FD3"/>
    <w:rsid w:val="7C5731A0"/>
    <w:rsid w:val="7C9C1F13"/>
    <w:rsid w:val="7CAF41D8"/>
    <w:rsid w:val="7CE01684"/>
    <w:rsid w:val="7D086C15"/>
    <w:rsid w:val="7D0D0BEF"/>
    <w:rsid w:val="7D172435"/>
    <w:rsid w:val="7D4F031A"/>
    <w:rsid w:val="7D647FA8"/>
    <w:rsid w:val="7D6A6F8C"/>
    <w:rsid w:val="7DC61732"/>
    <w:rsid w:val="7E0C11F3"/>
    <w:rsid w:val="7E121DF7"/>
    <w:rsid w:val="7E7A2C7B"/>
    <w:rsid w:val="7EC71A8C"/>
    <w:rsid w:val="7F572FBC"/>
    <w:rsid w:val="7F756C12"/>
    <w:rsid w:val="7F7E316D"/>
    <w:rsid w:val="7F8A164E"/>
    <w:rsid w:val="7FC93F99"/>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4"/>
    <w:next w:val="5"/>
    <w:qFormat/>
    <w:uiPriority w:val="0"/>
    <w:pPr>
      <w:keepNext/>
      <w:keepLines/>
      <w:spacing w:before="280" w:beforeLines="0" w:after="290" w:afterLines="0" w:line="372"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lock Text"/>
    <w:basedOn w:val="1"/>
    <w:next w:val="1"/>
    <w:unhideWhenUsed/>
    <w:qFormat/>
    <w:uiPriority w:val="99"/>
    <w:pPr>
      <w:ind w:left="0" w:right="0"/>
      <w:jc w:val="left"/>
    </w:pPr>
    <w:rPr>
      <w:rFonts w:ascii="Times New Roman" w:hAnsi="Times New Roman"/>
    </w:rPr>
  </w:style>
  <w:style w:type="paragraph" w:styleId="4">
    <w:name w:val="toc 4"/>
    <w:basedOn w:val="1"/>
    <w:next w:val="1"/>
    <w:qFormat/>
    <w:uiPriority w:val="39"/>
    <w:pPr>
      <w:ind w:left="1260" w:leftChars="600"/>
    </w:pPr>
    <w:rPr>
      <w:szCs w:val="20"/>
    </w:rPr>
  </w:style>
  <w:style w:type="paragraph" w:styleId="5">
    <w:name w:val="Normal Indent"/>
    <w:basedOn w:val="1"/>
    <w:next w:val="3"/>
    <w:qFormat/>
    <w:uiPriority w:val="0"/>
    <w:pPr>
      <w:widowControl/>
      <w:overflowPunct w:val="0"/>
      <w:autoSpaceDE w:val="0"/>
      <w:autoSpaceDN w:val="0"/>
      <w:adjustRightInd w:val="0"/>
      <w:ind w:firstLine="420"/>
      <w:jc w:val="left"/>
    </w:pPr>
    <w:rPr>
      <w:rFonts w:ascii="Arial" w:hAnsi="Arial"/>
      <w:kern w:val="0"/>
      <w:sz w:val="20"/>
      <w:szCs w:val="20"/>
    </w:rPr>
  </w:style>
  <w:style w:type="paragraph" w:styleId="6">
    <w:name w:val="index 5"/>
    <w:basedOn w:val="1"/>
    <w:next w:val="1"/>
    <w:qFormat/>
    <w:uiPriority w:val="0"/>
    <w:pPr>
      <w:ind w:left="800" w:leftChars="800"/>
    </w:pPr>
  </w:style>
  <w:style w:type="paragraph" w:styleId="7">
    <w:name w:val="annotation text"/>
    <w:basedOn w:val="1"/>
    <w:semiHidden/>
    <w:qFormat/>
    <w:uiPriority w:val="0"/>
    <w:pPr>
      <w:jc w:val="left"/>
    </w:pPr>
    <w:rPr>
      <w:kern w:val="0"/>
      <w:sz w:val="24"/>
      <w:szCs w:val="20"/>
    </w:rPr>
  </w:style>
  <w:style w:type="paragraph" w:styleId="8">
    <w:name w:val="Body Text"/>
    <w:basedOn w:val="1"/>
    <w:next w:val="1"/>
    <w:qFormat/>
    <w:uiPriority w:val="0"/>
    <w:pPr>
      <w:widowControl/>
      <w:snapToGrid w:val="0"/>
      <w:spacing w:before="60" w:after="160" w:line="259" w:lineRule="auto"/>
      <w:ind w:right="113"/>
    </w:pPr>
    <w:rPr>
      <w:kern w:val="0"/>
      <w:sz w:val="18"/>
      <w:szCs w:val="20"/>
    </w:rPr>
  </w:style>
  <w:style w:type="paragraph" w:styleId="9">
    <w:name w:val="Body Text Indent"/>
    <w:basedOn w:val="1"/>
    <w:next w:val="10"/>
    <w:qFormat/>
    <w:uiPriority w:val="0"/>
    <w:pPr>
      <w:spacing w:after="120"/>
      <w:ind w:left="420" w:leftChars="200"/>
    </w:pPr>
    <w:rPr>
      <w:kern w:val="0"/>
      <w:sz w:val="24"/>
      <w:szCs w:val="20"/>
    </w:rPr>
  </w:style>
  <w:style w:type="paragraph" w:styleId="10">
    <w:name w:val="header"/>
    <w:basedOn w:val="1"/>
    <w:next w:val="11"/>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1">
    <w:name w:val="样式5"/>
    <w:basedOn w:val="12"/>
    <w:next w:val="13"/>
    <w:qFormat/>
    <w:uiPriority w:val="0"/>
    <w:pPr>
      <w:adjustRightInd w:val="0"/>
      <w:snapToGrid w:val="0"/>
      <w:spacing w:line="460" w:lineRule="exact"/>
      <w:ind w:firstLine="200"/>
      <w:textAlignment w:val="baseline"/>
    </w:pPr>
    <w:rPr>
      <w:rFonts w:ascii="Arial" w:hAnsi="Arial"/>
    </w:rPr>
  </w:style>
  <w:style w:type="paragraph" w:customStyle="1" w:styleId="12">
    <w:name w:val="正文1"/>
    <w:basedOn w:val="1"/>
    <w:next w:val="1"/>
    <w:qFormat/>
    <w:uiPriority w:val="0"/>
    <w:pPr>
      <w:spacing w:line="360" w:lineRule="auto"/>
      <w:ind w:firstLine="480" w:firstLineChars="200"/>
    </w:pPr>
    <w:rPr>
      <w:snapToGrid w:val="0"/>
      <w:kern w:val="0"/>
      <w:sz w:val="24"/>
      <w:szCs w:val="20"/>
    </w:rPr>
  </w:style>
  <w:style w:type="paragraph" w:styleId="13">
    <w:name w:val="endnote text"/>
    <w:basedOn w:val="1"/>
    <w:unhideWhenUsed/>
    <w:qFormat/>
    <w:uiPriority w:val="0"/>
    <w:pPr>
      <w:snapToGrid w:val="0"/>
      <w:jc w:val="left"/>
    </w:pPr>
    <w:rPr>
      <w:rFonts w:ascii="Calibri" w:hAnsi="Calibri"/>
      <w:sz w:val="24"/>
      <w:szCs w:val="22"/>
    </w:rPr>
  </w:style>
  <w:style w:type="paragraph" w:styleId="14">
    <w:name w:val="Body Text Indent 2"/>
    <w:basedOn w:val="1"/>
    <w:qFormat/>
    <w:uiPriority w:val="0"/>
    <w:pPr>
      <w:spacing w:before="120" w:beforeLines="0"/>
      <w:ind w:right="113" w:firstLine="570"/>
    </w:pPr>
    <w:rPr>
      <w:kern w:val="24"/>
      <w:sz w:val="28"/>
      <w:szCs w:val="20"/>
    </w:rPr>
  </w:style>
  <w:style w:type="paragraph" w:styleId="15">
    <w:name w:val="footer"/>
    <w:basedOn w:val="1"/>
    <w:qFormat/>
    <w:uiPriority w:val="99"/>
    <w:pPr>
      <w:tabs>
        <w:tab w:val="center" w:pos="4153"/>
        <w:tab w:val="right" w:pos="8306"/>
      </w:tabs>
      <w:snapToGrid w:val="0"/>
      <w:jc w:val="left"/>
    </w:pPr>
    <w:rPr>
      <w:kern w:val="0"/>
      <w:sz w:val="18"/>
      <w:szCs w:val="20"/>
    </w:rPr>
  </w:style>
  <w:style w:type="paragraph" w:styleId="16">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7">
    <w:name w:val="Body Text First Indent 2"/>
    <w:basedOn w:val="9"/>
    <w:next w:val="18"/>
    <w:qFormat/>
    <w:uiPriority w:val="0"/>
    <w:pPr>
      <w:ind w:firstLine="420" w:firstLineChars="200"/>
    </w:pPr>
    <w:rPr>
      <w:kern w:val="2"/>
      <w:sz w:val="21"/>
    </w:rPr>
  </w:style>
  <w:style w:type="paragraph" w:customStyle="1" w:styleId="18">
    <w:name w:val="Default"/>
    <w:basedOn w:val="19"/>
    <w:next w:val="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9">
    <w:name w:val="纯文本1"/>
    <w:basedOn w:val="1"/>
    <w:qFormat/>
    <w:uiPriority w:val="0"/>
    <w:pPr>
      <w:widowControl/>
      <w:spacing w:beforeLines="10" w:afterLines="10" w:line="360" w:lineRule="auto"/>
      <w:ind w:firstLine="200" w:firstLineChars="200"/>
      <w:jc w:val="left"/>
    </w:pPr>
    <w:rPr>
      <w:rFonts w:hAnsi="宋体" w:cs="宋体"/>
      <w:kern w:val="0"/>
      <w:sz w:val="24"/>
    </w:rPr>
  </w:style>
  <w:style w:type="table" w:styleId="21">
    <w:name w:val="Table Grid"/>
    <w:basedOn w:val="20"/>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paragraph" w:customStyle="1" w:styleId="24">
    <w:name w:val="正文_1"/>
    <w:qFormat/>
    <w:uiPriority w:val="0"/>
    <w:pPr>
      <w:widowControl w:val="0"/>
      <w:jc w:val="both"/>
    </w:pPr>
    <w:rPr>
      <w:rFonts w:ascii="Calibri" w:hAnsi="Calibri" w:eastAsia="宋体" w:cs="Times New Roman"/>
      <w:kern w:val="2"/>
      <w:sz w:val="21"/>
      <w:lang w:val="en-US" w:eastAsia="zh-CN" w:bidi="ar-SA"/>
    </w:rPr>
  </w:style>
  <w:style w:type="paragraph" w:customStyle="1" w:styleId="25">
    <w:name w:val="Table Paragraph"/>
    <w:basedOn w:val="1"/>
    <w:qFormat/>
    <w:uiPriority w:val="0"/>
    <w:pPr>
      <w:jc w:val="center"/>
    </w:pPr>
    <w:rPr>
      <w:rFonts w:ascii="宋体" w:hAnsi="宋体" w:eastAsia="宋体" w:cs="宋体"/>
      <w:lang w:val="zh-CN" w:eastAsia="zh-CN" w:bidi="zh-CN"/>
    </w:rPr>
  </w:style>
  <w:style w:type="paragraph" w:customStyle="1" w:styleId="26">
    <w:name w:val="表格"/>
    <w:basedOn w:val="1"/>
    <w:next w:val="1"/>
    <w:qFormat/>
    <w:uiPriority w:val="0"/>
    <w:pPr>
      <w:adjustRightInd w:val="0"/>
      <w:snapToGrid w:val="0"/>
      <w:spacing w:beforeLines="10" w:afterLines="10" w:line="259" w:lineRule="auto"/>
      <w:jc w:val="center"/>
    </w:pPr>
    <w:rPr>
      <w:rFonts w:ascii="宋体"/>
      <w:kern w:val="0"/>
      <w:szCs w:val="20"/>
    </w:rPr>
  </w:style>
  <w:style w:type="character" w:customStyle="1" w:styleId="27">
    <w:name w:val="font01"/>
    <w:basedOn w:val="22"/>
    <w:qFormat/>
    <w:uiPriority w:val="0"/>
    <w:rPr>
      <w:rFonts w:hint="eastAsia" w:ascii="宋体" w:hAnsi="宋体" w:eastAsia="宋体" w:cs="宋体"/>
      <w:color w:val="000000"/>
      <w:sz w:val="22"/>
      <w:szCs w:val="22"/>
      <w:u w:val="none"/>
    </w:rPr>
  </w:style>
  <w:style w:type="character" w:customStyle="1" w:styleId="28">
    <w:name w:val="font11"/>
    <w:basedOn w:val="22"/>
    <w:qFormat/>
    <w:uiPriority w:val="0"/>
    <w:rPr>
      <w:rFonts w:hint="default" w:ascii="Times New Roman" w:hAnsi="Times New Roman" w:cs="Times New Roman"/>
      <w:color w:val="000000"/>
      <w:sz w:val="22"/>
      <w:szCs w:val="22"/>
      <w:u w:val="none"/>
    </w:rPr>
  </w:style>
  <w:style w:type="paragraph" w:customStyle="1" w:styleId="29">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wmf"/><Relationship Id="rId16" Type="http://schemas.openxmlformats.org/officeDocument/2006/relationships/oleObject" Target="embeddings/oleObject2.bin"/><Relationship Id="rId15" Type="http://schemas.openxmlformats.org/officeDocument/2006/relationships/image" Target="media/image8.e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"/>
    </extobj>
    <extobj name="ECB019B1-382A-4266-B25C-5B523AA43C14-2">
      <extobjdata type="ECB019B1-382A-4266-B25C-5B523AA43C14" data="ewoJIkZpbGVJZCIgOiAiMTQ5MDgxODU3NDI5IiwKCSJHcm91cElkIiA6ICI2MzIxODkzNCIsCgkiSW1hZ2UiIDogImlWQk9SdzBLR2dvQUFBQU5TVWhFVWdBQUFvQUFBQUhyQ0FZQUFBQmZGaXduQUFBQUNYQklXWE1BQUFzVEFBQUxFd0VBbXB3WUFBQWdBRWxFUVZSNG5PemRlVmhVWmZzSDhPODV3K0xDSXBxWnZpNFlLT1VDTXdlM1JNdHl6U1ZOREpleTFGZE56VXhjeXFWeVM5T1U5SmRwS3BsN21iZ3ZsZWFDaWxvYU03aUxpaWlLbVlxSUNDZ004L3orTU03TE9BT2lBc1BBOTNOZFhzMDg1NXpuM0dlYVllNTV0Z01R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"/>
    </extobj>
    <extobj name="ECB019B1-382A-4266-B25C-5B523AA43C14-3">
      <extobjdata type="ECB019B1-382A-4266-B25C-5B523AA43C14" data="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"/>
    </extobj>
    <extobj name="ECB019B1-382A-4266-B25C-5B523AA43C14-4">
      <extobjdata type="ECB019B1-382A-4266-B25C-5B523AA43C14" data="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"/>
    </extobj>
    <extobj name="ECB019B1-382A-4266-B25C-5B523AA43C14-5">
      <extobjdata type="ECB019B1-382A-4266-B25C-5B523AA43C14" data="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"/>
    </extobj>
    <extobj name="ECB019B1-382A-4266-B25C-5B523AA43C14-6">
      <extobjdata type="ECB019B1-382A-4266-B25C-5B523AA43C14" data="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5873</Words>
  <Characters>6584</Characters>
  <Lines>0</Lines>
  <Paragraphs>0</Paragraphs>
  <TotalTime>23</TotalTime>
  <ScaleCrop>false</ScaleCrop>
  <LinksUpToDate>false</LinksUpToDate>
  <CharactersWithSpaces>6717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2021-10-27T09:12:00Z</dcterms:created>
  <dc:creator>Administrator</dc:creator>
  <cp:lastModifiedBy>勇敢编辑部</cp:lastModifiedBy>
  <cp:lastPrinted>2021-12-26T10:02:00Z</cp:lastPrinted>
  <dcterms:modified xsi:type="dcterms:W3CDTF">2025-02-19T07:37:13Z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D2E2559941C443F5868A33D470AC22B0</vt:lpwstr>
  </property>
  <property fmtid="{D5CDD505-2E9C-101B-9397-08002B2CF9AE}" pid="4" name="KSOTemplateDocerSaveRecord">
    <vt:lpwstr>eyJoZGlkIjoiMWZhOWFkNjBiNzczM2ZkNWJlMmFkMGI2YmI1ZWNmNGIiLCJ1c2VySWQiOiIxNjU1MzMyOTYxIn0=</vt:lpwstr>
  </property>
</Properties>
</file>